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54"/>
        <w:spacing w:after="0"/>
        <w:rPr>
          <w:sz w:val="20"/>
          <w:szCs w:val="20"/>
          <w:color w:val="auto"/>
        </w:rPr>
      </w:pPr>
      <w:r>
        <w:rPr>
          <w:rFonts w:ascii="Courier New" w:cs="Courier New" w:eastAsia="Courier New" w:hAnsi="Courier New"/>
          <w:sz w:val="15"/>
          <w:szCs w:val="15"/>
          <w:color w:val="auto"/>
        </w:rPr>
        <w:t>UNITED STATES</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10-K</w:t>
      </w:r>
    </w:p>
    <w:p>
      <w:pPr>
        <w:spacing w:after="0" w:line="185" w:lineRule="exact"/>
        <w:rPr>
          <w:sz w:val="24"/>
          <w:szCs w:val="24"/>
          <w:color w:val="auto"/>
        </w:rPr>
      </w:pPr>
    </w:p>
    <w:p>
      <w:pPr>
        <w:ind w:left="465" w:right="3119" w:hanging="465"/>
        <w:spacing w:after="0" w:line="253" w:lineRule="auto"/>
        <w:tabs>
          <w:tab w:leader="none" w:pos="46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FISCAL YEAR ENDED DECEMBER 31, 2006.</w:t>
      </w:r>
    </w:p>
    <w:p>
      <w:pPr>
        <w:spacing w:after="0" w:line="174" w:lineRule="exact"/>
        <w:rPr>
          <w:sz w:val="24"/>
          <w:szCs w:val="24"/>
          <w:color w:val="auto"/>
        </w:rPr>
      </w:pPr>
    </w:p>
    <w:p>
      <w:pPr>
        <w:ind w:left="465" w:right="3579" w:hanging="465"/>
        <w:spacing w:after="0" w:line="253" w:lineRule="auto"/>
        <w:tabs>
          <w:tab w:leader="none" w:pos="1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4" w:lineRule="exact"/>
        <w:rPr>
          <w:sz w:val="24"/>
          <w:szCs w:val="24"/>
          <w:color w:val="auto"/>
        </w:rPr>
      </w:pPr>
    </w:p>
    <w:p>
      <w:pPr>
        <w:ind w:left="465"/>
        <w:spacing w:after="0"/>
        <w:rPr>
          <w:sz w:val="20"/>
          <w:szCs w:val="20"/>
          <w:color w:val="auto"/>
        </w:rPr>
      </w:pPr>
      <w:r>
        <w:rPr>
          <w:rFonts w:ascii="Courier New" w:cs="Courier New" w:eastAsia="Courier New" w:hAnsi="Courier New"/>
          <w:sz w:val="15"/>
          <w:szCs w:val="15"/>
          <w:color w:val="auto"/>
        </w:rPr>
        <w:t>For the transition period from ________________ to ________________.</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Commission File No.: 0-10235</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GENTEX CORPORATION</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40"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4800" w:type="dxa"/>
            <w:vAlign w:val="bottom"/>
          </w:tcPr>
          <w:p>
            <w:pPr>
              <w:jc w:val="center"/>
              <w:ind w:right="663"/>
              <w:spacing w:after="0"/>
              <w:rPr>
                <w:sz w:val="20"/>
                <w:szCs w:val="20"/>
                <w:color w:val="auto"/>
              </w:rPr>
            </w:pPr>
            <w:r>
              <w:rPr>
                <w:rFonts w:ascii="Courier New" w:cs="Courier New" w:eastAsia="Courier New" w:hAnsi="Courier New"/>
                <w:sz w:val="15"/>
                <w:szCs w:val="15"/>
                <w:color w:val="auto"/>
              </w:rPr>
              <w:t>MICHIGAN</w:t>
            </w:r>
          </w:p>
        </w:tc>
        <w:tc>
          <w:tcPr>
            <w:tcW w:w="2580" w:type="dxa"/>
            <w:vAlign w:val="bottom"/>
          </w:tcPr>
          <w:p>
            <w:pPr>
              <w:jc w:val="center"/>
              <w:ind w:left="823"/>
              <w:spacing w:after="0"/>
              <w:rPr>
                <w:sz w:val="20"/>
                <w:szCs w:val="20"/>
                <w:color w:val="auto"/>
              </w:rPr>
            </w:pPr>
            <w:r>
              <w:rPr>
                <w:rFonts w:ascii="Courier New" w:cs="Courier New" w:eastAsia="Courier New" w:hAnsi="Courier New"/>
                <w:sz w:val="15"/>
                <w:szCs w:val="15"/>
                <w:color w:val="auto"/>
              </w:rPr>
              <w:t>38-2030505</w:t>
            </w:r>
          </w:p>
        </w:tc>
      </w:tr>
      <w:tr>
        <w:trPr>
          <w:trHeight w:val="177"/>
        </w:trPr>
        <w:tc>
          <w:tcPr>
            <w:tcW w:w="4800" w:type="dxa"/>
            <w:vAlign w:val="bottom"/>
          </w:tcPr>
          <w:p>
            <w:pPr>
              <w:jc w:val="center"/>
              <w:ind w:right="783"/>
              <w:spacing w:after="0"/>
              <w:rPr>
                <w:sz w:val="20"/>
                <w:szCs w:val="20"/>
                <w:color w:val="auto"/>
              </w:rPr>
            </w:pPr>
            <w:r>
              <w:rPr>
                <w:rFonts w:ascii="Courier New" w:cs="Courier New" w:eastAsia="Courier New" w:hAnsi="Courier New"/>
                <w:sz w:val="15"/>
                <w:szCs w:val="15"/>
                <w:color w:val="auto"/>
              </w:rPr>
              <w:t>(State or other jurisdiction of</w:t>
            </w:r>
          </w:p>
        </w:tc>
        <w:tc>
          <w:tcPr>
            <w:tcW w:w="2580" w:type="dxa"/>
            <w:vAlign w:val="bottom"/>
          </w:tcPr>
          <w:p>
            <w:pPr>
              <w:jc w:val="center"/>
              <w:ind w:left="823"/>
              <w:spacing w:after="0"/>
              <w:rPr>
                <w:sz w:val="20"/>
                <w:szCs w:val="20"/>
                <w:color w:val="auto"/>
              </w:rPr>
            </w:pPr>
            <w:r>
              <w:rPr>
                <w:rFonts w:ascii="Courier New" w:cs="Courier New" w:eastAsia="Courier New" w:hAnsi="Courier New"/>
                <w:sz w:val="15"/>
                <w:szCs w:val="15"/>
                <w:color w:val="auto"/>
              </w:rPr>
              <w:t>(I.R.S. Employer</w:t>
            </w:r>
          </w:p>
        </w:tc>
      </w:tr>
      <w:tr>
        <w:trPr>
          <w:trHeight w:val="177"/>
        </w:trPr>
        <w:tc>
          <w:tcPr>
            <w:tcW w:w="4800" w:type="dxa"/>
            <w:vAlign w:val="bottom"/>
          </w:tcPr>
          <w:p>
            <w:pPr>
              <w:jc w:val="center"/>
              <w:ind w:right="683"/>
              <w:spacing w:after="0"/>
              <w:rPr>
                <w:sz w:val="20"/>
                <w:szCs w:val="20"/>
                <w:color w:val="auto"/>
              </w:rPr>
            </w:pPr>
            <w:r>
              <w:rPr>
                <w:rFonts w:ascii="Courier New" w:cs="Courier New" w:eastAsia="Courier New" w:hAnsi="Courier New"/>
                <w:sz w:val="15"/>
                <w:szCs w:val="15"/>
                <w:color w:val="auto"/>
              </w:rPr>
              <w:t>incorporation or organization)</w:t>
            </w:r>
          </w:p>
        </w:tc>
        <w:tc>
          <w:tcPr>
            <w:tcW w:w="2580" w:type="dxa"/>
            <w:vAlign w:val="bottom"/>
          </w:tcPr>
          <w:p>
            <w:pPr>
              <w:jc w:val="center"/>
              <w:ind w:left="743"/>
              <w:spacing w:after="0"/>
              <w:rPr>
                <w:sz w:val="20"/>
                <w:szCs w:val="20"/>
                <w:color w:val="auto"/>
              </w:rPr>
            </w:pPr>
            <w:r>
              <w:rPr>
                <w:rFonts w:ascii="Courier New" w:cs="Courier New" w:eastAsia="Courier New" w:hAnsi="Courier New"/>
                <w:sz w:val="15"/>
                <w:szCs w:val="15"/>
                <w:color w:val="auto"/>
              </w:rPr>
              <w:t>Identification No.)</w:t>
            </w:r>
          </w:p>
        </w:tc>
      </w:tr>
      <w:tr>
        <w:trPr>
          <w:trHeight w:val="887"/>
        </w:trPr>
        <w:tc>
          <w:tcPr>
            <w:tcW w:w="4800" w:type="dxa"/>
            <w:vAlign w:val="bottom"/>
          </w:tcPr>
          <w:p>
            <w:pPr>
              <w:jc w:val="center"/>
              <w:ind w:right="763"/>
              <w:spacing w:after="0"/>
              <w:rPr>
                <w:sz w:val="20"/>
                <w:szCs w:val="20"/>
                <w:color w:val="auto"/>
              </w:rPr>
            </w:pPr>
            <w:r>
              <w:rPr>
                <w:rFonts w:ascii="Courier New" w:cs="Courier New" w:eastAsia="Courier New" w:hAnsi="Courier New"/>
                <w:sz w:val="15"/>
                <w:szCs w:val="15"/>
                <w:color w:val="auto"/>
              </w:rPr>
              <w:t>600 N. CENTENNIAL STREET, ZEELAND, MICHIGAN</w:t>
            </w:r>
          </w:p>
        </w:tc>
        <w:tc>
          <w:tcPr>
            <w:tcW w:w="25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49464</w:t>
            </w:r>
          </w:p>
        </w:tc>
      </w:tr>
      <w:tr>
        <w:trPr>
          <w:trHeight w:val="177"/>
        </w:trPr>
        <w:tc>
          <w:tcPr>
            <w:tcW w:w="4800" w:type="dxa"/>
            <w:vAlign w:val="bottom"/>
          </w:tcPr>
          <w:p>
            <w:pPr>
              <w:jc w:val="center"/>
              <w:ind w:right="683"/>
              <w:spacing w:after="0"/>
              <w:rPr>
                <w:sz w:val="20"/>
                <w:szCs w:val="20"/>
                <w:color w:val="auto"/>
              </w:rPr>
            </w:pPr>
            <w:r>
              <w:rPr>
                <w:rFonts w:ascii="Courier New" w:cs="Courier New" w:eastAsia="Courier New" w:hAnsi="Courier New"/>
                <w:sz w:val="15"/>
                <w:szCs w:val="15"/>
                <w:color w:val="auto"/>
              </w:rPr>
              <w:t>(Address of principal executive offices)</w:t>
            </w:r>
          </w:p>
        </w:tc>
        <w:tc>
          <w:tcPr>
            <w:tcW w:w="2580" w:type="dxa"/>
            <w:vAlign w:val="bottom"/>
          </w:tcPr>
          <w:p>
            <w:pPr>
              <w:jc w:val="center"/>
              <w:ind w:left="823"/>
              <w:spacing w:after="0"/>
              <w:rPr>
                <w:sz w:val="20"/>
                <w:szCs w:val="20"/>
                <w:color w:val="auto"/>
              </w:rPr>
            </w:pPr>
            <w:r>
              <w:rPr>
                <w:rFonts w:ascii="Courier New" w:cs="Courier New" w:eastAsia="Courier New" w:hAnsi="Courier New"/>
                <w:sz w:val="15"/>
                <w:szCs w:val="15"/>
                <w:color w:val="auto"/>
              </w:rPr>
              <w:t>(Zip Code)</w:t>
            </w:r>
          </w:p>
        </w:tc>
      </w:tr>
    </w:tbl>
    <w:p>
      <w:pPr>
        <w:spacing w:after="0" w:line="360"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(616) 772-1800</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3180" w:type="dxa"/>
            <w:vAlign w:val="bottom"/>
          </w:tcPr>
          <w:p>
            <w:pPr>
              <w:jc w:val="center"/>
              <w:ind w:left="603"/>
              <w:spacing w:after="0"/>
              <w:rPr>
                <w:sz w:val="20"/>
                <w:szCs w:val="20"/>
                <w:color w:val="auto"/>
              </w:rPr>
            </w:pPr>
            <w:r>
              <w:rPr>
                <w:rFonts w:ascii="Courier New" w:cs="Courier New" w:eastAsia="Courier New" w:hAnsi="Courier New"/>
                <w:sz w:val="15"/>
                <w:szCs w:val="15"/>
                <w:color w:val="auto"/>
              </w:rPr>
              <w:t>Name of each exchange</w:t>
            </w:r>
          </w:p>
        </w:tc>
      </w:tr>
      <w:tr>
        <w:trPr>
          <w:trHeight w:val="177"/>
        </w:trPr>
        <w:tc>
          <w:tcPr>
            <w:tcW w:w="4200" w:type="dxa"/>
            <w:vAlign w:val="bottom"/>
          </w:tcPr>
          <w:p>
            <w:pPr>
              <w:ind w:left="920"/>
              <w:spacing w:after="0"/>
              <w:rPr>
                <w:sz w:val="20"/>
                <w:szCs w:val="20"/>
                <w:color w:val="auto"/>
              </w:rPr>
            </w:pPr>
            <w:r>
              <w:rPr>
                <w:rFonts w:ascii="Courier New" w:cs="Courier New" w:eastAsia="Courier New" w:hAnsi="Courier New"/>
                <w:sz w:val="15"/>
                <w:szCs w:val="15"/>
                <w:color w:val="auto"/>
              </w:rPr>
              <w:t>Title of each Class</w:t>
            </w:r>
          </w:p>
        </w:tc>
        <w:tc>
          <w:tcPr>
            <w:tcW w:w="3180" w:type="dxa"/>
            <w:vAlign w:val="bottom"/>
          </w:tcPr>
          <w:p>
            <w:pPr>
              <w:jc w:val="center"/>
              <w:ind w:left="603"/>
              <w:spacing w:after="0"/>
              <w:rPr>
                <w:sz w:val="20"/>
                <w:szCs w:val="20"/>
                <w:color w:val="auto"/>
              </w:rPr>
            </w:pPr>
            <w:r>
              <w:rPr>
                <w:rFonts w:ascii="Courier New" w:cs="Courier New" w:eastAsia="Courier New" w:hAnsi="Courier New"/>
                <w:sz w:val="15"/>
                <w:szCs w:val="15"/>
                <w:color w:val="auto"/>
              </w:rPr>
              <w:t>on which registered</w:t>
            </w:r>
          </w:p>
        </w:tc>
      </w:tr>
      <w:tr>
        <w:trPr>
          <w:trHeight w:val="177"/>
        </w:trPr>
        <w:tc>
          <w:tcPr>
            <w:tcW w:w="420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jc w:val="center"/>
              <w:ind w:left="603"/>
              <w:spacing w:after="0"/>
              <w:rPr>
                <w:sz w:val="20"/>
                <w:szCs w:val="20"/>
                <w:color w:val="auto"/>
              </w:rPr>
            </w:pPr>
            <w:r>
              <w:rPr>
                <w:rFonts w:ascii="Courier New" w:cs="Courier New" w:eastAsia="Courier New" w:hAnsi="Courier New"/>
                <w:sz w:val="15"/>
                <w:szCs w:val="15"/>
                <w:color w:val="auto"/>
              </w:rPr>
              <w:t>---------------------</w:t>
            </w:r>
          </w:p>
        </w:tc>
      </w:tr>
      <w:tr>
        <w:trPr>
          <w:trHeight w:val="355"/>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COMMON STOCK, PAR VALUE $.06 PER SHARE</w:t>
            </w:r>
          </w:p>
        </w:tc>
        <w:tc>
          <w:tcPr>
            <w:tcW w:w="3180" w:type="dxa"/>
            <w:vAlign w:val="bottom"/>
          </w:tcPr>
          <w:p>
            <w:pPr>
              <w:jc w:val="center"/>
              <w:ind w:left="603"/>
              <w:spacing w:after="0"/>
              <w:rPr>
                <w:sz w:val="20"/>
                <w:szCs w:val="20"/>
                <w:color w:val="auto"/>
              </w:rPr>
            </w:pPr>
            <w:r>
              <w:rPr>
                <w:rFonts w:ascii="Courier New" w:cs="Courier New" w:eastAsia="Courier New" w:hAnsi="Courier New"/>
                <w:sz w:val="15"/>
                <w:szCs w:val="15"/>
                <w:color w:val="auto"/>
              </w:rPr>
              <w:t>Nasdaq Global Select Market</w:t>
            </w:r>
          </w:p>
        </w:tc>
      </w:tr>
    </w:tbl>
    <w:p>
      <w:pPr>
        <w:spacing w:after="0" w:line="360"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NONE</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(Title of Class)</w:t>
      </w:r>
    </w:p>
    <w:p>
      <w:pPr>
        <w:spacing w:after="0" w:line="185" w:lineRule="exact"/>
        <w:rPr>
          <w:sz w:val="24"/>
          <w:szCs w:val="24"/>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Indicate by check mark if the registrant is a well-known seasoned issuer, as defined in Rule 405 of the Securities Act.</w:t>
      </w:r>
    </w:p>
    <w:p>
      <w:pPr>
        <w:spacing w:after="0" w:line="174" w:lineRule="exact"/>
        <w:rPr>
          <w:sz w:val="24"/>
          <w:szCs w:val="24"/>
          <w:color w:val="auto"/>
        </w:rPr>
      </w:pPr>
    </w:p>
    <w:p>
      <w:pPr>
        <w:ind w:left="465"/>
        <w:spacing w:after="0"/>
        <w:tabs>
          <w:tab w:leader="none" w:pos="985" w:val="left"/>
          <w:tab w:leader="none" w:pos="1265" w:val="left"/>
        </w:tabs>
        <w:rPr>
          <w:sz w:val="20"/>
          <w:szCs w:val="20"/>
          <w:color w:val="auto"/>
        </w:rPr>
      </w:pPr>
      <w:r>
        <w:rPr>
          <w:rFonts w:ascii="Courier New" w:cs="Courier New" w:eastAsia="Courier New" w:hAnsi="Courier New"/>
          <w:sz w:val="15"/>
          <w:szCs w:val="15"/>
          <w:color w:val="auto"/>
        </w:rPr>
        <w:t>Yes:</w:t>
        <w:tab/>
        <w:t>X</w:t>
        <w:tab/>
        <w:t>No:</w:t>
      </w:r>
    </w:p>
    <w:p>
      <w:pPr>
        <w:spacing w:after="0" w:line="8" w:lineRule="exact"/>
        <w:rPr>
          <w:sz w:val="24"/>
          <w:szCs w:val="24"/>
          <w:color w:val="auto"/>
        </w:rPr>
      </w:pPr>
    </w:p>
    <w:p>
      <w:pPr>
        <w:ind w:left="925"/>
        <w:spacing w:after="0"/>
        <w:tabs>
          <w:tab w:leader="none" w:pos="16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4"/>
          <w:szCs w:val="24"/>
          <w:color w:val="auto"/>
        </w:rPr>
      </w:pPr>
    </w:p>
    <w:p>
      <w:pPr>
        <w:ind w:left="5" w:right="3579"/>
        <w:spacing w:after="0" w:line="253" w:lineRule="auto"/>
        <w:rPr>
          <w:sz w:val="20"/>
          <w:szCs w:val="20"/>
          <w:color w:val="auto"/>
        </w:rPr>
      </w:pPr>
      <w:r>
        <w:rPr>
          <w:rFonts w:ascii="Courier New" w:cs="Courier New" w:eastAsia="Courier New" w:hAnsi="Courier New"/>
          <w:sz w:val="15"/>
          <w:szCs w:val="15"/>
          <w:color w:val="auto"/>
        </w:rPr>
        <w:t>Indicate by check mark if the registrant is not required to file reports pursuant to Section 13 or Section 15(d) of the Act.</w:t>
      </w:r>
    </w:p>
    <w:p>
      <w:pPr>
        <w:spacing w:after="0" w:line="174" w:lineRule="exact"/>
        <w:rPr>
          <w:sz w:val="24"/>
          <w:szCs w:val="24"/>
          <w:color w:val="auto"/>
        </w:rPr>
      </w:pPr>
    </w:p>
    <w:p>
      <w:pPr>
        <w:ind w:left="465"/>
        <w:spacing w:after="0"/>
        <w:tabs>
          <w:tab w:leader="none" w:pos="1265" w:val="left"/>
          <w:tab w:leader="none" w:pos="1725"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No:</w:t>
        <w:tab/>
        <w:t>X</w:t>
      </w:r>
    </w:p>
    <w:p>
      <w:pPr>
        <w:spacing w:after="0" w:line="8" w:lineRule="exact"/>
        <w:rPr>
          <w:sz w:val="24"/>
          <w:szCs w:val="24"/>
          <w:color w:val="auto"/>
        </w:rPr>
      </w:pPr>
    </w:p>
    <w:p>
      <w:pPr>
        <w:ind w:left="925"/>
        <w:spacing w:after="0"/>
        <w:tabs>
          <w:tab w:leader="none" w:pos="16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4"/>
          <w:szCs w:val="24"/>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ind w:left="465"/>
        <w:spacing w:after="0"/>
        <w:tabs>
          <w:tab w:leader="none" w:pos="985" w:val="left"/>
          <w:tab w:leader="none" w:pos="1265" w:val="left"/>
        </w:tabs>
        <w:rPr>
          <w:sz w:val="20"/>
          <w:szCs w:val="20"/>
          <w:color w:val="auto"/>
        </w:rPr>
      </w:pPr>
      <w:r>
        <w:rPr>
          <w:rFonts w:ascii="Courier New" w:cs="Courier New" w:eastAsia="Courier New" w:hAnsi="Courier New"/>
          <w:sz w:val="15"/>
          <w:szCs w:val="15"/>
          <w:color w:val="auto"/>
        </w:rPr>
        <w:t>Yes:</w:t>
        <w:tab/>
        <w:t>X</w:t>
        <w:tab/>
        <w:t>No:</w:t>
      </w:r>
    </w:p>
    <w:p>
      <w:pPr>
        <w:spacing w:after="0" w:line="8" w:lineRule="exact"/>
        <w:rPr>
          <w:sz w:val="24"/>
          <w:szCs w:val="24"/>
          <w:color w:val="auto"/>
        </w:rPr>
      </w:pPr>
    </w:p>
    <w:p>
      <w:pPr>
        <w:ind w:left="925"/>
        <w:spacing w:after="0"/>
        <w:tabs>
          <w:tab w:leader="none" w:pos="16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4"/>
          <w:szCs w:val="24"/>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76" w:lineRule="exact"/>
        <w:rPr>
          <w:sz w:val="24"/>
          <w:szCs w:val="24"/>
          <w:color w:val="auto"/>
        </w:rPr>
      </w:pPr>
    </w:p>
    <w:p>
      <w:pPr>
        <w:jc w:val="both"/>
        <w:ind w:left="5" w:right="3019"/>
        <w:spacing w:after="0" w:line="252" w:lineRule="auto"/>
        <w:rPr>
          <w:sz w:val="20"/>
          <w:szCs w:val="20"/>
          <w:color w:val="auto"/>
        </w:rPr>
      </w:pPr>
      <w:r>
        <w:rPr>
          <w:rFonts w:ascii="Courier New" w:cs="Courier New" w:eastAsia="Courier New" w:hAnsi="Courier New"/>
          <w:sz w:val="15"/>
          <w:szCs w:val="15"/>
          <w:color w:val="auto"/>
        </w:rPr>
        <w:t>Indicate by check mark whether the registrant is a large accelerated filer, an accelerated filer, or a non-accelerated filer. See definition of "accelerated filer" in Rule 12b-2 of the Exchange Act. (Check One):</w:t>
      </w:r>
    </w:p>
    <w:p>
      <w:pPr>
        <w:spacing w:after="0" w:line="175" w:lineRule="exact"/>
        <w:rPr>
          <w:sz w:val="24"/>
          <w:szCs w:val="24"/>
          <w:color w:val="auto"/>
        </w:rPr>
      </w:pPr>
    </w:p>
    <w:p>
      <w:pPr>
        <w:ind w:left="925"/>
        <w:spacing w:after="0"/>
        <w:tabs>
          <w:tab w:leader="none" w:pos="3665" w:val="left"/>
          <w:tab w:leader="none" w:pos="3945" w:val="left"/>
        </w:tabs>
        <w:rPr>
          <w:sz w:val="20"/>
          <w:szCs w:val="20"/>
          <w:color w:val="auto"/>
        </w:rPr>
      </w:pPr>
      <w:r>
        <w:rPr>
          <w:rFonts w:ascii="Courier New" w:cs="Courier New" w:eastAsia="Courier New" w:hAnsi="Courier New"/>
          <w:sz w:val="15"/>
          <w:szCs w:val="15"/>
          <w:color w:val="auto"/>
        </w:rPr>
        <w:t>Large Accelerated Filer Yes:</w:t>
        <w:tab/>
        <w:t>X</w:t>
        <w:tab/>
        <w:t>Accelerated Filer Yes:</w:t>
      </w:r>
    </w:p>
    <w:p>
      <w:pPr>
        <w:spacing w:after="0" w:line="8" w:lineRule="exact"/>
        <w:rPr>
          <w:sz w:val="24"/>
          <w:szCs w:val="24"/>
          <w:color w:val="auto"/>
        </w:rPr>
      </w:pPr>
    </w:p>
    <w:p>
      <w:pPr>
        <w:ind w:left="3605"/>
        <w:spacing w:after="0"/>
        <w:tabs>
          <w:tab w:leader="none" w:pos="606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4"/>
          <w:szCs w:val="24"/>
          <w:color w:val="auto"/>
        </w:rPr>
      </w:pPr>
    </w:p>
    <w:p>
      <w:pPr>
        <w:ind w:left="2305"/>
        <w:spacing w:after="0"/>
        <w:rPr>
          <w:sz w:val="20"/>
          <w:szCs w:val="20"/>
          <w:color w:val="auto"/>
        </w:rPr>
      </w:pPr>
      <w:r>
        <w:rPr>
          <w:rFonts w:ascii="Courier New" w:cs="Courier New" w:eastAsia="Courier New" w:hAnsi="Courier New"/>
          <w:sz w:val="15"/>
          <w:szCs w:val="15"/>
          <w:color w:val="auto"/>
        </w:rPr>
        <w:t>Non-Accelerated Filer Yes:</w:t>
      </w:r>
    </w:p>
    <w:p>
      <w:pPr>
        <w:spacing w:after="0" w:line="8" w:lineRule="exact"/>
        <w:rPr>
          <w:sz w:val="24"/>
          <w:szCs w:val="24"/>
          <w:color w:val="auto"/>
        </w:rPr>
      </w:pPr>
    </w:p>
    <w:p>
      <w:pPr>
        <w:jc w:val="center"/>
        <w:ind w:right="354"/>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5" w:right="2939"/>
        <w:spacing w:after="0" w:line="253" w:lineRule="auto"/>
        <w:rPr>
          <w:sz w:val="20"/>
          <w:szCs w:val="20"/>
          <w:color w:val="auto"/>
        </w:rPr>
      </w:pPr>
      <w:r>
        <w:rPr>
          <w:rFonts w:ascii="Courier New" w:cs="Courier New" w:eastAsia="Courier New" w:hAnsi="Courier New"/>
          <w:sz w:val="15"/>
          <w:szCs w:val="15"/>
          <w:color w:val="auto"/>
        </w:rPr>
        <w:t>Indicate by check mark whether the registrant is a shell company as (defined in Rule 12b-2).</w:t>
      </w:r>
    </w:p>
    <w:p>
      <w:pPr>
        <w:sectPr>
          <w:pgSz w:w="11900" w:h="16838" w:orient="portrait"/>
          <w:cols w:equalWidth="0" w:num="1">
            <w:col w:w="10225"/>
          </w:cols>
          <w:pgMar w:left="235" w:top="591" w:right="1440" w:bottom="0" w:gutter="0" w:footer="0" w:header="0"/>
        </w:sectPr>
      </w:pPr>
    </w:p>
    <w:bookmarkStart w:id="1" w:name="page2"/>
    <w:bookmarkEnd w:id="1"/>
    <w:p>
      <w:pPr>
        <w:ind w:left="460"/>
        <w:spacing w:after="0"/>
        <w:tabs>
          <w:tab w:leader="none" w:pos="1260" w:val="left"/>
          <w:tab w:leader="none" w:pos="172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No:</w:t>
        <w:tab/>
        <w:t>X</w:t>
      </w:r>
    </w:p>
    <w:p>
      <w:pPr>
        <w:spacing w:after="0" w:line="8" w:lineRule="exact"/>
        <w:rPr>
          <w:sz w:val="20"/>
          <w:szCs w:val="20"/>
          <w:color w:val="auto"/>
        </w:rPr>
      </w:pPr>
    </w:p>
    <w:p>
      <w:pPr>
        <w:ind w:left="920"/>
        <w:spacing w:after="0"/>
        <w:tabs>
          <w:tab w:leader="none" w:pos="1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As of June 30, 2006 (the last business day of the registrant's most recently completed second fiscal quarter), 140,124,796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$1,961,747,144 computed at the closing price on that date.</w:t>
      </w:r>
    </w:p>
    <w:p>
      <w:pPr>
        <w:spacing w:after="0" w:line="176"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As of February 12, 2007, 142,910,536 shares of the registrant's common stock, par value $.06 per share, were outstanding.</w:t>
      </w:r>
    </w:p>
    <w:p>
      <w:pPr>
        <w:spacing w:after="0" w:line="174" w:lineRule="exact"/>
        <w:rPr>
          <w:sz w:val="20"/>
          <w:szCs w:val="20"/>
          <w:color w:val="auto"/>
        </w:rPr>
      </w:pPr>
    </w:p>
    <w:p>
      <w:pPr>
        <w:ind w:right="3579"/>
        <w:spacing w:after="0" w:line="253" w:lineRule="auto"/>
        <w:rPr>
          <w:sz w:val="20"/>
          <w:szCs w:val="20"/>
          <w:color w:val="auto"/>
        </w:rPr>
      </w:pPr>
      <w:r>
        <w:rPr>
          <w:rFonts w:ascii="Courier New" w:cs="Courier New" w:eastAsia="Courier New" w:hAnsi="Courier New"/>
          <w:sz w:val="15"/>
          <w:szCs w:val="15"/>
          <w:color w:val="auto"/>
        </w:rPr>
        <w:t>Portions of the Company's Proxy Statement for its 2007 Annual Meeting of Shareholders are incorporated by reference into Part III.</w:t>
      </w:r>
    </w:p>
    <w:p>
      <w:pPr>
        <w:spacing w:after="0" w:line="174"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Exhibit Index located at Page 46</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319" w:right="1440" w:bottom="1440" w:gutter="0" w:footer="0" w:header="0"/>
        </w:sectPr>
      </w:pPr>
    </w:p>
    <w:bookmarkStart w:id="2" w:name="page3"/>
    <w:bookmarkEnd w:id="2"/>
    <w:p>
      <w:pPr>
        <w:ind w:left="3400"/>
        <w:spacing w:after="0"/>
        <w:rPr>
          <w:sz w:val="20"/>
          <w:szCs w:val="20"/>
          <w:color w:val="auto"/>
        </w:rPr>
      </w:pPr>
      <w:r>
        <w:rPr>
          <w:rFonts w:ascii="Courier New" w:cs="Courier New" w:eastAsia="Courier New" w:hAnsi="Courier New"/>
          <w:sz w:val="15"/>
          <w:szCs w:val="15"/>
          <w:color w:val="auto"/>
        </w:rPr>
        <w:t>PART I</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GENERAL DEVELOPMENT OF BUSINESS</w:t>
      </w:r>
    </w:p>
    <w:p>
      <w:pPr>
        <w:spacing w:after="0" w:line="185" w:lineRule="exact"/>
        <w:rPr>
          <w:sz w:val="20"/>
          <w:szCs w:val="20"/>
          <w:color w:val="auto"/>
        </w:rPr>
      </w:pPr>
    </w:p>
    <w:p>
      <w:pPr>
        <w:ind w:right="3299" w:firstLine="461"/>
        <w:spacing w:after="0" w:line="252" w:lineRule="auto"/>
        <w:rPr>
          <w:sz w:val="20"/>
          <w:szCs w:val="20"/>
          <w:color w:val="auto"/>
        </w:rPr>
      </w:pPr>
      <w:r>
        <w:rPr>
          <w:rFonts w:ascii="Courier New" w:cs="Courier New" w:eastAsia="Courier New" w:hAnsi="Courier New"/>
          <w:sz w:val="15"/>
          <w:szCs w:val="15"/>
          <w:color w:val="auto"/>
        </w:rPr>
        <w:t>Gentex Corporation (the "Company") designs, develops, manufactures and markets proprietary products employing electro-optic technology: automatic-dimming rearview automotive mirrors and fire protection products.</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was organized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electrochromic (auto-dimming) mirror, providing the first successful commercial application of electrochromic (EC) technology in the automotive industry and world. Through the use of electrochromic technology, this mirror is continually variable and automatically darkens to the degree required to eliminate rearview headlight glare. In 1991, the Company introduced its exterior electrochromic sub-assembly, which works as a complete glare-control system with the interior auto-dimming mirror. In 1997, the Company began making volume shipments of three new exterior mirror sub-assembly products: thin glass flat, convex and aspheric.</w:t>
      </w:r>
    </w:p>
    <w:p>
      <w:pPr>
        <w:spacing w:after="0" w:line="18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During 2004 and 2005, the Company began shipping auto-dimming mirrors with SmartBeam(R), its proprietary intelligent high-beam headlamp control feature, for the Cadillac STS, Jeep Grand Cherokee, Cadillac DTS, Jeep Commander and BMW 5, 6 and 7 Series models. Also during December 2005, the Company reached an agreement with PPG Aerospace to work together to provide the variably dimmable windows for the passenger compartment on the new Boeing 787 Dreamliner series of aircraft.</w:t>
      </w:r>
    </w:p>
    <w:p>
      <w:pPr>
        <w:spacing w:after="0" w:line="35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During 2006, the Company began shipping auto-dimming mirrors with SmartBeam for the BMW 3 Series, Cadillac Escalade and the Chrysler 300C. Also during 2006, the Company announced development programs with several automakers for its Rear Camera Display Mirror that shows a panoramic video view of objects behind the vehicle in real time. In addition, the Company has developed its own unique compass technology called Z-Nav(R), which can be sold as a system with the compass heading displayed in the interior auto-dimming mirror.</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Company's annual report on Form 10-K, quarterly reports on Form 10-Q, current reports on Form 8-K, and all amendments to those reports, will be made available free of charge through the Investor Information section of the Company's Internet website (http://www.gentex.com) as soon as practicable after such material is electronically filed with or furnished to the Securities and Exchange Commission.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FINANCIAL INFORMATION ABOUT INDUSTRY SEGMENTS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See Note 9 to the Consolidated Financial Statements filed with this report.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NARRATIVE DESCRIPTION OF BUSINESS</w:t>
      </w:r>
    </w:p>
    <w:p>
      <w:pPr>
        <w:spacing w:after="0" w:line="185" w:lineRule="exact"/>
        <w:rPr>
          <w:sz w:val="20"/>
          <w:szCs w:val="20"/>
          <w:color w:val="auto"/>
        </w:rPr>
      </w:pPr>
    </w:p>
    <w:p>
      <w:pPr>
        <w:ind w:right="3479" w:firstLine="461"/>
        <w:spacing w:after="0" w:line="252" w:lineRule="auto"/>
        <w:rPr>
          <w:sz w:val="20"/>
          <w:szCs w:val="20"/>
          <w:color w:val="auto"/>
        </w:rPr>
      </w:pPr>
      <w:r>
        <w:rPr>
          <w:rFonts w:ascii="Courier New" w:cs="Courier New" w:eastAsia="Courier New" w:hAnsi="Courier New"/>
          <w:sz w:val="15"/>
          <w:szCs w:val="15"/>
          <w:color w:val="auto"/>
        </w:rPr>
        <w:t>The Company currently manufactures electro-optic products, including automatic-dimming rearview mirrors for the automotive industry and fire protection products primarily for the commercial building industry.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AUTOMATIC-DIMMING REARVIEW MIRRORS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Interior Auto-Dimming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 headlights. The auto-dimming mirror offers all of the continuous reflectance levels between its approximate 85%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with special conductive coatings that are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36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3" w:name="page4"/>
    <w:bookmarkEnd w:id="3"/>
    <w:p>
      <w:pPr>
        <w:ind w:right="2839" w:firstLine="461"/>
        <w:spacing w:after="0" w:line="250" w:lineRule="auto"/>
        <w:rPr>
          <w:sz w:val="20"/>
          <w:szCs w:val="20"/>
          <w:color w:val="auto"/>
        </w:rPr>
      </w:pPr>
      <w:r>
        <w:rPr>
          <w:rFonts w:ascii="Courier New" w:cs="Courier New" w:eastAsia="Courier New" w:hAnsi="Courier New"/>
          <w:sz w:val="15"/>
          <w:szCs w:val="15"/>
          <w:color w:val="auto"/>
        </w:rPr>
        <w:t>During 1991, the Company began shipping the first advanced-feature interior auto-dimming mirror, the auto-dimming headlamp control mirror, an automatic-dimming mirror that automatically turns car head- and taillamps "on" and "off" at dusk and dawn in response to the level of light observed. During 1993, the Company began shipping an auto-dimming compass mirror, with an electronic compass that automatically compensates for changes in the earth's magnetic field. During 1997, the Company began shipping a new interior auto-dimming mirror that digitally displays either a compass or outside temperature reading. During 1998, the Company began shipping new compass mirrors with light-emitting diode (LED) map lamps, a major improvement over mirrors with standard incandescent map lamps, including extremely long life, low heat generation, lower current draw, more resistance to shock, and lower total cost of ownership. In 2000, the Company began shipping to General Motors interior auto-dimming mirrors that serve as the driver interface for the OnStar(R) System, an in-vehicle safety, security and information service using Global Positioning System (GPS) satellite technology. OnStar is a registered trademark of OnStar Corporation.</w:t>
      </w:r>
    </w:p>
    <w:p>
      <w:pPr>
        <w:spacing w:after="0" w:line="362"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During 2001 and 2002, the Company began making shipments of its auto-dimming mirrors for a number of mid-sized, medium-priced vehicles, including the Toyota Camry, Matrix and Corolla; Ford Taurus and Mercury Sable; Volkswagen Passat, Jetta, Golf GTI and Beetle; Nissan Altima; Opel cross car line; Chrysler Sebring Coupe; Hyundai Santa Fe and Sonata; and Kia Optima and Sorento.</w:t>
      </w:r>
    </w:p>
    <w:p>
      <w:pPr>
        <w:spacing w:after="0" w:line="176" w:lineRule="exact"/>
        <w:rPr>
          <w:sz w:val="20"/>
          <w:szCs w:val="20"/>
          <w:color w:val="auto"/>
        </w:rPr>
      </w:pPr>
    </w:p>
    <w:p>
      <w:pPr>
        <w:jc w:val="both"/>
        <w:ind w:right="2839" w:firstLine="461"/>
        <w:spacing w:after="0" w:line="252" w:lineRule="auto"/>
        <w:rPr>
          <w:sz w:val="20"/>
          <w:szCs w:val="20"/>
          <w:color w:val="auto"/>
        </w:rPr>
      </w:pPr>
      <w:r>
        <w:rPr>
          <w:rFonts w:ascii="Courier New" w:cs="Courier New" w:eastAsia="Courier New" w:hAnsi="Courier New"/>
          <w:sz w:val="15"/>
          <w:szCs w:val="15"/>
          <w:color w:val="auto"/>
        </w:rPr>
        <w:t>During 2003, the Company began making shipments of its auto-dimming mirrors to two new automotive OEM customers, Honda and Volvo, and began volume shipments of its microphone as part of DaimlerChrysler's "U-Connect(R)" telematics system.</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During 2004 and 2005, the Company began shipping auto-dimming mirrors with SmartBeam, its proprietary intelligent high-beam headlamp control feature, for the Cadillac STS, Jeep Grand Cherokee, Cadillac DTS, the Jeep Commander, and BMW 5, 6 and 7 Series models. Also during 2005, the Company began making shipments of its auto-dimming mirror to a new automotive OEM customer, PSA/Citroen and PSA/Peugeot. During 2006, the Company began shipping auto-dimming mirrors with SmartBeam for the BMW 3 Series, Cadillac Escalade and the Chrysler 300C.</w:t>
      </w:r>
    </w:p>
    <w:p>
      <w:pPr>
        <w:spacing w:after="0" w:line="176" w:lineRule="exact"/>
        <w:rPr>
          <w:sz w:val="20"/>
          <w:szCs w:val="20"/>
          <w:color w:val="auto"/>
        </w:rPr>
      </w:pPr>
    </w:p>
    <w:p>
      <w:pPr>
        <w:ind w:right="3019" w:firstLine="461"/>
        <w:spacing w:after="0" w:line="253" w:lineRule="auto"/>
        <w:rPr>
          <w:sz w:val="20"/>
          <w:szCs w:val="20"/>
          <w:color w:val="auto"/>
        </w:rPr>
      </w:pPr>
      <w:r>
        <w:rPr>
          <w:rFonts w:ascii="Courier New" w:cs="Courier New" w:eastAsia="Courier New" w:hAnsi="Courier New"/>
          <w:sz w:val="15"/>
          <w:szCs w:val="15"/>
          <w:color w:val="auto"/>
        </w:rPr>
        <w:t>The Company shipped approximately 8,363,000 interior auto-dimming mirrors in 2004, approximately 8,924,000 in 2005, and 9,426,000 in 2006.</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4" w:name="page5"/>
    <w:bookmarkEnd w:id="4"/>
    <w:p>
      <w:pPr>
        <w:ind w:right="3019" w:firstLine="461"/>
        <w:spacing w:after="0" w:line="252" w:lineRule="auto"/>
        <w:rPr>
          <w:sz w:val="20"/>
          <w:szCs w:val="20"/>
          <w:color w:val="auto"/>
        </w:rPr>
      </w:pPr>
      <w:r>
        <w:rPr>
          <w:rFonts w:ascii="Courier New" w:cs="Courier New" w:eastAsia="Courier New" w:hAnsi="Courier New"/>
          <w:sz w:val="15"/>
          <w:szCs w:val="15"/>
          <w:color w:val="auto"/>
        </w:rPr>
        <w:t>During 2006, the growth in interior total mirror unit shipments increased primarily due to increased shipments to Europe and Asian customers. The Company's interior auto-dimming mirrors are standard equipment or factory-installed options on certain trim levels of the following 2007 vehicle models:</w:t>
      </w:r>
    </w:p>
    <w:p>
      <w:pPr>
        <w:spacing w:after="0" w:line="351" w:lineRule="exact"/>
        <w:rPr>
          <w:sz w:val="20"/>
          <w:szCs w:val="20"/>
          <w:color w:val="auto"/>
        </w:rPr>
      </w:pPr>
    </w:p>
    <w:p>
      <w:pPr>
        <w:ind w:right="3479"/>
        <w:spacing w:after="0" w:line="253" w:lineRule="auto"/>
        <w:rPr>
          <w:sz w:val="20"/>
          <w:szCs w:val="20"/>
          <w:color w:val="auto"/>
        </w:rPr>
      </w:pPr>
      <w:r>
        <w:rPr>
          <w:rFonts w:ascii="Courier New" w:cs="Courier New" w:eastAsia="Courier New" w:hAnsi="Courier New"/>
          <w:sz w:val="15"/>
          <w:szCs w:val="15"/>
          <w:color w:val="auto"/>
        </w:rPr>
        <w:t>TABLE 1. INTERIOR AUTO-DIMMING MIRROR AVAILABILITY BY VEHICLE LINE (NORTH AMERICAN MANUFACTURERS)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DTS</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DaimlerChrysler</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300</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STS</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/Chrysler</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Aspen</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CTS</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Pacifica</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Escalade</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PT Cruiser</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SRX</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Sebring</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GM/Buick</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LaCrosse</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Town &amp; Country</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Lucerne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DaimlerChrysler</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Caliber</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Rainier</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/Dodge</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Caravan</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GM/Hummer</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H2</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Charger</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H3</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Dakota</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GM/Pontiac</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G6</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Durango</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Torrent</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Magnum</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GM/Chevrolet</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Avalanche</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Nitro</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Express</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Ram Pickup</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Equinox</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DaimlerChrysler</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Commander</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HHR</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/Jeep</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Compass</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Impala</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Grand Cherokee</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Malibu</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Liberty</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Monte Carlo</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DaimlerChrysler</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GL Class</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Silverado</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/Mercedes-Benz</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M Class</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Suburban</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R Class</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Tahoe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BMW</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X5</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Trailblazer</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Honda/Acura</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MDX</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GM/GMC</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Acadia</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Hyundai</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Santa Fe</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Envoy</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Sonata</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Savana</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Mazda</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6</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Sierra</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Mitsubishi</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Galant</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Yukon</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Raider</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GM/Saturn</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Aura</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Nissan</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Altima</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ION</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Armada</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Outlook</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Frontier</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Vue</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Maxima</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Ford</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Crown Victoria</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Pathfinder</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Edge</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Quest</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Expedition</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Titan</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Five Hundred</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Nissan/Infiniti</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QX56</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Freestar</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Toyota</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Avalon</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Freestyle</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Camry</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Fusion</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Camry Solara</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F Series</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Sequoia</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Mustang</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Sienna</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Ford/Lincoln</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MKX</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Tacoma</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MKZ</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Tundra</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Mark LT</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Toyota/Lexus</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RX330</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Navigator</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Volkswagen</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Beetle</w:t>
            </w: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Town Car</w:t>
            </w:r>
          </w:p>
        </w:tc>
        <w:tc>
          <w:tcPr>
            <w:tcW w:w="1660" w:type="dxa"/>
            <w:vAlign w:val="bottom"/>
          </w:tcPr>
          <w:p>
            <w:pPr>
              <w:spacing w:after="0"/>
              <w:rPr>
                <w:sz w:val="15"/>
                <w:szCs w:val="15"/>
                <w:color w:val="auto"/>
              </w:rPr>
            </w:pP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Jetta</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Ford/Mercury</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Grand Marquis</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Milan</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Montego</w:t>
            </w: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710"/>
        </w:trPr>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tcPr>
          <w:p>
            <w:pPr>
              <w:ind w:left="800"/>
              <w:spacing w:after="0"/>
              <w:rPr>
                <w:sz w:val="20"/>
                <w:szCs w:val="20"/>
                <w:color w:val="auto"/>
              </w:rPr>
            </w:pPr>
            <w:r>
              <w:rPr>
                <w:rFonts w:ascii="Courier New" w:cs="Courier New" w:eastAsia="Courier New" w:hAnsi="Courier New"/>
                <w:sz w:val="15"/>
                <w:szCs w:val="15"/>
                <w:color w:val="auto"/>
              </w:rPr>
              <w:t>-4-</w:t>
            </w:r>
          </w:p>
        </w:tc>
        <w:tc>
          <w:tcPr>
            <w:tcW w:w="144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5" w:name="page6"/>
    <w:bookmarkEnd w:id="5"/>
    <w:p>
      <w:pPr>
        <w:ind w:right="3019"/>
        <w:spacing w:after="0" w:line="253" w:lineRule="auto"/>
        <w:rPr>
          <w:sz w:val="20"/>
          <w:szCs w:val="20"/>
          <w:color w:val="auto"/>
        </w:rPr>
      </w:pPr>
      <w:r>
        <w:rPr>
          <w:rFonts w:ascii="Courier New" w:cs="Courier New" w:eastAsia="Courier New" w:hAnsi="Courier New"/>
          <w:sz w:val="15"/>
          <w:szCs w:val="15"/>
          <w:color w:val="auto"/>
        </w:rPr>
        <w:t>TABLE 1. INTERIOR AUTO-DIMMING MIRROR AVAILABILITY BY VEHICLE LINE - CONTINUED (MANUFACTURERS OUTSIDE OF NORTH AMERICA)</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rPr>
              <w:t>Bentley</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Arnage</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Hyundai/Kia Motors</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Amanti</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Volkswagen Audi</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A3</w:t>
            </w: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Continental</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Carnival</w:t>
            </w:r>
          </w:p>
        </w:tc>
        <w:tc>
          <w:tcPr>
            <w:tcW w:w="17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A4</w:t>
            </w: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GTC</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Carens</w:t>
            </w:r>
          </w:p>
        </w:tc>
        <w:tc>
          <w:tcPr>
            <w:tcW w:w="17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A6</w:t>
            </w: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BMW</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7 Series</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C'eed</w:t>
            </w:r>
          </w:p>
        </w:tc>
        <w:tc>
          <w:tcPr>
            <w:tcW w:w="17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A8</w:t>
            </w: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6 Series</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Cerato</w:t>
            </w:r>
          </w:p>
        </w:tc>
        <w:tc>
          <w:tcPr>
            <w:tcW w:w="17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Cabrio</w:t>
            </w: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5 Series</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Lotze</w:t>
            </w:r>
          </w:p>
        </w:tc>
        <w:tc>
          <w:tcPr>
            <w:tcW w:w="17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Q6</w:t>
            </w: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3 Series</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Opirus</w:t>
            </w:r>
          </w:p>
        </w:tc>
        <w:tc>
          <w:tcPr>
            <w:tcW w:w="17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TT</w:t>
            </w: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X3</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Optima</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Volkswagen/SEAT</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Altea</w:t>
            </w: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Daewoo/Ssangyong</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Actyon</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Sedona</w:t>
            </w:r>
          </w:p>
        </w:tc>
        <w:tc>
          <w:tcPr>
            <w:tcW w:w="17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w w:val="98"/>
              </w:rPr>
              <w:t>Cordoba</w:t>
            </w: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Chairman</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Sorento</w:t>
            </w:r>
          </w:p>
        </w:tc>
        <w:tc>
          <w:tcPr>
            <w:tcW w:w="17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Ibeza</w:t>
            </w: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Kyron</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Spectra</w:t>
            </w:r>
          </w:p>
        </w:tc>
        <w:tc>
          <w:tcPr>
            <w:tcW w:w="17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Leon</w:t>
            </w: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Rexton</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Sportage</w:t>
            </w:r>
          </w:p>
        </w:tc>
        <w:tc>
          <w:tcPr>
            <w:tcW w:w="17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Toledo</w:t>
            </w: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Rodius</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Maserati</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Quattroporte</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Volkswagen/Skoda</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w w:val="98"/>
              </w:rPr>
              <w:t>Octavia</w:t>
            </w: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DaimlerChrysler</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300</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Mazda</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RX-8</w:t>
            </w:r>
          </w:p>
        </w:tc>
        <w:tc>
          <w:tcPr>
            <w:tcW w:w="176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Superb</w:t>
            </w: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/Chrysler</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Voyager</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DaimlerChrysler</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 Class</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DaimlerChrysler</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Commander</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/Mercedes-Benz</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CL Class</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/Jeep</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Grand Cherokee</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CLK</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Fiat</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Idea</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CLS</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Fiat/Alfa Romero</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147</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E Class</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156</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G Wagen</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166</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 Class</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Fiat/Lancia</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Lybra</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SL Class</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Thesis</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SLK</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Ford</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Falcon</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Viano</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Focus</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Mitsubishi</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380</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Galaxy</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Magna</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Mondeo</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Pajero</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Territory</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Nissan</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350Z</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Ford/Jaguar</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S-Type</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Cedric</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XK</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Cima</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XJ</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Frontier</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Ford/Land Rover</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LR3</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Murano</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Range Rover</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Navara</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Ford/Volvo</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C70</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Pathfinder</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S40</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Nissan/Infiniti</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FX35/FX45</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V50</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G35</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PSA/Citroen</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M45</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C6</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Q45</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GM/Buick</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Regal</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PSA/Peugeot</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207</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GM/Opel</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Astra</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407</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Corsa</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Porsche</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Cayenne</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Meriva</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Suzuki</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XL-7</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Signum</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Toyota/Lexus</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ES330</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Tigra</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GX470</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Vectra</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RX330</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Zafira</w:t>
            </w: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Toyota</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Avensis</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GM/Saab</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9-7X</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Blade</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Honda/Acura</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TSX</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Camry</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Honda</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Accord</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Corolla</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Inspire</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Verso</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Hongqi</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Benteng</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Highlander</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Hyundai</w:t>
            </w: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Avante</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Mark X</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Azera</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Prius</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Volkswagen</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RAV4</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Bora</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4-Runner</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Elantra</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EOS</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Equus</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Golf</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Grandeur</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Jetta</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Sonata</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Passat</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Santa Fe</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Phaeton</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Starex</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Polo</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Tuscani</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Sharan</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Trajet</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Touareg</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5"/>
                <w:szCs w:val="15"/>
                <w:color w:val="auto"/>
              </w:rPr>
              <w:t>Tucson</w:t>
            </w: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Touran</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Transporter</w:t>
            </w:r>
          </w:p>
        </w:tc>
        <w:tc>
          <w:tcPr>
            <w:tcW w:w="1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710"/>
        </w:trPr>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40" w:type="dxa"/>
            <w:vAlign w:val="bottom"/>
          </w:tcPr>
          <w:p>
            <w:pPr>
              <w:ind w:left="420"/>
              <w:spacing w:after="0"/>
              <w:rPr>
                <w:sz w:val="20"/>
                <w:szCs w:val="20"/>
                <w:color w:val="auto"/>
              </w:rPr>
            </w:pPr>
            <w:r>
              <w:rPr>
                <w:rFonts w:ascii="Courier New" w:cs="Courier New" w:eastAsia="Courier New" w:hAnsi="Courier New"/>
                <w:sz w:val="15"/>
                <w:szCs w:val="15"/>
                <w:color w:val="auto"/>
              </w:rPr>
              <w:t>-5-</w:t>
            </w: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6" w:name="page7"/>
    <w:bookmarkEnd w:id="6"/>
    <w:p>
      <w:pPr>
        <w:ind w:right="2839"/>
        <w:spacing w:after="0" w:line="250" w:lineRule="auto"/>
        <w:rPr>
          <w:sz w:val="20"/>
          <w:szCs w:val="20"/>
          <w:color w:val="auto"/>
        </w:rPr>
      </w:pPr>
      <w:r>
        <w:rPr>
          <w:rFonts w:ascii="Courier New" w:cs="Courier New" w:eastAsia="Courier New" w:hAnsi="Courier New"/>
          <w:sz w:val="15"/>
          <w:szCs w:val="15"/>
          <w:color w:val="auto"/>
        </w:rPr>
        <w:t>Exterior Auto-Dimming Mirror Sub-Assemblies. The Company has devoted substantial research and development efforts to the development of its electrochromic technology to permit its use in exterior rearview mirrors. Exterior auto-dimming mirrors are controlled by the sensors and electronic circuitry in the interior auto-dimming mirror, and both the interior and exterior mirrors dim simultaneously. During 1991, the Company's efforts culminated in a design that is intended to provide acceptable long-term performance in all automotive environments likely to be encountered. In 1994, the Company began shipments of its complete three-mirror system, including the convex (curved glass) wide-angle auto-dimming mirror to BMW. During 1997, the Company began making volume shipments of additional new exterior mirror products - thin glass flat and aspheric. During 2001 and 2002, the Company began making shipments of the world's first exterior automatic-dimming mirrors with built-in turn-signal indicators to Southeast Toyota and General Motors. The Company currently sells its exterior auto-dimming mirror sub-assemblies to exterior mirror suppliers of the automakers who assemble the exterior auto-dimming mirror sub-assemblies into full mirror units for subsequent resale to the automakers.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shipped approximately 3,277,000 exterior auto-dimming mirror sub-assemblies during 2004, approximately 3,646,000 in 2005, and approximately 4,001,000 in 2006. During 2006, unit shipment growth primarily resulted from the increased penetration of light vehicles in Europe.</w:t>
      </w:r>
    </w:p>
    <w:p>
      <w:pPr>
        <w:spacing w:after="0" w:line="176" w:lineRule="exact"/>
        <w:rPr>
          <w:sz w:val="20"/>
          <w:szCs w:val="20"/>
          <w:color w:val="auto"/>
        </w:rPr>
      </w:pPr>
    </w:p>
    <w:p>
      <w:pPr>
        <w:ind w:right="3119" w:firstLine="461"/>
        <w:spacing w:after="0" w:line="256" w:lineRule="auto"/>
        <w:rPr>
          <w:sz w:val="20"/>
          <w:szCs w:val="20"/>
          <w:color w:val="auto"/>
        </w:rPr>
      </w:pPr>
      <w:r>
        <w:rPr>
          <w:rFonts w:ascii="Courier New" w:cs="Courier New" w:eastAsia="Courier New" w:hAnsi="Courier New"/>
          <w:sz w:val="15"/>
          <w:szCs w:val="15"/>
          <w:color w:val="auto"/>
        </w:rPr>
        <w:t>The exterior auto-dimming mirror is standard equipment or a factory-installed option on certain trim levels of the following 2007 vehicle models: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2. EXTERIOR AUTO-DIMMING MIRROR AVAILABILITY BY VEHICLE LINE</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Daewoo</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Antara</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DaimlerChrysler</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GL Class</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GM/Cadillac</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DTS</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/Mercedes-Benz</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M Class</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Escalade</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R Class</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GM/Buick</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Lucerne</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S Class</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GM/Chevrolet</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Avalanche</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SL Class</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Silverado</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SLK</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Suburban</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Ford/Jaguar</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S-Type</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Tahoe</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XJ</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GM/GMC</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Acadia</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XK</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Sierra</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Ford/Land Rover</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Range Rover</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Yukon</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GM/Opel</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Vectra</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GM/Hummer</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H2</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Maserati</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Quattroporte</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GM/Saturn</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Outlook</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Mitsubishi</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Magna</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Ford/Lincoln</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MKZ</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PSA/Citroen</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C6</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Town Car</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Skoda</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Octavia</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DaimlerChrysler</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300</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Volkswagen</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EOS</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/Chrysler</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Aspen</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Golf</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Pacifica</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Passat</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Town &amp; Country</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Sharan</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DaimlerChrysler</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Caravan</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Touareg</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/Dodge</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Durango</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Honda/Acura</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RL</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DaimlerChrysler</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Commander</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Hyundai</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Equus</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/Jeep</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Grand Cherokee</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Grandeur</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Volkswagen/Audi</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A3</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Veracruz</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A4</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Hyundai/Kia</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Amanti</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A6</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Opirus</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A8</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Nissan/Infiniti</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Q45</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Cabrio</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QX56</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Q7</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Toyota/Lexus</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LS430</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TT</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LS460</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BMW</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7 Series</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RX330</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6 Series</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Nissan</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Armada</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5 Series</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Cima</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3 Series</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Maxima</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X3</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Titan</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Bentley</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Continental</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Rolls Royce</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Phantom</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GTC</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Daewoo/Ssangyong</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Chairman</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DaimlerChrysler</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C Class</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Toyota</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Avalon</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/Mercedes-Benz</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CL Class</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Camry Solara</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CLK</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Sienna</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CLS</w:t>
            </w:r>
          </w:p>
        </w:tc>
        <w:tc>
          <w:tcPr>
            <w:tcW w:w="176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Tundra</w:t>
            </w: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E Class</w:t>
            </w:r>
          </w:p>
        </w:tc>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2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G Wagen</w:t>
            </w:r>
          </w:p>
        </w:tc>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710"/>
        </w:trPr>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ind w:left="520"/>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7" w:name="page8"/>
    <w:bookmarkEnd w:id="7"/>
    <w:p>
      <w:pPr>
        <w:ind w:right="2839"/>
        <w:spacing w:after="0" w:line="250" w:lineRule="auto"/>
        <w:rPr>
          <w:sz w:val="20"/>
          <w:szCs w:val="20"/>
          <w:color w:val="auto"/>
        </w:rPr>
      </w:pPr>
      <w:r>
        <w:rPr>
          <w:rFonts w:ascii="Courier New" w:cs="Courier New" w:eastAsia="Courier New" w:hAnsi="Courier New"/>
          <w:sz w:val="15"/>
          <w:szCs w:val="15"/>
          <w:color w:val="auto"/>
        </w:rPr>
        <w:t>Product Development. The Company plans to continue introducing additional advanced-feature auto-dimming mirrors. Advanced-feature auto-dimming mirrors currently being offered by the Company include the auto-dimming headlamp control mirror, the auto-dimming lighted mirror with LED map lamps, the auto-dimming compass mirror, the auto-dimming mirror with remote keyless entry, the auto-dimming compass/temperature mirror, the auto-dimming dual display compass/temperature mirror, auto-dimming telematics mirrors and the auto-dimming HomeLink(R) mirror. During 2001, the Company announced a revolutionary new proprietary technology, called SmartBeam(R), that uses a custom, active-pixel, CMOS (complementary metal oxide semiconductor) sensor, and maximizes a driver's forward vision by significantly improving utilization of the vehicle's highbeam headlamps during nighttime driving. During 2004, the Company began shipping auto-dimming mirrors with SmartBeam, its proprietary intelligent high-beam headlamp control feature, on the Cadillac STS and Jeep Grand Cherokee. During 2005, the Company began shipping auto-dimming mirrors with SmartBeam for the Cadillac DTS, the Jeep Commander, and BMW 5, 6 and 7 Series models. During 2006, the Company began shipping auto-dimming mirrors with SmartBeam for the BMW 3 Series, Cadillac Escalade and the Chrysler 300C.</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Also during 2006, the Company announced development programs with several automakers for its Rear Camera Display Mirror that consists of a proprietary liquid crystal display (LCD) device that shows a panoramic video view of objects behind the vehicle in real time. When the vehicle is put in "reverse," the display illuminates and automatically appears through the rearview mirror's reflective surface to give a high resolution, bright colored image. The image is generated by a camera or cameras placed in a protected area at the rear of the vehicle. When the vehicle is put in "drive," the display in the mirror automatically disappears. The ability to automatically have the display appear through the auto-dimming mirror's surface is made possible by utilizing proprietary "transflective" coatings developed the Company. In addition, the Company has developed its own unique compass technology, which can be sold as a system with the compass heading displayed in the interior auto-dimming mirror. The Gentex compass technology is called Z-Nav(R), as it features a proprietary, digital, tri-axis sensor (transducer) and software. The tri-axis design is similar to compasses used in highly scientific apparatus such as aerospace applications, and can be mounted on any fixed or pivotal location in the vehicle, including inside the mirror housing.</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1999, the Company announced the development of its LED technology, which represented the first time that white light for illumination purposes could be achieved using high intensity Orca power LEDs on a cost-effective basis. LEDs as illuminators have many advantages over incandescent lamps, including extremely long life, low heat generation, lower current draw, more resistance to shock, and lower total cost of ownership. The Company continually evaluates LEDs that are offered in the market place and is currently working with suppliers that can provide high quality LEDs in a more cost effective manner.</w:t>
      </w:r>
    </w:p>
    <w:p>
      <w:pPr>
        <w:spacing w:after="0" w:line="17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Company also developed an ALS (Active Light Sensor) technology as a cost-effective, improved-performance, intelligent CMOS light sensor to control the dimming of its rearview mirrors, and the Company began making volume shipments of mirrors incorporating ALS in 2002.</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During 2001, the Company developed a new microphone designed specifically for use in the automotive environment for telematics applications. The first volume Gentex microphone application was part of DaimlerChrysler's "U-Connect(R)" telematics system, beginning in 2003. During 2006, our proprietary integrated hands-free microphone was available as part of an optional navigation package at Ford.</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Of particular importance to the Company has been the development of its electrochromic technology for use in complete three-mirror systems. In these systems, both the driver- and passenger-side exterior auto-dimming mirrors are controlled by the sensors and electronic circuitry in the interior rearview mirror, and the interior and both exterior mirrors dim simultaneously.</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success with electrochromic technology provides potential opportunities for other commercial applications, which the Company expects to explore in the future when and as the Company feels it is in its best interests to do so. Examples of possible applications of electrochromic technology include windows for both the automotive, architectural and aerospace markets, sunroofs and sunglasses. Progress in adapting electrochromic technology to the specialized requirements of the window market continued in 2006. In December 2005, the Company reached an agreement with PPG Aerospace to work together to provide the</w:t>
      </w:r>
    </w:p>
    <w:p>
      <w:pPr>
        <w:spacing w:after="0" w:line="200" w:lineRule="exact"/>
        <w:rPr>
          <w:sz w:val="20"/>
          <w:szCs w:val="20"/>
          <w:color w:val="auto"/>
        </w:rPr>
      </w:pPr>
    </w:p>
    <w:p>
      <w:pPr>
        <w:spacing w:after="0" w:line="33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8" w:name="page9"/>
    <w:bookmarkEnd w:id="8"/>
    <w:p>
      <w:pPr>
        <w:ind w:right="2939"/>
        <w:spacing w:after="0" w:line="250" w:lineRule="auto"/>
        <w:rPr>
          <w:sz w:val="20"/>
          <w:szCs w:val="20"/>
          <w:color w:val="auto"/>
        </w:rPr>
      </w:pPr>
      <w:r>
        <w:rPr>
          <w:rFonts w:ascii="Courier New" w:cs="Courier New" w:eastAsia="Courier New" w:hAnsi="Courier New"/>
          <w:sz w:val="15"/>
          <w:szCs w:val="15"/>
          <w:color w:val="auto"/>
        </w:rPr>
        <w:t>variably dimmable windows for the passenger compartment on the new Boeing 787 Dreamliner series of aircraft. Gentex will ship about 100 windows for the passenger compartment of each 787. The Company believes that the commercially viable market is currently limited to aerospace. Based on Boeing's production schedule, the value of this initial contract is worth approximately $50 million over the first five years once volume production begins, with the majority of that revenue attributable to Gentex under the Company's agreement with PPG Aerospace. The Company will begin shipping production parts for test planes at mid-year, and volume production is expected to begin in late 2007. However, we believe that a commercial architectural window product will still require several years of additional engineering and intellectual property development work.</w:t>
      </w:r>
    </w:p>
    <w:p>
      <w:pPr>
        <w:spacing w:after="0" w:line="18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Markets and Marketing. In North America, the Company markets its products primarily through a direct sales force. The Company generally supplies auto-dimming mirrors to its customers worldwide under annual blanket purchase orders. The Company currently supplies auto-dimming mirrors to General Motors Corporation and DaimlerChrysler AG under long-term agreements. During 2005, the Company negotiated an extension to its long-term agreement for inside mirrors with General Motors in the ordinary course of the Company's business. Under the extension, Gentex was sourced virtually all of the interior auto-dimming rearview mirror programs for GM and its worldwide affiliates through August 2009, except for two low-volume models that had previously been awarded to a Gentex competitor under a lifetime contract. The new business includes the GMT360 program (which is the mid-size truck/SUV platform that previously did not offer auto-dimming mirrors). We have estimated that this new business represented incremental auto-dimming mirror units in the range of 500,000 on an annualized basis at that time. The Company also negotiated a price reduction for the GM OnStar(R) feature in its auto-dimming mirrors, effective January 1, 2005, in connection with GM's stated plan to make their OnStar system standard across their vehicle models over the next several years.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Also during 2005, the Company negotiated a three-year extension to its long-term agreement with DaimlerChrysler AG in the ordinary course of the Company's business. Under the extension, the Company will be sourced virtually all interior and exterior auto-dimming mirror business at Mercedes and Chrysler through December 2009. The Company's exterior auto-dimming mirror sub-assemblies are supplied by means of sales to exterior mirror suppliers.</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During 1993, the Company established a sales and engineering office in Germany and the following year, the Company formed a German limited liability company, Gentex GmbH, to expand its sales and engineering support activities in Europe. During 1999, the Company established Gentex Mirrors, Ltd., as a sales and engineering office in the United Kingdom. During 2000, the Company established Gentex France, SAS, as a sales and engineering office in France. During 2003, the Company established a satellite office in Munich, Germany, and during 2005, the Company established a satellite office in Sweden. The Company's marketing efforts in Europe are conducted through Gentex GmbH, Gentex Mirrors, Ltd., and Gentex France SAS, with limited assistance from independent manufacturers' representatives. The Company is currently supplying mirrors for Audi, Bavarian Motor Works, A.G. (BMW), Bentley, Citroen, Fiat, Jaguar, Land Rover, Mercedes-Benz, Opel, Peugeot, Porsche, Rolls Royce, SEAT, Skoda, Volkswagen and Volvo in Europe.</w:t>
      </w:r>
    </w:p>
    <w:p>
      <w:pPr>
        <w:spacing w:after="0" w:line="18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1991, the Company began shipping electrochromic mirror assemblies for Nissan Motor Co., Ltd. under a reciprocal distribution agreement with Ichikoh Industries, Ltd. (Ichikoh), a major Japanese supplier of automotive products. Under this agreement, Ichikoh marketed the Company's automatic mirrors to certain Japanese automakers and their subsidiaries with manufacturing facilities in Asia. The arrangement involved very limited technology transfer by the Company and did not include the Company's proprietary electrochromic gel formulation. The agreement was terminated by mutual agreement in 2001.</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During 1993, the Company hired a sales agent to market auto-dimming mirrors to other Japanese automakers beyond Nissan. Subsequently in 1998, the Company established Gentex Japan, Inc., as a sales and engineering office in Nagoya, Japan to expand its sales and engineering support in Japan. In 2000, the Company signed an agreement with Murakami Corporation, a major Japanese mirror manufacturer, to cooperate in expanding sales of automatic-dimming mirrors using the Gentex electrochromic technology. During 2006, the agreement with Murakami Corporation was terminated and replaced with a Memorandum of Understanding. During 2002, the Company established Gentex Technologies Korea Co., Ltd. as a sales and engineering office in Seoul, Korea. During</w:t>
      </w:r>
    </w:p>
    <w:p>
      <w:pPr>
        <w:spacing w:after="0" w:line="35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9" w:name="page10"/>
    <w:bookmarkEnd w:id="9"/>
    <w:p>
      <w:pPr>
        <w:ind w:right="3019"/>
        <w:spacing w:after="0" w:line="251" w:lineRule="auto"/>
        <w:rPr>
          <w:sz w:val="20"/>
          <w:szCs w:val="20"/>
          <w:color w:val="auto"/>
        </w:rPr>
      </w:pPr>
      <w:r>
        <w:rPr>
          <w:rFonts w:ascii="Courier New" w:cs="Courier New" w:eastAsia="Courier New" w:hAnsi="Courier New"/>
          <w:sz w:val="15"/>
          <w:szCs w:val="15"/>
          <w:color w:val="auto"/>
        </w:rPr>
        <w:t>2004, the Company established a satellite office in Yokohama, Japan. During 2005, the Company opened a sales and engineering office near Shanghai, China. The Company is currently supplying mirrors for Daewoo/Ssangyong, Ford, GM, Honda, Hyundai, Infiniti, Kia Motors, Lexus, Mazda, Mitsubishi, Nissan, Toyota and Volkswagen/Audi in Asia.</w:t>
      </w:r>
    </w:p>
    <w:p>
      <w:pPr>
        <w:spacing w:after="0" w:line="176"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The Company's auto-dimming mirror unit shipment mix by region has significantly changed over the past seven years. The following is a breakdown of unit shipment mix by region in 2006 vs. 1999 calendar years: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tcPr>
          <w:p>
            <w:pPr>
              <w:spacing w:after="0"/>
              <w:rPr>
                <w:sz w:val="14"/>
                <w:szCs w:val="14"/>
                <w:color w:val="auto"/>
              </w:rPr>
            </w:pP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7"/>
        </w:trPr>
        <w:tc>
          <w:tcPr>
            <w:tcW w:w="1340" w:type="dxa"/>
            <w:vAlign w:val="bottom"/>
          </w:tcPr>
          <w:p>
            <w:pPr>
              <w:spacing w:after="0"/>
              <w:rPr>
                <w:sz w:val="15"/>
                <w:szCs w:val="15"/>
                <w:color w:val="auto"/>
              </w:rPr>
            </w:pP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34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7"/>
        </w:trPr>
        <w:tc>
          <w:tcPr>
            <w:tcW w:w="1340" w:type="dxa"/>
            <w:vAlign w:val="bottom"/>
          </w:tcPr>
          <w:p>
            <w:pPr>
              <w:spacing w:after="0"/>
              <w:rPr>
                <w:sz w:val="20"/>
                <w:szCs w:val="20"/>
                <w:color w:val="auto"/>
              </w:rPr>
            </w:pPr>
            <w:r>
              <w:rPr>
                <w:rFonts w:ascii="Courier New" w:cs="Courier New" w:eastAsia="Courier New" w:hAnsi="Courier New"/>
                <w:sz w:val="15"/>
                <w:szCs w:val="15"/>
                <w:color w:val="auto"/>
              </w:rPr>
              <w:t>TRANSPLANTS</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1340" w:type="dxa"/>
            <w:vAlign w:val="bottom"/>
          </w:tcPr>
          <w:p>
            <w:pPr>
              <w:spacing w:after="0"/>
              <w:rPr>
                <w:sz w:val="15"/>
                <w:szCs w:val="15"/>
                <w:color w:val="auto"/>
              </w:rPr>
            </w:pPr>
          </w:p>
        </w:tc>
        <w:tc>
          <w:tcPr>
            <w:tcW w:w="6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134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7"/>
        </w:trPr>
        <w:tc>
          <w:tcPr>
            <w:tcW w:w="134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1340" w:type="dxa"/>
            <w:vAlign w:val="bottom"/>
          </w:tcPr>
          <w:p>
            <w:pPr>
              <w:spacing w:after="0"/>
              <w:rPr>
                <w:sz w:val="20"/>
                <w:szCs w:val="20"/>
                <w:color w:val="auto"/>
              </w:rPr>
            </w:pPr>
            <w:r>
              <w:rPr>
                <w:rFonts w:ascii="Courier New" w:cs="Courier New" w:eastAsia="Courier New" w:hAnsi="Courier New"/>
                <w:sz w:val="15"/>
                <w:szCs w:val="15"/>
                <w:color w:val="auto"/>
              </w:rPr>
              <w:t>ASIA-PACIFIC</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7"/>
        </w:trPr>
        <w:tc>
          <w:tcPr>
            <w:tcW w:w="1340" w:type="dxa"/>
            <w:vAlign w:val="bottom"/>
          </w:tcPr>
          <w:p>
            <w:pPr>
              <w:spacing w:after="0"/>
              <w:rPr>
                <w:sz w:val="15"/>
                <w:szCs w:val="15"/>
                <w:color w:val="auto"/>
              </w:rPr>
            </w:pPr>
          </w:p>
        </w:tc>
        <w:tc>
          <w:tcPr>
            <w:tcW w:w="6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1340" w:type="dxa"/>
            <w:vAlign w:val="bottom"/>
          </w:tcPr>
          <w:p>
            <w:pPr>
              <w:spacing w:after="0"/>
              <w:rPr>
                <w:sz w:val="15"/>
                <w:szCs w:val="15"/>
                <w:color w:val="auto"/>
              </w:rPr>
            </w:pP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7"/>
        </w:trPr>
        <w:tc>
          <w:tcPr>
            <w:tcW w:w="1340" w:type="dxa"/>
            <w:vAlign w:val="bottom"/>
          </w:tcPr>
          <w:p>
            <w:pPr>
              <w:spacing w:after="0"/>
              <w:rPr>
                <w:sz w:val="15"/>
                <w:szCs w:val="15"/>
                <w:color w:val="auto"/>
              </w:rPr>
            </w:pPr>
          </w:p>
        </w:tc>
        <w:tc>
          <w:tcPr>
            <w:tcW w:w="6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auto-dimming mirrors will be offered as standard equipment, in higher option rate packages, and on more models as consumer awareness of the safety and comfort feature becomes more well-known and acceptance grows.</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Since 1998, Gentex Corporation has contracted with MITO Corporation to sell several of its most popular automatic-dimming mirrors directly to consumers in the automotive aftermarket; in addition, the Company currently sells some auto-dimming mirrors to automotive distributors. It is management's belief that these sales have limited potential until the Company achieves a significantly higher penetration of the original equipment manufacturing market.</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Competition. Gentex is the leading producer of auto-dimming rearview mirrors in the world and currently is the dominant supplier to the automotive industry with an approximate 81% market share worldwide in 2006, as compared to an approximately 80% in 2005. While the Company believes it will retain a dominant position, one other U.S. manufacturer (Magna Donnelly) is competing for sales to domestic and foreign vehicle manufacturers and is supplying a number of domestic and foreign vehicle models with its hybrid or solid polymer matrix versions of electrochromic mirrors. In addition, two Japanese manufacturers are currently supplying a few vehicle models in Japan with solid-state electrochromic mirrors.</w:t>
      </w:r>
    </w:p>
    <w:p>
      <w:pPr>
        <w:spacing w:after="0" w:line="35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On October 1, 2002, Magna International acquired Donnelly Corporation, which was the Company's major competitor for sales of automatic-dimming rearview mirrors to domestic and foreign vehicle manufacturers and their mirror suppliers. The Company also sells certain automatic-dimming rearview mirror sub-assemblies to Magna Donnelly.</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believes its electrochromic automatic mirrors offer significant performance advantages over competing products. However, Gentex recognizes that Magna Donnelly, a competitor and wholly-owned subsidiary of Magna International, is considerably larger than the Company and may present a more formidable competitive threat in the future. To date, the Company is not aware of any significant impact of Magna's acquisition of Donnelly upon the Company; however, any ultimate significant impact has not yet been determined.</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other technologies may eliminate glare, each of these technologies have inherent cost or performance limitations.</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FIRE PROTECTION PRODUCTS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manufactures approximately 60 different models of smoke alarms and smoke detectors, combined with over 160 different models of signaling appliances. All of the smoke detectors/alarms operate on a photoelectric principle to detect smoke. While the use of photoelectric technology entails greater manufacturing costs, the Company believes that these detectors/alarms are superior in performance to competitive devices that operate through an ionization process, and are preferred in most commercial residential occupancies. Photoelectric detectors/alarms feature low light-level detection, while ionization detectors utilize an ionized atmosphere, the electrical conductivity of which varies with changes in the composition of the atmosphere. Photoelectric detectors/alarms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detectors/alarms are now being required by over a dozen major cities, over a dozen states, as well as regional and national building and fire alarm codes.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alarms for both commercial and residential applications. While the Company does not emphasize the residential market, some of its fire protection products are used in single-family residences that utilize fire protection and security systems. The Company's detectors emit audible and/or visual signals in the immediate location of the device, and certain models are able to communicate with monitored remote stations.</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2005, the Company received Underwriters Laboratory (UL) listing on a new series of commercial residential smoke alarms. The Company feels this new product will fit well into new markets and customers. The new series of smoke alarms consists of four models and will be electrically powered or electrically powered with battery back-up.</w:t>
      </w:r>
    </w:p>
    <w:p>
      <w:pPr>
        <w:spacing w:after="0" w:line="176" w:lineRule="exact"/>
        <w:rPr>
          <w:sz w:val="20"/>
          <w:szCs w:val="20"/>
          <w:color w:val="auto"/>
        </w:rPr>
      </w:pPr>
    </w:p>
    <w:p>
      <w:pPr>
        <w:ind w:right="3219" w:firstLine="461"/>
        <w:spacing w:after="0" w:line="252" w:lineRule="auto"/>
        <w:rPr>
          <w:sz w:val="20"/>
          <w:szCs w:val="20"/>
          <w:color w:val="auto"/>
        </w:rPr>
      </w:pPr>
      <w:r>
        <w:rPr>
          <w:rFonts w:ascii="Courier New" w:cs="Courier New" w:eastAsia="Courier New" w:hAnsi="Courier New"/>
          <w:sz w:val="15"/>
          <w:szCs w:val="15"/>
          <w:color w:val="auto"/>
        </w:rPr>
        <w:t>Also in 2005, the Company received UL listing for a new line of speaker strobes for commercial occupancies. The new speaker series will meet the requirements found on the national codes.</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Markets and Marketing. The Company's fire protection products are sold directly to fire protection and security product distributors under the Company's brand name, to electrical wholesale houses, and to original equipment manufacturers of fire protection systems under both the Company's brand name and private labels. The fire protection and security industries have experienced a significant number of mergers and consolidations during the past few years. The Company markets its fire protection products throughout the United States through regional sales managers and manufacturer representative organizations.</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Competition. The fire protection products industry is highly competitive in terms of both the smoke detectors and signaling appliance markets. The Company estimates that it competes principally with eleven manufacturers of smoke detection products for commercial use and approximately four manufacturers within the residential market, three of which produce photoelectric smoke detectors. In the signaling appliance markets, the Company estimates it competes with approximately eight manufacturers. While the Company faces significant competition in the sale of smoke detectors and signaling appliances, it believes that the recent introduction of new products, improvements to its existing products, its diversified product line, and the availability of special features will permit the Company to maintain its competitive position.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 AND PATENTS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owns 16 U.S. trademarks and 280 U.S. patents, 271 of which relate to electrochromic technology, automotive rearview mirrors, microphones, displays and/or sensor technology. These patents expire between 2007 and 2024. The Company believes that these patents provide the Company a significant competitive advantage in the automotive rearview mirror market; however, none of these patents individually is required for the success of the Company's products.</w:t>
      </w:r>
    </w:p>
    <w:p>
      <w:pPr>
        <w:spacing w:after="0" w:line="35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also owns 27 foreign trademarks and 96 foreign patents, 94 of which relate to electrochromic technology, automotive rearview mirrors, microphones, displays and /or sensor technology. These patents expire at various times between 2007</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1" w:name="page12"/>
    <w:bookmarkEnd w:id="11"/>
    <w:p>
      <w:pPr>
        <w:ind w:right="2939"/>
        <w:spacing w:after="0" w:line="252" w:lineRule="auto"/>
        <w:rPr>
          <w:sz w:val="20"/>
          <w:szCs w:val="20"/>
          <w:color w:val="auto"/>
        </w:rPr>
      </w:pPr>
      <w:r>
        <w:rPr>
          <w:rFonts w:ascii="Courier New" w:cs="Courier New" w:eastAsia="Courier New" w:hAnsi="Courier New"/>
          <w:sz w:val="15"/>
          <w:szCs w:val="15"/>
          <w:color w:val="auto"/>
        </w:rPr>
        <w:t>and 2022. The Company believes that the competitive advantage derived in the relevant foreign markets for these patents is comparable to that experienced in the U.S. market.</w:t>
      </w:r>
    </w:p>
    <w:p>
      <w:pPr>
        <w:spacing w:after="0" w:line="17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The Company's remaining 9 U.S. patents and 2 foreign patents relate to the Company's fire protection products, and the Company believes that the competitive advantage provided by these patents is relatively small.</w:t>
      </w:r>
    </w:p>
    <w:p>
      <w:pPr>
        <w:spacing w:after="0" w:line="17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Company also has in process 130 U.S. patent applications, 309 foreign patent applications, and 18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MISCELLANEOUS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considers itself to be engaged in the manufacture and sale of automatic rearview mirrors for the automotive industry and fire protection products for the commercial building industry. The Company has several important customers within the automotive industry, four of which each account for 10% or more of the Company's annual sales (including sales to their Tier 1 suppliers): General Motors Corporation, DaimlerChrysler AG, Toyota Motor Corporation, and BMW. The loss of any of these customers could have a material adverse effect on the Company. The Company's backlog of unshipped orders was $151,167,000 and $151,334,000 at February 1, 2007, and 2006, respectively.</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At February 1, 2007, the Company had 2,393 full-time employees. None of the Company's employees are represented by a labor union or other collective bargaining representative. The Company believes that its relations with its employees are good.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1A. RISK FACTORS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Safe Harbor for Forward-Looking Statements. This Annual Report on Form 10-K contains forward-looking statements within the meaning of Section 27A of the Securities Act of 1933, as amended, and Section 21E of the Securities Exchange Act, as amended, that are based on management's belief, assumptions, current expectations, estimates and projections about the global automotive industry, the economy, the impact of stock option expense, the ability to leverage fixed manufacturing overhead costs, unit shipment and revenue growth rates and the Company itself. Words like "anticipates," "believes," "confident," "estimates," "expects," "forecast," "likely," "plans," "projects," and "should," and variations of such words and similar expressions identify forward-looking statements. These statements do not guarantee future performance and involve certain risks, uncertainties, and assumptions that are difficult to predict with regard to timing, expense, likelihood and degree of occurrence. These risks include, without limitation, employment and general economic conditions, the pace of economic growth in the U.S. and in international markets, the pace of automotive production worldwide, the maintenance of the Company's market share, the types of products purchased by customers, competitive pricing pressures, currency fluctuations, the financial strength of the Company's customers, the mix of products purchased by customers, the ability to continue to make product innovations, the success of newly introduced products (e.g. SmartBeam(R), Z-NAV and Rear Camera Display Mirror), and other risks identified in the Company's filings with the Securities and Exchange Commission. Therefore actual results and outcomes may materially differ from what is expressed or forecasted. Furthermore, the Company undertakes no obligation to update, amend, or clarify forward-looking statements, whether as a result of new information, future events, or otherwise.</w:t>
      </w:r>
    </w:p>
    <w:p>
      <w:pPr>
        <w:spacing w:after="0" w:line="366"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The following risk factors, together with all other information provided in this Annual Report on Form 10-K, should be carefully considered.</w:t>
      </w:r>
    </w:p>
    <w:p>
      <w:pPr>
        <w:spacing w:after="0" w:line="17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Automotive Industry. 96% of our net sales are to customers within the automotive industry. Supplying products to the automotive industry involves increasing financial and production stresses due to continuing pricing pressures, lower domestic production levels, overcapacity, customer and supplier bankruptcies, and commodity material cost increases. Automakers are experiencing increased volatility and uncertainty in executing planned new programs which have, in some cases, resulted in cancellation or delays of new vehicle platforms, package reconfigurations and inaccurate volume forecasts. This increased volatility and uncertainty has made it more difficult for us to forecast future sales and effectively utilize capital, engineering, research and development, and human resource investments.</w:t>
      </w:r>
    </w:p>
    <w:p>
      <w:pPr>
        <w:spacing w:after="0" w:line="3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12" w:name="page13"/>
    <w:bookmarkEnd w:id="12"/>
    <w:p>
      <w:pPr>
        <w:ind w:right="2839" w:firstLine="461"/>
        <w:spacing w:after="0" w:line="250" w:lineRule="auto"/>
        <w:rPr>
          <w:sz w:val="20"/>
          <w:szCs w:val="20"/>
          <w:color w:val="auto"/>
        </w:rPr>
      </w:pPr>
      <w:r>
        <w:rPr>
          <w:rFonts w:ascii="Courier New" w:cs="Courier New" w:eastAsia="Courier New" w:hAnsi="Courier New"/>
          <w:sz w:val="15"/>
          <w:szCs w:val="15"/>
          <w:color w:val="auto"/>
        </w:rPr>
        <w:t>Key Customers. We have a few large customers, including four customers which each account for 10% or more of our annual net sales (including sales to their Tier 1 suppliers) - General Motors Corporation, DaimlerChrysler AG, Toyota Motor Corporation and BMW. The loss of all or a substantial portion of the sales to any of these customers would have a material adverse effect on our sales, margins, profitability and, as a result, our share price. Effective October 1, 2003, General Motors Corporation, our largest customer, began including a 30-day escape clause into its contracts in the event its suppliers are not competitive on pricing. Effective January 1, 2004, Ford Motor Company began imposing new contract terms, including the right to terminate a supplier contract for any or no reason, etc.</w:t>
      </w:r>
    </w:p>
    <w:p>
      <w:pPr>
        <w:spacing w:after="0" w:line="182"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Pricing Pressures. In addition to price reductions over the life of our long-term agreements, we continue to experience pricing pressures from our automotive customers and competitors, which have affected, and which will continue to affect our margins to the extent that we are unable to offset the price reductions with productivity and manufacturing yield improvements, engineering and purchasing cost reductions, and increases in unit sales volume, which has been a challenge. In addition, profit pressures at certain automakers are resulting in increased cost reduction efforts by them, including requests for additional price reductions, decontenting certain features from vehicles, and warranty cost-sharing programs, any of which could adversely impact our sales growth, margins, profitability and, as a result, our share price.</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Credit Risk. In light of the financial stresses within the worldwide automotive industry, certain automakers and tier one mirror customers have already declared bankruptcy or may be considering bankruptcy. Should one or more of our larger customers declare bankruptcy, it could adversely impact the collectibility of our accounts receivable, bad debt expense and net income.</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Supply Chain Disruptions. Due to the just-in-time supply chains within the automotive industry, a disruption in a supply chain caused by an unrelated supplier due to bankruptcy, work stoppages, strikes, etc. could disrupt our shipments to one or more automaker customers, which could adversely affect our sales, margins, profitability and, as a result, our share price.</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Competition. We recognize that Magna Donnelly, our main competitor and a wholly-owned subsidiary of Magna International, is considerably larger than our Company and may present a more formidable competitive threat in the future. Our future growth and success will depend on the ability to compete in our highly competitive markets.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New Technology and Product Development. We continue to invest a significant portion of our annual sales in engineering, research and development projects. Should these efforts ultimately prove unsuccessful, our sales, net income and, as a result, our share price will be adversely affected.</w:t>
      </w:r>
    </w:p>
    <w:p>
      <w:pPr>
        <w:spacing w:after="0" w:line="176"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Intellectual Property. We believe that our patents and trade secrets provide us with a significant competitive advantage in automotive rearview mirrors. The loss of any significant combination of patents and trade secrets could adversely affect our sales, margins, profitability and, as a result, share price.</w:t>
      </w:r>
    </w:p>
    <w:p>
      <w:pPr>
        <w:spacing w:after="0" w:line="351"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Intellectual Property Litigation and Infringement Claims. A successful claim of patent or other intellectual property infringement against us could affect our profitability and growth. If someone claims that our products infringed their intellectual property rights, any resulting litigation could be costly and time consuming and would divert the attention of management and key personnel from other business issues. The complexity of the technology involved and the uncertainty of intellectual property litigation increases these risks. Any of these adverse consequences could potentially have an effect on Gentex's business, financial condition and results of operations.</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Business Disruptions. Manufacturing of our proprietary products employing electro-optic technology are performed at the Company's five manufacturing facilities in Zeeland, Michigan. Should a catastrophic event occur, our ability to manufacture product, complete existing orders and provide other services would be severely impacted for an undetermined period of time. We have purchased business interruption insurance to address these potential costs. Our inability to conduct normal business operations for a period of time may have an adverse impact on long-term operating results.</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13" w:name="page14"/>
    <w:bookmarkEnd w:id="13"/>
    <w:p>
      <w:pPr>
        <w:ind w:right="3299" w:firstLine="461"/>
        <w:spacing w:after="0" w:line="253" w:lineRule="auto"/>
        <w:rPr>
          <w:sz w:val="20"/>
          <w:szCs w:val="20"/>
          <w:color w:val="auto"/>
        </w:rPr>
      </w:pPr>
      <w:r>
        <w:rPr>
          <w:rFonts w:ascii="Courier New" w:cs="Courier New" w:eastAsia="Courier New" w:hAnsi="Courier New"/>
          <w:sz w:val="15"/>
          <w:szCs w:val="15"/>
          <w:color w:val="auto"/>
        </w:rPr>
        <w:t>Other. Other issues and uncertainties which could adversely impact our sales, margins, profitability and, as a result, our share price include:</w:t>
      </w:r>
    </w:p>
    <w:p>
      <w:pPr>
        <w:spacing w:after="0" w:line="174" w:lineRule="exact"/>
        <w:rPr>
          <w:sz w:val="20"/>
          <w:szCs w:val="20"/>
          <w:color w:val="auto"/>
        </w:rPr>
      </w:pPr>
    </w:p>
    <w:p>
      <w:pPr>
        <w:jc w:val="both"/>
        <w:ind w:left="920" w:right="2839" w:hanging="464"/>
        <w:spacing w:after="0" w:line="252" w:lineRule="auto"/>
        <w:tabs>
          <w:tab w:leader="none" w:pos="9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worldwide economic conditions, currency exchange rates, war or significant terrorist acts, which could affect worldwide automotive sales and production levels.</w:t>
      </w:r>
    </w:p>
    <w:p>
      <w:pPr>
        <w:spacing w:after="0" w:line="174" w:lineRule="exact"/>
        <w:rPr>
          <w:rFonts w:ascii="Courier New" w:cs="Courier New" w:eastAsia="Courier New" w:hAnsi="Courier New"/>
          <w:sz w:val="15"/>
          <w:szCs w:val="15"/>
          <w:color w:val="auto"/>
        </w:rPr>
      </w:pPr>
    </w:p>
    <w:p>
      <w:pPr>
        <w:ind w:left="920" w:right="2839" w:hanging="464"/>
        <w:spacing w:after="0" w:line="252" w:lineRule="auto"/>
        <w:tabs>
          <w:tab w:leader="none" w:pos="9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commodity prices of the materials used in our products. We continue to experience some pressure for select raw material cost increases.</w:t>
      </w:r>
    </w:p>
    <w:p>
      <w:pPr>
        <w:spacing w:after="0" w:line="174" w:lineRule="exact"/>
        <w:rPr>
          <w:rFonts w:ascii="Courier New" w:cs="Courier New" w:eastAsia="Courier New" w:hAnsi="Courier New"/>
          <w:sz w:val="15"/>
          <w:szCs w:val="15"/>
          <w:color w:val="auto"/>
        </w:rPr>
      </w:pPr>
    </w:p>
    <w:p>
      <w:pPr>
        <w:ind w:left="920" w:right="3299" w:hanging="464"/>
        <w:spacing w:after="0" w:line="252" w:lineRule="auto"/>
        <w:tabs>
          <w:tab w:leader="none" w:pos="9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Manufacturing yield issues may negatively impact our margins and profitability. We continue to experience some manufacturing yield issues on certain lines.</w:t>
      </w:r>
    </w:p>
    <w:p>
      <w:pPr>
        <w:spacing w:after="0" w:line="174" w:lineRule="exact"/>
        <w:rPr>
          <w:rFonts w:ascii="Courier New" w:cs="Courier New" w:eastAsia="Courier New" w:hAnsi="Courier New"/>
          <w:sz w:val="15"/>
          <w:szCs w:val="15"/>
          <w:color w:val="auto"/>
        </w:rPr>
      </w:pPr>
    </w:p>
    <w:p>
      <w:pPr>
        <w:ind w:left="920" w:right="2839" w:hanging="464"/>
        <w:spacing w:after="0" w:line="251" w:lineRule="auto"/>
        <w:tabs>
          <w:tab w:leader="none" w:pos="9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attract or retain key employees to operate our manufacturing facilities and corporate office. We are dependent on the services of our management team. Losing one or more key members of our management team could adversely affect our operations. We do not maintain key man life insurance on any of our officers or directors.</w:t>
      </w:r>
    </w:p>
    <w:p>
      <w:pPr>
        <w:spacing w:after="0" w:line="176" w:lineRule="exact"/>
        <w:rPr>
          <w:rFonts w:ascii="Courier New" w:cs="Courier New" w:eastAsia="Courier New" w:hAnsi="Courier New"/>
          <w:sz w:val="15"/>
          <w:szCs w:val="15"/>
          <w:color w:val="auto"/>
        </w:rPr>
      </w:pPr>
    </w:p>
    <w:p>
      <w:pPr>
        <w:ind w:left="920" w:right="2839" w:hanging="464"/>
        <w:spacing w:after="0" w:line="253" w:lineRule="auto"/>
        <w:tabs>
          <w:tab w:leader="none" w:pos="9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successfully design and execute strategic and operating plans, including continuing to obtain new business.</w:t>
      </w:r>
    </w:p>
    <w:p>
      <w:pPr>
        <w:spacing w:after="0" w:line="174"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Antitakeover Provisions. Our articles of incorporation and bylaws, the laws of Michigan, and our Shareholder Protection Rights Plan include provisions which are designed to provide our board of directors with time to consider whether a hostile takeover offer is in our best interest and the best interests of our shareholders. These provisions, however, could discourage potential acquisition proposals and could delay or prevent a change in control. The provisions also could diminish the opportunities for a holder of our common stock to participate in tender offers, including tender offers at a price above the then current price for our common stock. These provisions could also prevent transactions in which our shareholders might otherwise receive a premium for their shares over then current market prices, and may limit the ability of our shareholders to approve transactions that they may deem to be in their best interests.</w:t>
      </w:r>
    </w:p>
    <w:p>
      <w:pPr>
        <w:spacing w:after="0" w:line="183" w:lineRule="exact"/>
        <w:rPr>
          <w:sz w:val="20"/>
          <w:szCs w:val="20"/>
          <w:color w:val="auto"/>
        </w:rPr>
      </w:pPr>
    </w:p>
    <w:p>
      <w:pPr>
        <w:ind w:right="3019" w:firstLine="461"/>
        <w:spacing w:after="0" w:line="252" w:lineRule="auto"/>
        <w:rPr>
          <w:sz w:val="20"/>
          <w:szCs w:val="20"/>
          <w:color w:val="auto"/>
        </w:rPr>
      </w:pPr>
      <w:r>
        <w:rPr>
          <w:rFonts w:ascii="Courier New" w:cs="Courier New" w:eastAsia="Courier New" w:hAnsi="Courier New"/>
          <w:sz w:val="15"/>
          <w:szCs w:val="15"/>
          <w:color w:val="auto"/>
        </w:rPr>
        <w:t>All of these provisions may have the effect of delaying or preventing a change in control at the company level without action by our shareholders, and therefore, could adversely affect the price of our common stock.</w:t>
      </w:r>
    </w:p>
    <w:p>
      <w:pPr>
        <w:spacing w:after="0" w:line="17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Fluctuations in Market Price. The market price for our common stock has fluctuated, ranging between $12.74 and $21.00 for 2006. The overall market and the price of our common stock may continue to fluctuate. There may be a significant impact on the market price for our common stock due to, among other things:</w:t>
      </w:r>
    </w:p>
    <w:p>
      <w:pPr>
        <w:spacing w:after="0" w:line="176" w:lineRule="exact"/>
        <w:rPr>
          <w:sz w:val="20"/>
          <w:szCs w:val="20"/>
          <w:color w:val="auto"/>
        </w:rPr>
      </w:pPr>
    </w:p>
    <w:p>
      <w:pPr>
        <w:ind w:left="920" w:right="3399" w:hanging="464"/>
        <w:spacing w:after="0" w:line="253" w:lineRule="auto"/>
        <w:tabs>
          <w:tab w:leader="none" w:pos="9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anticipated or actual operating results or the results of our competitors;</w:t>
      </w:r>
    </w:p>
    <w:p>
      <w:pPr>
        <w:spacing w:after="0" w:line="174" w:lineRule="exact"/>
        <w:rPr>
          <w:rFonts w:ascii="Courier New" w:cs="Courier New" w:eastAsia="Courier New" w:hAnsi="Courier New"/>
          <w:sz w:val="15"/>
          <w:szCs w:val="15"/>
          <w:color w:val="auto"/>
        </w:rPr>
      </w:pPr>
    </w:p>
    <w:p>
      <w:pPr>
        <w:ind w:left="920" w:right="3479" w:hanging="464"/>
        <w:spacing w:after="0" w:line="253" w:lineRule="auto"/>
        <w:tabs>
          <w:tab w:leader="none" w:pos="9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investors' or analysts' perceptions of the risks and conditions of our business;</w:t>
      </w:r>
    </w:p>
    <w:p>
      <w:pPr>
        <w:spacing w:after="0" w:line="17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of the public float of our common stock;</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including the industry in which we operate, and</w:t>
      </w:r>
    </w:p>
    <w:p>
      <w:pPr>
        <w:spacing w:after="0" w:line="184" w:lineRule="exact"/>
        <w:rPr>
          <w:rFonts w:ascii="Courier New" w:cs="Courier New" w:eastAsia="Courier New" w:hAnsi="Courier New"/>
          <w:sz w:val="15"/>
          <w:szCs w:val="15"/>
          <w:color w:val="auto"/>
        </w:rPr>
      </w:pPr>
    </w:p>
    <w:p>
      <w:pPr>
        <w:ind w:left="920" w:hanging="464"/>
        <w:spacing w:after="0"/>
        <w:tabs>
          <w:tab w:leader="none" w:pos="9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1B. UNRESOLVED STAFF COMMENTS.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None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operates out of five office/manufacturing facilities in Zeeland, Michigan, approximately 25 miles southwest of Grand Rapids, in addition to overseas offices discussed elsewhere herein (see Part 1, Item 1). The office and production facility for the Fire Protection Products Group is a</w:t>
      </w:r>
    </w:p>
    <w:p>
      <w:pPr>
        <w:spacing w:after="0" w:line="2"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25,000-square-foot, one-story building leased by the Company since 1978 from related parties (see Part III, Item 13, of this report).</w:t>
      </w:r>
    </w:p>
    <w:p>
      <w:pPr>
        <w:spacing w:after="0" w:line="174"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corporate office and production facility for the Company's Automotive Products Group is a modern, two-story, 150,000-square-foot building of steel and masonry construction situated on a 40-acre site in a well-kept industrial park. A second 128,000-square-foot office/manufacturing facility on this site was opened during 1996. The Company expanded its automotive production facilities by constructing a third 170,000 square-foot facility on its current site which opened in the second quarter of 2000.</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081" w:gutter="0" w:footer="0" w:header="0"/>
        </w:sectPr>
      </w:pPr>
    </w:p>
    <w:bookmarkStart w:id="14" w:name="page15"/>
    <w:bookmarkEnd w:id="14"/>
    <w:p>
      <w:pPr>
        <w:ind w:right="3019" w:firstLine="461"/>
        <w:spacing w:after="0" w:line="250" w:lineRule="auto"/>
        <w:rPr>
          <w:sz w:val="20"/>
          <w:szCs w:val="20"/>
          <w:color w:val="auto"/>
        </w:rPr>
      </w:pPr>
      <w:r>
        <w:rPr>
          <w:rFonts w:ascii="Courier New" w:cs="Courier New" w:eastAsia="Courier New" w:hAnsi="Courier New"/>
          <w:sz w:val="15"/>
          <w:szCs w:val="15"/>
          <w:color w:val="auto"/>
        </w:rPr>
        <w:t>In November 2002, the Company announced plans to expand its manufacturing operations in Zeeland, Michigan, with the construction of a fourth</w:t>
      </w:r>
    </w:p>
    <w:p>
      <w:pPr>
        <w:spacing w:after="0" w:line="1"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150,000-square foot automotive mirror manufacturing facility. During 2003, the Company also announced plans for a new 200,000-square foot technical office facility linking the fourth manufacturing facility with its existing corporate office and production facility. The Company completed the construction of its fourth automotive manufacturing facility and the new technical center in 2006. The Company has invested approximately $38 million for the new facilities during 2004 - 2006, which was funded from its cash and cash equivalents on hand.</w:t>
      </w:r>
    </w:p>
    <w:p>
      <w:pPr>
        <w:spacing w:after="0" w:line="176"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The Company also constructed a 40,000 square-foot office, distribution and light manufacturing facility in Erlenbach, Germany, at a cost of approximately $5 million, which was completed at the end of 2003.</w:t>
      </w:r>
    </w:p>
    <w:p>
      <w:pPr>
        <w:spacing w:after="0" w:line="17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During 2006, the Company purchased a 25,000 square foot office, distribution and light manufacturing facility near Shanghai, China, at a cost of approximately $750,000.</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January 2007, the Company announced plans to expand its automotive exterior mirror manufacturing facility in Zeeland, Michigan, with an approximate cost of $6 million, which is expected to be funded from cash and/or cash equivalents. In 2006, the Company shipped approximately 4,001,000 exterior auto-dimming mirror sub-assemblies.</w:t>
      </w:r>
    </w:p>
    <w:p>
      <w:pPr>
        <w:spacing w:after="0" w:line="176" w:lineRule="exact"/>
        <w:rPr>
          <w:sz w:val="20"/>
          <w:szCs w:val="20"/>
          <w:color w:val="auto"/>
        </w:rPr>
      </w:pPr>
    </w:p>
    <w:p>
      <w:pPr>
        <w:jc w:val="both"/>
        <w:ind w:right="3119" w:firstLine="461"/>
        <w:spacing w:after="0" w:line="251" w:lineRule="auto"/>
        <w:rPr>
          <w:sz w:val="20"/>
          <w:szCs w:val="20"/>
          <w:color w:val="auto"/>
        </w:rPr>
      </w:pPr>
      <w:r>
        <w:rPr>
          <w:rFonts w:ascii="Courier New" w:cs="Courier New" w:eastAsia="Courier New" w:hAnsi="Courier New"/>
          <w:sz w:val="15"/>
          <w:szCs w:val="15"/>
          <w:color w:val="auto"/>
        </w:rPr>
        <w:t>The Company's three automotive interior mirror manufacturing facilities currently have an estimated building capacity to manufacture approximately 20 million mirror units annually, based on the current product mix. In 2006, the Company shipped approximately 9,426,000 interior auto-dimming mirrors.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of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None.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85" w:lineRule="exact"/>
        <w:rPr>
          <w:sz w:val="20"/>
          <w:szCs w:val="20"/>
          <w:color w:val="auto"/>
        </w:rPr>
      </w:pPr>
    </w:p>
    <w:p>
      <w:pPr>
        <w:ind w:right="3019" w:firstLine="461"/>
        <w:spacing w:after="0" w:line="252" w:lineRule="auto"/>
        <w:rPr>
          <w:sz w:val="20"/>
          <w:szCs w:val="20"/>
          <w:color w:val="auto"/>
        </w:rPr>
      </w:pPr>
      <w:r>
        <w:rPr>
          <w:rFonts w:ascii="Courier New" w:cs="Courier New" w:eastAsia="Courier New" w:hAnsi="Courier New"/>
          <w:sz w:val="15"/>
          <w:szCs w:val="15"/>
          <w:color w:val="auto"/>
        </w:rPr>
        <w:t>The following table lists the names, ages, and positions of all of the Company's executive officers. Officers are elected at the first meeting of the Board of Directors following the annual meeting of shareholders.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AGE</w:t>
            </w:r>
          </w:p>
        </w:tc>
        <w:tc>
          <w:tcPr>
            <w:tcW w:w="4980" w:type="dxa"/>
            <w:vAlign w:val="bottom"/>
          </w:tcPr>
          <w:p>
            <w:pPr>
              <w:jc w:val="right"/>
              <w:ind w:right="3203"/>
              <w:spacing w:after="0"/>
              <w:rPr>
                <w:sz w:val="20"/>
                <w:szCs w:val="20"/>
                <w:color w:val="auto"/>
              </w:rPr>
            </w:pPr>
            <w:r>
              <w:rPr>
                <w:rFonts w:ascii="Courier New" w:cs="Courier New" w:eastAsia="Courier New" w:hAnsi="Courier New"/>
                <w:sz w:val="15"/>
                <w:szCs w:val="15"/>
                <w:color w:val="auto"/>
              </w:rPr>
              <w:t>POSITION</w:t>
            </w:r>
          </w:p>
        </w:tc>
        <w:tc>
          <w:tcPr>
            <w:tcW w:w="1980" w:type="dxa"/>
            <w:vAlign w:val="bottom"/>
          </w:tcPr>
          <w:p>
            <w:pPr>
              <w:ind w:left="60"/>
              <w:spacing w:after="0"/>
              <w:rPr>
                <w:sz w:val="20"/>
                <w:szCs w:val="20"/>
                <w:color w:val="auto"/>
              </w:rPr>
            </w:pPr>
            <w:r>
              <w:rPr>
                <w:rFonts w:ascii="Courier New" w:cs="Courier New" w:eastAsia="Courier New" w:hAnsi="Courier New"/>
                <w:sz w:val="15"/>
                <w:szCs w:val="15"/>
                <w:color w:val="auto"/>
              </w:rPr>
              <w:t>POSITION HELD SINCE</w:t>
            </w: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55"/>
        </w:trPr>
        <w:tc>
          <w:tcPr>
            <w:tcW w:w="1600" w:type="dxa"/>
            <w:vAlign w:val="bottom"/>
          </w:tcPr>
          <w:p>
            <w:pPr>
              <w:spacing w:after="0"/>
              <w:rPr>
                <w:sz w:val="20"/>
                <w:szCs w:val="20"/>
                <w:color w:val="auto"/>
              </w:rPr>
            </w:pPr>
            <w:r>
              <w:rPr>
                <w:rFonts w:ascii="Courier New" w:cs="Courier New" w:eastAsia="Courier New" w:hAnsi="Courier New"/>
                <w:sz w:val="15"/>
                <w:szCs w:val="15"/>
                <w:color w:val="auto"/>
              </w:rPr>
              <w:t>Fred Bauer</w:t>
            </w:r>
          </w:p>
        </w:tc>
        <w:tc>
          <w:tcPr>
            <w:tcW w:w="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64</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Chief Executive Officer</w:t>
            </w:r>
          </w:p>
        </w:tc>
        <w:tc>
          <w:tcPr>
            <w:tcW w:w="1980" w:type="dxa"/>
            <w:vAlign w:val="bottom"/>
          </w:tcPr>
          <w:p>
            <w:pPr>
              <w:ind w:left="60"/>
              <w:spacing w:after="0"/>
              <w:rPr>
                <w:sz w:val="20"/>
                <w:szCs w:val="20"/>
                <w:color w:val="auto"/>
              </w:rPr>
            </w:pPr>
            <w:r>
              <w:rPr>
                <w:rFonts w:ascii="Courier New" w:cs="Courier New" w:eastAsia="Courier New" w:hAnsi="Courier New"/>
                <w:sz w:val="15"/>
                <w:szCs w:val="15"/>
                <w:color w:val="auto"/>
              </w:rPr>
              <w:t>May 1986</w:t>
            </w: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Enoch Jen</w:t>
            </w:r>
          </w:p>
        </w:tc>
        <w:tc>
          <w:tcPr>
            <w:tcW w:w="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55</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c>
          <w:tcPr>
            <w:tcW w:w="1980" w:type="dxa"/>
            <w:vAlign w:val="bottom"/>
          </w:tcPr>
          <w:p>
            <w:pPr>
              <w:ind w:left="60"/>
              <w:spacing w:after="0"/>
              <w:rPr>
                <w:sz w:val="20"/>
                <w:szCs w:val="20"/>
                <w:color w:val="auto"/>
              </w:rPr>
            </w:pPr>
            <w:r>
              <w:rPr>
                <w:rFonts w:ascii="Courier New" w:cs="Courier New" w:eastAsia="Courier New" w:hAnsi="Courier New"/>
                <w:sz w:val="15"/>
                <w:szCs w:val="15"/>
                <w:color w:val="auto"/>
              </w:rPr>
              <w:t>January 2007</w:t>
            </w: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Dennis Alexejun</w:t>
            </w:r>
          </w:p>
        </w:tc>
        <w:tc>
          <w:tcPr>
            <w:tcW w:w="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55</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Vice President, North American Automotive Marketing</w:t>
            </w:r>
          </w:p>
        </w:tc>
        <w:tc>
          <w:tcPr>
            <w:tcW w:w="1980" w:type="dxa"/>
            <w:vAlign w:val="bottom"/>
          </w:tcPr>
          <w:p>
            <w:pPr>
              <w:ind w:left="60"/>
              <w:spacing w:after="0"/>
              <w:rPr>
                <w:sz w:val="20"/>
                <w:szCs w:val="20"/>
                <w:color w:val="auto"/>
              </w:rPr>
            </w:pPr>
            <w:r>
              <w:rPr>
                <w:rFonts w:ascii="Courier New" w:cs="Courier New" w:eastAsia="Courier New" w:hAnsi="Courier New"/>
                <w:sz w:val="15"/>
                <w:szCs w:val="15"/>
                <w:color w:val="auto"/>
              </w:rPr>
              <w:t>September 1998</w:t>
            </w: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John Carter</w:t>
            </w:r>
          </w:p>
        </w:tc>
        <w:tc>
          <w:tcPr>
            <w:tcW w:w="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59</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Vice President, Mechanical Engineering</w:t>
            </w:r>
          </w:p>
        </w:tc>
        <w:tc>
          <w:tcPr>
            <w:tcW w:w="1980" w:type="dxa"/>
            <w:vAlign w:val="bottom"/>
          </w:tcPr>
          <w:p>
            <w:pPr>
              <w:ind w:left="60"/>
              <w:spacing w:after="0"/>
              <w:rPr>
                <w:sz w:val="20"/>
                <w:szCs w:val="20"/>
                <w:color w:val="auto"/>
              </w:rPr>
            </w:pPr>
            <w:r>
              <w:rPr>
                <w:rFonts w:ascii="Courier New" w:cs="Courier New" w:eastAsia="Courier New" w:hAnsi="Courier New"/>
                <w:sz w:val="15"/>
                <w:szCs w:val="15"/>
                <w:color w:val="auto"/>
              </w:rPr>
              <w:t>June 1997</w:t>
            </w:r>
          </w:p>
        </w:tc>
      </w:tr>
      <w:tr>
        <w:trPr>
          <w:trHeight w:val="177"/>
        </w:trPr>
        <w:tc>
          <w:tcPr>
            <w:tcW w:w="1600" w:type="dxa"/>
            <w:vAlign w:val="bottom"/>
          </w:tcPr>
          <w:p>
            <w:pPr>
              <w:spacing w:after="0"/>
              <w:rPr>
                <w:sz w:val="20"/>
                <w:szCs w:val="20"/>
                <w:color w:val="auto"/>
              </w:rPr>
            </w:pPr>
            <w:r>
              <w:rPr>
                <w:rFonts w:ascii="Courier New" w:cs="Courier New" w:eastAsia="Courier New" w:hAnsi="Courier New"/>
                <w:sz w:val="15"/>
                <w:szCs w:val="15"/>
                <w:color w:val="auto"/>
              </w:rPr>
              <w:t>Steve Dykman</w:t>
            </w:r>
          </w:p>
        </w:tc>
        <w:tc>
          <w:tcPr>
            <w:tcW w:w="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41</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Vice President, Finance and Treasurer</w:t>
            </w:r>
          </w:p>
        </w:tc>
        <w:tc>
          <w:tcPr>
            <w:tcW w:w="1980" w:type="dxa"/>
            <w:vAlign w:val="bottom"/>
          </w:tcPr>
          <w:p>
            <w:pPr>
              <w:ind w:left="60"/>
              <w:spacing w:after="0"/>
              <w:rPr>
                <w:sz w:val="20"/>
                <w:szCs w:val="20"/>
                <w:color w:val="auto"/>
              </w:rPr>
            </w:pPr>
            <w:r>
              <w:rPr>
                <w:rFonts w:ascii="Courier New" w:cs="Courier New" w:eastAsia="Courier New" w:hAnsi="Courier New"/>
                <w:sz w:val="15"/>
                <w:szCs w:val="15"/>
                <w:color w:val="auto"/>
              </w:rPr>
              <w:t>January 2007</w:t>
            </w:r>
          </w:p>
        </w:tc>
      </w:tr>
      <w:tr>
        <w:trPr>
          <w:trHeight w:val="710"/>
        </w:trPr>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80" w:type="dxa"/>
            <w:vAlign w:val="bottom"/>
          </w:tcPr>
          <w:p>
            <w:pPr>
              <w:jc w:val="right"/>
              <w:ind w:right="3203"/>
              <w:spacing w:after="0"/>
              <w:rPr>
                <w:sz w:val="20"/>
                <w:szCs w:val="20"/>
                <w:color w:val="auto"/>
              </w:rPr>
            </w:pPr>
            <w:r>
              <w:rPr>
                <w:rFonts w:ascii="Courier New" w:cs="Courier New" w:eastAsia="Courier New" w:hAnsi="Courier New"/>
                <w:sz w:val="15"/>
                <w:szCs w:val="15"/>
                <w:color w:val="auto"/>
              </w:rPr>
              <w:t>-14-</w:t>
            </w:r>
          </w:p>
        </w:tc>
        <w:tc>
          <w:tcPr>
            <w:tcW w:w="198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15" w:name="page16"/>
    <w:bookmarkEnd w:id="15"/>
    <w:p>
      <w:pPr>
        <w:ind w:right="3679" w:firstLine="461"/>
        <w:spacing w:after="0" w:line="253" w:lineRule="auto"/>
        <w:rPr>
          <w:sz w:val="20"/>
          <w:szCs w:val="20"/>
          <w:color w:val="auto"/>
        </w:rPr>
      </w:pPr>
      <w:r>
        <w:rPr>
          <w:rFonts w:ascii="Courier New" w:cs="Courier New" w:eastAsia="Courier New" w:hAnsi="Courier New"/>
          <w:sz w:val="15"/>
          <w:szCs w:val="15"/>
          <w:color w:val="auto"/>
        </w:rPr>
        <w:t>There are no family relationships among the officers listed in the preceding table.</w:t>
      </w:r>
    </w:p>
    <w:p>
      <w:pPr>
        <w:spacing w:after="0" w:line="174"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Except for the executive officers discussed below, all other executive officers have held their current position with the Company for more than five years.</w:t>
      </w:r>
    </w:p>
    <w:p>
      <w:pPr>
        <w:spacing w:after="0" w:line="175" w:lineRule="exact"/>
        <w:rPr>
          <w:sz w:val="20"/>
          <w:szCs w:val="20"/>
          <w:color w:val="auto"/>
        </w:rPr>
      </w:pPr>
    </w:p>
    <w:p>
      <w:pPr>
        <w:jc w:val="both"/>
        <w:ind w:right="3019" w:firstLine="461"/>
        <w:spacing w:after="0" w:line="252" w:lineRule="auto"/>
        <w:rPr>
          <w:sz w:val="20"/>
          <w:szCs w:val="20"/>
          <w:color w:val="auto"/>
        </w:rPr>
      </w:pPr>
      <w:r>
        <w:rPr>
          <w:rFonts w:ascii="Courier New" w:cs="Courier New" w:eastAsia="Courier New" w:hAnsi="Courier New"/>
          <w:sz w:val="15"/>
          <w:szCs w:val="15"/>
          <w:color w:val="auto"/>
        </w:rPr>
        <w:t>Enoch Jen has served as Senior Vice President and Chief Financial Officer since April 2006 and as Vice President, Finance of the Company since February 1991.</w:t>
      </w:r>
    </w:p>
    <w:p>
      <w:pPr>
        <w:spacing w:after="0" w:line="175" w:lineRule="exact"/>
        <w:rPr>
          <w:sz w:val="20"/>
          <w:szCs w:val="20"/>
          <w:color w:val="auto"/>
        </w:rPr>
      </w:pPr>
    </w:p>
    <w:p>
      <w:pPr>
        <w:ind w:right="2839" w:firstLine="461"/>
        <w:spacing w:after="0" w:line="252" w:lineRule="auto"/>
        <w:rPr>
          <w:sz w:val="20"/>
          <w:szCs w:val="20"/>
          <w:color w:val="auto"/>
        </w:rPr>
      </w:pPr>
      <w:r>
        <w:rPr>
          <w:rFonts w:ascii="Courier New" w:cs="Courier New" w:eastAsia="Courier New" w:hAnsi="Courier New"/>
          <w:sz w:val="15"/>
          <w:szCs w:val="15"/>
          <w:color w:val="auto"/>
        </w:rPr>
        <w:t>Steve Dykman has served as Treasurer and Director of Accounting and Finance of the Company since November 2002, as Controller of the Company since April 1995 and joined the Company as Finance and Tax Manager in November 1993.</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16" w:name="page17"/>
    <w:bookmarkEnd w:id="16"/>
    <w:p>
      <w:pPr>
        <w:jc w:val="center"/>
        <w:ind w:right="2754"/>
        <w:spacing w:after="0"/>
        <w:rPr>
          <w:sz w:val="20"/>
          <w:szCs w:val="20"/>
          <w:color w:val="auto"/>
        </w:rPr>
      </w:pPr>
      <w:r>
        <w:rPr>
          <w:rFonts w:ascii="Courier New" w:cs="Courier New" w:eastAsia="Courier New" w:hAnsi="Courier New"/>
          <w:sz w:val="15"/>
          <w:szCs w:val="15"/>
          <w:color w:val="auto"/>
        </w:rPr>
        <w:t>PART II</w:t>
      </w:r>
    </w:p>
    <w:p>
      <w:pPr>
        <w:spacing w:after="0" w:line="185" w:lineRule="exact"/>
        <w:rPr>
          <w:sz w:val="20"/>
          <w:szCs w:val="20"/>
          <w:color w:val="auto"/>
        </w:rPr>
      </w:pPr>
    </w:p>
    <w:p>
      <w:pPr>
        <w:ind w:left="5" w:right="3019"/>
        <w:spacing w:after="0" w:line="253" w:lineRule="auto"/>
        <w:rPr>
          <w:sz w:val="20"/>
          <w:szCs w:val="20"/>
          <w:color w:val="auto"/>
        </w:rPr>
      </w:pPr>
      <w:r>
        <w:rPr>
          <w:rFonts w:ascii="Courier New" w:cs="Courier New" w:eastAsia="Courier New" w:hAnsi="Courier New"/>
          <w:sz w:val="15"/>
          <w:szCs w:val="15"/>
          <w:color w:val="auto"/>
        </w:rPr>
        <w:t>ITEM 5. MARKET FOR THE REGISTRANT'S COMMON EQUITY, RELATED STOCKHOLDER MATTERS AND ISSUER PURCHASES OF EQUITY SECURITIES.</w:t>
      </w:r>
    </w:p>
    <w:p>
      <w:pPr>
        <w:spacing w:after="0" w:line="174" w:lineRule="exact"/>
        <w:rPr>
          <w:sz w:val="20"/>
          <w:szCs w:val="20"/>
          <w:color w:val="auto"/>
        </w:rPr>
      </w:pPr>
    </w:p>
    <w:p>
      <w:pPr>
        <w:ind w:left="5" w:right="2939" w:hanging="5"/>
        <w:spacing w:after="0" w:line="251" w:lineRule="auto"/>
        <w:tabs>
          <w:tab w:leader="none" w:pos="37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common stock trades on The Nasdaq Global Select Market(R). As of February 1, 2007, there were 2,340 record-holders of the Company's common stock. Ranges of high and low sale prices (adjusted for 2-for-1 stock split in May 2005) of the Company's common stock reported through The Nasdaq Global Select Market for the past two fiscal years appear in the following table.</w:t>
      </w:r>
    </w:p>
    <w:p>
      <w:pPr>
        <w:spacing w:after="0" w:line="200" w:lineRule="exact"/>
        <w:rPr>
          <w:sz w:val="20"/>
          <w:szCs w:val="20"/>
          <w:color w:val="auto"/>
        </w:rPr>
      </w:pPr>
    </w:p>
    <w:p>
      <w:pPr>
        <w:spacing w:after="0" w:line="33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QUARTER</w:t>
            </w:r>
          </w:p>
        </w:tc>
        <w:tc>
          <w:tcPr>
            <w:tcW w:w="8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HIGH</w:t>
            </w:r>
          </w:p>
        </w:tc>
        <w:tc>
          <w:tcPr>
            <w:tcW w:w="800" w:type="dxa"/>
            <w:vAlign w:val="bottom"/>
          </w:tcPr>
          <w:p>
            <w:pPr>
              <w:ind w:left="240"/>
              <w:spacing w:after="0"/>
              <w:rPr>
                <w:sz w:val="20"/>
                <w:szCs w:val="20"/>
                <w:color w:val="auto"/>
              </w:rPr>
            </w:pPr>
            <w:r>
              <w:rPr>
                <w:rFonts w:ascii="Courier New" w:cs="Courier New" w:eastAsia="Courier New" w:hAnsi="Courier New"/>
                <w:sz w:val="15"/>
                <w:szCs w:val="15"/>
                <w:color w:val="auto"/>
              </w:rPr>
              <w:t>LOW</w:t>
            </w:r>
          </w:p>
        </w:tc>
      </w:tr>
      <w:tr>
        <w:trPr>
          <w:trHeight w:val="177"/>
        </w:trPr>
        <w:tc>
          <w:tcPr>
            <w:tcW w:w="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40"/>
              <w:spacing w:after="0"/>
              <w:rPr>
                <w:sz w:val="20"/>
                <w:szCs w:val="20"/>
                <w:color w:val="auto"/>
              </w:rPr>
            </w:pPr>
            <w:r>
              <w:rPr>
                <w:rFonts w:ascii="Courier New" w:cs="Courier New" w:eastAsia="Courier New" w:hAnsi="Courier New"/>
                <w:sz w:val="15"/>
                <w:szCs w:val="15"/>
                <w:color w:val="auto"/>
                <w:w w:val="99"/>
              </w:rPr>
              <w:t>------</w:t>
            </w:r>
          </w:p>
        </w:tc>
      </w:tr>
      <w:tr>
        <w:trPr>
          <w:trHeight w:val="355"/>
        </w:trPr>
        <w:tc>
          <w:tcPr>
            <w:tcW w:w="60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First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$18.25</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$15.73</w:t>
            </w:r>
          </w:p>
        </w:tc>
      </w:tr>
      <w:tr>
        <w:trPr>
          <w:trHeight w:val="177"/>
        </w:trPr>
        <w:tc>
          <w:tcPr>
            <w:tcW w:w="60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Second</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19.45</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15.53</w:t>
            </w:r>
          </w:p>
        </w:tc>
      </w:tr>
      <w:tr>
        <w:trPr>
          <w:trHeight w:val="177"/>
        </w:trPr>
        <w:tc>
          <w:tcPr>
            <w:tcW w:w="60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Third</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20.32</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16.23</w:t>
            </w:r>
          </w:p>
        </w:tc>
      </w:tr>
      <w:tr>
        <w:trPr>
          <w:trHeight w:val="177"/>
        </w:trPr>
        <w:tc>
          <w:tcPr>
            <w:tcW w:w="60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Fourth</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15.38</w:t>
            </w:r>
          </w:p>
        </w:tc>
      </w:tr>
      <w:tr>
        <w:trPr>
          <w:trHeight w:val="355"/>
        </w:trPr>
        <w:tc>
          <w:tcPr>
            <w:tcW w:w="6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First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$21.00</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$15.71</w:t>
            </w:r>
          </w:p>
        </w:tc>
      </w:tr>
      <w:tr>
        <w:trPr>
          <w:trHeight w:val="177"/>
        </w:trPr>
        <w:tc>
          <w:tcPr>
            <w:tcW w:w="60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Second</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17.47</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13.65</w:t>
            </w:r>
          </w:p>
        </w:tc>
      </w:tr>
      <w:tr>
        <w:trPr>
          <w:trHeight w:val="177"/>
        </w:trPr>
        <w:tc>
          <w:tcPr>
            <w:tcW w:w="60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Third</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15.34</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12.74</w:t>
            </w:r>
          </w:p>
        </w:tc>
      </w:tr>
      <w:tr>
        <w:trPr>
          <w:trHeight w:val="177"/>
        </w:trPr>
        <w:tc>
          <w:tcPr>
            <w:tcW w:w="60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Fourth</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17.46</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13.89</w:t>
            </w:r>
          </w:p>
        </w:tc>
      </w:tr>
    </w:tbl>
    <w:p>
      <w:pPr>
        <w:spacing w:after="0" w:line="360" w:lineRule="exact"/>
        <w:rPr>
          <w:sz w:val="20"/>
          <w:szCs w:val="20"/>
          <w:color w:val="auto"/>
        </w:rPr>
      </w:pPr>
    </w:p>
    <w:p>
      <w:pPr>
        <w:ind w:left="5" w:right="3019" w:firstLine="923"/>
        <w:spacing w:after="0" w:line="251" w:lineRule="auto"/>
        <w:rPr>
          <w:sz w:val="20"/>
          <w:szCs w:val="20"/>
          <w:color w:val="auto"/>
        </w:rPr>
      </w:pPr>
      <w:r>
        <w:rPr>
          <w:rFonts w:ascii="Courier New" w:cs="Courier New" w:eastAsia="Courier New" w:hAnsi="Courier New"/>
          <w:sz w:val="15"/>
          <w:szCs w:val="15"/>
          <w:color w:val="auto"/>
        </w:rPr>
        <w:t>The information contained under "Stock Performance Summary" from the Company's Annual Report to Shareholders is hereby incorporated by reference, including such material not being deemed soliciting material and not being deemed filed.</w:t>
      </w:r>
    </w:p>
    <w:p>
      <w:pPr>
        <w:spacing w:after="0" w:line="176" w:lineRule="exact"/>
        <w:rPr>
          <w:sz w:val="20"/>
          <w:szCs w:val="20"/>
          <w:color w:val="auto"/>
        </w:rPr>
      </w:pPr>
    </w:p>
    <w:p>
      <w:pPr>
        <w:ind w:left="365" w:hanging="365"/>
        <w:spacing w:after="0"/>
        <w:tabs>
          <w:tab w:leader="none" w:pos="36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84" w:lineRule="exact"/>
        <w:rPr>
          <w:rFonts w:ascii="Courier New" w:cs="Courier New" w:eastAsia="Courier New" w:hAnsi="Courier New"/>
          <w:sz w:val="15"/>
          <w:szCs w:val="15"/>
          <w:color w:val="auto"/>
        </w:rPr>
      </w:pPr>
    </w:p>
    <w:p>
      <w:pPr>
        <w:ind w:left="5" w:right="2839" w:hanging="5"/>
        <w:spacing w:after="0" w:line="250" w:lineRule="auto"/>
        <w:tabs>
          <w:tab w:leader="none" w:pos="37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2003, the Company announced a change in the Company's cash dividend policy and declared an initial quarterly cash dividend of $0.075 per share payable in October 2003. In August 2004, the Company's Board of Directors approved an increase on the quarterly dividend rate of $0.085 per share. In August 2005, the Company's Board of Directors approved a continuing resolution to pay a quarterly dividend of $0.09 per share until the Board takes other action with respect to the payment of dividends. In August 2006, the Company's Board of Directors approved a continuing resolution to pay a quarterly dividend at an increased rate of $0.095 per share until the Board takes other action with respect to the payment of dividends. Based on current U.S. income tax laws, the Company intends to continue to pay a quarterly cash dividend at its current level and will consider future dividend increases based on the Company's profitability, cash flow and other business factors.</w:t>
      </w:r>
    </w:p>
    <w:p>
      <w:pPr>
        <w:spacing w:after="0" w:line="183" w:lineRule="exact"/>
        <w:rPr>
          <w:sz w:val="20"/>
          <w:szCs w:val="20"/>
          <w:color w:val="auto"/>
        </w:rPr>
      </w:pPr>
    </w:p>
    <w:p>
      <w:pPr>
        <w:ind w:left="5" w:right="2839" w:firstLine="923"/>
        <w:spacing w:after="0" w:line="251" w:lineRule="auto"/>
        <w:rPr>
          <w:sz w:val="20"/>
          <w:szCs w:val="20"/>
          <w:color w:val="auto"/>
        </w:rPr>
      </w:pPr>
      <w:r>
        <w:rPr>
          <w:rFonts w:ascii="Courier New" w:cs="Courier New" w:eastAsia="Courier New" w:hAnsi="Courier New"/>
          <w:sz w:val="15"/>
          <w:szCs w:val="15"/>
          <w:color w:val="auto"/>
        </w:rPr>
        <w:t>On April 1, 2005, the Company's Board of Directors declared a two-for-one stock split effected in the form of a 100% common stock dividend to shareholders of record on May 6, 2005. The stock split increased the number of shares of common stock then outstanding from 78,020,342 to 156,040,684. Earnings per share and all share data have been restated in all prior periods to reflect these stock splits.</w:t>
      </w:r>
    </w:p>
    <w:p>
      <w:pPr>
        <w:spacing w:after="0" w:line="176" w:lineRule="exact"/>
        <w:rPr>
          <w:sz w:val="20"/>
          <w:szCs w:val="20"/>
          <w:color w:val="auto"/>
        </w:rPr>
      </w:pPr>
    </w:p>
    <w:p>
      <w:pPr>
        <w:ind w:left="5" w:right="2839" w:firstLine="923"/>
        <w:spacing w:after="0" w:line="250" w:lineRule="auto"/>
        <w:rPr>
          <w:sz w:val="20"/>
          <w:szCs w:val="20"/>
          <w:color w:val="auto"/>
        </w:rPr>
      </w:pPr>
      <w:r>
        <w:rPr>
          <w:rFonts w:ascii="Courier New" w:cs="Courier New" w:eastAsia="Courier New" w:hAnsi="Courier New"/>
          <w:sz w:val="15"/>
          <w:szCs w:val="15"/>
          <w:color w:val="auto"/>
        </w:rPr>
        <w:t>On October 8, 2002, the Company announced a share repurchase plan, under which it may purchase up to 8,000,000 shares (post-split) based on a number of factors, including market conditions, the market price of the Company's common stock, anti-dilutive effect on earnings, available cash and other factors that the Company deems appropriate. This share repurchase plan does not have an expiration date. During the quarter ended March 31, 2003, the Company repurchased 830,000 shares (post-split) at a cost of approximately $10,247,000. On July 20, 2005, the Company announced that it had raised the price at which the Company may repurchase shares under the existing plan. During the quarter ended September 30, 2005, the Company repurchased approximately 1,496,000 shares at a cost of approximately $25,215,000. On May 16, 2006, the Company announced that the Company's Board of Directors had authorized the repurchase of an additional 8,000,000 shares under the plan. On August</w:t>
      </w:r>
    </w:p>
    <w:p>
      <w:pPr>
        <w:spacing w:after="0" w:line="361"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5"/>
          </w:cols>
          <w:pgMar w:left="235" w:top="650" w:right="1440" w:bottom="1440" w:gutter="0" w:footer="0" w:header="0"/>
        </w:sectPr>
      </w:pPr>
    </w:p>
    <w:bookmarkStart w:id="17" w:name="page18"/>
    <w:bookmarkEnd w:id="17"/>
    <w:p>
      <w:pPr>
        <w:ind w:left="5" w:right="2839"/>
        <w:spacing w:after="0" w:line="251" w:lineRule="auto"/>
        <w:rPr>
          <w:sz w:val="20"/>
          <w:szCs w:val="20"/>
          <w:color w:val="auto"/>
        </w:rPr>
      </w:pPr>
      <w:r>
        <w:rPr>
          <w:rFonts w:ascii="Courier New" w:cs="Courier New" w:eastAsia="Courier New" w:hAnsi="Courier New"/>
          <w:sz w:val="15"/>
          <w:szCs w:val="15"/>
          <w:color w:val="auto"/>
        </w:rPr>
        <w:t>14, 2006, the Company announced that the Company's Board of Directors had authorized the repurchase of an additional 8,000,000 shares under the plan. During 2006, the Company repurchased approximately 15,206,000 shares at a cost of approximately $226,851,000 (see below). Approximately 6,468,000 shares remain authorized to be repurchased under the plan.</w:t>
      </w:r>
    </w:p>
    <w:p>
      <w:pPr>
        <w:spacing w:after="0" w:line="176"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The following is a summary of share repurchase activity during 2006:</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Total Number</w:t>
            </w:r>
          </w:p>
        </w:tc>
        <w:tc>
          <w:tcPr>
            <w:tcW w:w="1200" w:type="dxa"/>
            <w:vAlign w:val="bottom"/>
          </w:tcPr>
          <w:p>
            <w:pPr>
              <w:ind w:left="240"/>
              <w:spacing w:after="0"/>
              <w:rPr>
                <w:sz w:val="20"/>
                <w:szCs w:val="20"/>
                <w:color w:val="auto"/>
              </w:rPr>
            </w:pPr>
            <w:r>
              <w:rPr>
                <w:rFonts w:ascii="Courier New" w:cs="Courier New" w:eastAsia="Courier New" w:hAnsi="Courier New"/>
                <w:sz w:val="15"/>
                <w:szCs w:val="15"/>
                <w:color w:val="auto"/>
              </w:rPr>
              <w:t>Average</w:t>
            </w:r>
          </w:p>
        </w:tc>
        <w:tc>
          <w:tcPr>
            <w:tcW w:w="250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Total Number of Shares</w:t>
            </w:r>
          </w:p>
        </w:tc>
        <w:tc>
          <w:tcPr>
            <w:tcW w:w="2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Maximum Number of Shares</w:t>
            </w:r>
          </w:p>
        </w:tc>
      </w:tr>
      <w:tr>
        <w:trPr>
          <w:trHeight w:val="177"/>
        </w:trPr>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Of Shares</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Price Paid</w:t>
            </w:r>
          </w:p>
        </w:tc>
        <w:tc>
          <w:tcPr>
            <w:tcW w:w="250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Purchased As Part of a</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That May Yet Be Purchased</w:t>
            </w:r>
          </w:p>
        </w:tc>
      </w:tr>
      <w:tr>
        <w:trPr>
          <w:trHeight w:val="177"/>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Period</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Purchased</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Per Share</w:t>
            </w:r>
          </w:p>
        </w:tc>
        <w:tc>
          <w:tcPr>
            <w:tcW w:w="250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Publicly Announced Plan*</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Under the Plan*</w:t>
            </w:r>
          </w:p>
        </w:tc>
      </w:tr>
      <w:tr>
        <w:trPr>
          <w:trHeight w:val="177"/>
        </w:trPr>
        <w:tc>
          <w:tcPr>
            <w:tcW w:w="92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w w:val="99"/>
              </w:rPr>
              <w:t>- ------</w:t>
            </w:r>
          </w:p>
        </w:tc>
        <w:tc>
          <w:tcPr>
            <w:tcW w:w="500" w:type="dxa"/>
            <w:vAlign w:val="bottom"/>
          </w:tcPr>
          <w:p>
            <w:pPr>
              <w:spacing w:after="0"/>
              <w:rPr>
                <w:sz w:val="15"/>
                <w:szCs w:val="15"/>
                <w:color w:val="auto"/>
              </w:rPr>
            </w:pPr>
          </w:p>
        </w:tc>
        <w:tc>
          <w:tcPr>
            <w:tcW w:w="14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420" w:type="dxa"/>
            <w:vAlign w:val="bottom"/>
            <w:gridSpan w:val="4"/>
          </w:tcPr>
          <w:p>
            <w:pPr>
              <w:spacing w:after="0"/>
              <w:rPr>
                <w:sz w:val="20"/>
                <w:szCs w:val="20"/>
                <w:color w:val="auto"/>
              </w:rPr>
            </w:pPr>
            <w:r>
              <w:rPr>
                <w:rFonts w:ascii="Courier New" w:cs="Courier New" w:eastAsia="Courier New" w:hAnsi="Courier New"/>
                <w:sz w:val="15"/>
                <w:szCs w:val="15"/>
                <w:color w:val="auto"/>
              </w:rPr>
              <w:t>January 2006</w:t>
            </w: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475,952</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$16.85</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475,952</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5,197,989</w:t>
            </w:r>
          </w:p>
        </w:tc>
      </w:tr>
      <w:tr>
        <w:trPr>
          <w:trHeight w:val="177"/>
        </w:trPr>
        <w:tc>
          <w:tcPr>
            <w:tcW w:w="1420" w:type="dxa"/>
            <w:vAlign w:val="bottom"/>
            <w:gridSpan w:val="4"/>
          </w:tcPr>
          <w:p>
            <w:pPr>
              <w:spacing w:after="0"/>
              <w:rPr>
                <w:sz w:val="20"/>
                <w:szCs w:val="20"/>
                <w:color w:val="auto"/>
              </w:rPr>
            </w:pPr>
            <w:r>
              <w:rPr>
                <w:rFonts w:ascii="Courier New" w:cs="Courier New" w:eastAsia="Courier New" w:hAnsi="Courier New"/>
                <w:sz w:val="15"/>
                <w:szCs w:val="15"/>
                <w:color w:val="auto"/>
              </w:rPr>
              <w:t>February 2006</w:t>
            </w: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1,630,596</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16.88</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1,630,596</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3,567,393</w:t>
            </w:r>
          </w:p>
        </w:tc>
      </w:tr>
      <w:tr>
        <w:trPr>
          <w:trHeight w:val="177"/>
        </w:trPr>
        <w:tc>
          <w:tcPr>
            <w:tcW w:w="920" w:type="dxa"/>
            <w:vAlign w:val="bottom"/>
            <w:gridSpan w:val="3"/>
          </w:tcPr>
          <w:p>
            <w:pPr>
              <w:spacing w:after="0"/>
              <w:rPr>
                <w:sz w:val="20"/>
                <w:szCs w:val="20"/>
                <w:color w:val="auto"/>
              </w:rPr>
            </w:pPr>
            <w:r>
              <w:rPr>
                <w:rFonts w:ascii="Courier New" w:cs="Courier New" w:eastAsia="Courier New" w:hAnsi="Courier New"/>
                <w:sz w:val="15"/>
                <w:szCs w:val="15"/>
                <w:color w:val="auto"/>
                <w:w w:val="99"/>
              </w:rPr>
              <w:t>March 2006</w:t>
            </w:r>
          </w:p>
        </w:tc>
        <w:tc>
          <w:tcPr>
            <w:tcW w:w="500" w:type="dxa"/>
            <w:vAlign w:val="bottom"/>
          </w:tcPr>
          <w:p>
            <w:pPr>
              <w:spacing w:after="0"/>
              <w:rPr>
                <w:sz w:val="15"/>
                <w:szCs w:val="15"/>
                <w:color w:val="auto"/>
              </w:rPr>
            </w:pP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697,000</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16.64</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697,000</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2,870,393</w:t>
            </w:r>
          </w:p>
        </w:tc>
      </w:tr>
      <w:tr>
        <w:trPr>
          <w:trHeight w:val="177"/>
        </w:trPr>
        <w:tc>
          <w:tcPr>
            <w:tcW w:w="920" w:type="dxa"/>
            <w:vAlign w:val="bottom"/>
            <w:gridSpan w:val="3"/>
          </w:tcPr>
          <w:p>
            <w:pPr>
              <w:spacing w:after="0"/>
              <w:rPr>
                <w:sz w:val="20"/>
                <w:szCs w:val="20"/>
                <w:color w:val="auto"/>
              </w:rPr>
            </w:pPr>
            <w:r>
              <w:rPr>
                <w:rFonts w:ascii="Courier New" w:cs="Courier New" w:eastAsia="Courier New" w:hAnsi="Courier New"/>
                <w:sz w:val="15"/>
                <w:szCs w:val="15"/>
                <w:color w:val="auto"/>
                <w:w w:val="99"/>
              </w:rPr>
              <w:t>April 2006</w:t>
            </w:r>
          </w:p>
        </w:tc>
        <w:tc>
          <w:tcPr>
            <w:tcW w:w="500" w:type="dxa"/>
            <w:vAlign w:val="bottom"/>
          </w:tcPr>
          <w:p>
            <w:pPr>
              <w:spacing w:after="0"/>
              <w:rPr>
                <w:sz w:val="15"/>
                <w:szCs w:val="15"/>
                <w:color w:val="auto"/>
              </w:rPr>
            </w:pP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750,006</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14.74</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750,006</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2,120,387</w:t>
            </w:r>
          </w:p>
        </w:tc>
      </w:tr>
      <w:tr>
        <w:trPr>
          <w:trHeight w:val="177"/>
        </w:trPr>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May</w:t>
            </w:r>
          </w:p>
        </w:tc>
        <w:tc>
          <w:tcPr>
            <w:tcW w:w="6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2006</w:t>
            </w:r>
          </w:p>
        </w:tc>
        <w:tc>
          <w:tcPr>
            <w:tcW w:w="500" w:type="dxa"/>
            <w:vAlign w:val="bottom"/>
          </w:tcPr>
          <w:p>
            <w:pPr>
              <w:spacing w:after="0"/>
              <w:rPr>
                <w:sz w:val="15"/>
                <w:szCs w:val="15"/>
                <w:color w:val="auto"/>
              </w:rPr>
            </w:pP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3,300,319</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14.82</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3,300,319</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6,820,068</w:t>
            </w:r>
          </w:p>
        </w:tc>
      </w:tr>
      <w:tr>
        <w:trPr>
          <w:trHeight w:val="177"/>
        </w:trPr>
        <w:tc>
          <w:tcPr>
            <w:tcW w:w="920" w:type="dxa"/>
            <w:vAlign w:val="bottom"/>
            <w:gridSpan w:val="3"/>
          </w:tcPr>
          <w:p>
            <w:pPr>
              <w:spacing w:after="0"/>
              <w:rPr>
                <w:sz w:val="20"/>
                <w:szCs w:val="20"/>
                <w:color w:val="auto"/>
              </w:rPr>
            </w:pPr>
            <w:r>
              <w:rPr>
                <w:rFonts w:ascii="Courier New" w:cs="Courier New" w:eastAsia="Courier New" w:hAnsi="Courier New"/>
                <w:sz w:val="15"/>
                <w:szCs w:val="15"/>
                <w:color w:val="auto"/>
              </w:rPr>
              <w:t>June 2006</w:t>
            </w:r>
          </w:p>
        </w:tc>
        <w:tc>
          <w:tcPr>
            <w:tcW w:w="500" w:type="dxa"/>
            <w:vAlign w:val="bottom"/>
          </w:tcPr>
          <w:p>
            <w:pPr>
              <w:spacing w:after="0"/>
              <w:rPr>
                <w:sz w:val="15"/>
                <w:szCs w:val="15"/>
                <w:color w:val="auto"/>
              </w:rPr>
            </w:pP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3,150,756</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14.16</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3,150,756</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3,669,312</w:t>
            </w:r>
          </w:p>
        </w:tc>
      </w:tr>
      <w:tr>
        <w:trPr>
          <w:trHeight w:val="177"/>
        </w:trPr>
        <w:tc>
          <w:tcPr>
            <w:tcW w:w="920" w:type="dxa"/>
            <w:vAlign w:val="bottom"/>
            <w:gridSpan w:val="3"/>
          </w:tcPr>
          <w:p>
            <w:pPr>
              <w:spacing w:after="0"/>
              <w:rPr>
                <w:sz w:val="20"/>
                <w:szCs w:val="20"/>
                <w:color w:val="auto"/>
              </w:rPr>
            </w:pPr>
            <w:r>
              <w:rPr>
                <w:rFonts w:ascii="Courier New" w:cs="Courier New" w:eastAsia="Courier New" w:hAnsi="Courier New"/>
                <w:sz w:val="15"/>
                <w:szCs w:val="15"/>
                <w:color w:val="auto"/>
              </w:rPr>
              <w:t>July 2006</w:t>
            </w:r>
          </w:p>
        </w:tc>
        <w:tc>
          <w:tcPr>
            <w:tcW w:w="500" w:type="dxa"/>
            <w:vAlign w:val="bottom"/>
          </w:tcPr>
          <w:p>
            <w:pPr>
              <w:spacing w:after="0"/>
              <w:rPr>
                <w:sz w:val="15"/>
                <w:szCs w:val="15"/>
                <w:color w:val="auto"/>
              </w:rPr>
            </w:pP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630,297</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13.34</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630,297</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3,039,015</w:t>
            </w:r>
          </w:p>
        </w:tc>
      </w:tr>
      <w:tr>
        <w:trPr>
          <w:trHeight w:val="177"/>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August</w:t>
            </w:r>
          </w:p>
        </w:tc>
        <w:tc>
          <w:tcPr>
            <w:tcW w:w="82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2006</w:t>
            </w: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1,763,771</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13.97</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1,763,771</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9,275,244</w:t>
            </w:r>
          </w:p>
        </w:tc>
      </w:tr>
      <w:tr>
        <w:trPr>
          <w:trHeight w:val="177"/>
        </w:trPr>
        <w:tc>
          <w:tcPr>
            <w:tcW w:w="920" w:type="dxa"/>
            <w:vAlign w:val="bottom"/>
            <w:gridSpan w:val="3"/>
          </w:tcPr>
          <w:p>
            <w:pPr>
              <w:spacing w:after="0"/>
              <w:rPr>
                <w:sz w:val="20"/>
                <w:szCs w:val="20"/>
                <w:color w:val="auto"/>
              </w:rPr>
            </w:pPr>
            <w:r>
              <w:rPr>
                <w:rFonts w:ascii="Courier New" w:cs="Courier New" w:eastAsia="Courier New" w:hAnsi="Courier New"/>
                <w:sz w:val="15"/>
                <w:szCs w:val="15"/>
                <w:color w:val="auto"/>
              </w:rPr>
              <w:t>September</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4"/>
              </w:rPr>
              <w:t>2006</w:t>
            </w: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1,574,103</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14.33</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1,574,103</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7,701,141</w:t>
            </w:r>
          </w:p>
        </w:tc>
      </w:tr>
      <w:tr>
        <w:trPr>
          <w:trHeight w:val="177"/>
        </w:trPr>
        <w:tc>
          <w:tcPr>
            <w:tcW w:w="1420" w:type="dxa"/>
            <w:vAlign w:val="bottom"/>
            <w:gridSpan w:val="4"/>
          </w:tcPr>
          <w:p>
            <w:pPr>
              <w:spacing w:after="0"/>
              <w:rPr>
                <w:sz w:val="20"/>
                <w:szCs w:val="20"/>
                <w:color w:val="auto"/>
              </w:rPr>
            </w:pPr>
            <w:r>
              <w:rPr>
                <w:rFonts w:ascii="Courier New" w:cs="Courier New" w:eastAsia="Courier New" w:hAnsi="Courier New"/>
                <w:sz w:val="15"/>
                <w:szCs w:val="15"/>
                <w:color w:val="auto"/>
              </w:rPr>
              <w:t>October 2006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c>
          <w:tcPr>
            <w:tcW w:w="6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679</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15.51</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525,679</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7,175,462</w:t>
            </w:r>
          </w:p>
        </w:tc>
      </w:tr>
      <w:tr>
        <w:trPr>
          <w:trHeight w:val="177"/>
        </w:trPr>
        <w:tc>
          <w:tcPr>
            <w:tcW w:w="1420" w:type="dxa"/>
            <w:vAlign w:val="bottom"/>
            <w:gridSpan w:val="4"/>
          </w:tcPr>
          <w:p>
            <w:pPr>
              <w:spacing w:after="0"/>
              <w:rPr>
                <w:sz w:val="20"/>
                <w:szCs w:val="20"/>
                <w:color w:val="auto"/>
              </w:rPr>
            </w:pPr>
            <w:r>
              <w:rPr>
                <w:rFonts w:ascii="Courier New" w:cs="Courier New" w:eastAsia="Courier New" w:hAnsi="Courier New"/>
                <w:sz w:val="15"/>
                <w:szCs w:val="15"/>
                <w:color w:val="auto"/>
              </w:rPr>
              <w:t>November 2006</w:t>
            </w: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255,836</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16.02</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255,836</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6,919,626</w:t>
            </w:r>
          </w:p>
        </w:tc>
      </w:tr>
      <w:tr>
        <w:trPr>
          <w:trHeight w:val="177"/>
        </w:trPr>
        <w:tc>
          <w:tcPr>
            <w:tcW w:w="1420" w:type="dxa"/>
            <w:vAlign w:val="bottom"/>
            <w:gridSpan w:val="4"/>
          </w:tcPr>
          <w:p>
            <w:pPr>
              <w:spacing w:after="0"/>
              <w:rPr>
                <w:sz w:val="20"/>
                <w:szCs w:val="20"/>
                <w:color w:val="auto"/>
              </w:rPr>
            </w:pPr>
            <w:r>
              <w:rPr>
                <w:rFonts w:ascii="Courier New" w:cs="Courier New" w:eastAsia="Courier New" w:hAnsi="Courier New"/>
                <w:sz w:val="15"/>
                <w:szCs w:val="15"/>
                <w:color w:val="auto"/>
              </w:rPr>
              <w:t>December 2006</w:t>
            </w: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451,369</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16.03</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451,369</w:t>
            </w:r>
          </w:p>
        </w:tc>
        <w:tc>
          <w:tcPr>
            <w:tcW w:w="252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6,468,257</w:t>
            </w:r>
          </w:p>
        </w:tc>
      </w:tr>
      <w:tr>
        <w:trPr>
          <w:trHeight w:val="177"/>
        </w:trPr>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6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w w:val="97"/>
              </w:rPr>
              <w:t>Total</w:t>
            </w:r>
          </w:p>
        </w:tc>
        <w:tc>
          <w:tcPr>
            <w:tcW w:w="500" w:type="dxa"/>
            <w:vAlign w:val="bottom"/>
          </w:tcPr>
          <w:p>
            <w:pPr>
              <w:spacing w:after="0"/>
              <w:rPr>
                <w:sz w:val="15"/>
                <w:szCs w:val="15"/>
                <w:color w:val="auto"/>
              </w:rPr>
            </w:pP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15,205,684</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$14.92</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15,205,684</w:t>
            </w:r>
          </w:p>
        </w:tc>
        <w:tc>
          <w:tcPr>
            <w:tcW w:w="252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spacing w:after="0"/>
              <w:rPr>
                <w:sz w:val="15"/>
                <w:szCs w:val="15"/>
                <w:color w:val="auto"/>
              </w:rPr>
            </w:pPr>
          </w:p>
        </w:tc>
      </w:tr>
    </w:tbl>
    <w:p>
      <w:pPr>
        <w:spacing w:after="0" w:line="360" w:lineRule="exact"/>
        <w:rPr>
          <w:sz w:val="20"/>
          <w:szCs w:val="20"/>
          <w:color w:val="auto"/>
        </w:rPr>
      </w:pPr>
    </w:p>
    <w:p>
      <w:pPr>
        <w:ind w:left="465" w:right="2939" w:hanging="465"/>
        <w:spacing w:after="0" w:line="252" w:lineRule="auto"/>
        <w:tabs>
          <w:tab w:leader="none" w:pos="4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above paragraph for data on which plan was announced, the total number of shares approved for repurchase under the plan, and the expiration date (if any) of the plan.</w:t>
      </w:r>
    </w:p>
    <w:p>
      <w:pPr>
        <w:spacing w:after="0" w:line="175" w:lineRule="exact"/>
        <w:rPr>
          <w:sz w:val="20"/>
          <w:szCs w:val="20"/>
          <w:color w:val="auto"/>
        </w:rPr>
      </w:pPr>
    </w:p>
    <w:p>
      <w:pPr>
        <w:ind w:left="5" w:right="3299" w:firstLine="923"/>
        <w:spacing w:after="0" w:line="253" w:lineRule="auto"/>
        <w:rPr>
          <w:sz w:val="20"/>
          <w:szCs w:val="20"/>
          <w:color w:val="auto"/>
        </w:rPr>
      </w:pPr>
      <w:r>
        <w:rPr>
          <w:rFonts w:ascii="Courier New" w:cs="Courier New" w:eastAsia="Courier New" w:hAnsi="Courier New"/>
          <w:sz w:val="15"/>
          <w:szCs w:val="15"/>
          <w:color w:val="auto"/>
        </w:rPr>
        <w:t>The following is a summary of quarterly share repurchase activity under the plan to date:</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800" w:type="dxa"/>
            <w:vAlign w:val="bottom"/>
          </w:tcPr>
          <w:p>
            <w:pPr>
              <w:spacing w:after="0"/>
              <w:rPr>
                <w:sz w:val="14"/>
                <w:szCs w:val="14"/>
                <w:color w:val="auto"/>
              </w:rPr>
            </w:pPr>
          </w:p>
        </w:tc>
        <w:tc>
          <w:tcPr>
            <w:tcW w:w="1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Total Number of</w:t>
            </w:r>
          </w:p>
        </w:tc>
        <w:tc>
          <w:tcPr>
            <w:tcW w:w="1700" w:type="dxa"/>
            <w:vAlign w:val="bottom"/>
          </w:tcPr>
          <w:p>
            <w:pPr>
              <w:spacing w:after="0"/>
              <w:rPr>
                <w:sz w:val="14"/>
                <w:szCs w:val="14"/>
                <w:color w:val="auto"/>
              </w:rPr>
            </w:pPr>
          </w:p>
        </w:tc>
      </w:tr>
      <w:tr>
        <w:trPr>
          <w:trHeight w:val="177"/>
        </w:trPr>
        <w:tc>
          <w:tcPr>
            <w:tcW w:w="1800" w:type="dxa"/>
            <w:vAlign w:val="bottom"/>
          </w:tcPr>
          <w:p>
            <w:pPr>
              <w:spacing w:after="0"/>
              <w:rPr>
                <w:sz w:val="15"/>
                <w:szCs w:val="15"/>
                <w:color w:val="auto"/>
              </w:rPr>
            </w:pPr>
          </w:p>
        </w:tc>
        <w:tc>
          <w:tcPr>
            <w:tcW w:w="1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Shares Purchased</w:t>
            </w:r>
          </w:p>
        </w:tc>
        <w:tc>
          <w:tcPr>
            <w:tcW w:w="17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Cost of</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Quarter Ended</w:t>
            </w:r>
          </w:p>
        </w:tc>
        <w:tc>
          <w:tcPr>
            <w:tcW w:w="18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(Post-Split)</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Shares Purchased</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800" w:type="dxa"/>
            <w:vAlign w:val="bottom"/>
          </w:tcPr>
          <w:p>
            <w:pPr>
              <w:spacing w:after="0"/>
              <w:rPr>
                <w:sz w:val="20"/>
                <w:szCs w:val="20"/>
                <w:color w:val="auto"/>
              </w:rPr>
            </w:pPr>
            <w:r>
              <w:rPr>
                <w:rFonts w:ascii="Courier New" w:cs="Courier New" w:eastAsia="Courier New" w:hAnsi="Courier New"/>
                <w:sz w:val="15"/>
                <w:szCs w:val="15"/>
                <w:color w:val="auto"/>
              </w:rPr>
              <w:t>March 31, 2003</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830,000</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$ 10,246,810</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September 30, 2005</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1,496,059</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25,214,573</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March 31, 2006</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2,803,548</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47,145,310</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June 30, 2006</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7,201,081</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104,604,414</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September 30, 2006</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3,968,171</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55,614,102</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December 31, 2006</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1,232,884</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19,487,427</w:t>
            </w:r>
          </w:p>
        </w:tc>
      </w:tr>
      <w:tr>
        <w:trPr>
          <w:trHeight w:val="177"/>
        </w:trPr>
        <w:tc>
          <w:tcPr>
            <w:tcW w:w="1800" w:type="dxa"/>
            <w:vAlign w:val="bottom"/>
          </w:tcPr>
          <w:p>
            <w:pPr>
              <w:spacing w:after="0"/>
              <w:rPr>
                <w:sz w:val="15"/>
                <w:szCs w:val="15"/>
                <w:color w:val="auto"/>
              </w:rPr>
            </w:pP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180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17,531,743</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$262,312,636</w:t>
            </w:r>
          </w:p>
        </w:tc>
      </w:tr>
      <w:tr>
        <w:trPr>
          <w:trHeight w:val="177"/>
        </w:trPr>
        <w:tc>
          <w:tcPr>
            <w:tcW w:w="1800" w:type="dxa"/>
            <w:vAlign w:val="bottom"/>
          </w:tcPr>
          <w:p>
            <w:pPr>
              <w:spacing w:after="0"/>
              <w:rPr>
                <w:sz w:val="15"/>
                <w:szCs w:val="15"/>
                <w:color w:val="auto"/>
              </w:rPr>
            </w:pP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710"/>
        </w:trPr>
        <w:tc>
          <w:tcPr>
            <w:tcW w:w="1800" w:type="dxa"/>
            <w:vAlign w:val="bottom"/>
          </w:tcPr>
          <w:p>
            <w:pPr>
              <w:spacing w:after="0"/>
              <w:rPr>
                <w:sz w:val="24"/>
                <w:szCs w:val="24"/>
                <w:color w:val="auto"/>
              </w:rPr>
            </w:pPr>
          </w:p>
        </w:tc>
        <w:tc>
          <w:tcPr>
            <w:tcW w:w="3540" w:type="dxa"/>
            <w:vAlign w:val="bottom"/>
            <w:gridSpan w:val="2"/>
          </w:tcPr>
          <w:p>
            <w:pPr>
              <w:jc w:val="right"/>
              <w:ind w:right="1403"/>
              <w:spacing w:after="0"/>
              <w:rPr>
                <w:sz w:val="20"/>
                <w:szCs w:val="20"/>
                <w:color w:val="auto"/>
              </w:rPr>
            </w:pPr>
            <w:r>
              <w:rPr>
                <w:rFonts w:ascii="Courier New" w:cs="Courier New" w:eastAsia="Courier New" w:hAnsi="Courier New"/>
                <w:sz w:val="15"/>
                <w:szCs w:val="15"/>
                <w:color w:val="auto"/>
              </w:rPr>
              <w:t>-17-</w:t>
            </w:r>
          </w:p>
        </w:tc>
      </w:tr>
    </w:tbl>
    <w:p>
      <w:pPr>
        <w:sectPr>
          <w:pgSz w:w="11900" w:h="16838" w:orient="portrait"/>
          <w:cols w:equalWidth="0" w:num="1">
            <w:col w:w="10225"/>
          </w:cols>
          <w:pgMar w:left="235" w:top="650" w:right="1440" w:bottom="1440" w:gutter="0" w:footer="0" w:header="0"/>
        </w:sectPr>
      </w:pPr>
    </w:p>
    <w:bookmarkStart w:id="18" w:name="page19"/>
    <w:bookmarkEnd w:id="18"/>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710"/>
        </w:trPr>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2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c>
          <w:tcPr>
            <w:tcW w:w="640" w:type="dxa"/>
            <w:vAlign w:val="bottom"/>
          </w:tcPr>
          <w:p>
            <w:pPr>
              <w:spacing w:after="0"/>
              <w:rPr>
                <w:sz w:val="24"/>
                <w:szCs w:val="24"/>
                <w:color w:val="auto"/>
              </w:rPr>
            </w:pPr>
          </w:p>
        </w:tc>
      </w:tr>
      <w:tr>
        <w:trPr>
          <w:trHeight w:val="177"/>
        </w:trPr>
        <w:tc>
          <w:tcPr>
            <w:tcW w:w="2540" w:type="dxa"/>
            <w:vAlign w:val="bottom"/>
          </w:tcPr>
          <w:p>
            <w:pPr>
              <w:spacing w:after="0"/>
              <w:rPr>
                <w:sz w:val="15"/>
                <w:szCs w:val="15"/>
                <w:color w:val="auto"/>
              </w:rPr>
            </w:pPr>
          </w:p>
        </w:tc>
        <w:tc>
          <w:tcPr>
            <w:tcW w:w="492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2006</w:t>
            </w:r>
          </w:p>
        </w:tc>
        <w:tc>
          <w:tcPr>
            <w:tcW w:w="38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2005</w:t>
            </w:r>
          </w:p>
        </w:tc>
        <w:tc>
          <w:tcPr>
            <w:tcW w:w="24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5"/>
                <w:szCs w:val="15"/>
                <w:color w:val="auto"/>
              </w:rPr>
            </w:pPr>
          </w:p>
        </w:tc>
        <w:tc>
          <w:tcPr>
            <w:tcW w:w="8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2002</w:t>
            </w:r>
          </w:p>
        </w:tc>
      </w:tr>
      <w:tr>
        <w:trPr>
          <w:trHeight w:val="177"/>
        </w:trPr>
        <w:tc>
          <w:tcPr>
            <w:tcW w:w="25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572,267</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536,484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505,666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469,019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395,258</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108,761</w:t>
            </w:r>
          </w:p>
        </w:tc>
        <w:tc>
          <w:tcPr>
            <w:tcW w:w="3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109,528</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112,657</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106,761</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85,771</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0.70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0.72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0.56</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Cash Dividends Declared</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per Common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0.37</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0.35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785,028</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922,646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856,859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762,530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609,173</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Long-Term Debt Outstanding</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at Year End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465" w:hanging="465"/>
        <w:spacing w:after="0"/>
        <w:tabs>
          <w:tab w:leader="none" w:pos="4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for 2-for-1 stock split in May 2005.</w:t>
      </w:r>
    </w:p>
    <w:p>
      <w:pPr>
        <w:spacing w:after="0" w:line="185" w:lineRule="exact"/>
        <w:rPr>
          <w:sz w:val="20"/>
          <w:szCs w:val="20"/>
          <w:color w:val="auto"/>
        </w:rPr>
      </w:pPr>
    </w:p>
    <w:p>
      <w:pPr>
        <w:ind w:left="5" w:right="2939"/>
        <w:spacing w:after="0" w:line="253"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left="5" w:right="2839" w:firstLine="923"/>
        <w:spacing w:after="0" w:line="251" w:lineRule="auto"/>
        <w:rPr>
          <w:sz w:val="20"/>
          <w:szCs w:val="20"/>
          <w:color w:val="auto"/>
        </w:rPr>
      </w:pPr>
      <w:r>
        <w:rPr>
          <w:rFonts w:ascii="Courier New" w:cs="Courier New" w:eastAsia="Courier New" w:hAnsi="Courier New"/>
          <w:sz w:val="15"/>
          <w:szCs w:val="15"/>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200" w:lineRule="exact"/>
        <w:rPr>
          <w:sz w:val="20"/>
          <w:szCs w:val="20"/>
          <w:color w:val="auto"/>
        </w:rPr>
      </w:pPr>
    </w:p>
    <w:p>
      <w:pPr>
        <w:spacing w:after="0" w:line="33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2400" w:type="dxa"/>
            <w:vAlign w:val="bottom"/>
            <w:gridSpan w:val="3"/>
          </w:tcPr>
          <w:p>
            <w:pPr>
              <w:jc w:val="right"/>
              <w:ind w:right="63"/>
              <w:spacing w:after="0"/>
              <w:rPr>
                <w:sz w:val="20"/>
                <w:szCs w:val="20"/>
                <w:color w:val="auto"/>
              </w:rPr>
            </w:pPr>
            <w:r>
              <w:rPr>
                <w:rFonts w:ascii="Courier New" w:cs="Courier New" w:eastAsia="Courier New" w:hAnsi="Courier New"/>
                <w:sz w:val="15"/>
                <w:szCs w:val="15"/>
                <w:color w:val="auto"/>
              </w:rPr>
              <w:t>Percentage of Net Sales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7"/>
        </w:trPr>
        <w:tc>
          <w:tcPr>
            <w:tcW w:w="4200" w:type="dxa"/>
            <w:vAlign w:val="bottom"/>
          </w:tcPr>
          <w:p>
            <w:pPr>
              <w:spacing w:after="0"/>
              <w:rPr>
                <w:sz w:val="15"/>
                <w:szCs w:val="15"/>
                <w:color w:val="auto"/>
              </w:rPr>
            </w:pPr>
          </w:p>
        </w:tc>
        <w:tc>
          <w:tcPr>
            <w:tcW w:w="2400" w:type="dxa"/>
            <w:vAlign w:val="bottom"/>
            <w:gridSpan w:val="3"/>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Percentage Change</w:t>
            </w:r>
          </w:p>
        </w:tc>
      </w:tr>
      <w:tr>
        <w:trPr>
          <w:trHeight w:val="177"/>
        </w:trPr>
        <w:tc>
          <w:tcPr>
            <w:tcW w:w="4200" w:type="dxa"/>
            <w:vAlign w:val="bottom"/>
          </w:tcPr>
          <w:p>
            <w:pPr>
              <w:spacing w:after="0"/>
              <w:rPr>
                <w:sz w:val="15"/>
                <w:szCs w:val="15"/>
                <w:color w:val="auto"/>
              </w:rPr>
            </w:pPr>
          </w:p>
        </w:tc>
        <w:tc>
          <w:tcPr>
            <w:tcW w:w="2400" w:type="dxa"/>
            <w:vAlign w:val="bottom"/>
            <w:gridSpan w:val="3"/>
          </w:tcPr>
          <w:p>
            <w:pPr>
              <w:jc w:val="right"/>
              <w:ind w:right="63"/>
              <w:spacing w:after="0"/>
              <w:rPr>
                <w:sz w:val="20"/>
                <w:szCs w:val="20"/>
                <w:color w:val="auto"/>
              </w:rPr>
            </w:pPr>
            <w:r>
              <w:rPr>
                <w:rFonts w:ascii="Courier New" w:cs="Courier New" w:eastAsia="Courier New" w:hAnsi="Courier New"/>
                <w:sz w:val="15"/>
                <w:szCs w:val="15"/>
                <w:color w:val="auto"/>
              </w:rPr>
              <w:t>Year Ended December 31,</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200" w:type="dxa"/>
            <w:vAlign w:val="bottom"/>
          </w:tcPr>
          <w:p>
            <w:pPr>
              <w:spacing w:after="0"/>
              <w:rPr>
                <w:sz w:val="15"/>
                <w:szCs w:val="15"/>
                <w:color w:val="auto"/>
              </w:rPr>
            </w:pPr>
          </w:p>
        </w:tc>
        <w:tc>
          <w:tcPr>
            <w:tcW w:w="2400" w:type="dxa"/>
            <w:vAlign w:val="bottom"/>
            <w:gridSpan w:val="3"/>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2006</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4200" w:type="dxa"/>
            <w:vAlign w:val="bottom"/>
          </w:tcPr>
          <w:p>
            <w:pPr>
              <w:spacing w:after="0"/>
              <w:rPr>
                <w:sz w:val="15"/>
                <w:szCs w:val="15"/>
                <w:color w:val="auto"/>
              </w:rPr>
            </w:pP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2006</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2005</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2004</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to 2005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to 2004</w:t>
            </w:r>
          </w:p>
        </w:tc>
      </w:tr>
      <w:tr>
        <w:trPr>
          <w:trHeight w:val="177"/>
        </w:trPr>
        <w:tc>
          <w:tcPr>
            <w:tcW w:w="4200" w:type="dxa"/>
            <w:vAlign w:val="bottom"/>
          </w:tcPr>
          <w:p>
            <w:pPr>
              <w:spacing w:after="0"/>
              <w:rPr>
                <w:sz w:val="15"/>
                <w:szCs w:val="15"/>
                <w:color w:val="auto"/>
              </w:rPr>
            </w:pP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100.0%</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100.0%</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6.7%</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65.2</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63.0</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58.9</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10.5</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13.4</w:t>
            </w:r>
          </w:p>
        </w:tc>
      </w:tr>
      <w:tr>
        <w:trPr>
          <w:trHeight w:val="177"/>
        </w:trPr>
        <w:tc>
          <w:tcPr>
            <w:tcW w:w="4200" w:type="dxa"/>
            <w:vAlign w:val="bottom"/>
          </w:tcPr>
          <w:p>
            <w:pPr>
              <w:spacing w:after="0"/>
              <w:rPr>
                <w:sz w:val="15"/>
                <w:szCs w:val="15"/>
                <w:color w:val="auto"/>
              </w:rPr>
            </w:pP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Gross Profit</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34.8</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37.0</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41.1</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0.2</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Engineering, Research and Development</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7.3</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6.1</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19.2</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13.7</w:t>
            </w:r>
          </w:p>
        </w:tc>
      </w:tr>
      <w:tr>
        <w:trPr>
          <w:trHeight w:val="177"/>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Selling, General and Administrative</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5.1</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5.3</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13.2</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w:t>
            </w:r>
          </w:p>
        </w:tc>
      </w:tr>
      <w:tr>
        <w:trPr>
          <w:trHeight w:val="177"/>
        </w:trPr>
        <w:tc>
          <w:tcPr>
            <w:tcW w:w="4200" w:type="dxa"/>
            <w:vAlign w:val="bottom"/>
          </w:tcPr>
          <w:p>
            <w:pPr>
              <w:spacing w:after="0"/>
              <w:rPr>
                <w:sz w:val="15"/>
                <w:szCs w:val="15"/>
                <w:color w:val="auto"/>
              </w:rPr>
            </w:pP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200" w:type="dxa"/>
            <w:vAlign w:val="bottom"/>
          </w:tcPr>
          <w:p>
            <w:pPr>
              <w:ind w:left="540"/>
              <w:spacing w:after="0"/>
              <w:rPr>
                <w:sz w:val="20"/>
                <w:szCs w:val="20"/>
                <w:color w:val="auto"/>
              </w:rPr>
            </w:pPr>
            <w:r>
              <w:rPr>
                <w:rFonts w:ascii="Courier New" w:cs="Courier New" w:eastAsia="Courier New" w:hAnsi="Courier New"/>
                <w:sz w:val="15"/>
                <w:szCs w:val="15"/>
                <w:color w:val="auto"/>
              </w:rPr>
              <w:t>Total Operating Expenses</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12.7</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11.6</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11.4</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16.5</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8.1</w:t>
            </w:r>
          </w:p>
        </w:tc>
      </w:tr>
      <w:tr>
        <w:trPr>
          <w:trHeight w:val="177"/>
        </w:trPr>
        <w:tc>
          <w:tcPr>
            <w:tcW w:w="4200" w:type="dxa"/>
            <w:vAlign w:val="bottom"/>
          </w:tcPr>
          <w:p>
            <w:pPr>
              <w:spacing w:after="0"/>
              <w:rPr>
                <w:sz w:val="15"/>
                <w:szCs w:val="15"/>
                <w:color w:val="auto"/>
              </w:rPr>
            </w:pP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Operating Income</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22.1</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25.4</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29.7</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(7.2)</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(9.2)</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5.7</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3.1</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37.8</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50.6</w:t>
            </w:r>
          </w:p>
        </w:tc>
      </w:tr>
      <w:tr>
        <w:trPr>
          <w:trHeight w:val="177"/>
        </w:trPr>
        <w:tc>
          <w:tcPr>
            <w:tcW w:w="4200" w:type="dxa"/>
            <w:vAlign w:val="bottom"/>
          </w:tcPr>
          <w:p>
            <w:pPr>
              <w:spacing w:after="0"/>
              <w:rPr>
                <w:sz w:val="15"/>
                <w:szCs w:val="15"/>
                <w:color w:val="auto"/>
              </w:rPr>
            </w:pP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Income Before Provision for  Income Taxes</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27.8</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29.8</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32.8</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(0.6)</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8.8</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9.4</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10.5</w:t>
            </w: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(0.3)</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w:t>
            </w:r>
          </w:p>
        </w:tc>
      </w:tr>
      <w:tr>
        <w:trPr>
          <w:trHeight w:val="177"/>
        </w:trPr>
        <w:tc>
          <w:tcPr>
            <w:tcW w:w="4200" w:type="dxa"/>
            <w:vAlign w:val="bottom"/>
          </w:tcPr>
          <w:p>
            <w:pPr>
              <w:spacing w:after="0"/>
              <w:rPr>
                <w:sz w:val="15"/>
                <w:szCs w:val="15"/>
                <w:color w:val="auto"/>
              </w:rPr>
            </w:pP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20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19.0%</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20.4%</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22.3%</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7"/>
        </w:trPr>
        <w:tc>
          <w:tcPr>
            <w:tcW w:w="4200" w:type="dxa"/>
            <w:vAlign w:val="bottom"/>
          </w:tcPr>
          <w:p>
            <w:pPr>
              <w:spacing w:after="0"/>
              <w:rPr>
                <w:sz w:val="15"/>
                <w:szCs w:val="15"/>
                <w:color w:val="auto"/>
              </w:rPr>
            </w:pP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RESULTS OF OPERATIONS: 2006 TO 2005</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Net Sales. Company net sales increased by $35,783,000, or 7% compared to the prior year. Automotive net sales increased by 7% on a 7% increase in mirror shipments, from 12,570,000 to 13,427,000 units, primarily reflecting increased penetration of interior and exterior auto-dimming mirrors on European and Asian vehicles. North American mirror unit shipments increased by 1%, primarily due to takeover business from Magna Donnelly at General Motors partially offset by lower customer production volumes on light trucks and sport utility vehicles in North America. Overseas unit shipments increased by 12% during 2006 due to increased penetration at certain European and Asian automakers. Net sales of the Company's fire protection products increased 1%, primarily due to stronger sales of certain signal products.</w:t>
      </w:r>
    </w:p>
    <w:p>
      <w:pPr>
        <w:spacing w:after="0" w:line="182"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Cost of Goods Sold. As a percentage of net sales, cost of goods sold increased from 63% to 65% primarily reflecting the impact of automotive customer price reductions. For the year ended December 31, 2006, stock option expense impacted cost of goods sold by $2,266,000. Effective January 1, 2006, the Company adopted SFAS 123(R).</w:t>
      </w:r>
    </w:p>
    <w:p>
      <w:pPr>
        <w:spacing w:after="0" w:line="35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5"/>
          </w:cols>
          <w:pgMar w:left="235" w:top="650" w:right="1440" w:bottom="1081" w:gutter="0" w:footer="0" w:header="0"/>
        </w:sectPr>
      </w:pPr>
    </w:p>
    <w:bookmarkStart w:id="19" w:name="page20"/>
    <w:bookmarkEnd w:id="19"/>
    <w:p>
      <w:pPr>
        <w:ind w:right="2839" w:firstLine="461"/>
        <w:spacing w:after="0" w:line="250" w:lineRule="auto"/>
        <w:rPr>
          <w:sz w:val="20"/>
          <w:szCs w:val="20"/>
          <w:color w:val="auto"/>
        </w:rPr>
      </w:pPr>
      <w:r>
        <w:rPr>
          <w:rFonts w:ascii="Courier New" w:cs="Courier New" w:eastAsia="Courier New" w:hAnsi="Courier New"/>
          <w:sz w:val="15"/>
          <w:szCs w:val="15"/>
          <w:color w:val="auto"/>
        </w:rPr>
        <w:t>Operating Expenses. Engineering, research and development expenses increased approximately $6,714,000, but remained at 7% of net sales. Excluding stock option expense of $2,503,000, E,R &amp; D expenses increased by 12%, primarily due to additional staffing for new electronic product development, including SmartBeam and telematics and new vehicle programs. Selling, general and administrative expenses increased approximately $3,596,000, but remained at 5% of net sales. Excluding stock option expense of $2,290,000, S, G &amp; A expenses increased by 5%, primarily reflecting the continued expansion of the Company's overseas sales offices to support the Company's current and future overseas sales growth, partially offset by a reduction in non-income based state taxes.</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Other Income - Net. Investment income increased $3,715,000 in 2006, primarily due to increased interest income due to higher interest rates, partially offset by lower investable funds. Other income increased $5,212,000 in 2006, primarily due to realized gains on the sale of equity investments.</w:t>
      </w:r>
    </w:p>
    <w:p>
      <w:pPr>
        <w:spacing w:after="0" w:line="176" w:lineRule="exact"/>
        <w:rPr>
          <w:sz w:val="20"/>
          <w:szCs w:val="20"/>
          <w:color w:val="auto"/>
        </w:rPr>
      </w:pPr>
    </w:p>
    <w:p>
      <w:pPr>
        <w:ind w:right="3219" w:firstLine="461"/>
        <w:spacing w:after="0" w:line="251"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 in 2006 primarily due to Extra Territorial Income (ETI) Exclusion Act exempted taxable income from increased foreign sales and the domestic manufacturing deduction.</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Net Income. Net income decreased by $767,000, or 1%. Excluding stock option expense of $4,555,000, the Company's net income increased by 3% primarily reflecting the increase in other income, partially offset by decreased gross margin primarily due to the impact of automotive customer price reductions.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2005 TO 2004</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Net Sales. Automotive net sales increased by 6% on an 8% increase in mirror shipments, from 11,640,000 to 12,570,000 units, primarily reflecting increased penetration of interior and exterior auto-dimming mirrors on European vehicles. North American mirror unit shipments increased by 4%, as growth in Asian transplant vehicle penetration was partially offset by reduced shipments to domestic automakers due to their lower production volumes, while overseas unit shipments increased by 12% during 2005. Net sales of the Company's fire protection products increased 5%, primarily due to stronger sales of certain fire alarm and signal products.</w:t>
      </w:r>
    </w:p>
    <w:p>
      <w:pPr>
        <w:spacing w:after="0" w:line="17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Cost of Goods Sold. As a percentage of net sales, cost of goods sold increased from 59% to 63% primarily reflecting annual and other automotive customer price reductions, product mix, higher fixed overhead expenses, and yield issues on certain new exterior mirror production lines and in the microelectronics manufacturing area. Each factor is estimated to have impacted cost of goods sold by approximately 1-2%.</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Operating Expenses. Engineering, research and development expenses increased approximately $4,226,000, and increased from 6% to 7% of net sales, primarily due to additional staffing for new electronic product development, including SmartBeam and telematics, and new vehicle programs. Selling, general and administrative expenses increased approximately $441,000, but remained at 5% of net sales, primarily reflecting the continued expansion of the Company's overseas sales offices to support the Company's current and future overseas sales growth, partially offset by a reduction in state taxes.</w:t>
      </w:r>
    </w:p>
    <w:p>
      <w:pPr>
        <w:spacing w:after="0" w:line="17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Other Income - Net. Investment income increased $9,648,000 in 2005, primarily due to increased year-end mutual fund distribution income and increased interest income due to higher interest rates. Other income decreased $1,714,000 in 2005, primarily due to decreased realized gains on the sale of equity investments.</w:t>
      </w:r>
    </w:p>
    <w:p>
      <w:pPr>
        <w:spacing w:after="0" w:line="176" w:lineRule="exact"/>
        <w:rPr>
          <w:sz w:val="20"/>
          <w:szCs w:val="20"/>
          <w:color w:val="auto"/>
        </w:rPr>
      </w:pPr>
    </w:p>
    <w:p>
      <w:pPr>
        <w:jc w:val="both"/>
        <w:ind w:right="3119" w:firstLine="461"/>
        <w:spacing w:after="0" w:line="252" w:lineRule="auto"/>
        <w:rPr>
          <w:sz w:val="20"/>
          <w:szCs w:val="20"/>
          <w:color w:val="auto"/>
        </w:rPr>
      </w:pPr>
      <w:r>
        <w:rPr>
          <w:rFonts w:ascii="Courier New" w:cs="Courier New" w:eastAsia="Courier New" w:hAnsi="Courier New"/>
          <w:sz w:val="15"/>
          <w:szCs w:val="15"/>
          <w:color w:val="auto"/>
        </w:rPr>
        <w:t>Taxes. The provision for federal income taxes varied from the statutory rate in 2005 primarily due to Extra Territorial Income Exclusion Act exempted taxable income from increased foreign sales.</w:t>
      </w:r>
    </w:p>
    <w:p>
      <w:pPr>
        <w:spacing w:after="0" w:line="175"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color w:val="auto"/>
        </w:rPr>
        <w:t>Net Income. Net income decreased by 3%, primarily reflecting the decreased gross margin partially offset by increased other income in 2005.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5" w:lineRule="exact"/>
        <w:rPr>
          <w:sz w:val="20"/>
          <w:szCs w:val="20"/>
          <w:color w:val="auto"/>
        </w:rPr>
      </w:pPr>
    </w:p>
    <w:p>
      <w:pPr>
        <w:ind w:right="2839" w:firstLine="923"/>
        <w:spacing w:after="0" w:line="253" w:lineRule="auto"/>
        <w:rPr>
          <w:sz w:val="20"/>
          <w:szCs w:val="20"/>
          <w:color w:val="auto"/>
        </w:rPr>
      </w:pPr>
      <w:r>
        <w:rPr>
          <w:rFonts w:ascii="Courier New" w:cs="Courier New" w:eastAsia="Courier New" w:hAnsi="Courier New"/>
          <w:sz w:val="15"/>
          <w:szCs w:val="15"/>
          <w:color w:val="auto"/>
        </w:rPr>
        <w:t>The Company's financial condition throughout the periods presented has remained very strong.</w:t>
      </w:r>
    </w:p>
    <w:p>
      <w:pPr>
        <w:spacing w:after="0" w:line="174" w:lineRule="exact"/>
        <w:rPr>
          <w:sz w:val="20"/>
          <w:szCs w:val="20"/>
          <w:color w:val="auto"/>
        </w:rPr>
      </w:pPr>
    </w:p>
    <w:p>
      <w:pPr>
        <w:ind w:right="3019" w:firstLine="923"/>
        <w:spacing w:after="0" w:line="252" w:lineRule="auto"/>
        <w:rPr>
          <w:sz w:val="20"/>
          <w:szCs w:val="20"/>
          <w:color w:val="auto"/>
        </w:rPr>
      </w:pPr>
      <w:r>
        <w:rPr>
          <w:rFonts w:ascii="Courier New" w:cs="Courier New" w:eastAsia="Courier New" w:hAnsi="Courier New"/>
          <w:sz w:val="15"/>
          <w:szCs w:val="15"/>
          <w:color w:val="auto"/>
        </w:rPr>
        <w:t>The Company's current ratio decreased from 10.7 as of December 31, 2005, to 7.8 as of December 31, 2006, primarily as a result of the decrease in cash and cash equivalents due to share repurchases during the year.</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50" w:right="1440" w:bottom="1440" w:gutter="0" w:footer="0" w:header="0"/>
        </w:sectPr>
      </w:pPr>
    </w:p>
    <w:bookmarkStart w:id="20" w:name="page21"/>
    <w:bookmarkEnd w:id="20"/>
    <w:p>
      <w:pPr>
        <w:ind w:right="3119" w:firstLine="923"/>
        <w:spacing w:after="0" w:line="250" w:lineRule="auto"/>
        <w:rPr>
          <w:sz w:val="20"/>
          <w:szCs w:val="20"/>
          <w:color w:val="auto"/>
        </w:rPr>
      </w:pPr>
      <w:r>
        <w:rPr>
          <w:rFonts w:ascii="Courier New" w:cs="Courier New" w:eastAsia="Courier New" w:hAnsi="Courier New"/>
          <w:sz w:val="15"/>
          <w:szCs w:val="15"/>
          <w:color w:val="auto"/>
        </w:rPr>
        <w:t>Cash flow from operating activities for the year ended December 31, 2006, increased $5,196,000 to $131,440,000, compared to $126,244,000 for the same period last year, primarily due to a decrease in accounts receivable. Capital expenditures for the year ended December 31, 2006, decreased to</w:t>
      </w:r>
    </w:p>
    <w:p>
      <w:pPr>
        <w:spacing w:after="0" w:line="2"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$48,193,000, compared to $53,533,000 for the same period last year, primarily due to the completion of the new facilities in mid 2006. The Company currently anticipates capital expenditures of approximately $40-45 million for equipment and an addition to its exterior automotive mirror manufacturing plant during 2007, financed from existing cash and/or cash equivalents on hand.</w:t>
      </w:r>
    </w:p>
    <w:p>
      <w:pPr>
        <w:spacing w:after="0" w:line="176" w:lineRule="exact"/>
        <w:rPr>
          <w:sz w:val="20"/>
          <w:szCs w:val="20"/>
          <w:color w:val="auto"/>
        </w:rPr>
      </w:pPr>
    </w:p>
    <w:p>
      <w:pPr>
        <w:ind w:right="2839" w:firstLine="923"/>
        <w:spacing w:after="0" w:line="252" w:lineRule="auto"/>
        <w:rPr>
          <w:sz w:val="20"/>
          <w:szCs w:val="20"/>
          <w:color w:val="auto"/>
        </w:rPr>
      </w:pPr>
      <w:r>
        <w:rPr>
          <w:rFonts w:ascii="Courier New" w:cs="Courier New" w:eastAsia="Courier New" w:hAnsi="Courier New"/>
          <w:sz w:val="15"/>
          <w:szCs w:val="15"/>
          <w:color w:val="auto"/>
        </w:rPr>
        <w:t>Cash and cash equivalents as of December 31, 2006, decreased approximately $194,182,000 compared to December 31, 2005, primarily due to share repurchases.</w:t>
      </w:r>
    </w:p>
    <w:p>
      <w:pPr>
        <w:spacing w:after="0" w:line="17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Inventories as of December 31, 2006, increased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$8,969,000 compared to December 31, 2005. The increase was primarily due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longer lead times on certain electronic components, smoothing out holiday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 and building up parts in anticipation of manufacturing line moves.</w:t>
      </w:r>
    </w:p>
    <w:p>
      <w:pPr>
        <w:spacing w:after="0" w:line="185" w:lineRule="exact"/>
        <w:rPr>
          <w:sz w:val="20"/>
          <w:szCs w:val="20"/>
          <w:color w:val="auto"/>
        </w:rPr>
      </w:pPr>
    </w:p>
    <w:p>
      <w:pPr>
        <w:ind w:right="2939" w:firstLine="923"/>
        <w:spacing w:after="0" w:line="252" w:lineRule="auto"/>
        <w:rPr>
          <w:sz w:val="20"/>
          <w:szCs w:val="20"/>
          <w:color w:val="auto"/>
        </w:rPr>
      </w:pPr>
      <w:r>
        <w:rPr>
          <w:rFonts w:ascii="Courier New" w:cs="Courier New" w:eastAsia="Courier New" w:hAnsi="Courier New"/>
          <w:sz w:val="15"/>
          <w:szCs w:val="15"/>
          <w:color w:val="auto"/>
        </w:rPr>
        <w:t>The increase in plant and equipment as of December 31, 2006, compared to December 31, 2005, is primarily due to new manufacturing equipment and the completion of the new facilities.</w:t>
      </w:r>
    </w:p>
    <w:p>
      <w:pPr>
        <w:spacing w:after="0" w:line="17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Management considers the Company's working capital of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$389,515,000 and long-term investments of approximately $146,216,000 at December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2006, together with internally generated cash flow and an unsecured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$5,000,000 line of credit from a bank, to be sufficient to cover anticipated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needs for the next year and for the foreseeable future.</w:t>
      </w:r>
    </w:p>
    <w:p>
      <w:pPr>
        <w:spacing w:after="0" w:line="185" w:lineRule="exact"/>
        <w:rPr>
          <w:sz w:val="20"/>
          <w:szCs w:val="20"/>
          <w:color w:val="auto"/>
        </w:rPr>
      </w:pPr>
    </w:p>
    <w:p>
      <w:pPr>
        <w:ind w:right="2939" w:firstLine="923"/>
        <w:spacing w:after="0" w:line="250" w:lineRule="auto"/>
        <w:rPr>
          <w:sz w:val="20"/>
          <w:szCs w:val="20"/>
          <w:color w:val="auto"/>
        </w:rPr>
      </w:pPr>
      <w:r>
        <w:rPr>
          <w:rFonts w:ascii="Courier New" w:cs="Courier New" w:eastAsia="Courier New" w:hAnsi="Courier New"/>
          <w:sz w:val="15"/>
          <w:szCs w:val="15"/>
          <w:color w:val="auto"/>
        </w:rPr>
        <w:t>On October 8, 2002, the Company announced a share repurchase plan, under which it may purchase up to 8,000,000 shares (post-split) based on a number of factors, including market conditions, the market price of the Company's common stock, anti-dilutive effect on earnings, available cash and other factors that the Company deems appropriate. On July 20, 2005, the Company announced that it had raised the price at which the Company may repurchase shares under the existing plan. On May 16, 2006, the Company announced that the Company's Board of Directors had authorized the repurchase of an additional 8,000,000 shares under the plan. On August 14, 2006, the Company announced that the Company's Board of Directors had authorized the repurchase of an additional 8,000,000 shares under the plan.</w:t>
      </w:r>
    </w:p>
    <w:p>
      <w:pPr>
        <w:spacing w:after="0" w:line="182" w:lineRule="exact"/>
        <w:rPr>
          <w:sz w:val="20"/>
          <w:szCs w:val="20"/>
          <w:color w:val="auto"/>
        </w:rPr>
      </w:pPr>
    </w:p>
    <w:p>
      <w:pPr>
        <w:ind w:right="3299" w:firstLine="923"/>
        <w:spacing w:after="0" w:line="253" w:lineRule="auto"/>
        <w:rPr>
          <w:sz w:val="20"/>
          <w:szCs w:val="20"/>
          <w:color w:val="auto"/>
        </w:rPr>
      </w:pPr>
      <w:r>
        <w:rPr>
          <w:rFonts w:ascii="Courier New" w:cs="Courier New" w:eastAsia="Courier New" w:hAnsi="Courier New"/>
          <w:sz w:val="15"/>
          <w:szCs w:val="15"/>
          <w:color w:val="auto"/>
        </w:rPr>
        <w:t>The following is a summary of quarterly share repurchase activity under the plan to date: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spacing w:after="0"/>
              <w:rPr>
                <w:sz w:val="14"/>
                <w:szCs w:val="14"/>
                <w:color w:val="auto"/>
              </w:rPr>
            </w:pPr>
          </w:p>
        </w:tc>
        <w:tc>
          <w:tcPr>
            <w:tcW w:w="1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Total Number of</w:t>
            </w:r>
          </w:p>
        </w:tc>
        <w:tc>
          <w:tcPr>
            <w:tcW w:w="1700" w:type="dxa"/>
            <w:vAlign w:val="bottom"/>
          </w:tcPr>
          <w:p>
            <w:pPr>
              <w:spacing w:after="0"/>
              <w:rPr>
                <w:sz w:val="14"/>
                <w:szCs w:val="14"/>
                <w:color w:val="auto"/>
              </w:rPr>
            </w:pPr>
          </w:p>
        </w:tc>
      </w:tr>
      <w:tr>
        <w:trPr>
          <w:trHeight w:val="177"/>
        </w:trPr>
        <w:tc>
          <w:tcPr>
            <w:tcW w:w="1800" w:type="dxa"/>
            <w:vAlign w:val="bottom"/>
          </w:tcPr>
          <w:p>
            <w:pPr>
              <w:spacing w:after="0"/>
              <w:rPr>
                <w:sz w:val="15"/>
                <w:szCs w:val="15"/>
                <w:color w:val="auto"/>
              </w:rPr>
            </w:pPr>
          </w:p>
        </w:tc>
        <w:tc>
          <w:tcPr>
            <w:tcW w:w="1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Shares Purchased</w:t>
            </w:r>
          </w:p>
        </w:tc>
        <w:tc>
          <w:tcPr>
            <w:tcW w:w="17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Cost of</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Quarter Ended</w:t>
            </w:r>
          </w:p>
        </w:tc>
        <w:tc>
          <w:tcPr>
            <w:tcW w:w="1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(Post-Split)</w:t>
            </w: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Shares Purchased</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800" w:type="dxa"/>
            <w:vAlign w:val="bottom"/>
          </w:tcPr>
          <w:p>
            <w:pPr>
              <w:spacing w:after="0"/>
              <w:rPr>
                <w:sz w:val="20"/>
                <w:szCs w:val="20"/>
                <w:color w:val="auto"/>
              </w:rPr>
            </w:pPr>
            <w:r>
              <w:rPr>
                <w:rFonts w:ascii="Courier New" w:cs="Courier New" w:eastAsia="Courier New" w:hAnsi="Courier New"/>
                <w:sz w:val="15"/>
                <w:szCs w:val="15"/>
                <w:color w:val="auto"/>
              </w:rPr>
              <w:t>March 31, 2003</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830,000</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$10,246,810</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September 30, 2005</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1,496,059</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25,214,573</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March 31, 2006</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2,803,548</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47,145,310</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June 30, 2006</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7,201,081</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104,604,414</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September 30, 2006</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3,968,171</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55,614,102</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December 31, 2006</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1,232,884</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19,487,427</w:t>
            </w:r>
          </w:p>
        </w:tc>
      </w:tr>
      <w:tr>
        <w:trPr>
          <w:trHeight w:val="177"/>
        </w:trPr>
        <w:tc>
          <w:tcPr>
            <w:tcW w:w="1800" w:type="dxa"/>
            <w:vAlign w:val="bottom"/>
          </w:tcPr>
          <w:p>
            <w:pPr>
              <w:spacing w:after="0"/>
              <w:rPr>
                <w:sz w:val="15"/>
                <w:szCs w:val="15"/>
                <w:color w:val="auto"/>
              </w:rPr>
            </w:pP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17,531,743</w:t>
            </w: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$262,312,636</w:t>
            </w:r>
          </w:p>
        </w:tc>
      </w:tr>
    </w:tbl>
    <w:p>
      <w:pPr>
        <w:spacing w:after="0" w:line="360"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6,468,257 shares remain authorized to be repurchased under the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CHANGING PRICES AND OTHER</w:t>
      </w:r>
    </w:p>
    <w:p>
      <w:pPr>
        <w:spacing w:after="0" w:line="185"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The Company generally supplies auto-dimming mirrors to its customers worldwide under annual blanket purchase orders. During 2005, the Company negotiated an extension to its long-term agreement with General Motors (GM) in the ordinary course of the Company's business. Under the extension, the Company was sourced virtually all the interior auto-dimming rearview mirrors programs for GM and its worldwide affiliates through August 2009, except for two low-volume models that had previously been awarded to a competitor under a lifetime contract. The new business also included the GMT360 program, which is the mid-size</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50" w:right="1440" w:bottom="1440" w:gutter="0" w:footer="0" w:header="0"/>
        </w:sectPr>
      </w:pPr>
    </w:p>
    <w:bookmarkStart w:id="21" w:name="page22"/>
    <w:bookmarkEnd w:id="21"/>
    <w:p>
      <w:pPr>
        <w:ind w:right="2839"/>
        <w:spacing w:after="0" w:line="251" w:lineRule="auto"/>
        <w:rPr>
          <w:sz w:val="20"/>
          <w:szCs w:val="20"/>
          <w:color w:val="auto"/>
        </w:rPr>
      </w:pPr>
      <w:r>
        <w:rPr>
          <w:rFonts w:ascii="Courier New" w:cs="Courier New" w:eastAsia="Courier New" w:hAnsi="Courier New"/>
          <w:sz w:val="15"/>
          <w:szCs w:val="15"/>
          <w:color w:val="auto"/>
        </w:rPr>
        <w:t>truck/SUV platform that previously did not offer auto-dimming mirrors. The GM programs were transferred to the Company by the 2007 model year. At that time we estimated that this new business represented incremental auto-dimming mirror units in the range of 500,000 on an annualized basis. The Company also negotiated a price reduction for the GM OnStar(R) feature in its auto-dimming mirrors, effective January 1, 2005, in connection with GM's stated plan to make their OnStar system standard across their vehicle models over the next several years.</w:t>
      </w:r>
    </w:p>
    <w:p>
      <w:pPr>
        <w:spacing w:after="0" w:line="353"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During 2005, the Company negotiated an extension to its long-term agreement with DaimlerChrysler in the ordinary course of the Company's business. Under the extension, the Company will be sourced virtually all Mercedes and Chrysler interior and exterior auto-dimming rearview mirrors through December 2009. The Company's exterior auto-dimming mirror sub-assemblies are supplied by means of sales to exterior mirror suppliers.</w:t>
      </w:r>
    </w:p>
    <w:p>
      <w:pPr>
        <w:spacing w:after="0" w:line="176"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The Company currently expects that auto-dimming mirror unit shipments will be approximately 5-10% percent higher and revenue growth will be toward the high end of this range in calendar 2007 compared with calendar 2006 due to the current forecast of product mix. These estimates are based on light vehicle production forecasts in the regions to which the Company ships product, as well as the estimated option rates for its mirrors on prospective vehicle models and anticipated product mix.</w:t>
      </w:r>
    </w:p>
    <w:p>
      <w:pPr>
        <w:spacing w:after="0" w:line="176"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The Company utilizes the light vehicle production forecasting services of CSM Worldwide, and CSM's current forecasts for light vehicle production for calendar 2007 are approximately 15.3 million units for North America, 20.8 million for Europe and 14.5 million for Japan and Korea.</w:t>
      </w:r>
    </w:p>
    <w:p>
      <w:pPr>
        <w:spacing w:after="0" w:line="176" w:lineRule="exact"/>
        <w:rPr>
          <w:sz w:val="20"/>
          <w:szCs w:val="20"/>
          <w:color w:val="auto"/>
        </w:rPr>
      </w:pPr>
    </w:p>
    <w:p>
      <w:pPr>
        <w:ind w:right="3299" w:firstLine="923"/>
        <w:spacing w:after="0" w:line="252" w:lineRule="auto"/>
        <w:rPr>
          <w:sz w:val="20"/>
          <w:szCs w:val="20"/>
          <w:color w:val="auto"/>
        </w:rPr>
      </w:pPr>
      <w:r>
        <w:rPr>
          <w:rFonts w:ascii="Courier New" w:cs="Courier New" w:eastAsia="Courier New" w:hAnsi="Courier New"/>
          <w:sz w:val="15"/>
          <w:szCs w:val="15"/>
          <w:color w:val="auto"/>
        </w:rPr>
        <w:t>The Company does not have any significant off-balance sheet arrangements or commitments that have not been recorded in its consolidated financial statements.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50" w:right="1440" w:bottom="1440" w:gutter="0" w:footer="0" w:header="0"/>
        </w:sectPr>
      </w:pPr>
    </w:p>
    <w:bookmarkStart w:id="22" w:name="page23"/>
    <w:bookmarkEnd w:id="22"/>
    <w:p>
      <w:pPr>
        <w:ind w:left="5"/>
        <w:spacing w:after="0"/>
        <w:rPr>
          <w:sz w:val="20"/>
          <w:szCs w:val="20"/>
          <w:color w:val="auto"/>
        </w:rPr>
      </w:pPr>
      <w:r>
        <w:rPr>
          <w:rFonts w:ascii="Courier New" w:cs="Courier New" w:eastAsia="Courier New" w:hAnsi="Courier New"/>
          <w:sz w:val="15"/>
          <w:szCs w:val="15"/>
          <w:color w:val="auto"/>
        </w:rPr>
        <w:t>MARKET RISK DISCLOSURE</w:t>
      </w:r>
    </w:p>
    <w:p>
      <w:pPr>
        <w:spacing w:after="0" w:line="185" w:lineRule="exact"/>
        <w:rPr>
          <w:sz w:val="20"/>
          <w:szCs w:val="20"/>
          <w:color w:val="auto"/>
        </w:rPr>
      </w:pPr>
    </w:p>
    <w:p>
      <w:pPr>
        <w:ind w:left="5" w:right="3119" w:firstLine="923"/>
        <w:spacing w:after="0" w:line="252" w:lineRule="auto"/>
        <w:rPr>
          <w:sz w:val="20"/>
          <w:szCs w:val="20"/>
          <w:color w:val="auto"/>
        </w:rPr>
      </w:pPr>
      <w:r>
        <w:rPr>
          <w:rFonts w:ascii="Courier New" w:cs="Courier New" w:eastAsia="Courier New" w:hAnsi="Courier New"/>
          <w:sz w:val="15"/>
          <w:szCs w:val="15"/>
          <w:color w:val="auto"/>
        </w:rPr>
        <w:t>The Company is subject to market risk exposures of varying correlations and volatilities, including foreign exchange rate risk, interest rate risk and equity price risk.</w:t>
      </w:r>
    </w:p>
    <w:p>
      <w:pPr>
        <w:spacing w:after="0" w:line="175" w:lineRule="exact"/>
        <w:rPr>
          <w:sz w:val="20"/>
          <w:szCs w:val="20"/>
          <w:color w:val="auto"/>
        </w:rPr>
      </w:pPr>
    </w:p>
    <w:p>
      <w:pPr>
        <w:ind w:left="5" w:right="2839" w:firstLine="923"/>
        <w:spacing w:after="0" w:line="251" w:lineRule="auto"/>
        <w:rPr>
          <w:sz w:val="20"/>
          <w:szCs w:val="20"/>
          <w:color w:val="auto"/>
        </w:rPr>
      </w:pPr>
      <w:r>
        <w:rPr>
          <w:rFonts w:ascii="Courier New" w:cs="Courier New" w:eastAsia="Courier New" w:hAnsi="Courier New"/>
          <w:sz w:val="15"/>
          <w:szCs w:val="15"/>
          <w:color w:val="auto"/>
        </w:rPr>
        <w:t>The Company has some assets, liabilities and operations outside the United States, including a Euro denominated account, which currently are not significant. Because the Company sells its automotive mirrors throughout the world, it could be significantly affected by weak economic conditions in foreign markets that could reduce demand for its products.</w:t>
      </w:r>
    </w:p>
    <w:p>
      <w:pPr>
        <w:spacing w:after="0" w:line="176" w:lineRule="exact"/>
        <w:rPr>
          <w:sz w:val="20"/>
          <w:szCs w:val="20"/>
          <w:color w:val="auto"/>
        </w:rPr>
      </w:pPr>
    </w:p>
    <w:p>
      <w:pPr>
        <w:ind w:left="5" w:right="2839" w:firstLine="923"/>
        <w:spacing w:after="0" w:line="251" w:lineRule="auto"/>
        <w:rPr>
          <w:sz w:val="20"/>
          <w:szCs w:val="20"/>
          <w:color w:val="auto"/>
        </w:rPr>
      </w:pPr>
      <w:r>
        <w:rPr>
          <w:rFonts w:ascii="Courier New" w:cs="Courier New" w:eastAsia="Courier New" w:hAnsi="Courier New"/>
          <w:sz w:val="15"/>
          <w:szCs w:val="15"/>
          <w:color w:val="auto"/>
        </w:rPr>
        <w:t>Most of the Company's non-U.S. sales are invoiced and paid in U.S. dollars; during 2006, approximately 13% of the Company's net sales were invoiced and paid in European euros. The Company currently expects that approximately 13% of the Company's net sales in 2007 will be invoiced and paid in European euros. The Company does not currently engage in hedging activities.</w:t>
      </w:r>
    </w:p>
    <w:p>
      <w:pPr>
        <w:spacing w:after="0" w:line="176" w:lineRule="exact"/>
        <w:rPr>
          <w:sz w:val="20"/>
          <w:szCs w:val="20"/>
          <w:color w:val="auto"/>
        </w:rPr>
      </w:pPr>
    </w:p>
    <w:p>
      <w:pPr>
        <w:ind w:left="5" w:right="3019" w:firstLine="923"/>
        <w:spacing w:after="0" w:line="251" w:lineRule="auto"/>
        <w:rPr>
          <w:sz w:val="20"/>
          <w:szCs w:val="20"/>
          <w:color w:val="auto"/>
        </w:rPr>
      </w:pPr>
      <w:r>
        <w:rPr>
          <w:rFonts w:ascii="Courier New" w:cs="Courier New" w:eastAsia="Courier New" w:hAnsi="Courier New"/>
          <w:sz w:val="15"/>
          <w:szCs w:val="15"/>
          <w:color w:val="auto"/>
        </w:rPr>
        <w:t>The Company manages interest rate risk and default risk in its fixed-income investment portfolio by investing in shorter-term maturities and investment grade issues. The Company's fixed-income investments' maturities at fair value (000,000), and average interest rates are as follows:</w:t>
      </w:r>
    </w:p>
    <w:p>
      <w:pPr>
        <w:spacing w:after="0" w:line="200" w:lineRule="exact"/>
        <w:rPr>
          <w:sz w:val="20"/>
          <w:szCs w:val="20"/>
          <w:color w:val="auto"/>
        </w:rPr>
      </w:pPr>
    </w:p>
    <w:p>
      <w:pPr>
        <w:spacing w:after="0" w:line="33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Total Balance</w:t>
            </w:r>
          </w:p>
        </w:tc>
      </w:tr>
      <w:tr>
        <w:trPr>
          <w:trHeight w:val="177"/>
        </w:trPr>
        <w:tc>
          <w:tcPr>
            <w:tcW w:w="2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as of December 31,</w:t>
            </w:r>
          </w:p>
        </w:tc>
      </w:tr>
      <w:tr>
        <w:trPr>
          <w:trHeight w:val="177"/>
        </w:trPr>
        <w:tc>
          <w:tcPr>
            <w:tcW w:w="2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40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2007</w:t>
            </w:r>
          </w:p>
        </w:tc>
        <w:tc>
          <w:tcPr>
            <w:tcW w:w="18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2008</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rPr>
              <w:t>2009</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rPr>
              <w:t>2010</w:t>
            </w:r>
          </w:p>
        </w:tc>
        <w:tc>
          <w:tcPr>
            <w:tcW w:w="42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2006</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240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2400" w:type="dxa"/>
            <w:vAlign w:val="bottom"/>
          </w:tcPr>
          <w:p>
            <w:pPr>
              <w:spacing w:after="0"/>
              <w:rPr>
                <w:sz w:val="20"/>
                <w:szCs w:val="20"/>
                <w:color w:val="auto"/>
              </w:rPr>
            </w:pPr>
            <w:r>
              <w:rPr>
                <w:rFonts w:ascii="Courier New" w:cs="Courier New" w:eastAsia="Courier New" w:hAnsi="Courier New"/>
                <w:sz w:val="15"/>
                <w:szCs w:val="15"/>
                <w:color w:val="auto"/>
              </w:rPr>
              <w:t>U.S. Government</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7"/>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Amount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$ 5.0</w:t>
            </w:r>
          </w:p>
        </w:tc>
      </w:tr>
      <w:tr>
        <w:trPr>
          <w:trHeight w:val="177"/>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Average Interest Rate</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Government Agency</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Amount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$ 9.0</w:t>
            </w:r>
          </w:p>
        </w:tc>
        <w:tc>
          <w:tcPr>
            <w:tcW w:w="18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9.0</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$18.0</w:t>
            </w:r>
          </w:p>
        </w:tc>
      </w:tr>
      <w:tr>
        <w:trPr>
          <w:trHeight w:val="177"/>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Average Interest Rate</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Municipal</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Amount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Average Interest Rate*</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Certificates of Deposit</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Amount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$71.2</w:t>
            </w:r>
          </w:p>
        </w:tc>
        <w:tc>
          <w:tcPr>
            <w:tcW w:w="18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4"/>
              </w:rPr>
              <w:t>71.2</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$26.2</w:t>
            </w:r>
          </w:p>
        </w:tc>
      </w:tr>
      <w:tr>
        <w:trPr>
          <w:trHeight w:val="177"/>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Average Interest Rate</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5"/>
                <w:szCs w:val="15"/>
                <w:color w:val="auto"/>
              </w:rPr>
            </w:pP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Amount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$17.2</w:t>
            </w:r>
          </w:p>
        </w:tc>
      </w:tr>
      <w:tr>
        <w:trPr>
          <w:trHeight w:val="177"/>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Average Interest Rate</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Amount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$ 2.5</w:t>
            </w:r>
          </w:p>
        </w:tc>
        <w:tc>
          <w:tcPr>
            <w:tcW w:w="18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$ 1.2</w:t>
            </w:r>
          </w:p>
        </w:tc>
      </w:tr>
      <w:tr>
        <w:trPr>
          <w:trHeight w:val="177"/>
        </w:trPr>
        <w:tc>
          <w:tcPr>
            <w:tcW w:w="2400" w:type="dxa"/>
            <w:vAlign w:val="bottom"/>
          </w:tcPr>
          <w:p>
            <w:pPr>
              <w:ind w:left="280"/>
              <w:spacing w:after="0"/>
              <w:rPr>
                <w:sz w:val="20"/>
                <w:szCs w:val="20"/>
                <w:color w:val="auto"/>
              </w:rPr>
            </w:pPr>
            <w:r>
              <w:rPr>
                <w:rFonts w:ascii="Courier New" w:cs="Courier New" w:eastAsia="Courier New" w:hAnsi="Courier New"/>
                <w:sz w:val="15"/>
                <w:szCs w:val="15"/>
                <w:color w:val="auto"/>
              </w:rPr>
              <w:t>Average Interest Rate</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5"/>
                <w:szCs w:val="15"/>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5"/>
                <w:szCs w:val="15"/>
                <w:color w:val="auto"/>
              </w:rPr>
            </w:pP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w:t>
            </w:r>
          </w:p>
        </w:tc>
      </w:tr>
    </w:tbl>
    <w:p>
      <w:pPr>
        <w:spacing w:after="0" w:line="360" w:lineRule="exact"/>
        <w:rPr>
          <w:sz w:val="20"/>
          <w:szCs w:val="20"/>
          <w:color w:val="auto"/>
        </w:rPr>
      </w:pPr>
    </w:p>
    <w:p>
      <w:pPr>
        <w:ind w:left="465" w:hanging="465"/>
        <w:spacing w:after="0"/>
        <w:tabs>
          <w:tab w:leader="none" w:pos="4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After-tax</w:t>
      </w:r>
    </w:p>
    <w:p>
      <w:pPr>
        <w:spacing w:after="0" w:line="185" w:lineRule="exact"/>
        <w:rPr>
          <w:sz w:val="20"/>
          <w:szCs w:val="20"/>
          <w:color w:val="auto"/>
        </w:rPr>
      </w:pPr>
    </w:p>
    <w:p>
      <w:pPr>
        <w:ind w:left="5" w:right="3119" w:firstLine="923"/>
        <w:spacing w:after="0" w:line="252" w:lineRule="auto"/>
        <w:rPr>
          <w:sz w:val="20"/>
          <w:szCs w:val="20"/>
          <w:color w:val="auto"/>
        </w:rPr>
      </w:pPr>
      <w:r>
        <w:rPr>
          <w:rFonts w:ascii="Courier New" w:cs="Courier New" w:eastAsia="Courier New" w:hAnsi="Courier New"/>
          <w:sz w:val="15"/>
          <w:szCs w:val="15"/>
          <w:color w:val="auto"/>
        </w:rPr>
        <w:t>Most of the Company's equity investments are managed by a number of outside equity fund managers who invest primarily in large capitalization companies trading on the U.S. stock markets.</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CONTRACTUAL OBLIGATIONS AND OTHER COMMITMENTS</w:t>
      </w:r>
    </w:p>
    <w:p>
      <w:pPr>
        <w:spacing w:after="0" w:line="185" w:lineRule="exact"/>
        <w:rPr>
          <w:sz w:val="20"/>
          <w:szCs w:val="20"/>
          <w:color w:val="auto"/>
        </w:rPr>
      </w:pPr>
    </w:p>
    <w:p>
      <w:pPr>
        <w:ind w:left="5" w:right="3479" w:firstLine="923"/>
        <w:spacing w:after="0" w:line="253" w:lineRule="auto"/>
        <w:rPr>
          <w:sz w:val="20"/>
          <w:szCs w:val="20"/>
          <w:color w:val="auto"/>
        </w:rPr>
      </w:pPr>
      <w:r>
        <w:rPr>
          <w:rFonts w:ascii="Courier New" w:cs="Courier New" w:eastAsia="Courier New" w:hAnsi="Courier New"/>
          <w:sz w:val="15"/>
          <w:szCs w:val="15"/>
          <w:color w:val="auto"/>
        </w:rPr>
        <w:t>The Company has the following contractual obligations and other commitments (000,000) as of December 31, 2006:</w:t>
      </w:r>
    </w:p>
    <w:p>
      <w:pPr>
        <w:sectPr>
          <w:pgSz w:w="11900" w:h="16838" w:orient="portrait"/>
          <w:cols w:equalWidth="0" w:num="1">
            <w:col w:w="10225"/>
          </w:cols>
          <w:pgMar w:left="235" w:top="650" w:right="1440" w:bottom="8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 than</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1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1-3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5"/>
          <w:szCs w:val="15"/>
          <w:color w:val="auto"/>
        </w:rPr>
        <w:t>After</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5"/>
          <w:szCs w:val="15"/>
          <w:color w:val="auto"/>
        </w:rPr>
        <w:t>3 Years</w:t>
      </w:r>
    </w:p>
    <w:p>
      <w:pPr>
        <w:spacing w:after="0" w:line="8" w:lineRule="exact"/>
        <w:rPr>
          <w:sz w:val="20"/>
          <w:szCs w:val="20"/>
          <w:color w:val="auto"/>
        </w:rPr>
      </w:pPr>
    </w:p>
    <w:p>
      <w:pPr>
        <w:sectPr>
          <w:pgSz w:w="11900" w:h="16838" w:orient="portrait"/>
          <w:cols w:equalWidth="0" w:num="4">
            <w:col w:w="2685" w:space="260"/>
            <w:col w:w="840" w:space="280"/>
            <w:col w:w="820" w:space="280"/>
            <w:col w:w="5059"/>
          </w:cols>
          <w:pgMar w:left="235" w:top="650" w:right="1440" w:bottom="893" w:gutter="0" w:footer="0" w:header="0"/>
          <w:type w:val="continuous"/>
        </w:sectPr>
      </w:pPr>
    </w:p>
    <w:p>
      <w:pPr>
        <w:ind w:left="2945" w:hanging="731"/>
        <w:spacing w:after="0"/>
        <w:tabs>
          <w:tab w:leader="none" w:pos="294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0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Operating leases</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Purchase obligations*</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42.9</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42.9</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Dividends payable</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13.5</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13.5</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080" w:type="dxa"/>
            <w:vAlign w:val="bottom"/>
          </w:tcPr>
          <w:p>
            <w:pPr>
              <w:spacing w:after="0"/>
              <w:rPr>
                <w:sz w:val="15"/>
                <w:szCs w:val="15"/>
                <w:color w:val="auto"/>
              </w:rPr>
            </w:pP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080" w:type="dxa"/>
            <w:vAlign w:val="bottom"/>
          </w:tcPr>
          <w:p>
            <w:pPr>
              <w:spacing w:after="0"/>
              <w:rPr>
                <w:sz w:val="15"/>
                <w:szCs w:val="15"/>
                <w:color w:val="auto"/>
              </w:rPr>
            </w:pP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$57.4</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$56.9</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$ 0.1</w:t>
            </w:r>
          </w:p>
        </w:tc>
      </w:tr>
      <w:tr>
        <w:trPr>
          <w:trHeight w:val="177"/>
        </w:trPr>
        <w:tc>
          <w:tcPr>
            <w:tcW w:w="2080" w:type="dxa"/>
            <w:vAlign w:val="bottom"/>
          </w:tcPr>
          <w:p>
            <w:pPr>
              <w:spacing w:after="0"/>
              <w:rPr>
                <w:sz w:val="15"/>
                <w:szCs w:val="15"/>
                <w:color w:val="auto"/>
              </w:rPr>
            </w:pP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3505" w:right="4959" w:hanging="3505"/>
        <w:spacing w:after="0" w:line="754" w:lineRule="auto"/>
        <w:tabs>
          <w:tab w:leader="none" w:pos="46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for inventory parts and capital equipment. -22-</w:t>
      </w:r>
    </w:p>
    <w:p>
      <w:pPr>
        <w:sectPr>
          <w:pgSz w:w="11900" w:h="16838" w:orient="portrait"/>
          <w:cols w:equalWidth="0" w:num="1">
            <w:col w:w="10225"/>
          </w:cols>
          <w:pgMar w:left="235" w:top="650" w:right="1440" w:bottom="893"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18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The Company's significant accounting policies are described in Note 1 to the consolidated financial statements. The policies described below represent those that are broadly applicable to its operations and involve additional management judgment due to the sensitivity of the methods, assumptions and estimates necessary in determining the related amounts.</w:t>
      </w:r>
    </w:p>
    <w:p>
      <w:pPr>
        <w:spacing w:after="0" w:line="176"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Revenue Recognition. The Company recognizes revenue in accordance with SEC Staff Accounting Bulletin No. 104, Revenue Recognition in Financial Statements, as amended. Accordingly, revenue is recognized based on the terms of the customer purchase order that indicates title to the product and risk of ownership passes to the customer upon shipment. Sales are shown net of returns, which have not historically been significant. The Company does not generate sales from sale arrangements with multiple deliverables.</w:t>
      </w:r>
    </w:p>
    <w:p>
      <w:pPr>
        <w:spacing w:after="0" w:line="176"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Inventories. Estimated inventory allowances for slow-moving and obsolete inventories are based on current assessments of future demands, market conditions and related management initiatives. If market conditions or customer requirements change and are less favorable than those projected by management, inventory allowances are adjusted accordingly.</w:t>
      </w:r>
    </w:p>
    <w:p>
      <w:pPr>
        <w:spacing w:after="0" w:line="176"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Investments. The Company's investment committee regularly reviews its fixed income and equity investment portfolio for any unrealized losses that would be deemed other-than-temporary and require the recognition of an impairment loss in income. Management uses criteria such as the period of time that securities have been in an unrealized loss position, types of securities and their related industries, as well as published investment ratings and analyst reports to evaluate their portfolio. Management considers the unrealized losses at December 31, 2006, to be temporary in nature.</w:t>
      </w:r>
    </w:p>
    <w:p>
      <w:pPr>
        <w:spacing w:after="0" w:line="175" w:lineRule="exact"/>
        <w:rPr>
          <w:sz w:val="20"/>
          <w:szCs w:val="20"/>
          <w:color w:val="auto"/>
        </w:rPr>
      </w:pPr>
    </w:p>
    <w:p>
      <w:pPr>
        <w:ind w:right="3019" w:firstLine="923"/>
        <w:spacing w:after="0" w:line="251" w:lineRule="auto"/>
        <w:rPr>
          <w:sz w:val="20"/>
          <w:szCs w:val="20"/>
          <w:color w:val="auto"/>
        </w:rPr>
      </w:pPr>
      <w:r>
        <w:rPr>
          <w:rFonts w:ascii="Courier New" w:cs="Courier New" w:eastAsia="Courier New" w:hAnsi="Courier New"/>
          <w:sz w:val="15"/>
          <w:szCs w:val="15"/>
          <w:color w:val="auto"/>
        </w:rPr>
        <w:t>Self Insurance. The Company is self-insured for health and workers' compensation benefits up to certain stop-loss limits. Such costs are accrued based on known claims and an estimate of incurred, but not reported (IBNR) claims. IBNR claims are estimated using historical lag information and other data provided by claims administrators. This estimation process is subjective, and to the extent that future actual results differ from original estimates, adjustments to recorded accruals may be necessary.</w:t>
      </w:r>
    </w:p>
    <w:p>
      <w:pPr>
        <w:spacing w:after="0" w:line="176" w:lineRule="exact"/>
        <w:rPr>
          <w:sz w:val="20"/>
          <w:szCs w:val="20"/>
          <w:color w:val="auto"/>
        </w:rPr>
      </w:pPr>
    </w:p>
    <w:p>
      <w:pPr>
        <w:ind w:right="3019" w:firstLine="923"/>
        <w:spacing w:after="0" w:line="250" w:lineRule="auto"/>
        <w:rPr>
          <w:sz w:val="20"/>
          <w:szCs w:val="20"/>
          <w:color w:val="auto"/>
        </w:rPr>
      </w:pPr>
      <w:r>
        <w:rPr>
          <w:rFonts w:ascii="Courier New" w:cs="Courier New" w:eastAsia="Courier New" w:hAnsi="Courier New"/>
          <w:sz w:val="15"/>
          <w:szCs w:val="15"/>
          <w:color w:val="auto"/>
        </w:rPr>
        <w:t>Stock-Based Compensation. Effective January 1, 2006, the Company accounts for stock-based compensation in accordance with the fair value recognition provisions of SFAS No. 123(R). The Company utilizes the Black-Scholes model, which requires the input of subjective assumptions. These assumptions include estimating (a) the length of time employees will retain their vested stock options before exercising them ("expected term"), (b) the volatility of the Company's common stock price over the expected term, (c) the number of options that will ultimately not complete their vesting requirements ("forfeitures") and (d) expected dividends. Changes in the subjective assumptions can materially affect the estimate of fair value of stock-based compensation and consequently, the related amounts recognized on the consolidated condensed statements of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A. QUANTITATIVE AND QUALITATIVE DISCLOSURES ABOUT MARKET RISK.</w:t>
      </w:r>
    </w:p>
    <w:p>
      <w:pPr>
        <w:spacing w:after="0" w:line="18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See "Market Risk Disclosure" in Management's Discussion and Analysis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50" w:right="1440" w:bottom="1440" w:gutter="0" w:footer="0" w:header="0"/>
        </w:sectPr>
      </w:pPr>
    </w:p>
    <w:bookmarkStart w:id="24" w:name="page25"/>
    <w:bookmarkEnd w:id="24"/>
    <w:p>
      <w:pPr>
        <w:ind w:left="5"/>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85" w:lineRule="exact"/>
        <w:rPr>
          <w:sz w:val="20"/>
          <w:szCs w:val="20"/>
          <w:color w:val="auto"/>
        </w:rPr>
      </w:pPr>
    </w:p>
    <w:p>
      <w:pPr>
        <w:ind w:left="5" w:right="2839" w:firstLine="923"/>
        <w:spacing w:after="0" w:line="252" w:lineRule="auto"/>
        <w:rPr>
          <w:sz w:val="20"/>
          <w:szCs w:val="20"/>
          <w:color w:val="auto"/>
        </w:rPr>
      </w:pPr>
      <w:r>
        <w:rPr>
          <w:rFonts w:ascii="Courier New" w:cs="Courier New" w:eastAsia="Courier New" w:hAnsi="Courier New"/>
          <w:sz w:val="15"/>
          <w:szCs w:val="15"/>
          <w:color w:val="auto"/>
        </w:rPr>
        <w:t>The following financial statements and reports of independent registered public accounting firm are filed with this report as pages 29 through 45 following the signature page:</w:t>
      </w:r>
    </w:p>
    <w:p>
      <w:pPr>
        <w:spacing w:after="0" w:line="175"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185" w:lineRule="exact"/>
        <w:rPr>
          <w:sz w:val="20"/>
          <w:szCs w:val="20"/>
          <w:color w:val="auto"/>
        </w:rPr>
      </w:pPr>
    </w:p>
    <w:p>
      <w:pPr>
        <w:ind w:left="5" w:right="3119" w:firstLine="923"/>
        <w:spacing w:after="0" w:line="253" w:lineRule="auto"/>
        <w:rPr>
          <w:sz w:val="20"/>
          <w:szCs w:val="20"/>
          <w:color w:val="auto"/>
        </w:rPr>
      </w:pPr>
      <w:r>
        <w:rPr>
          <w:rFonts w:ascii="Courier New" w:cs="Courier New" w:eastAsia="Courier New" w:hAnsi="Courier New"/>
          <w:sz w:val="15"/>
          <w:szCs w:val="15"/>
          <w:color w:val="auto"/>
        </w:rPr>
        <w:t>Report of Independent Registered Public Accounting Firm on Internal Control Over Financial Reporting</w:t>
      </w:r>
    </w:p>
    <w:p>
      <w:pPr>
        <w:spacing w:after="0" w:line="174"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Consolidated Balance Sheets as of December 31, 2006 and 2005</w:t>
      </w:r>
    </w:p>
    <w:p>
      <w:pPr>
        <w:spacing w:after="0" w:line="185" w:lineRule="exact"/>
        <w:rPr>
          <w:sz w:val="20"/>
          <w:szCs w:val="20"/>
          <w:color w:val="auto"/>
        </w:rPr>
      </w:pPr>
    </w:p>
    <w:p>
      <w:pPr>
        <w:ind w:left="5" w:right="3219" w:firstLine="923"/>
        <w:spacing w:after="0" w:line="253" w:lineRule="auto"/>
        <w:rPr>
          <w:sz w:val="20"/>
          <w:szCs w:val="20"/>
          <w:color w:val="auto"/>
        </w:rPr>
      </w:pPr>
      <w:r>
        <w:rPr>
          <w:rFonts w:ascii="Courier New" w:cs="Courier New" w:eastAsia="Courier New" w:hAnsi="Courier New"/>
          <w:sz w:val="15"/>
          <w:szCs w:val="15"/>
          <w:color w:val="auto"/>
        </w:rPr>
        <w:t>Consolidated Statements of Income for the years ended December 31, 2006, 2005 and 2004</w:t>
      </w:r>
    </w:p>
    <w:p>
      <w:pPr>
        <w:spacing w:after="0" w:line="174" w:lineRule="exact"/>
        <w:rPr>
          <w:sz w:val="20"/>
          <w:szCs w:val="20"/>
          <w:color w:val="auto"/>
        </w:rPr>
      </w:pPr>
    </w:p>
    <w:p>
      <w:pPr>
        <w:ind w:left="5" w:right="3299" w:firstLine="923"/>
        <w:spacing w:after="0" w:line="253" w:lineRule="auto"/>
        <w:rPr>
          <w:sz w:val="20"/>
          <w:szCs w:val="20"/>
          <w:color w:val="auto"/>
        </w:rPr>
      </w:pPr>
      <w:r>
        <w:rPr>
          <w:rFonts w:ascii="Courier New" w:cs="Courier New" w:eastAsia="Courier New" w:hAnsi="Courier New"/>
          <w:sz w:val="15"/>
          <w:szCs w:val="15"/>
          <w:color w:val="auto"/>
        </w:rPr>
        <w:t>Consolidated Statements of Shareholders' Investment for the years ended December 31, 2006, 2005 and 2004</w:t>
      </w:r>
    </w:p>
    <w:p>
      <w:pPr>
        <w:spacing w:after="0" w:line="174" w:lineRule="exact"/>
        <w:rPr>
          <w:sz w:val="20"/>
          <w:szCs w:val="20"/>
          <w:color w:val="auto"/>
        </w:rPr>
      </w:pPr>
    </w:p>
    <w:p>
      <w:pPr>
        <w:ind w:left="5" w:right="2839" w:firstLine="923"/>
        <w:spacing w:after="0" w:line="253" w:lineRule="auto"/>
        <w:rPr>
          <w:sz w:val="20"/>
          <w:szCs w:val="20"/>
          <w:color w:val="auto"/>
        </w:rPr>
      </w:pPr>
      <w:r>
        <w:rPr>
          <w:rFonts w:ascii="Courier New" w:cs="Courier New" w:eastAsia="Courier New" w:hAnsi="Courier New"/>
          <w:sz w:val="15"/>
          <w:szCs w:val="15"/>
          <w:color w:val="auto"/>
        </w:rPr>
        <w:t>Consolidated Statements of Cash Flows for the years ended December 31, 2006, 2005 and 2004</w:t>
      </w:r>
    </w:p>
    <w:p>
      <w:pPr>
        <w:spacing w:after="0" w:line="174"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5" w:lineRule="exact"/>
        <w:rPr>
          <w:sz w:val="20"/>
          <w:szCs w:val="20"/>
          <w:color w:val="auto"/>
        </w:rPr>
      </w:pPr>
    </w:p>
    <w:p>
      <w:pPr>
        <w:ind w:left="5" w:right="3679"/>
        <w:spacing w:after="0" w:line="253" w:lineRule="auto"/>
        <w:rPr>
          <w:sz w:val="20"/>
          <w:szCs w:val="20"/>
          <w:color w:val="auto"/>
        </w:rPr>
      </w:pPr>
      <w:r>
        <w:rPr>
          <w:rFonts w:ascii="Courier New" w:cs="Courier New" w:eastAsia="Courier New" w:hAnsi="Courier New"/>
          <w:sz w:val="15"/>
          <w:szCs w:val="15"/>
          <w:color w:val="auto"/>
        </w:rPr>
        <w:t>Selected quarterly financial data for the past two years appears in the following table: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gridSpan w:val="7"/>
          </w:tcPr>
          <w:p>
            <w:pPr>
              <w:jc w:val="right"/>
              <w:ind w:right="523"/>
              <w:spacing w:after="0"/>
              <w:rPr>
                <w:sz w:val="20"/>
                <w:szCs w:val="20"/>
                <w:color w:val="auto"/>
              </w:rPr>
            </w:pPr>
            <w:r>
              <w:rPr>
                <w:rFonts w:ascii="Courier New" w:cs="Courier New" w:eastAsia="Courier New" w:hAnsi="Courier New"/>
                <w:sz w:val="15"/>
                <w:szCs w:val="15"/>
                <w:color w:val="auto"/>
              </w:rPr>
              <w:t>Quarterly Results of Operations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7"/>
        </w:trPr>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40" w:type="dxa"/>
            <w:vAlign w:val="bottom"/>
            <w:gridSpan w:val="7"/>
          </w:tcPr>
          <w:p>
            <w:pPr>
              <w:jc w:val="right"/>
              <w:ind w:right="243"/>
              <w:spacing w:after="0"/>
              <w:rPr>
                <w:sz w:val="20"/>
                <w:szCs w:val="20"/>
                <w:color w:val="auto"/>
              </w:rPr>
            </w:pPr>
            <w:r>
              <w:rPr>
                <w:rFonts w:ascii="Courier New" w:cs="Courier New" w:eastAsia="Courier New" w:hAnsi="Courier New"/>
                <w:sz w:val="15"/>
                <w:szCs w:val="15"/>
                <w:color w:val="auto"/>
              </w:rPr>
              <w:t>(in thousands, except per share data)</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1880" w:type="dxa"/>
            <w:vAlign w:val="bottom"/>
          </w:tcPr>
          <w:p>
            <w:pPr>
              <w:spacing w:after="0"/>
              <w:rPr>
                <w:sz w:val="15"/>
                <w:szCs w:val="15"/>
                <w:color w:val="auto"/>
              </w:rPr>
            </w:pPr>
          </w:p>
        </w:tc>
        <w:tc>
          <w:tcPr>
            <w:tcW w:w="7980" w:type="dxa"/>
            <w:vAlign w:val="bottom"/>
            <w:gridSpan w:val="1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First</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right"/>
              <w:ind w:right="603"/>
              <w:spacing w:after="0"/>
              <w:rPr>
                <w:sz w:val="20"/>
                <w:szCs w:val="20"/>
                <w:color w:val="auto"/>
              </w:rPr>
            </w:pPr>
            <w:r>
              <w:rPr>
                <w:rFonts w:ascii="Courier New" w:cs="Courier New" w:eastAsia="Courier New" w:hAnsi="Courier New"/>
                <w:sz w:val="15"/>
                <w:szCs w:val="15"/>
                <w:color w:val="auto"/>
              </w:rPr>
              <w:t>Second</w:t>
            </w:r>
          </w:p>
        </w:tc>
        <w:tc>
          <w:tcPr>
            <w:tcW w:w="24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Third</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jc w:val="right"/>
              <w:ind w:right="463"/>
              <w:spacing w:after="0"/>
              <w:rPr>
                <w:sz w:val="20"/>
                <w:szCs w:val="20"/>
                <w:color w:val="auto"/>
              </w:rPr>
            </w:pPr>
            <w:r>
              <w:rPr>
                <w:rFonts w:ascii="Courier New" w:cs="Courier New" w:eastAsia="Courier New" w:hAnsi="Courier New"/>
                <w:sz w:val="15"/>
                <w:szCs w:val="15"/>
                <w:color w:val="auto"/>
              </w:rPr>
              <w:t>Fourth</w:t>
            </w:r>
          </w:p>
        </w:tc>
      </w:tr>
      <w:tr>
        <w:trPr>
          <w:trHeight w:val="177"/>
        </w:trPr>
        <w:tc>
          <w:tcPr>
            <w:tcW w:w="188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5"/>
              </w:rPr>
              <w:t>-------------------</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20" w:type="dxa"/>
            <w:vAlign w:val="bottom"/>
            <w:gridSpan w:val="4"/>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4"/>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2006</w:t>
            </w:r>
          </w:p>
        </w:tc>
        <w:tc>
          <w:tcPr>
            <w:tcW w:w="24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5"/>
                <w:szCs w:val="15"/>
                <w:color w:val="auto"/>
              </w:rPr>
            </w:pPr>
          </w:p>
        </w:tc>
        <w:tc>
          <w:tcPr>
            <w:tcW w:w="8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2006</w:t>
            </w:r>
          </w:p>
        </w:tc>
        <w:tc>
          <w:tcPr>
            <w:tcW w:w="22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2005</w:t>
            </w:r>
          </w:p>
        </w:tc>
        <w:tc>
          <w:tcPr>
            <w:tcW w:w="24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2006</w:t>
            </w:r>
          </w:p>
        </w:tc>
        <w:tc>
          <w:tcPr>
            <w:tcW w:w="24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5"/>
                <w:szCs w:val="15"/>
                <w:color w:val="auto"/>
              </w:rPr>
            </w:pPr>
          </w:p>
        </w:tc>
        <w:tc>
          <w:tcPr>
            <w:tcW w:w="80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2006</w:t>
            </w:r>
          </w:p>
        </w:tc>
        <w:tc>
          <w:tcPr>
            <w:tcW w:w="22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18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139,021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127,642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142,391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132,384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141,266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138,115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149,590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138,343</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48,233</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48,053</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50,896</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49,566</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47,879</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51,196</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52,096</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49,826</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30,282</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33,236</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33,421</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33,756</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29,605</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35,293</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33,139</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34,009</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26,371</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25,933</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27,236</w:t>
            </w:r>
          </w:p>
        </w:tc>
        <w:tc>
          <w:tcPr>
            <w:tcW w:w="2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26,041</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24,338</w:t>
            </w:r>
          </w:p>
        </w:tc>
        <w:tc>
          <w:tcPr>
            <w:tcW w:w="24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27,936</w:t>
            </w:r>
          </w:p>
        </w:tc>
        <w:tc>
          <w:tcPr>
            <w:tcW w:w="22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30,816</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29,618</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bl>
    <w:p>
      <w:pPr>
        <w:spacing w:after="0" w:line="360" w:lineRule="exact"/>
        <w:rPr>
          <w:sz w:val="20"/>
          <w:szCs w:val="20"/>
          <w:color w:val="auto"/>
        </w:rPr>
      </w:pPr>
    </w:p>
    <w:p>
      <w:pPr>
        <w:ind w:left="465" w:hanging="465"/>
        <w:spacing w:after="0"/>
        <w:tabs>
          <w:tab w:leader="none" w:pos="46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adjusted for 2-for-1 stock split in May 2005.</w:t>
      </w:r>
    </w:p>
    <w:p>
      <w:pPr>
        <w:spacing w:after="0" w:line="185" w:lineRule="exact"/>
        <w:rPr>
          <w:sz w:val="20"/>
          <w:szCs w:val="20"/>
          <w:color w:val="auto"/>
        </w:rPr>
      </w:pPr>
    </w:p>
    <w:p>
      <w:pPr>
        <w:ind w:left="5" w:right="3019"/>
        <w:spacing w:after="0" w:line="253" w:lineRule="auto"/>
        <w:rPr>
          <w:sz w:val="20"/>
          <w:szCs w:val="20"/>
          <w:color w:val="auto"/>
        </w:rPr>
      </w:pPr>
      <w:r>
        <w:rPr>
          <w:rFonts w:ascii="Courier New" w:cs="Courier New" w:eastAsia="Courier New" w:hAnsi="Courier New"/>
          <w:sz w:val="15"/>
          <w:szCs w:val="15"/>
          <w:color w:val="auto"/>
        </w:rPr>
        <w:t>ITEM 9. CHANGES AND DISAGREEMENTS WITH ACCOUNTANTS ON ACCOUNTING AND FINANCIAL DISCLOSURE.</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 applicable.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9A. CONTROLS AND PROCEDURES.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DISCLOSURE CONTROLS AND PROCEDURES.</w:t>
      </w:r>
    </w:p>
    <w:p>
      <w:pPr>
        <w:spacing w:after="0" w:line="185" w:lineRule="exact"/>
        <w:rPr>
          <w:sz w:val="20"/>
          <w:szCs w:val="20"/>
          <w:color w:val="auto"/>
        </w:rPr>
      </w:pPr>
    </w:p>
    <w:p>
      <w:pPr>
        <w:ind w:left="5" w:right="2939" w:firstLine="923"/>
        <w:spacing w:after="0" w:line="250" w:lineRule="auto"/>
        <w:rPr>
          <w:sz w:val="20"/>
          <w:szCs w:val="20"/>
          <w:color w:val="auto"/>
        </w:rPr>
      </w:pPr>
      <w:r>
        <w:rPr>
          <w:rFonts w:ascii="Courier New" w:cs="Courier New" w:eastAsia="Courier New" w:hAnsi="Courier New"/>
          <w:sz w:val="15"/>
          <w:szCs w:val="15"/>
          <w:color w:val="auto"/>
        </w:rPr>
        <w:t>As of December 31, 2006, an evaluation was performed under the supervision and with the participation of the Company's management, including the CEO and CFO, of the effectiveness of the design and operation of the Company's disclosure controls and procedures [(as defined in Exchange Act Rules 13a - 15(e) and 15d - 15(e)]. Based on that evaluation, the Company's management, including the CEO and CFO, concluded that the Company's disclosure controls and procedures were adequate and effective as of December 31, 2006, to ensure that material information relating to the Company would be made known to them by others within the Company, particularly during the period in which this Form 10-K was being prepared. During the period covered by this annual report, there have been no changes in the Company's internal controls over financial reporting that have materially affected or are likely to materially affect the Company's internal controls over financial reporting. There have been no significant changes in the Company's internal controls or in other factors that could significantly affect internal controls subsequent to December 31, 2006.</w:t>
      </w:r>
    </w:p>
    <w:p>
      <w:pPr>
        <w:spacing w:after="0" w:line="18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MANAGEMENT'S REPORT ON INTERNAL CONTROL OVER FINANCIAL REPORTING.</w:t>
      </w:r>
    </w:p>
    <w:p>
      <w:pPr>
        <w:spacing w:after="0" w:line="185" w:lineRule="exact"/>
        <w:rPr>
          <w:sz w:val="20"/>
          <w:szCs w:val="20"/>
          <w:color w:val="auto"/>
        </w:rPr>
      </w:pPr>
    </w:p>
    <w:p>
      <w:pPr>
        <w:ind w:left="5" w:right="2839" w:firstLine="923"/>
        <w:spacing w:after="0" w:line="251" w:lineRule="auto"/>
        <w:rPr>
          <w:sz w:val="20"/>
          <w:szCs w:val="20"/>
          <w:color w:val="auto"/>
        </w:rPr>
      </w:pPr>
      <w:r>
        <w:rPr>
          <w:rFonts w:ascii="Courier New" w:cs="Courier New" w:eastAsia="Courier New" w:hAnsi="Courier New"/>
          <w:sz w:val="15"/>
          <w:szCs w:val="15"/>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w:t>
      </w:r>
    </w:p>
    <w:p>
      <w:pPr>
        <w:spacing w:after="0" w:line="353"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5"/>
          </w:cols>
          <w:pgMar w:left="235" w:top="650" w:right="1440" w:bottom="726" w:gutter="0" w:footer="0" w:header="0"/>
        </w:sectPr>
      </w:pPr>
    </w:p>
    <w:bookmarkStart w:id="25" w:name="page26"/>
    <w:bookmarkEnd w:id="25"/>
    <w:p>
      <w:pPr>
        <w:ind w:right="2939"/>
        <w:spacing w:after="0" w:line="251" w:lineRule="auto"/>
        <w:rPr>
          <w:sz w:val="20"/>
          <w:szCs w:val="20"/>
          <w:color w:val="auto"/>
        </w:rPr>
      </w:pPr>
      <w:r>
        <w:rPr>
          <w:rFonts w:ascii="Courier New" w:cs="Courier New" w:eastAsia="Courier New" w:hAnsi="Courier New"/>
          <w:sz w:val="15"/>
          <w:szCs w:val="15"/>
          <w:color w:val="auto"/>
        </w:rPr>
        <w:t>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2006. Our management's assessment of the effectiveness of our internal control over financial reporting as of December 31, 2006, has been audited by Ernst &amp; Young LLP, an independent registered public accounting firm, as stated in its attestation report on management's assessment, which is included on page 30 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9B. OTHER INFORMATION.</w:t>
      </w:r>
    </w:p>
    <w:p>
      <w:pPr>
        <w:spacing w:after="0" w:line="18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Not applicable.</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50" w:right="1440" w:bottom="1440" w:gutter="0" w:footer="0" w:header="0"/>
        </w:sectPr>
      </w:pPr>
    </w:p>
    <w:bookmarkStart w:id="26" w:name="page27"/>
    <w:bookmarkEnd w:id="26"/>
    <w:p>
      <w:pPr>
        <w:ind w:left="3320"/>
        <w:spacing w:after="0"/>
        <w:rPr>
          <w:sz w:val="20"/>
          <w:szCs w:val="20"/>
          <w:color w:val="auto"/>
        </w:rPr>
      </w:pPr>
      <w:r>
        <w:rPr>
          <w:rFonts w:ascii="Courier New" w:cs="Courier New" w:eastAsia="Courier New" w:hAnsi="Courier New"/>
          <w:sz w:val="15"/>
          <w:szCs w:val="15"/>
          <w:color w:val="auto"/>
        </w:rPr>
        <w:t>PART III</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85"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2007 Annual Meeting of Shareholders and filed with the Commission within 120 days after the Company's fiscal year end, December 31, 2006 (the "Proxy Statement"), is hereby incorporated herein by reference. Information concerning compliance with Section 16(a) of the Securities and Exchange Act of 1934 appearing under the caption "Section 16(A) Beneficial Ownership Reporting Compliance" in the definitive Proxy Statement is hereby incorporated herein by reference. Information relating to the Company's Audit Committee and Board of Directors concerning whether at least one member of the Audit Committee is an "audit committee financial expert" as that term is defined under Item 401 (h) of Regulation S-K appearing under the caption "Corporate Governance - Audit Committee" in the definitive Proxy Statement is hereby incorporated by reference.</w:t>
      </w:r>
    </w:p>
    <w:p>
      <w:pPr>
        <w:spacing w:after="0" w:line="184"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The Company has adopted a Code of Ethics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8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The information contained under the caption "Compensation Committee Report", "Compensation Discussion and Analysis," "Executive Compensation" and "Compensation Committee Interlocks and Insider Participation" contained in the definitive Proxy Statement is hereby incorporated herein by reference. The "Compensation Committee Report" shall not be deemed to be soliciting material or to be filed with the commission.</w:t>
      </w:r>
    </w:p>
    <w:p>
      <w:pPr>
        <w:spacing w:after="0" w:line="176" w:lineRule="exact"/>
        <w:rPr>
          <w:sz w:val="20"/>
          <w:szCs w:val="20"/>
          <w:color w:val="auto"/>
        </w:rPr>
      </w:pPr>
    </w:p>
    <w:p>
      <w:pPr>
        <w:ind w:right="3759"/>
        <w:spacing w:after="0" w:line="253" w:lineRule="auto"/>
        <w:rPr>
          <w:sz w:val="20"/>
          <w:szCs w:val="20"/>
          <w:color w:val="auto"/>
        </w:rPr>
      </w:pPr>
      <w:r>
        <w:rPr>
          <w:rFonts w:ascii="Courier New" w:cs="Courier New" w:eastAsia="Courier New" w:hAnsi="Courier New"/>
          <w:sz w:val="15"/>
          <w:szCs w:val="15"/>
          <w:color w:val="auto"/>
        </w:rPr>
        <w:t>ITEM 12. SECURITY OWNERSHIP OF MANAGEMENT AND EQUITY COMPENSATION PLAN INFORMATION.</w:t>
      </w:r>
    </w:p>
    <w:p>
      <w:pPr>
        <w:spacing w:after="0" w:line="174" w:lineRule="exact"/>
        <w:rPr>
          <w:sz w:val="20"/>
          <w:szCs w:val="20"/>
          <w:color w:val="auto"/>
        </w:rPr>
      </w:pPr>
    </w:p>
    <w:p>
      <w:pPr>
        <w:ind w:right="2939" w:firstLine="923"/>
        <w:spacing w:after="0" w:line="252" w:lineRule="auto"/>
        <w:rPr>
          <w:sz w:val="20"/>
          <w:szCs w:val="20"/>
          <w:color w:val="auto"/>
        </w:rPr>
      </w:pPr>
      <w:r>
        <w:rPr>
          <w:rFonts w:ascii="Courier New" w:cs="Courier New" w:eastAsia="Courier New" w:hAnsi="Courier New"/>
          <w:sz w:val="15"/>
          <w:szCs w:val="15"/>
          <w:color w:val="auto"/>
        </w:rPr>
        <w:t>The information contained under the captions "Securities Ownership of Management" and "Equity Compensation Plan Information" contained in the definitive Proxy Statement is hereby incorporated herein by reference.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RELATED TRANSACTIONS AND DIRECTOR INDEPENDENCE.</w:t>
      </w:r>
    </w:p>
    <w:p>
      <w:pPr>
        <w:spacing w:after="0" w:line="18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PRINCIPAL ACCOUNTING FEES AND SERVICES.</w:t>
      </w:r>
    </w:p>
    <w:p>
      <w:pPr>
        <w:spacing w:after="0" w:line="18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Information regarding principal accounting fees and services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by reference.</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50"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ITEM 15. EXHIBITS, FINANCIAL STATEMENT SCHEDULES AND REPORTS ON FORM 8-K.</w:t>
      </w:r>
    </w:p>
    <w:p>
      <w:pPr>
        <w:spacing w:after="0" w:line="185" w:lineRule="exact"/>
        <w:rPr>
          <w:sz w:val="20"/>
          <w:szCs w:val="20"/>
          <w:color w:val="auto"/>
        </w:rPr>
      </w:pPr>
    </w:p>
    <w:p>
      <w:pPr>
        <w:ind w:left="1380" w:hanging="463"/>
        <w:spacing w:after="0"/>
        <w:tabs>
          <w:tab w:leader="none" w:pos="13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 See Item 8.</w:t>
      </w:r>
    </w:p>
    <w:p>
      <w:pPr>
        <w:spacing w:after="0" w:line="184" w:lineRule="exact"/>
        <w:rPr>
          <w:rFonts w:ascii="Courier New" w:cs="Courier New" w:eastAsia="Courier New" w:hAnsi="Courier New"/>
          <w:sz w:val="15"/>
          <w:szCs w:val="15"/>
          <w:color w:val="auto"/>
        </w:rPr>
      </w:pPr>
    </w:p>
    <w:p>
      <w:pPr>
        <w:ind w:left="1840" w:right="3579" w:hanging="461"/>
        <w:spacing w:after="0" w:line="253" w:lineRule="auto"/>
        <w:tabs>
          <w:tab w:leader="none" w:pos="184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Schedules. None required or not applicable.</w:t>
      </w:r>
    </w:p>
    <w:p>
      <w:pPr>
        <w:spacing w:after="0" w:line="174" w:lineRule="exact"/>
        <w:rPr>
          <w:rFonts w:ascii="Courier New" w:cs="Courier New" w:eastAsia="Courier New" w:hAnsi="Courier New"/>
          <w:sz w:val="15"/>
          <w:szCs w:val="15"/>
          <w:color w:val="auto"/>
        </w:rPr>
      </w:pPr>
    </w:p>
    <w:p>
      <w:pPr>
        <w:ind w:left="1840" w:hanging="461"/>
        <w:spacing w:after="0"/>
        <w:tabs>
          <w:tab w:leader="none" w:pos="184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See Exhibit Index located on page 46.</w:t>
      </w:r>
    </w:p>
    <w:p>
      <w:pPr>
        <w:spacing w:after="0" w:line="184" w:lineRule="exact"/>
        <w:rPr>
          <w:rFonts w:ascii="Courier New" w:cs="Courier New" w:eastAsia="Courier New" w:hAnsi="Courier New"/>
          <w:sz w:val="15"/>
          <w:szCs w:val="15"/>
          <w:color w:val="auto"/>
        </w:rPr>
      </w:pPr>
    </w:p>
    <w:p>
      <w:pPr>
        <w:ind w:left="1380" w:hanging="463"/>
        <w:spacing w:after="0"/>
        <w:tabs>
          <w:tab w:leader="none" w:pos="13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(a) above.</w:t>
      </w:r>
    </w:p>
    <w:p>
      <w:pPr>
        <w:spacing w:after="0" w:line="184" w:lineRule="exact"/>
        <w:rPr>
          <w:rFonts w:ascii="Courier New" w:cs="Courier New" w:eastAsia="Courier New" w:hAnsi="Courier New"/>
          <w:sz w:val="15"/>
          <w:szCs w:val="15"/>
          <w:color w:val="auto"/>
        </w:rPr>
      </w:pPr>
    </w:p>
    <w:p>
      <w:pPr>
        <w:ind w:left="1380" w:hanging="463"/>
        <w:spacing w:after="0"/>
        <w:tabs>
          <w:tab w:leader="none" w:pos="13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(a) above.</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50" w:right="1440" w:bottom="1440" w:gutter="0" w:footer="0" w:header="0"/>
        </w:sectPr>
      </w:pPr>
    </w:p>
    <w:bookmarkStart w:id="28" w:name="page29"/>
    <w:bookmarkEnd w:id="28"/>
    <w:p>
      <w:pPr>
        <w:ind w:left="322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jc w:val="both"/>
        <w:ind w:left="5" w:right="2839" w:firstLine="923"/>
        <w:spacing w:after="0" w:line="252" w:lineRule="auto"/>
        <w:rPr>
          <w:sz w:val="20"/>
          <w:szCs w:val="20"/>
          <w:color w:val="auto"/>
        </w:rPr>
      </w:pPr>
      <w:r>
        <w:rPr>
          <w:rFonts w:ascii="Courier New" w:cs="Courier New" w:eastAsia="Courier New" w:hAnsi="Courier New"/>
          <w:sz w:val="15"/>
          <w:szCs w:val="15"/>
          <w:color w:val="auto"/>
        </w:rPr>
        <w:t>Pursuant to the requirements of Section 13 of 15(d) of the Securities Exchange Act of 1934, the registrant has duly caused this report to be signed on its behalf by the undersigned, thereunto duly authorized.</w:t>
      </w:r>
    </w:p>
    <w:p>
      <w:pPr>
        <w:sectPr>
          <w:pgSz w:w="11900" w:h="16838" w:orient="portrait"/>
          <w:cols w:equalWidth="0" w:num="1">
            <w:col w:w="10225"/>
          </w:cols>
          <w:pgMar w:left="235" w:top="650" w:right="1440" w:bottom="1440" w:gutter="0" w:footer="0" w:header="0"/>
        </w:sectPr>
      </w:pP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Dated: February 22, 2007</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GENTEX CORPORATION</w:t>
      </w:r>
    </w:p>
    <w:p>
      <w:pPr>
        <w:spacing w:after="0" w:line="200" w:lineRule="exact"/>
        <w:rPr>
          <w:sz w:val="20"/>
          <w:szCs w:val="20"/>
          <w:color w:val="auto"/>
        </w:rPr>
      </w:pPr>
    </w:p>
    <w:p>
      <w:pPr>
        <w:sectPr>
          <w:pgSz w:w="11900" w:h="16838" w:orient="portrait"/>
          <w:cols w:equalWidth="0" w:num="2">
            <w:col w:w="2965" w:space="720"/>
            <w:col w:w="6539"/>
          </w:cols>
          <w:pgMar w:left="235" w:top="650" w:right="1440" w:bottom="1440" w:gutter="0" w:footer="0" w:header="0"/>
          <w:type w:val="continuous"/>
        </w:sectPr>
      </w:pPr>
    </w:p>
    <w:p>
      <w:pPr>
        <w:spacing w:after="0" w:line="16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By: /s/ Fred Bauer</w:t>
      </w:r>
    </w:p>
    <w:p>
      <w:pPr>
        <w:spacing w:after="0" w:line="8"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Fred Bauer, Chairman and Principal</w:t>
      </w:r>
    </w:p>
    <w:p>
      <w:pPr>
        <w:spacing w:after="0" w:line="8"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Executive Officer</w:t>
      </w:r>
    </w:p>
    <w:p>
      <w:pPr>
        <w:spacing w:after="0" w:line="18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and</w:t>
      </w:r>
    </w:p>
    <w:p>
      <w:pPr>
        <w:spacing w:after="0" w:line="362" w:lineRule="exact"/>
        <w:rPr>
          <w:sz w:val="20"/>
          <w:szCs w:val="20"/>
          <w:color w:val="auto"/>
        </w:rPr>
      </w:pPr>
    </w:p>
    <w:p>
      <w:pPr>
        <w:ind w:left="4065"/>
        <w:spacing w:after="0"/>
        <w:rPr>
          <w:sz w:val="20"/>
          <w:szCs w:val="20"/>
          <w:color w:val="auto"/>
        </w:rPr>
      </w:pPr>
      <w:r>
        <w:rPr>
          <w:rFonts w:ascii="Courier New" w:cs="Courier New" w:eastAsia="Courier New" w:hAnsi="Courier New"/>
          <w:sz w:val="15"/>
          <w:szCs w:val="15"/>
          <w:color w:val="auto"/>
        </w:rPr>
        <w:t>/s/ Steven Dykman</w:t>
      </w:r>
    </w:p>
    <w:p>
      <w:pPr>
        <w:spacing w:after="0" w:line="8" w:lineRule="exact"/>
        <w:rPr>
          <w:sz w:val="20"/>
          <w:szCs w:val="20"/>
          <w:color w:val="auto"/>
        </w:rPr>
      </w:pPr>
    </w:p>
    <w:p>
      <w:pPr>
        <w:ind w:left="39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5"/>
        <w:spacing w:after="0"/>
        <w:rPr>
          <w:sz w:val="20"/>
          <w:szCs w:val="20"/>
          <w:color w:val="auto"/>
        </w:rPr>
      </w:pPr>
      <w:r>
        <w:rPr>
          <w:rFonts w:ascii="Courier New" w:cs="Courier New" w:eastAsia="Courier New" w:hAnsi="Courier New"/>
          <w:sz w:val="15"/>
          <w:szCs w:val="15"/>
          <w:color w:val="auto"/>
        </w:rPr>
        <w:t>Steven Dykman, Vice President-Finance</w:t>
      </w:r>
    </w:p>
    <w:p>
      <w:pPr>
        <w:spacing w:after="0" w:line="8" w:lineRule="exact"/>
        <w:rPr>
          <w:sz w:val="20"/>
          <w:szCs w:val="20"/>
          <w:color w:val="auto"/>
        </w:rPr>
      </w:pPr>
    </w:p>
    <w:p>
      <w:pPr>
        <w:ind w:left="3965"/>
        <w:spacing w:after="0"/>
        <w:rPr>
          <w:sz w:val="20"/>
          <w:szCs w:val="20"/>
          <w:color w:val="auto"/>
        </w:rPr>
      </w:pPr>
      <w:r>
        <w:rPr>
          <w:rFonts w:ascii="Courier New" w:cs="Courier New" w:eastAsia="Courier New" w:hAnsi="Courier New"/>
          <w:sz w:val="15"/>
          <w:szCs w:val="15"/>
          <w:color w:val="auto"/>
        </w:rPr>
        <w:t>and Principal Financial and</w:t>
      </w:r>
    </w:p>
    <w:p>
      <w:pPr>
        <w:spacing w:after="0" w:line="8" w:lineRule="exact"/>
        <w:rPr>
          <w:sz w:val="20"/>
          <w:szCs w:val="20"/>
          <w:color w:val="auto"/>
        </w:rPr>
      </w:pPr>
    </w:p>
    <w:p>
      <w:pPr>
        <w:ind w:left="3965"/>
        <w:spacing w:after="0"/>
        <w:rPr>
          <w:sz w:val="20"/>
          <w:szCs w:val="20"/>
          <w:color w:val="auto"/>
        </w:rPr>
      </w:pPr>
      <w:r>
        <w:rPr>
          <w:rFonts w:ascii="Courier New" w:cs="Courier New" w:eastAsia="Courier New" w:hAnsi="Courier New"/>
          <w:sz w:val="15"/>
          <w:szCs w:val="15"/>
          <w:color w:val="auto"/>
        </w:rPr>
        <w:t>Accounting Officer</w:t>
      </w:r>
    </w:p>
    <w:p>
      <w:pPr>
        <w:sectPr>
          <w:pgSz w:w="11900" w:h="16838" w:orient="portrait"/>
          <w:cols w:equalWidth="0" w:num="1">
            <w:col w:w="10225"/>
          </w:cols>
          <w:pgMar w:left="235" w:top="650" w:right="1440" w:bottom="1440" w:gutter="0" w:footer="0" w:header="0"/>
          <w:type w:val="continuous"/>
        </w:sectPr>
      </w:pPr>
    </w:p>
    <w:p>
      <w:pPr>
        <w:spacing w:after="0" w:line="185" w:lineRule="exact"/>
        <w:rPr>
          <w:sz w:val="20"/>
          <w:szCs w:val="20"/>
          <w:color w:val="auto"/>
        </w:rPr>
      </w:pPr>
    </w:p>
    <w:p>
      <w:pPr>
        <w:ind w:left="5" w:right="3019" w:firstLine="923"/>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on this 22nd day of February, 2007, by the following persons on behalf of the registrant and in the capacities indicated.</w:t>
      </w:r>
    </w:p>
    <w:p>
      <w:pPr>
        <w:spacing w:after="0" w:line="175" w:lineRule="exact"/>
        <w:rPr>
          <w:sz w:val="20"/>
          <w:szCs w:val="20"/>
          <w:color w:val="auto"/>
        </w:rPr>
      </w:pPr>
    </w:p>
    <w:p>
      <w:pPr>
        <w:ind w:left="5" w:right="2839" w:firstLine="923"/>
        <w:spacing w:after="0" w:line="251" w:lineRule="auto"/>
        <w:rPr>
          <w:sz w:val="20"/>
          <w:szCs w:val="20"/>
          <w:color w:val="auto"/>
        </w:rPr>
      </w:pPr>
      <w:r>
        <w:rPr>
          <w:rFonts w:ascii="Courier New" w:cs="Courier New" w:eastAsia="Courier New" w:hAnsi="Courier New"/>
          <w:sz w:val="15"/>
          <w:szCs w:val="15"/>
          <w:color w:val="auto"/>
        </w:rPr>
        <w:t>Each Director of the registrant whose signature appears below hereby appoints Enoch Jen and Steve Dykman, each of them individually, as his attorney-in-fact to sign in his name and on his behalf, and to file with the Commission any and all amendments to this report on Form 10-K to the same extent and with the same effect as if done personally.</w:t>
      </w:r>
    </w:p>
    <w:p>
      <w:pPr>
        <w:spacing w:after="0" w:line="354" w:lineRule="exact"/>
        <w:rPr>
          <w:sz w:val="20"/>
          <w:szCs w:val="20"/>
          <w:color w:val="auto"/>
        </w:rPr>
      </w:pPr>
    </w:p>
    <w:p>
      <w:pPr>
        <w:ind w:left="5"/>
        <w:spacing w:after="0"/>
        <w:tabs>
          <w:tab w:leader="none" w:pos="3665" w:val="left"/>
        </w:tabs>
        <w:rPr>
          <w:sz w:val="20"/>
          <w:szCs w:val="20"/>
          <w:color w:val="auto"/>
        </w:rPr>
      </w:pPr>
      <w:r>
        <w:rPr>
          <w:rFonts w:ascii="Courier New" w:cs="Courier New" w:eastAsia="Courier New" w:hAnsi="Courier New"/>
          <w:sz w:val="15"/>
          <w:szCs w:val="15"/>
          <w:color w:val="auto"/>
        </w:rPr>
        <w:t>/s/ Fred Bauer</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Fred Bauer</w:t>
      </w:r>
    </w:p>
    <w:p>
      <w:pPr>
        <w:spacing w:after="0" w:line="362" w:lineRule="exact"/>
        <w:rPr>
          <w:sz w:val="20"/>
          <w:szCs w:val="20"/>
          <w:color w:val="auto"/>
        </w:rPr>
      </w:pPr>
    </w:p>
    <w:p>
      <w:pPr>
        <w:ind w:left="5"/>
        <w:spacing w:after="0"/>
        <w:tabs>
          <w:tab w:leader="none" w:pos="3665" w:val="left"/>
        </w:tabs>
        <w:rPr>
          <w:sz w:val="20"/>
          <w:szCs w:val="20"/>
          <w:color w:val="auto"/>
        </w:rPr>
      </w:pPr>
      <w:r>
        <w:rPr>
          <w:rFonts w:ascii="Courier New" w:cs="Courier New" w:eastAsia="Courier New" w:hAnsi="Courier New"/>
          <w:sz w:val="15"/>
          <w:szCs w:val="15"/>
          <w:color w:val="auto"/>
        </w:rPr>
        <w:t>/s/ Gary Goode</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Gary Goode</w:t>
      </w:r>
    </w:p>
    <w:p>
      <w:pPr>
        <w:spacing w:after="0" w:line="362" w:lineRule="exact"/>
        <w:rPr>
          <w:sz w:val="20"/>
          <w:szCs w:val="20"/>
          <w:color w:val="auto"/>
        </w:rPr>
      </w:pPr>
    </w:p>
    <w:p>
      <w:pPr>
        <w:ind w:left="5"/>
        <w:spacing w:after="0"/>
        <w:tabs>
          <w:tab w:leader="none" w:pos="3665" w:val="left"/>
        </w:tabs>
        <w:rPr>
          <w:sz w:val="20"/>
          <w:szCs w:val="20"/>
          <w:color w:val="auto"/>
        </w:rPr>
      </w:pPr>
      <w:r>
        <w:rPr>
          <w:rFonts w:ascii="Courier New" w:cs="Courier New" w:eastAsia="Courier New" w:hAnsi="Courier New"/>
          <w:sz w:val="15"/>
          <w:szCs w:val="15"/>
          <w:color w:val="auto"/>
        </w:rPr>
        <w:t>/s/ Kenneth La Grand</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Kenneth La Grand</w:t>
      </w:r>
    </w:p>
    <w:p>
      <w:pPr>
        <w:spacing w:after="0" w:line="362" w:lineRule="exact"/>
        <w:rPr>
          <w:sz w:val="20"/>
          <w:szCs w:val="20"/>
          <w:color w:val="auto"/>
        </w:rPr>
      </w:pPr>
    </w:p>
    <w:p>
      <w:pPr>
        <w:ind w:left="5"/>
        <w:spacing w:after="0"/>
        <w:tabs>
          <w:tab w:leader="none" w:pos="3665" w:val="left"/>
        </w:tabs>
        <w:rPr>
          <w:sz w:val="20"/>
          <w:szCs w:val="20"/>
          <w:color w:val="auto"/>
        </w:rPr>
      </w:pPr>
      <w:r>
        <w:rPr>
          <w:rFonts w:ascii="Courier New" w:cs="Courier New" w:eastAsia="Courier New" w:hAnsi="Courier New"/>
          <w:sz w:val="15"/>
          <w:szCs w:val="15"/>
          <w:color w:val="auto"/>
        </w:rPr>
        <w:t>/s/ Arlyn Lanting</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Arlyn Lanting</w:t>
      </w:r>
    </w:p>
    <w:p>
      <w:pPr>
        <w:spacing w:after="0" w:line="362" w:lineRule="exact"/>
        <w:rPr>
          <w:sz w:val="20"/>
          <w:szCs w:val="20"/>
          <w:color w:val="auto"/>
        </w:rPr>
      </w:pPr>
    </w:p>
    <w:p>
      <w:pPr>
        <w:ind w:left="5"/>
        <w:spacing w:after="0"/>
        <w:tabs>
          <w:tab w:leader="none" w:pos="3665" w:val="left"/>
        </w:tabs>
        <w:rPr>
          <w:sz w:val="20"/>
          <w:szCs w:val="20"/>
          <w:color w:val="auto"/>
        </w:rPr>
      </w:pPr>
      <w:r>
        <w:rPr>
          <w:rFonts w:ascii="Courier New" w:cs="Courier New" w:eastAsia="Courier New" w:hAnsi="Courier New"/>
          <w:sz w:val="15"/>
          <w:szCs w:val="15"/>
          <w:color w:val="auto"/>
        </w:rPr>
        <w:t>/s/ John Mulder</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Mulder</w:t>
      </w:r>
    </w:p>
    <w:p>
      <w:pPr>
        <w:spacing w:after="0" w:line="362" w:lineRule="exact"/>
        <w:rPr>
          <w:sz w:val="20"/>
          <w:szCs w:val="20"/>
          <w:color w:val="auto"/>
        </w:rPr>
      </w:pPr>
    </w:p>
    <w:p>
      <w:pPr>
        <w:ind w:left="5"/>
        <w:spacing w:after="0"/>
        <w:tabs>
          <w:tab w:leader="none" w:pos="3665" w:val="left"/>
        </w:tabs>
        <w:rPr>
          <w:sz w:val="20"/>
          <w:szCs w:val="20"/>
          <w:color w:val="auto"/>
        </w:rPr>
      </w:pPr>
      <w:r>
        <w:rPr>
          <w:rFonts w:ascii="Courier New" w:cs="Courier New" w:eastAsia="Courier New" w:hAnsi="Courier New"/>
          <w:sz w:val="15"/>
          <w:szCs w:val="15"/>
          <w:color w:val="auto"/>
        </w:rPr>
        <w:t>/s/ Rande Somma</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Rande Somma</w:t>
      </w:r>
    </w:p>
    <w:p>
      <w:pPr>
        <w:spacing w:after="0" w:line="362" w:lineRule="exact"/>
        <w:rPr>
          <w:sz w:val="20"/>
          <w:szCs w:val="20"/>
          <w:color w:val="auto"/>
        </w:rPr>
      </w:pPr>
    </w:p>
    <w:p>
      <w:pPr>
        <w:ind w:left="5"/>
        <w:spacing w:after="0"/>
        <w:tabs>
          <w:tab w:leader="none" w:pos="3665" w:val="left"/>
        </w:tabs>
        <w:rPr>
          <w:sz w:val="20"/>
          <w:szCs w:val="20"/>
          <w:color w:val="auto"/>
        </w:rPr>
      </w:pPr>
      <w:r>
        <w:rPr>
          <w:rFonts w:ascii="Courier New" w:cs="Courier New" w:eastAsia="Courier New" w:hAnsi="Courier New"/>
          <w:sz w:val="15"/>
          <w:szCs w:val="15"/>
          <w:color w:val="auto"/>
        </w:rPr>
        <w:t>/s/ Fred Sotok</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Fred Sotok</w:t>
      </w:r>
    </w:p>
    <w:p>
      <w:pPr>
        <w:spacing w:after="0" w:line="362" w:lineRule="exact"/>
        <w:rPr>
          <w:sz w:val="20"/>
          <w:szCs w:val="20"/>
          <w:color w:val="auto"/>
        </w:rPr>
      </w:pPr>
    </w:p>
    <w:p>
      <w:pPr>
        <w:ind w:left="5"/>
        <w:spacing w:after="0"/>
        <w:tabs>
          <w:tab w:leader="none" w:pos="3665" w:val="left"/>
        </w:tabs>
        <w:rPr>
          <w:sz w:val="20"/>
          <w:szCs w:val="20"/>
          <w:color w:val="auto"/>
        </w:rPr>
      </w:pPr>
      <w:r>
        <w:rPr>
          <w:rFonts w:ascii="Courier New" w:cs="Courier New" w:eastAsia="Courier New" w:hAnsi="Courier New"/>
          <w:sz w:val="15"/>
          <w:szCs w:val="15"/>
          <w:color w:val="auto"/>
        </w:rPr>
        <w:t>/s/ Wallace Tsuha</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Wallace Tsuha</w:t>
      </w:r>
    </w:p>
    <w:p>
      <w:pPr>
        <w:spacing w:after="0" w:line="36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5"/>
          </w:cols>
          <w:pgMar w:left="235" w:top="650" w:right="1440" w:bottom="1440" w:gutter="0" w:footer="0" w:header="0"/>
          <w:type w:val="continuous"/>
        </w:sectPr>
      </w:pPr>
    </w:p>
    <w:bookmarkStart w:id="29" w:name="page30"/>
    <w:bookmarkEnd w:id="29"/>
    <w:p>
      <w:pPr>
        <w:ind w:left="120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 of Gentex Corporation:</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We have audited the accompanying consolidated balance sheets of Gentex Corporation and subsidiaries as of December 31, 2006 and 2005, and the related consolidated statements of income, shareholders' investment and cash flows for each of the three years in the period ended December 31, 2006.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Gentex Corporation and subsidiaries at December 31, 2006 and 2005, and the consolidated results of their operations and their cash flows for each of the three years in the period ended December 31, 2006, in conformity with U.S. generally accepted accounting principles.</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As discussed in Note 1 to the consolidated financial statements, in 2006 the Company changed its method of accounting for share-based payments in connection with the required adoption of Statement of Financial Accounting Standards No. 123(R).</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also have audited, in accordance with the standards of the Public Company Accounting Oversight Board (United States), the effectiveness of Gentex Corporation's internal control over financial reporting as of December 31, 2006, based on criteria established in Internal Control--Integrated Framework issued by the Committee of Sponsoring Organizations of the Treadway Commission and our report dated February 9, 2007 expressed an unqualified opinion thereon.</w:t>
      </w:r>
    </w:p>
    <w:p>
      <w:pPr>
        <w:spacing w:after="0" w:line="35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Ernst &amp; Young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9, 2007</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50" w:right="1440" w:bottom="1440" w:gutter="0" w:footer="0" w:header="0"/>
        </w:sectPr>
      </w:pPr>
    </w:p>
    <w:bookmarkStart w:id="30" w:name="page31"/>
    <w:bookmarkEnd w:id="30"/>
    <w:p>
      <w:pPr>
        <w:ind w:left="1200"/>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ON INTERNAL CONTROL OVER FINANCIAL REPORTING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 of Gentex Corporation:</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We have audited management's assessment, included in the accompanying Management's Report on Internal Control Over Financial Reporting, that Gentex Corporation maintained effective internal control over financial reporting as of December 31, 2006, based on criteria established in Internal Control--Integrated Framework issued by the Committee of Sponsoring Organizations of the Treadway Commission (the COSO criteria). Gentex Corporation's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8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7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In our opinion, management's assessment that Gentex Corporation maintained effective internal control over financial reporting as of December 31, 2006, is fairly stated, in all material respects, based on the COSO criteria. Also, in our opinion, Gentex Corporation maintained, in all material respects, effective internal control over financial reporting as of December 31, 2006, based on the COSO criteria.</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We also have audited, in accordance with the standards of the Public Company Accounting Oversight Board (United States), the 2006 consolidated financial statements of Gentex Corporation and subsidiaries and our report dated February 9, 2007 expressed an unqualified opinion thereon.</w:t>
      </w:r>
    </w:p>
    <w:p>
      <w:pPr>
        <w:spacing w:after="0" w:line="354"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Ernst &amp; Young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9, 2007</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50" w:right="1440" w:bottom="1440" w:gutter="0" w:footer="0" w:header="0"/>
        </w:sectPr>
      </w:pPr>
    </w:p>
    <w:bookmarkStart w:id="31" w:name="page32"/>
    <w:bookmarkEnd w:id="31"/>
    <w:p>
      <w:pPr>
        <w:jc w:val="center"/>
        <w:ind w:right="275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AS OF DECEMBER 31, 2006 AND 2005</w:t>
            </w:r>
          </w:p>
        </w:tc>
        <w:tc>
          <w:tcPr>
            <w:tcW w:w="1380" w:type="dxa"/>
            <w:vAlign w:val="bottom"/>
          </w:tcPr>
          <w:p>
            <w:pPr>
              <w:spacing w:after="0"/>
              <w:rPr>
                <w:sz w:val="14"/>
                <w:szCs w:val="14"/>
                <w:color w:val="auto"/>
              </w:rPr>
            </w:pPr>
          </w:p>
        </w:tc>
      </w:tr>
      <w:tr>
        <w:trPr>
          <w:trHeight w:val="710"/>
        </w:trPr>
        <w:tc>
          <w:tcPr>
            <w:tcW w:w="4000" w:type="dxa"/>
            <w:vAlign w:val="bottom"/>
          </w:tcPr>
          <w:p>
            <w:pPr>
              <w:spacing w:after="0"/>
              <w:rPr>
                <w:sz w:val="24"/>
                <w:szCs w:val="24"/>
                <w:color w:val="auto"/>
              </w:rPr>
            </w:pPr>
          </w:p>
        </w:tc>
        <w:tc>
          <w:tcPr>
            <w:tcW w:w="15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2006</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Cash and cash equivalents</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$ 245,499,783</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$ 439,681,693</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Short-term investments</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82,727,927</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67,331,928</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Accounts receivable</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58,337,396</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60,924,437</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Inventories</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48,805,398</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39,836,822</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Prepaid expenses and other</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11,507,590</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11,212,647</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446,878,094</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618,987,527</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PLANT AND EQUIPMENT:</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Land, buildings and improvements</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95,998,488</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57,544,173</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Machinery and equipment</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231,526,281</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196,878,770</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Construction-in-process</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12,393,019</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40,858,633</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339,917,788</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295,281,576</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Less-Accumulated depreciation</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and amortization</w:t>
            </w:r>
          </w:p>
        </w:tc>
        <w:tc>
          <w:tcPr>
            <w:tcW w:w="15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(155,783,415)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(131,251,235)</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184,134,373</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164,030,341</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Long-term investments</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146,215,929</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132,524,966</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Patents and other assets, net</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7,800,004</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7,102,968</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154,015,933</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139,627,934</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$ 785,028,400</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$ 922,645,802</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INVESTMENT</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Accounts payable</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23,881,973</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23,607,927</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Accrued liabilities:</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Salaries, wages and vacation</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4,288,825</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3,798,648</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Income taxes</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4,744,765</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2,739,364</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Royalties</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5,091,886</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7,467,491</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Dividends declared</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13,535,237</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14,043,959</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Other</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5,820,292</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6,430,870</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ind w:left="820"/>
              <w:spacing w:after="0"/>
              <w:rPr>
                <w:sz w:val="20"/>
                <w:szCs w:val="20"/>
                <w:color w:val="auto"/>
              </w:rPr>
            </w:pPr>
            <w:r>
              <w:rPr>
                <w:rFonts w:ascii="Courier New" w:cs="Courier New" w:eastAsia="Courier New" w:hAnsi="Courier New"/>
                <w:sz w:val="15"/>
                <w:szCs w:val="15"/>
                <w:color w:val="auto"/>
              </w:rPr>
              <w:t>Total current liabilities</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57,362,978</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58,088,259</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24,971,133</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22,962,168</w:t>
            </w:r>
          </w:p>
        </w:tc>
      </w:tr>
      <w:tr>
        <w:trPr>
          <w:trHeight w:val="355"/>
        </w:trPr>
        <w:tc>
          <w:tcPr>
            <w:tcW w:w="4000" w:type="dxa"/>
            <w:vAlign w:val="bottom"/>
          </w:tcPr>
          <w:p>
            <w:pPr>
              <w:spacing w:after="0"/>
              <w:rPr>
                <w:sz w:val="20"/>
                <w:szCs w:val="20"/>
                <w:color w:val="auto"/>
              </w:rPr>
            </w:pPr>
            <w:r>
              <w:rPr>
                <w:rFonts w:ascii="Courier New" w:cs="Courier New" w:eastAsia="Courier New" w:hAnsi="Courier New"/>
                <w:sz w:val="15"/>
                <w:szCs w:val="15"/>
                <w:color w:val="auto"/>
              </w:rPr>
              <w:t>SHAREHOLDERS' INVESTMENT:</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Preferred stock, no par value,</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5,000,000 shares authorized; none</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issued or outstanding</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Common stock, par value $.06 per share;</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200,000,000 shares authorized</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8,548,571</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9,362,639</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Additional paid-in capital</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196,901,488</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194,476,306</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Retained earnings</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472,192,400</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623,301,775</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Deferred compensation</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(4,847,659)</w:t>
            </w:r>
          </w:p>
        </w:tc>
      </w:tr>
      <w:tr>
        <w:trPr>
          <w:trHeight w:val="177"/>
        </w:trPr>
        <w:tc>
          <w:tcPr>
            <w:tcW w:w="4000" w:type="dxa"/>
            <w:vAlign w:val="bottom"/>
          </w:tcPr>
          <w:p>
            <w:pPr>
              <w:ind w:left="280"/>
              <w:spacing w:after="0"/>
              <w:rPr>
                <w:sz w:val="20"/>
                <w:szCs w:val="20"/>
                <w:color w:val="auto"/>
              </w:rPr>
            </w:pPr>
            <w:r>
              <w:rPr>
                <w:rFonts w:ascii="Courier New" w:cs="Courier New" w:eastAsia="Courier New" w:hAnsi="Courier New"/>
                <w:sz w:val="15"/>
                <w:szCs w:val="15"/>
                <w:color w:val="auto"/>
              </w:rPr>
              <w:t>Accumulated other comprehensive income:</w:t>
            </w: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Unrealized gain on investments</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23,246,788</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18,795,360</w:t>
            </w:r>
          </w:p>
        </w:tc>
      </w:tr>
      <w:tr>
        <w:trPr>
          <w:trHeight w:val="177"/>
        </w:trPr>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Cumulative translation adjustment</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1,805,042</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506,954</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ind w:left="820"/>
              <w:spacing w:after="0"/>
              <w:rPr>
                <w:sz w:val="20"/>
                <w:szCs w:val="20"/>
                <w:color w:val="auto"/>
              </w:rPr>
            </w:pPr>
            <w:r>
              <w:rPr>
                <w:rFonts w:ascii="Courier New" w:cs="Courier New" w:eastAsia="Courier New" w:hAnsi="Courier New"/>
                <w:sz w:val="15"/>
                <w:szCs w:val="15"/>
                <w:color w:val="auto"/>
              </w:rPr>
              <w:t>Total shareholders' investment</w:t>
            </w: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702,694,289</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841,595,375</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$ 785,028,400</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$ 922,645,802</w:t>
            </w:r>
          </w:p>
        </w:tc>
      </w:tr>
      <w:tr>
        <w:trPr>
          <w:trHeight w:val="177"/>
        </w:trPr>
        <w:tc>
          <w:tcPr>
            <w:tcW w:w="4000" w:type="dxa"/>
            <w:vAlign w:val="bottom"/>
          </w:tcPr>
          <w:p>
            <w:pPr>
              <w:spacing w:after="0"/>
              <w:rPr>
                <w:sz w:val="15"/>
                <w:szCs w:val="15"/>
                <w:color w:val="auto"/>
              </w:rPr>
            </w:pPr>
          </w:p>
        </w:tc>
        <w:tc>
          <w:tcPr>
            <w:tcW w:w="15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both"/>
        <w:ind w:right="3299"/>
        <w:spacing w:after="0" w:line="253"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- 31 -</w:t>
      </w:r>
    </w:p>
    <w:p>
      <w:pPr>
        <w:sectPr>
          <w:pgSz w:w="11900" w:h="16838" w:orient="portrait"/>
          <w:cols w:equalWidth="0" w:num="1">
            <w:col w:w="10219"/>
          </w:cols>
          <w:pgMar w:left="240" w:top="650"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2"/>
        </w:trPr>
        <w:tc>
          <w:tcPr>
            <w:tcW w:w="5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GENTEX CORPORATION AND SUBSIDIARIES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7"/>
        </w:trPr>
        <w:tc>
          <w:tcPr>
            <w:tcW w:w="534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CONSOLIDATED STATEMENTS OF INCOME</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5340" w:type="dxa"/>
            <w:vAlign w:val="bottom"/>
            <w:gridSpan w:val="3"/>
          </w:tcPr>
          <w:p>
            <w:pPr>
              <w:jc w:val="right"/>
              <w:ind w:right="3"/>
              <w:spacing w:after="0"/>
              <w:rPr>
                <w:sz w:val="20"/>
                <w:szCs w:val="20"/>
                <w:color w:val="auto"/>
              </w:rPr>
            </w:pPr>
            <w:r>
              <w:rPr>
                <w:rFonts w:ascii="Courier New" w:cs="Courier New" w:eastAsia="Courier New" w:hAnsi="Courier New"/>
                <w:sz w:val="15"/>
                <w:szCs w:val="15"/>
                <w:color w:val="auto"/>
              </w:rPr>
              <w:t>FOR THE YEARS ENDED DECEMBER 31, 2006, 2005</w:t>
            </w:r>
          </w:p>
        </w:tc>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AND 2004</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710"/>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2006</w:t>
            </w:r>
          </w:p>
        </w:tc>
        <w:tc>
          <w:tcPr>
            <w:tcW w:w="100" w:type="dxa"/>
            <w:vAlign w:val="bottom"/>
          </w:tcPr>
          <w:p>
            <w:pPr>
              <w:spacing w:after="0"/>
              <w:rPr>
                <w:sz w:val="24"/>
                <w:szCs w:val="24"/>
                <w:color w:val="auto"/>
              </w:rPr>
            </w:pPr>
          </w:p>
        </w:tc>
        <w:tc>
          <w:tcPr>
            <w:tcW w:w="11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24"/>
                <w:szCs w:val="24"/>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3820" w:type="dxa"/>
            <w:vAlign w:val="bottom"/>
          </w:tcPr>
          <w:p>
            <w:pPr>
              <w:spacing w:after="0"/>
              <w:rPr>
                <w:sz w:val="15"/>
                <w:szCs w:val="15"/>
                <w:color w:val="auto"/>
              </w:rPr>
            </w:pP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$572,267,073</w:t>
            </w: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$536,483,974</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$505,666,335</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40" w:type="dxa"/>
            <w:vAlign w:val="bottom"/>
          </w:tcPr>
          <w:p>
            <w:pPr>
              <w:spacing w:after="0"/>
              <w:rPr>
                <w:sz w:val="15"/>
                <w:szCs w:val="15"/>
                <w:color w:val="auto"/>
              </w:rPr>
            </w:pP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373,163,484</w:t>
            </w:r>
          </w:p>
        </w:tc>
        <w:tc>
          <w:tcPr>
            <w:tcW w:w="10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337,843,632</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297,920,747</w:t>
            </w:r>
          </w:p>
        </w:tc>
      </w:tr>
      <w:tr>
        <w:trPr>
          <w:trHeight w:val="177"/>
        </w:trPr>
        <w:tc>
          <w:tcPr>
            <w:tcW w:w="3820" w:type="dxa"/>
            <w:vAlign w:val="bottom"/>
          </w:tcPr>
          <w:p>
            <w:pPr>
              <w:spacing w:after="0"/>
              <w:rPr>
                <w:sz w:val="15"/>
                <w:szCs w:val="15"/>
                <w:color w:val="auto"/>
              </w:rPr>
            </w:pP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20" w:type="dxa"/>
            <w:vAlign w:val="bottom"/>
          </w:tcPr>
          <w:p>
            <w:pPr>
              <w:ind w:left="280"/>
              <w:spacing w:after="0"/>
              <w:rPr>
                <w:sz w:val="20"/>
                <w:szCs w:val="20"/>
                <w:color w:val="auto"/>
              </w:rPr>
            </w:pPr>
            <w:r>
              <w:rPr>
                <w:rFonts w:ascii="Courier New" w:cs="Courier New" w:eastAsia="Courier New" w:hAnsi="Courier New"/>
                <w:sz w:val="15"/>
                <w:szCs w:val="15"/>
                <w:color w:val="auto"/>
              </w:rPr>
              <w:t>Gross profit</w:t>
            </w:r>
          </w:p>
        </w:tc>
        <w:tc>
          <w:tcPr>
            <w:tcW w:w="240" w:type="dxa"/>
            <w:vAlign w:val="bottom"/>
          </w:tcPr>
          <w:p>
            <w:pPr>
              <w:spacing w:after="0"/>
              <w:rPr>
                <w:sz w:val="15"/>
                <w:szCs w:val="15"/>
                <w:color w:val="auto"/>
              </w:rPr>
            </w:pP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199,103,589</w:t>
            </w:r>
          </w:p>
        </w:tc>
        <w:tc>
          <w:tcPr>
            <w:tcW w:w="10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198,640,342</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207,745,588</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3820" w:type="dxa"/>
            <w:vAlign w:val="bottom"/>
          </w:tcPr>
          <w:p>
            <w:pPr>
              <w:ind w:left="280"/>
              <w:spacing w:after="0"/>
              <w:rPr>
                <w:sz w:val="20"/>
                <w:szCs w:val="20"/>
                <w:color w:val="auto"/>
              </w:rPr>
            </w:pPr>
            <w:r>
              <w:rPr>
                <w:rFonts w:ascii="Courier New" w:cs="Courier New" w:eastAsia="Courier New" w:hAnsi="Courier New"/>
                <w:sz w:val="15"/>
                <w:szCs w:val="15"/>
                <w:color w:val="auto"/>
              </w:rPr>
              <w:t>Engineering, research and development</w:t>
            </w:r>
          </w:p>
        </w:tc>
        <w:tc>
          <w:tcPr>
            <w:tcW w:w="240" w:type="dxa"/>
            <w:vAlign w:val="bottom"/>
          </w:tcPr>
          <w:p>
            <w:pPr>
              <w:spacing w:after="0"/>
              <w:rPr>
                <w:sz w:val="15"/>
                <w:szCs w:val="15"/>
                <w:color w:val="auto"/>
              </w:rPr>
            </w:pP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41,773,792</w:t>
            </w:r>
          </w:p>
        </w:tc>
        <w:tc>
          <w:tcPr>
            <w:tcW w:w="10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35,059,401</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30,833,627</w:t>
            </w:r>
          </w:p>
        </w:tc>
      </w:tr>
      <w:tr>
        <w:trPr>
          <w:trHeight w:val="177"/>
        </w:trPr>
        <w:tc>
          <w:tcPr>
            <w:tcW w:w="3820" w:type="dxa"/>
            <w:vAlign w:val="bottom"/>
          </w:tcPr>
          <w:p>
            <w:pPr>
              <w:ind w:left="280"/>
              <w:spacing w:after="0"/>
              <w:rPr>
                <w:sz w:val="20"/>
                <w:szCs w:val="20"/>
                <w:color w:val="auto"/>
              </w:rPr>
            </w:pPr>
            <w:r>
              <w:rPr>
                <w:rFonts w:ascii="Courier New" w:cs="Courier New" w:eastAsia="Courier New" w:hAnsi="Courier New"/>
                <w:sz w:val="15"/>
                <w:szCs w:val="15"/>
                <w:color w:val="auto"/>
              </w:rPr>
              <w:t>Selling, general and administrative</w:t>
            </w:r>
          </w:p>
        </w:tc>
        <w:tc>
          <w:tcPr>
            <w:tcW w:w="240" w:type="dxa"/>
            <w:vAlign w:val="bottom"/>
          </w:tcPr>
          <w:p>
            <w:pPr>
              <w:spacing w:after="0"/>
              <w:rPr>
                <w:sz w:val="15"/>
                <w:szCs w:val="15"/>
                <w:color w:val="auto"/>
              </w:rPr>
            </w:pP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30,882,821</w:t>
            </w:r>
          </w:p>
        </w:tc>
        <w:tc>
          <w:tcPr>
            <w:tcW w:w="10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27,286,404</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26,845,748</w:t>
            </w:r>
          </w:p>
        </w:tc>
      </w:tr>
      <w:tr>
        <w:trPr>
          <w:trHeight w:val="177"/>
        </w:trPr>
        <w:tc>
          <w:tcPr>
            <w:tcW w:w="3820" w:type="dxa"/>
            <w:vAlign w:val="bottom"/>
          </w:tcPr>
          <w:p>
            <w:pPr>
              <w:spacing w:after="0"/>
              <w:rPr>
                <w:sz w:val="15"/>
                <w:szCs w:val="15"/>
                <w:color w:val="auto"/>
              </w:rPr>
            </w:pP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20" w:type="dxa"/>
            <w:vAlign w:val="bottom"/>
          </w:tcPr>
          <w:p>
            <w:pPr>
              <w:ind w:left="540"/>
              <w:spacing w:after="0"/>
              <w:rPr>
                <w:sz w:val="20"/>
                <w:szCs w:val="20"/>
                <w:color w:val="auto"/>
              </w:rPr>
            </w:pPr>
            <w:r>
              <w:rPr>
                <w:rFonts w:ascii="Courier New" w:cs="Courier New" w:eastAsia="Courier New" w:hAnsi="Courier New"/>
                <w:sz w:val="15"/>
                <w:szCs w:val="15"/>
                <w:color w:val="auto"/>
              </w:rPr>
              <w:t>Total operating expenses</w:t>
            </w:r>
          </w:p>
        </w:tc>
        <w:tc>
          <w:tcPr>
            <w:tcW w:w="240" w:type="dxa"/>
            <w:vAlign w:val="bottom"/>
          </w:tcPr>
          <w:p>
            <w:pPr>
              <w:spacing w:after="0"/>
              <w:rPr>
                <w:sz w:val="15"/>
                <w:szCs w:val="15"/>
                <w:color w:val="auto"/>
              </w:rPr>
            </w:pP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72,656,613</w:t>
            </w:r>
          </w:p>
        </w:tc>
        <w:tc>
          <w:tcPr>
            <w:tcW w:w="10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62,345,805</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57,679,375</w:t>
            </w:r>
          </w:p>
        </w:tc>
      </w:tr>
      <w:tr>
        <w:trPr>
          <w:trHeight w:val="177"/>
        </w:trPr>
        <w:tc>
          <w:tcPr>
            <w:tcW w:w="3820" w:type="dxa"/>
            <w:vAlign w:val="bottom"/>
          </w:tcPr>
          <w:p>
            <w:pPr>
              <w:spacing w:after="0"/>
              <w:rPr>
                <w:sz w:val="15"/>
                <w:szCs w:val="15"/>
                <w:color w:val="auto"/>
              </w:rPr>
            </w:pP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20" w:type="dxa"/>
            <w:vAlign w:val="bottom"/>
          </w:tcPr>
          <w:p>
            <w:pPr>
              <w:ind w:left="280"/>
              <w:spacing w:after="0"/>
              <w:rPr>
                <w:sz w:val="20"/>
                <w:szCs w:val="20"/>
                <w:color w:val="auto"/>
              </w:rPr>
            </w:pPr>
            <w:r>
              <w:rPr>
                <w:rFonts w:ascii="Courier New" w:cs="Courier New" w:eastAsia="Courier New" w:hAnsi="Courier New"/>
                <w:sz w:val="15"/>
                <w:szCs w:val="15"/>
                <w:color w:val="auto"/>
              </w:rPr>
              <w:t>Income from operations</w:t>
            </w:r>
          </w:p>
        </w:tc>
        <w:tc>
          <w:tcPr>
            <w:tcW w:w="240" w:type="dxa"/>
            <w:vAlign w:val="bottom"/>
          </w:tcPr>
          <w:p>
            <w:pPr>
              <w:spacing w:after="0"/>
              <w:rPr>
                <w:sz w:val="15"/>
                <w:szCs w:val="15"/>
                <w:color w:val="auto"/>
              </w:rPr>
            </w:pP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126,446,976</w:t>
            </w:r>
          </w:p>
        </w:tc>
        <w:tc>
          <w:tcPr>
            <w:tcW w:w="10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136,294,537</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150,066,213</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3820" w:type="dxa"/>
            <w:vAlign w:val="bottom"/>
          </w:tcPr>
          <w:p>
            <w:pPr>
              <w:ind w:left="280"/>
              <w:spacing w:after="0"/>
              <w:rPr>
                <w:sz w:val="20"/>
                <w:szCs w:val="20"/>
                <w:color w:val="auto"/>
              </w:rPr>
            </w:pPr>
            <w:r>
              <w:rPr>
                <w:rFonts w:ascii="Courier New" w:cs="Courier New" w:eastAsia="Courier New" w:hAnsi="Courier New"/>
                <w:sz w:val="15"/>
                <w:szCs w:val="15"/>
                <w:color w:val="auto"/>
              </w:rPr>
              <w:t>Interest and dividend income</w:t>
            </w:r>
          </w:p>
        </w:tc>
        <w:tc>
          <w:tcPr>
            <w:tcW w:w="240" w:type="dxa"/>
            <w:vAlign w:val="bottom"/>
          </w:tcPr>
          <w:p>
            <w:pPr>
              <w:spacing w:after="0"/>
              <w:rPr>
                <w:sz w:val="15"/>
                <w:szCs w:val="15"/>
                <w:color w:val="auto"/>
              </w:rPr>
            </w:pP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24,004,833</w:t>
            </w:r>
          </w:p>
        </w:tc>
        <w:tc>
          <w:tcPr>
            <w:tcW w:w="10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20,289,908</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10,642,129</w:t>
            </w:r>
          </w:p>
        </w:tc>
      </w:tr>
      <w:tr>
        <w:trPr>
          <w:trHeight w:val="177"/>
        </w:trPr>
        <w:tc>
          <w:tcPr>
            <w:tcW w:w="3820" w:type="dxa"/>
            <w:vAlign w:val="bottom"/>
          </w:tcPr>
          <w:p>
            <w:pPr>
              <w:ind w:left="280"/>
              <w:spacing w:after="0"/>
              <w:rPr>
                <w:sz w:val="20"/>
                <w:szCs w:val="20"/>
                <w:color w:val="auto"/>
              </w:rPr>
            </w:pPr>
            <w:r>
              <w:rPr>
                <w:rFonts w:ascii="Courier New" w:cs="Courier New" w:eastAsia="Courier New" w:hAnsi="Courier New"/>
                <w:sz w:val="15"/>
                <w:szCs w:val="15"/>
                <w:color w:val="auto"/>
              </w:rPr>
              <w:t>Other, net</w:t>
            </w:r>
          </w:p>
        </w:tc>
        <w:tc>
          <w:tcPr>
            <w:tcW w:w="240" w:type="dxa"/>
            <w:vAlign w:val="bottom"/>
          </w:tcPr>
          <w:p>
            <w:pPr>
              <w:spacing w:after="0"/>
              <w:rPr>
                <w:sz w:val="15"/>
                <w:szCs w:val="15"/>
                <w:color w:val="auto"/>
              </w:rPr>
            </w:pP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8,521,789</w:t>
            </w:r>
          </w:p>
        </w:tc>
        <w:tc>
          <w:tcPr>
            <w:tcW w:w="10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3,310,066</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5,024,176</w:t>
            </w:r>
          </w:p>
        </w:tc>
      </w:tr>
      <w:tr>
        <w:trPr>
          <w:trHeight w:val="177"/>
        </w:trPr>
        <w:tc>
          <w:tcPr>
            <w:tcW w:w="3820" w:type="dxa"/>
            <w:vAlign w:val="bottom"/>
          </w:tcPr>
          <w:p>
            <w:pPr>
              <w:spacing w:after="0"/>
              <w:rPr>
                <w:sz w:val="15"/>
                <w:szCs w:val="15"/>
                <w:color w:val="auto"/>
              </w:rPr>
            </w:pP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20" w:type="dxa"/>
            <w:vAlign w:val="bottom"/>
          </w:tcPr>
          <w:p>
            <w:pPr>
              <w:ind w:left="540"/>
              <w:spacing w:after="0"/>
              <w:rPr>
                <w:sz w:val="20"/>
                <w:szCs w:val="20"/>
                <w:color w:val="auto"/>
              </w:rPr>
            </w:pPr>
            <w:r>
              <w:rPr>
                <w:rFonts w:ascii="Courier New" w:cs="Courier New" w:eastAsia="Courier New" w:hAnsi="Courier New"/>
                <w:sz w:val="15"/>
                <w:szCs w:val="15"/>
                <w:color w:val="auto"/>
              </w:rPr>
              <w:t>Total other income</w:t>
            </w:r>
          </w:p>
        </w:tc>
        <w:tc>
          <w:tcPr>
            <w:tcW w:w="240" w:type="dxa"/>
            <w:vAlign w:val="bottom"/>
          </w:tcPr>
          <w:p>
            <w:pPr>
              <w:spacing w:after="0"/>
              <w:rPr>
                <w:sz w:val="15"/>
                <w:szCs w:val="15"/>
                <w:color w:val="auto"/>
              </w:rPr>
            </w:pP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32,526,622</w:t>
            </w:r>
          </w:p>
        </w:tc>
        <w:tc>
          <w:tcPr>
            <w:tcW w:w="10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23,599,974</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15,666,305</w:t>
            </w:r>
          </w:p>
        </w:tc>
      </w:tr>
      <w:tr>
        <w:trPr>
          <w:trHeight w:val="177"/>
        </w:trPr>
        <w:tc>
          <w:tcPr>
            <w:tcW w:w="3820" w:type="dxa"/>
            <w:vAlign w:val="bottom"/>
          </w:tcPr>
          <w:p>
            <w:pPr>
              <w:spacing w:after="0"/>
              <w:rPr>
                <w:sz w:val="15"/>
                <w:szCs w:val="15"/>
                <w:color w:val="auto"/>
              </w:rPr>
            </w:pP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20" w:type="dxa"/>
            <w:vAlign w:val="bottom"/>
          </w:tcPr>
          <w:p>
            <w:pPr>
              <w:ind w:left="280"/>
              <w:spacing w:after="0"/>
              <w:rPr>
                <w:sz w:val="20"/>
                <w:szCs w:val="20"/>
                <w:color w:val="auto"/>
              </w:rPr>
            </w:pPr>
            <w:r>
              <w:rPr>
                <w:rFonts w:ascii="Courier New" w:cs="Courier New" w:eastAsia="Courier New" w:hAnsi="Courier New"/>
                <w:sz w:val="15"/>
                <w:szCs w:val="15"/>
                <w:color w:val="auto"/>
              </w:rPr>
              <w:t>Income before provision</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820" w:type="dxa"/>
            <w:vAlign w:val="bottom"/>
          </w:tcPr>
          <w:p>
            <w:pPr>
              <w:ind w:left="540"/>
              <w:spacing w:after="0"/>
              <w:rPr>
                <w:sz w:val="20"/>
                <w:szCs w:val="20"/>
                <w:color w:val="auto"/>
              </w:rPr>
            </w:pPr>
            <w:r>
              <w:rPr>
                <w:rFonts w:ascii="Courier New" w:cs="Courier New" w:eastAsia="Courier New" w:hAnsi="Courier New"/>
                <w:sz w:val="15"/>
                <w:szCs w:val="15"/>
                <w:color w:val="auto"/>
              </w:rPr>
              <w:t>for income taxes</w:t>
            </w:r>
          </w:p>
        </w:tc>
        <w:tc>
          <w:tcPr>
            <w:tcW w:w="240" w:type="dxa"/>
            <w:vAlign w:val="bottom"/>
          </w:tcPr>
          <w:p>
            <w:pPr>
              <w:spacing w:after="0"/>
              <w:rPr>
                <w:sz w:val="15"/>
                <w:szCs w:val="15"/>
                <w:color w:val="auto"/>
              </w:rPr>
            </w:pP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158,973,598</w:t>
            </w:r>
          </w:p>
        </w:tc>
        <w:tc>
          <w:tcPr>
            <w:tcW w:w="10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159,894,511</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165,732,518</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40" w:type="dxa"/>
            <w:vAlign w:val="bottom"/>
          </w:tcPr>
          <w:p>
            <w:pPr>
              <w:spacing w:after="0"/>
              <w:rPr>
                <w:sz w:val="15"/>
                <w:szCs w:val="15"/>
                <w:color w:val="auto"/>
              </w:rPr>
            </w:pP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50,212,596</w:t>
            </w:r>
          </w:p>
        </w:tc>
        <w:tc>
          <w:tcPr>
            <w:tcW w:w="10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50,367,000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53,076,000</w:t>
            </w:r>
          </w:p>
        </w:tc>
      </w:tr>
      <w:tr>
        <w:trPr>
          <w:trHeight w:val="177"/>
        </w:trPr>
        <w:tc>
          <w:tcPr>
            <w:tcW w:w="3820" w:type="dxa"/>
            <w:vAlign w:val="bottom"/>
          </w:tcPr>
          <w:p>
            <w:pPr>
              <w:spacing w:after="0"/>
              <w:rPr>
                <w:sz w:val="15"/>
                <w:szCs w:val="15"/>
                <w:color w:val="auto"/>
              </w:rPr>
            </w:pP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$108,761,002</w:t>
            </w: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$109,527,511</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$112,656,518</w:t>
            </w:r>
          </w:p>
        </w:tc>
      </w:tr>
      <w:tr>
        <w:trPr>
          <w:trHeight w:val="177"/>
        </w:trPr>
        <w:tc>
          <w:tcPr>
            <w:tcW w:w="3820" w:type="dxa"/>
            <w:vAlign w:val="bottom"/>
          </w:tcPr>
          <w:p>
            <w:pPr>
              <w:spacing w:after="0"/>
              <w:rPr>
                <w:sz w:val="15"/>
                <w:szCs w:val="15"/>
                <w:color w:val="auto"/>
              </w:rPr>
            </w:pP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3820" w:type="dxa"/>
            <w:vAlign w:val="bottom"/>
          </w:tcPr>
          <w:p>
            <w:pPr>
              <w:ind w:left="280"/>
              <w:spacing w:after="0"/>
              <w:rPr>
                <w:sz w:val="20"/>
                <w:szCs w:val="20"/>
                <w:color w:val="auto"/>
              </w:rPr>
            </w:pPr>
            <w:r>
              <w:rPr>
                <w:rFonts w:ascii="Courier New" w:cs="Courier New" w:eastAsia="Courier New" w:hAnsi="Courier New"/>
                <w:sz w:val="15"/>
                <w:szCs w:val="15"/>
                <w:color w:val="auto"/>
              </w:rPr>
              <w:t>Basic</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0.74</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r>
      <w:tr>
        <w:trPr>
          <w:trHeight w:val="177"/>
        </w:trPr>
        <w:tc>
          <w:tcPr>
            <w:tcW w:w="3820" w:type="dxa"/>
            <w:vAlign w:val="bottom"/>
          </w:tcPr>
          <w:p>
            <w:pPr>
              <w:spacing w:after="0"/>
              <w:rPr>
                <w:sz w:val="15"/>
                <w:szCs w:val="15"/>
                <w:color w:val="auto"/>
              </w:rPr>
            </w:pP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20" w:type="dxa"/>
            <w:vAlign w:val="bottom"/>
          </w:tcPr>
          <w:p>
            <w:pPr>
              <w:ind w:left="280"/>
              <w:spacing w:after="0"/>
              <w:rPr>
                <w:sz w:val="20"/>
                <w:szCs w:val="20"/>
                <w:color w:val="auto"/>
              </w:rPr>
            </w:pPr>
            <w:r>
              <w:rPr>
                <w:rFonts w:ascii="Courier New" w:cs="Courier New" w:eastAsia="Courier New" w:hAnsi="Courier New"/>
                <w:sz w:val="15"/>
                <w:szCs w:val="15"/>
                <w:color w:val="auto"/>
              </w:rPr>
              <w:t>Diluted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0.73</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0.72</w:t>
            </w:r>
          </w:p>
        </w:tc>
      </w:tr>
      <w:tr>
        <w:trPr>
          <w:trHeight w:val="177"/>
        </w:trPr>
        <w:tc>
          <w:tcPr>
            <w:tcW w:w="3820" w:type="dxa"/>
            <w:vAlign w:val="bottom"/>
          </w:tcPr>
          <w:p>
            <w:pPr>
              <w:spacing w:after="0"/>
              <w:rPr>
                <w:sz w:val="15"/>
                <w:szCs w:val="15"/>
                <w:color w:val="auto"/>
              </w:rPr>
            </w:pPr>
          </w:p>
        </w:tc>
        <w:tc>
          <w:tcPr>
            <w:tcW w:w="15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Dividends Declared per Share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0.37</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0.32</w:t>
            </w:r>
          </w:p>
        </w:tc>
      </w:tr>
    </w:tbl>
    <w:p>
      <w:pPr>
        <w:spacing w:after="0" w:line="36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statements.</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- 32 -</w:t>
      </w:r>
    </w:p>
    <w:p>
      <w:pPr>
        <w:sectPr>
          <w:pgSz w:w="11900" w:h="16838" w:orient="portrait"/>
          <w:cols w:equalWidth="0" w:num="1">
            <w:col w:w="10219"/>
          </w:cols>
          <w:pgMar w:left="240" w:top="650" w:right="1440" w:bottom="1440" w:gutter="0" w:footer="0" w:header="0"/>
        </w:sectPr>
      </w:pPr>
    </w:p>
    <w:bookmarkStart w:id="33" w:name="page34"/>
    <w:bookmarkEnd w:id="33"/>
    <w:p>
      <w:pPr>
        <w:ind w:left="212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CONSOLIDATED STATEMENT OF SHAREHOLDERS' INVESTMENT</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FOR THE YEARS ENDED DECEMBER 31, 2006, 2005 and 2004</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left="3040" w:right="1559"/>
        <w:spacing w:after="0" w:line="250" w:lineRule="auto"/>
        <w:rPr>
          <w:sz w:val="20"/>
          <w:szCs w:val="20"/>
          <w:color w:val="auto"/>
        </w:rPr>
      </w:pPr>
      <w:r>
        <w:rPr>
          <w:rFonts w:ascii="Courier New" w:cs="Courier New" w:eastAsia="Courier New" w:hAnsi="Courier New"/>
          <w:sz w:val="15"/>
          <w:szCs w:val="15"/>
          <w:color w:val="auto"/>
        </w:rPr>
        <w:t>Common Stock  Common Stock  Additional Paid-In  Comprehensive Shares        Amount           Capital       Income (Loss)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2003</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77,040,816</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$4,622,449</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$152,874,325</w:t>
            </w:r>
          </w:p>
        </w:tc>
        <w:tc>
          <w:tcPr>
            <w:tcW w:w="1340" w:type="dxa"/>
            <w:vAlign w:val="bottom"/>
          </w:tcPr>
          <w:p>
            <w:pPr>
              <w:spacing w:after="0"/>
              <w:rPr>
                <w:sz w:val="14"/>
                <w:szCs w:val="14"/>
                <w:color w:val="auto"/>
              </w:rPr>
            </w:pP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Issuance of common stock and</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the tax benefit of stock plan</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transactions</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825,935</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49,556</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22,391,789</w:t>
            </w:r>
          </w:p>
        </w:tc>
        <w:tc>
          <w:tcPr>
            <w:tcW w:w="134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Dividends declared ($.32 per</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$112,656,518</w:t>
            </w: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Other comprehensive income</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Foreign currency translation</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adjustment</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860,738</w:t>
            </w: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 on</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investments, net of tax of</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jc w:val="right"/>
              <w:ind w:right="1663"/>
              <w:spacing w:after="0"/>
              <w:rPr>
                <w:sz w:val="20"/>
                <w:szCs w:val="20"/>
                <w:color w:val="auto"/>
              </w:rPr>
            </w:pPr>
            <w:r>
              <w:rPr>
                <w:rFonts w:ascii="Courier New" w:cs="Courier New" w:eastAsia="Courier New" w:hAnsi="Courier New"/>
                <w:sz w:val="15"/>
                <w:szCs w:val="15"/>
                <w:color w:val="auto"/>
              </w:rPr>
              <w:t>$2,098,093</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3,896,458</w:t>
            </w:r>
          </w:p>
        </w:tc>
      </w:tr>
      <w:tr>
        <w:trPr>
          <w:trHeight w:val="177"/>
        </w:trPr>
        <w:tc>
          <w:tcPr>
            <w:tcW w:w="2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Other comprehensive income</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4,757,196</w:t>
            </w:r>
          </w:p>
        </w:tc>
      </w:tr>
      <w:tr>
        <w:trPr>
          <w:trHeight w:val="177"/>
        </w:trPr>
        <w:tc>
          <w:tcPr>
            <w:tcW w:w="2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ind w:left="360"/>
              <w:spacing w:after="0"/>
              <w:rPr>
                <w:sz w:val="20"/>
                <w:szCs w:val="20"/>
                <w:color w:val="auto"/>
              </w:rPr>
            </w:pPr>
            <w:r>
              <w:rPr>
                <w:rFonts w:ascii="Courier New" w:cs="Courier New" w:eastAsia="Courier New" w:hAnsi="Courier New"/>
                <w:sz w:val="15"/>
                <w:szCs w:val="15"/>
                <w:color w:val="auto"/>
              </w:rPr>
              <w:t>Comprehensive income</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$117,413,714</w:t>
            </w:r>
          </w:p>
        </w:tc>
      </w:tr>
      <w:tr>
        <w:trPr>
          <w:trHeight w:val="177"/>
        </w:trPr>
        <w:tc>
          <w:tcPr>
            <w:tcW w:w="2940" w:type="dxa"/>
            <w:vAlign w:val="bottom"/>
          </w:tcPr>
          <w:p>
            <w:pPr>
              <w:spacing w:after="0"/>
              <w:rPr>
                <w:sz w:val="15"/>
                <w:szCs w:val="15"/>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1660" w:type="dxa"/>
            <w:vAlign w:val="bottom"/>
          </w:tcPr>
          <w:p>
            <w:pPr>
              <w:spacing w:after="0"/>
              <w:rPr>
                <w:sz w:val="15"/>
                <w:szCs w:val="15"/>
                <w:color w:val="auto"/>
              </w:rPr>
            </w:pP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2004</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77,866,751</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4,672,005</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175,266,114</w:t>
            </w:r>
          </w:p>
        </w:tc>
        <w:tc>
          <w:tcPr>
            <w:tcW w:w="1340" w:type="dxa"/>
            <w:vAlign w:val="bottom"/>
          </w:tcPr>
          <w:p>
            <w:pPr>
              <w:spacing w:after="0"/>
              <w:rPr>
                <w:sz w:val="24"/>
                <w:szCs w:val="24"/>
                <w:color w:val="auto"/>
              </w:rPr>
            </w:pP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Issuance of common stock and</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the tax benefit of stock plan</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transactions</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1,652,948</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99,177</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25,641,802</w:t>
            </w:r>
          </w:p>
        </w:tc>
        <w:tc>
          <w:tcPr>
            <w:tcW w:w="134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2 for 1 Common Stock Split</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78,020,342</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4,681,221</w:t>
            </w:r>
          </w:p>
        </w:tc>
        <w:tc>
          <w:tcPr>
            <w:tcW w:w="16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(4,681,221)</w:t>
            </w:r>
          </w:p>
        </w:tc>
        <w:tc>
          <w:tcPr>
            <w:tcW w:w="134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Repurchases of common stock</w:t>
            </w:r>
          </w:p>
        </w:tc>
        <w:tc>
          <w:tcPr>
            <w:tcW w:w="15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(1,496,059)</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(89,764)</w:t>
            </w:r>
          </w:p>
        </w:tc>
        <w:tc>
          <w:tcPr>
            <w:tcW w:w="16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(1,750,389)</w:t>
            </w:r>
          </w:p>
        </w:tc>
        <w:tc>
          <w:tcPr>
            <w:tcW w:w="134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Dividends declared ($.35 per</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$109,527,511</w:t>
            </w: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Other comprehensive income</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Foreign currency translation</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adjustment</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(1,138,244)</w:t>
            </w: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 on</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investments, net of tax</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of $1,743,097</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3,237,180</w:t>
            </w:r>
          </w:p>
        </w:tc>
      </w:tr>
      <w:tr>
        <w:trPr>
          <w:trHeight w:val="177"/>
        </w:trPr>
        <w:tc>
          <w:tcPr>
            <w:tcW w:w="2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ind w:left="360"/>
              <w:spacing w:after="0"/>
              <w:rPr>
                <w:sz w:val="20"/>
                <w:szCs w:val="20"/>
                <w:color w:val="auto"/>
              </w:rPr>
            </w:pPr>
            <w:r>
              <w:rPr>
                <w:rFonts w:ascii="Courier New" w:cs="Courier New" w:eastAsia="Courier New" w:hAnsi="Courier New"/>
                <w:sz w:val="15"/>
                <w:szCs w:val="15"/>
                <w:color w:val="auto"/>
              </w:rPr>
              <w:t>Other comprehensive income</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2,098,936</w:t>
            </w:r>
          </w:p>
        </w:tc>
      </w:tr>
      <w:tr>
        <w:trPr>
          <w:trHeight w:val="177"/>
        </w:trPr>
        <w:tc>
          <w:tcPr>
            <w:tcW w:w="2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ind w:left="460"/>
              <w:spacing w:after="0"/>
              <w:rPr>
                <w:sz w:val="20"/>
                <w:szCs w:val="20"/>
                <w:color w:val="auto"/>
              </w:rPr>
            </w:pPr>
            <w:r>
              <w:rPr>
                <w:rFonts w:ascii="Courier New" w:cs="Courier New" w:eastAsia="Courier New" w:hAnsi="Courier New"/>
                <w:sz w:val="15"/>
                <w:szCs w:val="15"/>
                <w:color w:val="auto"/>
              </w:rPr>
              <w:t>Comprehensive income</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$111,626,447</w:t>
            </w:r>
          </w:p>
        </w:tc>
      </w:tr>
      <w:tr>
        <w:trPr>
          <w:trHeight w:val="177"/>
        </w:trPr>
        <w:tc>
          <w:tcPr>
            <w:tcW w:w="2940" w:type="dxa"/>
            <w:vAlign w:val="bottom"/>
          </w:tcPr>
          <w:p>
            <w:pPr>
              <w:spacing w:after="0"/>
              <w:rPr>
                <w:sz w:val="15"/>
                <w:szCs w:val="15"/>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1660" w:type="dxa"/>
            <w:vAlign w:val="bottom"/>
          </w:tcPr>
          <w:p>
            <w:pPr>
              <w:spacing w:after="0"/>
              <w:rPr>
                <w:sz w:val="15"/>
                <w:szCs w:val="15"/>
                <w:color w:val="auto"/>
              </w:rPr>
            </w:pP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2005</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156,043,982</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9,362,639</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194,476,306</w:t>
            </w:r>
          </w:p>
        </w:tc>
        <w:tc>
          <w:tcPr>
            <w:tcW w:w="1340" w:type="dxa"/>
            <w:vAlign w:val="bottom"/>
          </w:tcPr>
          <w:p>
            <w:pPr>
              <w:spacing w:after="0"/>
              <w:rPr>
                <w:sz w:val="24"/>
                <w:szCs w:val="24"/>
                <w:color w:val="auto"/>
              </w:rPr>
            </w:pP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Reclassification of Deferred</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Compensation upon adopting</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jc w:val="right"/>
              <w:ind w:right="1663"/>
              <w:spacing w:after="0"/>
              <w:rPr>
                <w:sz w:val="20"/>
                <w:szCs w:val="20"/>
                <w:color w:val="auto"/>
              </w:rPr>
            </w:pPr>
            <w:r>
              <w:rPr>
                <w:rFonts w:ascii="Courier New" w:cs="Courier New" w:eastAsia="Courier New" w:hAnsi="Courier New"/>
                <w:sz w:val="15"/>
                <w:szCs w:val="15"/>
                <w:color w:val="auto"/>
              </w:rPr>
              <w:t>[SFAS123(R)]</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(4,847,659)</w:t>
            </w:r>
          </w:p>
        </w:tc>
        <w:tc>
          <w:tcPr>
            <w:tcW w:w="134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Issuance of common stock and</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the tax benefit of stock plan</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transactions</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1,637,883</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98,273</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18,854,905</w:t>
            </w:r>
          </w:p>
        </w:tc>
        <w:tc>
          <w:tcPr>
            <w:tcW w:w="134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Stock-based compensation</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expense related to stock</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options, employee stock</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purchases and restricted stock</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8,481,871</w:t>
            </w:r>
          </w:p>
        </w:tc>
        <w:tc>
          <w:tcPr>
            <w:tcW w:w="134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Repurchases of common stock</w:t>
            </w:r>
          </w:p>
        </w:tc>
        <w:tc>
          <w:tcPr>
            <w:tcW w:w="15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(15,205,684)</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(912,341)</w:t>
            </w:r>
          </w:p>
        </w:tc>
        <w:tc>
          <w:tcPr>
            <w:tcW w:w="16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(20,063,935)</w:t>
            </w:r>
          </w:p>
        </w:tc>
        <w:tc>
          <w:tcPr>
            <w:tcW w:w="134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Dividends declared ($.37 per</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$108,761,002</w:t>
            </w: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Other comprehensive income</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Foreign currency translation</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adjustment</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1,298,088</w:t>
            </w: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 on</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investments, net of tax</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of $2,396,923</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4,451,428</w:t>
            </w:r>
          </w:p>
        </w:tc>
      </w:tr>
      <w:tr>
        <w:trPr>
          <w:trHeight w:val="177"/>
        </w:trPr>
        <w:tc>
          <w:tcPr>
            <w:tcW w:w="2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Other comprehensive income</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5,749,516</w:t>
            </w:r>
          </w:p>
        </w:tc>
      </w:tr>
      <w:tr>
        <w:trPr>
          <w:trHeight w:val="177"/>
        </w:trPr>
        <w:tc>
          <w:tcPr>
            <w:tcW w:w="2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ind w:left="360"/>
              <w:spacing w:after="0"/>
              <w:rPr>
                <w:sz w:val="20"/>
                <w:szCs w:val="20"/>
                <w:color w:val="auto"/>
              </w:rPr>
            </w:pPr>
            <w:r>
              <w:rPr>
                <w:rFonts w:ascii="Courier New" w:cs="Courier New" w:eastAsia="Courier New" w:hAnsi="Courier New"/>
                <w:sz w:val="15"/>
                <w:szCs w:val="15"/>
                <w:color w:val="auto"/>
              </w:rPr>
              <w:t>Comprehensive income</w:t>
            </w:r>
          </w:p>
        </w:tc>
        <w:tc>
          <w:tcPr>
            <w:tcW w:w="15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$114,510,518</w:t>
            </w:r>
          </w:p>
        </w:tc>
      </w:tr>
      <w:tr>
        <w:trPr>
          <w:trHeight w:val="177"/>
        </w:trPr>
        <w:tc>
          <w:tcPr>
            <w:tcW w:w="2940" w:type="dxa"/>
            <w:vAlign w:val="bottom"/>
          </w:tcPr>
          <w:p>
            <w:pPr>
              <w:spacing w:after="0"/>
              <w:rPr>
                <w:sz w:val="15"/>
                <w:szCs w:val="15"/>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1660" w:type="dxa"/>
            <w:vAlign w:val="bottom"/>
          </w:tcPr>
          <w:p>
            <w:pPr>
              <w:spacing w:after="0"/>
              <w:rPr>
                <w:sz w:val="15"/>
                <w:szCs w:val="15"/>
                <w:color w:val="auto"/>
              </w:rPr>
            </w:pP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473" w:right="1440" w:bottom="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BALANCE AS OF DECEMBER 31, 2006</w:t>
      </w:r>
    </w:p>
    <w:p>
      <w:pPr>
        <w:spacing w:after="0" w:line="20" w:lineRule="exact"/>
        <w:rPr>
          <w:sz w:val="20"/>
          <w:szCs w:val="20"/>
          <w:color w:val="auto"/>
        </w:rPr>
      </w:pPr>
      <w:r>
        <w:rPr>
          <w:sz w:val="20"/>
          <w:szCs w:val="20"/>
          <w:color w:val="auto"/>
        </w:rPr>
        <w:br w:type="column"/>
      </w:r>
    </w:p>
    <w:p>
      <w:pPr>
        <w:ind w:left="100"/>
        <w:spacing w:after="0"/>
        <w:tabs>
          <w:tab w:leader="none" w:pos="1460" w:val="left"/>
          <w:tab w:leader="none" w:pos="3020" w:val="left"/>
        </w:tabs>
        <w:rPr>
          <w:sz w:val="20"/>
          <w:szCs w:val="20"/>
          <w:color w:val="auto"/>
        </w:rPr>
      </w:pPr>
      <w:r>
        <w:rPr>
          <w:rFonts w:ascii="Courier New" w:cs="Courier New" w:eastAsia="Courier New" w:hAnsi="Courier New"/>
          <w:sz w:val="15"/>
          <w:szCs w:val="15"/>
          <w:color w:val="auto"/>
        </w:rPr>
        <w:t>142,476,181</w:t>
      </w:r>
      <w:r>
        <w:rPr>
          <w:sz w:val="20"/>
          <w:szCs w:val="20"/>
          <w:color w:val="auto"/>
        </w:rPr>
        <w:tab/>
      </w:r>
      <w:r>
        <w:rPr>
          <w:rFonts w:ascii="Courier New" w:cs="Courier New" w:eastAsia="Courier New" w:hAnsi="Courier New"/>
          <w:sz w:val="15"/>
          <w:szCs w:val="15"/>
          <w:color w:val="auto"/>
        </w:rPr>
        <w:t>$8,548,571</w:t>
      </w:r>
      <w:r>
        <w:rPr>
          <w:sz w:val="20"/>
          <w:szCs w:val="20"/>
          <w:color w:val="auto"/>
        </w:rPr>
        <w:tab/>
      </w:r>
      <w:r>
        <w:rPr>
          <w:rFonts w:ascii="Courier New" w:cs="Courier New" w:eastAsia="Courier New" w:hAnsi="Courier New"/>
          <w:sz w:val="15"/>
          <w:szCs w:val="15"/>
          <w:color w:val="auto"/>
        </w:rPr>
        <w:t>$196,901,488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2860" w:space="180"/>
            <w:col w:w="7179"/>
          </w:cols>
          <w:pgMar w:left="240" w:top="319" w:right="1440" w:bottom="0" w:gutter="0" w:footer="0" w:header="0"/>
        </w:sectPr>
      </w:pPr>
    </w:p>
    <w:p>
      <w:pPr>
        <w:spacing w:after="0" w:line="200" w:lineRule="exact"/>
        <w:rPr>
          <w:sz w:val="20"/>
          <w:szCs w:val="20"/>
          <w:color w:val="auto"/>
        </w:rPr>
      </w:pPr>
    </w:p>
    <w:p>
      <w:pPr>
        <w:spacing w:after="0" w:line="317"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Accumulated Other</w:t>
      </w:r>
    </w:p>
    <w:p>
      <w:pPr>
        <w:spacing w:after="0" w:line="8" w:lineRule="exact"/>
        <w:rPr>
          <w:sz w:val="20"/>
          <w:szCs w:val="20"/>
          <w:color w:val="auto"/>
        </w:rPr>
      </w:pPr>
    </w:p>
    <w:p>
      <w:pPr>
        <w:ind w:left="4980"/>
        <w:spacing w:after="0"/>
        <w:tabs>
          <w:tab w:leader="none" w:pos="6240" w:val="left"/>
          <w:tab w:leader="none" w:pos="7820" w:val="left"/>
        </w:tabs>
        <w:rPr>
          <w:sz w:val="20"/>
          <w:szCs w:val="20"/>
          <w:color w:val="auto"/>
        </w:rPr>
      </w:pPr>
      <w:r>
        <w:rPr>
          <w:rFonts w:ascii="Courier New" w:cs="Courier New" w:eastAsia="Courier New" w:hAnsi="Courier New"/>
          <w:sz w:val="15"/>
          <w:szCs w:val="15"/>
          <w:color w:val="auto"/>
        </w:rPr>
        <w:t>Deferred</w:t>
      </w:r>
      <w:r>
        <w:rPr>
          <w:sz w:val="20"/>
          <w:szCs w:val="20"/>
          <w:color w:val="auto"/>
        </w:rPr>
        <w:tab/>
      </w:r>
      <w:r>
        <w:rPr>
          <w:rFonts w:ascii="Courier New" w:cs="Courier New" w:eastAsia="Courier New" w:hAnsi="Courier New"/>
          <w:sz w:val="15"/>
          <w:szCs w:val="15"/>
          <w:color w:val="auto"/>
        </w:rPr>
        <w:t>Comprehensive</w:t>
      </w:r>
      <w:r>
        <w:rPr>
          <w:sz w:val="20"/>
          <w:szCs w:val="20"/>
          <w:color w:val="auto"/>
        </w:rPr>
        <w:tab/>
      </w:r>
      <w:r>
        <w:rPr>
          <w:rFonts w:ascii="Courier New" w:cs="Courier New" w:eastAsia="Courier New" w:hAnsi="Courier New"/>
          <w:sz w:val="15"/>
          <w:szCs w:val="15"/>
          <w:color w:val="auto"/>
        </w:rPr>
        <w:t>Total Shareholders'</w:t>
      </w:r>
    </w:p>
    <w:p>
      <w:pPr>
        <w:spacing w:after="0" w:line="8" w:lineRule="exact"/>
        <w:rPr>
          <w:sz w:val="20"/>
          <w:szCs w:val="20"/>
          <w:color w:val="auto"/>
        </w:rPr>
      </w:pPr>
    </w:p>
    <w:p>
      <w:pPr>
        <w:ind w:left="3040"/>
        <w:spacing w:after="0"/>
        <w:tabs>
          <w:tab w:leader="none" w:pos="4780" w:val="left"/>
          <w:tab w:leader="none" w:pos="6240" w:val="left"/>
          <w:tab w:leader="none" w:pos="8180" w:val="left"/>
        </w:tabs>
        <w:rPr>
          <w:sz w:val="20"/>
          <w:szCs w:val="20"/>
          <w:color w:val="auto"/>
        </w:rPr>
      </w:pPr>
      <w:r>
        <w:rPr>
          <w:rFonts w:ascii="Courier New" w:cs="Courier New" w:eastAsia="Courier New" w:hAnsi="Courier New"/>
          <w:sz w:val="15"/>
          <w:szCs w:val="15"/>
          <w:color w:val="auto"/>
        </w:rPr>
        <w:t>Retained Earnings</w:t>
        <w:tab/>
        <w:t>Compensation</w:t>
      </w:r>
      <w:r>
        <w:rPr>
          <w:sz w:val="20"/>
          <w:szCs w:val="20"/>
          <w:color w:val="auto"/>
        </w:rPr>
        <w:tab/>
      </w:r>
      <w:r>
        <w:rPr>
          <w:rFonts w:ascii="Courier New" w:cs="Courier New" w:eastAsia="Courier New" w:hAnsi="Courier New"/>
          <w:sz w:val="15"/>
          <w:szCs w:val="15"/>
          <w:color w:val="auto"/>
        </w:rPr>
        <w:t>Income (Loss)</w:t>
      </w:r>
      <w:r>
        <w:rPr>
          <w:sz w:val="20"/>
          <w:szCs w:val="20"/>
          <w:color w:val="auto"/>
        </w:rPr>
        <w:tab/>
      </w:r>
      <w:r>
        <w:rPr>
          <w:rFonts w:ascii="Courier New" w:cs="Courier New" w:eastAsia="Courier New" w:hAnsi="Courier New"/>
          <w:sz w:val="15"/>
          <w:szCs w:val="15"/>
          <w:color w:val="auto"/>
        </w:rPr>
        <w:t>Investment</w:t>
      </w:r>
    </w:p>
    <w:p>
      <w:pPr>
        <w:sectPr>
          <w:pgSz w:w="11900" w:h="16838" w:orient="portrait"/>
          <w:cols w:equalWidth="0" w:num="1">
            <w:col w:w="10219"/>
          </w:cols>
          <w:pgMar w:left="240" w:top="319"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2003</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$528,358,825</w:t>
            </w:r>
          </w:p>
        </w:tc>
        <w:tc>
          <w:tcPr>
            <w:tcW w:w="14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($4,658,450)</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$12,446,182</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$693,643,331</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Issuance of common stock and</w:t>
            </w:r>
          </w:p>
        </w:tc>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the tax benefit of stock plan</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transactions</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(2,323,123)</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20,118,222</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Dividends declared ($.32 per</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8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(49,469,017)</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(49,469,017)</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1,573,722</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1,573,722</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112,656,518</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112,656,518</w:t>
            </w: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Other comprehensive income</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Foreign currency translation</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adjustment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 on</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investments, net of tax of</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jc w:val="right"/>
              <w:ind w:right="1663"/>
              <w:spacing w:after="0"/>
              <w:rPr>
                <w:sz w:val="20"/>
                <w:szCs w:val="20"/>
                <w:color w:val="auto"/>
              </w:rPr>
            </w:pPr>
            <w:r>
              <w:rPr>
                <w:rFonts w:ascii="Courier New" w:cs="Courier New" w:eastAsia="Courier New" w:hAnsi="Courier New"/>
                <w:sz w:val="15"/>
                <w:szCs w:val="15"/>
                <w:color w:val="auto"/>
              </w:rPr>
              <w:t>$2,098,093</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Other comprehensive income</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4,757,196</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4,757,196</w:t>
            </w:r>
          </w:p>
        </w:tc>
      </w:tr>
      <w:tr>
        <w:trPr>
          <w:trHeight w:val="355"/>
        </w:trPr>
        <w:tc>
          <w:tcPr>
            <w:tcW w:w="2940" w:type="dxa"/>
            <w:vAlign w:val="bottom"/>
          </w:tcPr>
          <w:p>
            <w:pPr>
              <w:ind w:left="360"/>
              <w:spacing w:after="0"/>
              <w:rPr>
                <w:sz w:val="20"/>
                <w:szCs w:val="20"/>
                <w:color w:val="auto"/>
              </w:rPr>
            </w:pPr>
            <w:r>
              <w:rPr>
                <w:rFonts w:ascii="Courier New" w:cs="Courier New" w:eastAsia="Courier New" w:hAnsi="Courier New"/>
                <w:sz w:val="15"/>
                <w:szCs w:val="15"/>
                <w:color w:val="auto"/>
              </w:rPr>
              <w:t>Comprehensive income</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spacing w:after="0"/>
              <w:rPr>
                <w:sz w:val="15"/>
                <w:szCs w:val="15"/>
                <w:color w:val="auto"/>
              </w:rPr>
            </w:pPr>
          </w:p>
        </w:tc>
        <w:tc>
          <w:tcPr>
            <w:tcW w:w="666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2004</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591,546,326</w:t>
            </w:r>
          </w:p>
        </w:tc>
        <w:tc>
          <w:tcPr>
            <w:tcW w:w="14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(5,407,851)</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17,203,378</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783,279,972</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Issuance of common stock and</w:t>
            </w:r>
          </w:p>
        </w:tc>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the tax benefit of stock plan</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transactions</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(1,069,507)</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24,671,472</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2 for 1 Common Stock Split</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Repurchases of common stock</w:t>
            </w:r>
          </w:p>
        </w:tc>
        <w:tc>
          <w:tcPr>
            <w:tcW w:w="18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(23,374,420)</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(25,214,573)</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Dividends declared ($.35 per</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8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(54,397,642)</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(54,397,642)</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Amortization of deferred</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1,629,699</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1,629,699</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109,527,511</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109,527,511</w:t>
            </w: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Other comprehensive income</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Foreign currency translation</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adjustment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 on</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investments, net of tax</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of $1,743,097</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940" w:type="dxa"/>
            <w:vAlign w:val="bottom"/>
          </w:tcPr>
          <w:p>
            <w:pPr>
              <w:ind w:left="360"/>
              <w:spacing w:after="0"/>
              <w:rPr>
                <w:sz w:val="20"/>
                <w:szCs w:val="20"/>
                <w:color w:val="auto"/>
              </w:rPr>
            </w:pPr>
            <w:r>
              <w:rPr>
                <w:rFonts w:ascii="Courier New" w:cs="Courier New" w:eastAsia="Courier New" w:hAnsi="Courier New"/>
                <w:sz w:val="15"/>
                <w:szCs w:val="15"/>
                <w:color w:val="auto"/>
              </w:rPr>
              <w:t>Other comprehensive income</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2,098,936</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2,098,936</w:t>
            </w:r>
          </w:p>
        </w:tc>
      </w:tr>
      <w:tr>
        <w:trPr>
          <w:trHeight w:val="355"/>
        </w:trPr>
        <w:tc>
          <w:tcPr>
            <w:tcW w:w="2940" w:type="dxa"/>
            <w:vAlign w:val="bottom"/>
          </w:tcPr>
          <w:p>
            <w:pPr>
              <w:ind w:left="460"/>
              <w:spacing w:after="0"/>
              <w:rPr>
                <w:sz w:val="20"/>
                <w:szCs w:val="20"/>
                <w:color w:val="auto"/>
              </w:rPr>
            </w:pPr>
            <w:r>
              <w:rPr>
                <w:rFonts w:ascii="Courier New" w:cs="Courier New" w:eastAsia="Courier New" w:hAnsi="Courier New"/>
                <w:sz w:val="15"/>
                <w:szCs w:val="15"/>
                <w:color w:val="auto"/>
              </w:rPr>
              <w:t>Comprehensive income</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spacing w:after="0"/>
              <w:rPr>
                <w:sz w:val="15"/>
                <w:szCs w:val="15"/>
                <w:color w:val="auto"/>
              </w:rPr>
            </w:pPr>
          </w:p>
        </w:tc>
        <w:tc>
          <w:tcPr>
            <w:tcW w:w="666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BALANCE AS OF DECEMBER 31, 2005</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623,301,775</w:t>
            </w:r>
          </w:p>
        </w:tc>
        <w:tc>
          <w:tcPr>
            <w:tcW w:w="14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(4,847,659)</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19,302,314</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841,595,375</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Reclassification of Deferred</w:t>
            </w:r>
          </w:p>
        </w:tc>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Compensation upon adopting</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jc w:val="right"/>
              <w:ind w:right="1663"/>
              <w:spacing w:after="0"/>
              <w:rPr>
                <w:sz w:val="20"/>
                <w:szCs w:val="20"/>
                <w:color w:val="auto"/>
              </w:rPr>
            </w:pPr>
            <w:r>
              <w:rPr>
                <w:rFonts w:ascii="Courier New" w:cs="Courier New" w:eastAsia="Courier New" w:hAnsi="Courier New"/>
                <w:sz w:val="15"/>
                <w:szCs w:val="15"/>
                <w:color w:val="auto"/>
              </w:rPr>
              <w:t>[SFAS123(R)]</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4,847,659</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Issuance of common stock and</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the tax benefit of stock plan</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transactions</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18,953,178</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Stock-based compensation</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expense related to stock</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options, employee stock</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purchases and restricted stock</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8,481,871</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Repurchases of common stock</w:t>
            </w:r>
          </w:p>
        </w:tc>
        <w:tc>
          <w:tcPr>
            <w:tcW w:w="18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(205,874,977)</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(226,851,253)</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Dividends declared ($.37 per</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18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(53,995,400)</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(53,995,400)</w:t>
            </w:r>
          </w:p>
        </w:tc>
      </w:tr>
      <w:tr>
        <w:trPr>
          <w:trHeight w:val="355"/>
        </w:trPr>
        <w:tc>
          <w:tcPr>
            <w:tcW w:w="29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108,761,002</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108,761,002</w:t>
            </w:r>
          </w:p>
        </w:tc>
      </w:tr>
      <w:tr>
        <w:trPr>
          <w:trHeight w:val="177"/>
        </w:trPr>
        <w:tc>
          <w:tcPr>
            <w:tcW w:w="2940" w:type="dxa"/>
            <w:vAlign w:val="bottom"/>
          </w:tcPr>
          <w:p>
            <w:pPr>
              <w:ind w:left="80"/>
              <w:spacing w:after="0"/>
              <w:rPr>
                <w:sz w:val="20"/>
                <w:szCs w:val="20"/>
                <w:color w:val="auto"/>
              </w:rPr>
            </w:pPr>
            <w:r>
              <w:rPr>
                <w:rFonts w:ascii="Courier New" w:cs="Courier New" w:eastAsia="Courier New" w:hAnsi="Courier New"/>
                <w:sz w:val="15"/>
                <w:szCs w:val="15"/>
                <w:color w:val="auto"/>
              </w:rPr>
              <w:t>Other comprehensive income</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Foreign currency translation</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adjustment</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 on</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investments, net of tax</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of $2,396,923</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2940" w:type="dxa"/>
            <w:vAlign w:val="bottom"/>
          </w:tcPr>
          <w:p>
            <w:pPr>
              <w:ind w:left="280"/>
              <w:spacing w:after="0"/>
              <w:rPr>
                <w:sz w:val="20"/>
                <w:szCs w:val="20"/>
                <w:color w:val="auto"/>
              </w:rPr>
            </w:pPr>
            <w:r>
              <w:rPr>
                <w:rFonts w:ascii="Courier New" w:cs="Courier New" w:eastAsia="Courier New" w:hAnsi="Courier New"/>
                <w:sz w:val="15"/>
                <w:szCs w:val="15"/>
                <w:color w:val="auto"/>
              </w:rPr>
              <w:t>Other comprehensive income</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5,749,516</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5,749,516</w:t>
            </w:r>
          </w:p>
        </w:tc>
      </w:tr>
      <w:tr>
        <w:trPr>
          <w:trHeight w:val="355"/>
        </w:trPr>
        <w:tc>
          <w:tcPr>
            <w:tcW w:w="2940" w:type="dxa"/>
            <w:vAlign w:val="bottom"/>
          </w:tcPr>
          <w:p>
            <w:pPr>
              <w:ind w:left="360"/>
              <w:spacing w:after="0"/>
              <w:rPr>
                <w:sz w:val="20"/>
                <w:szCs w:val="20"/>
                <w:color w:val="auto"/>
              </w:rPr>
            </w:pPr>
            <w:r>
              <w:rPr>
                <w:rFonts w:ascii="Courier New" w:cs="Courier New" w:eastAsia="Courier New" w:hAnsi="Courier New"/>
                <w:sz w:val="15"/>
                <w:szCs w:val="15"/>
                <w:color w:val="auto"/>
              </w:rPr>
              <w:t>Comprehensive income</w:t>
            </w:r>
          </w:p>
        </w:tc>
        <w:tc>
          <w:tcPr>
            <w:tcW w:w="18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spacing w:after="0"/>
              <w:rPr>
                <w:sz w:val="15"/>
                <w:szCs w:val="15"/>
                <w:color w:val="auto"/>
              </w:rPr>
            </w:pPr>
          </w:p>
        </w:tc>
        <w:tc>
          <w:tcPr>
            <w:tcW w:w="666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319" w:right="1440" w:bottom="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BALANCE AS OF DECEMBER 31, 2006</w:t>
      </w:r>
    </w:p>
    <w:p>
      <w:pPr>
        <w:spacing w:after="0" w:line="20" w:lineRule="exact"/>
        <w:rPr>
          <w:sz w:val="20"/>
          <w:szCs w:val="20"/>
          <w:color w:val="auto"/>
        </w:rPr>
      </w:pPr>
      <w:r>
        <w:rPr>
          <w:sz w:val="20"/>
          <w:szCs w:val="20"/>
          <w:color w:val="auto"/>
        </w:rPr>
        <w:br w:type="column"/>
      </w:r>
    </w:p>
    <w:p>
      <w:pPr>
        <w:jc w:val="both"/>
        <w:ind w:right="719" w:firstLine="461"/>
        <w:spacing w:after="0" w:line="253" w:lineRule="auto"/>
        <w:rPr>
          <w:sz w:val="20"/>
          <w:szCs w:val="20"/>
          <w:color w:val="auto"/>
        </w:rPr>
      </w:pPr>
      <w:r>
        <w:rPr>
          <w:rFonts w:ascii="Courier New" w:cs="Courier New" w:eastAsia="Courier New" w:hAnsi="Courier New"/>
          <w:sz w:val="15"/>
          <w:szCs w:val="15"/>
          <w:color w:val="auto"/>
        </w:rPr>
        <w:t>$472,192,400 $ - $25,051,830 $702,694,289 ======================================================================</w:t>
      </w:r>
    </w:p>
    <w:p>
      <w:pPr>
        <w:spacing w:after="0" w:line="200" w:lineRule="exact"/>
        <w:rPr>
          <w:sz w:val="20"/>
          <w:szCs w:val="20"/>
          <w:color w:val="auto"/>
        </w:rPr>
      </w:pPr>
    </w:p>
    <w:p>
      <w:pPr>
        <w:sectPr>
          <w:pgSz w:w="11900" w:h="16838" w:orient="portrait"/>
          <w:cols w:equalWidth="0" w:num="2">
            <w:col w:w="2860" w:space="180"/>
            <w:col w:w="7179"/>
          </w:cols>
          <w:pgMar w:left="240" w:top="142" w:right="1440" w:bottom="1440" w:gutter="0" w:footer="0" w:header="0"/>
        </w:sectPr>
      </w:pPr>
    </w:p>
    <w:p>
      <w:pPr>
        <w:spacing w:after="0" w:line="152"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142" w:right="1440" w:bottom="1440" w:gutter="0" w:footer="0" w:header="0"/>
          <w:type w:val="continuous"/>
        </w:sectPr>
      </w:pPr>
    </w:p>
    <w:bookmarkStart w:id="36" w:name="page37"/>
    <w:bookmarkEnd w:id="36"/>
    <w:p>
      <w:pPr>
        <w:jc w:val="center"/>
        <w:ind w:right="4060"/>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8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FOR THE YEARS ENDED DECEMBER 31, 2006, 2005 AND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spacing w:after="0"/>
              <w:rPr>
                <w:sz w:val="14"/>
                <w:szCs w:val="14"/>
                <w:color w:val="auto"/>
              </w:rPr>
            </w:pPr>
          </w:p>
        </w:tc>
        <w:tc>
          <w:tcPr>
            <w:tcW w:w="166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2006</w:t>
            </w:r>
          </w:p>
        </w:tc>
        <w:tc>
          <w:tcPr>
            <w:tcW w:w="20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2005</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6180" w:type="dxa"/>
            <w:vAlign w:val="bottom"/>
          </w:tcPr>
          <w:p>
            <w:pPr>
              <w:spacing w:after="0"/>
              <w:rPr>
                <w:sz w:val="15"/>
                <w:szCs w:val="15"/>
                <w:color w:val="auto"/>
              </w:rPr>
            </w:pP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9"/>
              </w:rPr>
              <w:t>--------------</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7"/>
        </w:trPr>
        <w:tc>
          <w:tcPr>
            <w:tcW w:w="6180" w:type="dxa"/>
            <w:vAlign w:val="bottom"/>
          </w:tcPr>
          <w:p>
            <w:pPr>
              <w:ind w:left="540"/>
              <w:spacing w:after="0"/>
              <w:rPr>
                <w:sz w:val="20"/>
                <w:szCs w:val="20"/>
                <w:color w:val="auto"/>
              </w:rPr>
            </w:pPr>
            <w:r>
              <w:rPr>
                <w:rFonts w:ascii="Courier New" w:cs="Courier New" w:eastAsia="Courier New" w:hAnsi="Courier New"/>
                <w:sz w:val="15"/>
                <w:szCs w:val="15"/>
                <w:color w:val="auto"/>
              </w:rPr>
              <w:t>Net income</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$ 108,761,002</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$ 109,527,511</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$ 112,656,518</w:t>
            </w:r>
          </w:p>
        </w:tc>
      </w:tr>
      <w:tr>
        <w:trPr>
          <w:trHeight w:val="177"/>
        </w:trPr>
        <w:tc>
          <w:tcPr>
            <w:tcW w:w="6180" w:type="dxa"/>
            <w:vAlign w:val="bottom"/>
          </w:tcPr>
          <w:p>
            <w:pPr>
              <w:ind w:left="54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1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6180" w:type="dxa"/>
            <w:vAlign w:val="bottom"/>
          </w:tcPr>
          <w:p>
            <w:pPr>
              <w:ind w:left="1100"/>
              <w:spacing w:after="0"/>
              <w:rPr>
                <w:sz w:val="20"/>
                <w:szCs w:val="20"/>
                <w:color w:val="auto"/>
              </w:rPr>
            </w:pPr>
            <w:r>
              <w:rPr>
                <w:rFonts w:ascii="Courier New" w:cs="Courier New" w:eastAsia="Courier New" w:hAnsi="Courier New"/>
                <w:sz w:val="15"/>
                <w:szCs w:val="15"/>
                <w:color w:val="auto"/>
              </w:rPr>
              <w:t>cash provided by operating activities:</w:t>
            </w:r>
          </w:p>
        </w:tc>
        <w:tc>
          <w:tcPr>
            <w:tcW w:w="1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6180" w:type="dxa"/>
            <w:vAlign w:val="bottom"/>
          </w:tcPr>
          <w:p>
            <w:pPr>
              <w:ind w:left="1480"/>
              <w:spacing w:after="0"/>
              <w:rPr>
                <w:sz w:val="20"/>
                <w:szCs w:val="20"/>
                <w:color w:val="auto"/>
              </w:rPr>
            </w:pPr>
            <w:r>
              <w:rPr>
                <w:rFonts w:ascii="Courier New" w:cs="Courier New" w:eastAsia="Courier New" w:hAnsi="Courier New"/>
                <w:sz w:val="15"/>
                <w:szCs w:val="15"/>
                <w:color w:val="auto"/>
              </w:rPr>
              <w:t>Depreciation and amortization</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27,762,710</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23,823,327</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21,740,832</w:t>
            </w:r>
          </w:p>
        </w:tc>
      </w:tr>
      <w:tr>
        <w:trPr>
          <w:trHeight w:val="177"/>
        </w:trPr>
        <w:tc>
          <w:tcPr>
            <w:tcW w:w="6180" w:type="dxa"/>
            <w:vAlign w:val="bottom"/>
          </w:tcPr>
          <w:p>
            <w:pPr>
              <w:ind w:left="1480"/>
              <w:spacing w:after="0"/>
              <w:rPr>
                <w:sz w:val="20"/>
                <w:szCs w:val="20"/>
                <w:color w:val="auto"/>
              </w:rPr>
            </w:pPr>
            <w:r>
              <w:rPr>
                <w:rFonts w:ascii="Courier New" w:cs="Courier New" w:eastAsia="Courier New" w:hAnsi="Courier New"/>
                <w:sz w:val="15"/>
                <w:szCs w:val="15"/>
                <w:color w:val="auto"/>
              </w:rPr>
              <w:t>Loss on disposal of assets</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117,872</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420,522</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88,679</w:t>
            </w:r>
          </w:p>
        </w:tc>
      </w:tr>
      <w:tr>
        <w:trPr>
          <w:trHeight w:val="177"/>
        </w:trPr>
        <w:tc>
          <w:tcPr>
            <w:tcW w:w="6180" w:type="dxa"/>
            <w:vAlign w:val="bottom"/>
          </w:tcPr>
          <w:p>
            <w:pPr>
              <w:ind w:left="1480"/>
              <w:spacing w:after="0"/>
              <w:rPr>
                <w:sz w:val="20"/>
                <w:szCs w:val="20"/>
                <w:color w:val="auto"/>
              </w:rPr>
            </w:pPr>
            <w:r>
              <w:rPr>
                <w:rFonts w:ascii="Courier New" w:cs="Courier New" w:eastAsia="Courier New" w:hAnsi="Courier New"/>
                <w:sz w:val="15"/>
                <w:szCs w:val="15"/>
                <w:color w:val="auto"/>
              </w:rPr>
              <w:t>Gain on sale of investments</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(11,041,851)</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(5,710,679)</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(5,655,756)</w:t>
            </w:r>
          </w:p>
        </w:tc>
      </w:tr>
      <w:tr>
        <w:trPr>
          <w:trHeight w:val="177"/>
        </w:trPr>
        <w:tc>
          <w:tcPr>
            <w:tcW w:w="6180" w:type="dxa"/>
            <w:vAlign w:val="bottom"/>
          </w:tcPr>
          <w:p>
            <w:pPr>
              <w:ind w:left="1480"/>
              <w:spacing w:after="0"/>
              <w:rPr>
                <w:sz w:val="20"/>
                <w:szCs w:val="20"/>
                <w:color w:val="auto"/>
              </w:rPr>
            </w:pPr>
            <w:r>
              <w:rPr>
                <w:rFonts w:ascii="Courier New" w:cs="Courier New" w:eastAsia="Courier New" w:hAnsi="Courier New"/>
                <w:sz w:val="15"/>
                <w:szCs w:val="15"/>
                <w:color w:val="auto"/>
              </w:rPr>
              <w:t>Loss on sale of investments</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4,674,676</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2,511,060</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2,351,347</w:t>
            </w:r>
          </w:p>
        </w:tc>
      </w:tr>
      <w:tr>
        <w:trPr>
          <w:trHeight w:val="177"/>
        </w:trPr>
        <w:tc>
          <w:tcPr>
            <w:tcW w:w="6180" w:type="dxa"/>
            <w:vAlign w:val="bottom"/>
          </w:tcPr>
          <w:p>
            <w:pPr>
              <w:ind w:left="1480"/>
              <w:spacing w:after="0"/>
              <w:rPr>
                <w:sz w:val="20"/>
                <w:szCs w:val="20"/>
                <w:color w:val="auto"/>
              </w:rPr>
            </w:pPr>
            <w:r>
              <w:rPr>
                <w:rFonts w:ascii="Courier New" w:cs="Courier New" w:eastAsia="Courier New" w:hAnsi="Courier New"/>
                <w:sz w:val="15"/>
                <w:szCs w:val="15"/>
                <w:color w:val="auto"/>
              </w:rPr>
              <w:t>Deferred income taxes</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(1,754,219)</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(2,172,589)</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2,403,593</w:t>
            </w:r>
          </w:p>
        </w:tc>
      </w:tr>
      <w:tr>
        <w:trPr>
          <w:trHeight w:val="177"/>
        </w:trPr>
        <w:tc>
          <w:tcPr>
            <w:tcW w:w="6180" w:type="dxa"/>
            <w:vAlign w:val="bottom"/>
          </w:tcPr>
          <w:p>
            <w:pPr>
              <w:ind w:left="1480"/>
              <w:spacing w:after="0"/>
              <w:rPr>
                <w:sz w:val="20"/>
                <w:szCs w:val="20"/>
                <w:color w:val="auto"/>
              </w:rPr>
            </w:pPr>
            <w:r>
              <w:rPr>
                <w:rFonts w:ascii="Courier New" w:cs="Courier New" w:eastAsia="Courier New" w:hAnsi="Courier New"/>
                <w:sz w:val="15"/>
                <w:szCs w:val="15"/>
                <w:color w:val="auto"/>
              </w:rPr>
              <w:t>Stock based compensation expense related to</w:t>
            </w:r>
          </w:p>
        </w:tc>
        <w:tc>
          <w:tcPr>
            <w:tcW w:w="1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6180" w:type="dxa"/>
            <w:vAlign w:val="bottom"/>
          </w:tcPr>
          <w:p>
            <w:pPr>
              <w:ind w:left="1480"/>
              <w:spacing w:after="0"/>
              <w:rPr>
                <w:sz w:val="20"/>
                <w:szCs w:val="20"/>
                <w:color w:val="auto"/>
              </w:rPr>
            </w:pPr>
            <w:r>
              <w:rPr>
                <w:rFonts w:ascii="Courier New" w:cs="Courier New" w:eastAsia="Courier New" w:hAnsi="Courier New"/>
                <w:sz w:val="15"/>
                <w:szCs w:val="15"/>
                <w:color w:val="auto"/>
              </w:rPr>
              <w:t>employee stock options,employee stock purchases and</w:t>
            </w:r>
          </w:p>
        </w:tc>
        <w:tc>
          <w:tcPr>
            <w:tcW w:w="1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6180" w:type="dxa"/>
            <w:vAlign w:val="bottom"/>
          </w:tcPr>
          <w:p>
            <w:pPr>
              <w:ind w:left="1480"/>
              <w:spacing w:after="0"/>
              <w:rPr>
                <w:sz w:val="20"/>
                <w:szCs w:val="20"/>
                <w:color w:val="auto"/>
              </w:rPr>
            </w:pPr>
            <w:r>
              <w:rPr>
                <w:rFonts w:ascii="Courier New" w:cs="Courier New" w:eastAsia="Courier New" w:hAnsi="Courier New"/>
                <w:sz w:val="15"/>
                <w:szCs w:val="15"/>
                <w:color w:val="auto"/>
              </w:rPr>
              <w:t>restricted stock</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8,481,871</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1,629,699</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1,573,722</w:t>
            </w:r>
          </w:p>
        </w:tc>
      </w:tr>
      <w:tr>
        <w:trPr>
          <w:trHeight w:val="177"/>
        </w:trPr>
        <w:tc>
          <w:tcPr>
            <w:tcW w:w="6180" w:type="dxa"/>
            <w:vAlign w:val="bottom"/>
          </w:tcPr>
          <w:p>
            <w:pPr>
              <w:ind w:left="1480"/>
              <w:spacing w:after="0"/>
              <w:rPr>
                <w:sz w:val="20"/>
                <w:szCs w:val="20"/>
                <w:color w:val="auto"/>
              </w:rPr>
            </w:pPr>
            <w:r>
              <w:rPr>
                <w:rFonts w:ascii="Courier New" w:cs="Courier New" w:eastAsia="Courier New" w:hAnsi="Courier New"/>
                <w:sz w:val="15"/>
                <w:szCs w:val="15"/>
                <w:color w:val="auto"/>
              </w:rPr>
              <w:t>Tax benefit of stock plan transactions</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3,180,230</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3,511,622</w:t>
            </w:r>
          </w:p>
        </w:tc>
      </w:tr>
      <w:tr>
        <w:trPr>
          <w:trHeight w:val="177"/>
        </w:trPr>
        <w:tc>
          <w:tcPr>
            <w:tcW w:w="6180" w:type="dxa"/>
            <w:vAlign w:val="bottom"/>
          </w:tcPr>
          <w:p>
            <w:pPr>
              <w:ind w:left="1480"/>
              <w:spacing w:after="0"/>
              <w:rPr>
                <w:sz w:val="20"/>
                <w:szCs w:val="20"/>
                <w:color w:val="auto"/>
              </w:rPr>
            </w:pPr>
            <w:r>
              <w:rPr>
                <w:rFonts w:ascii="Courier New" w:cs="Courier New" w:eastAsia="Courier New" w:hAnsi="Courier New"/>
                <w:sz w:val="15"/>
                <w:szCs w:val="15"/>
                <w:color w:val="auto"/>
              </w:rPr>
              <w:t>Excess tax benefits from stock based</w:t>
            </w:r>
          </w:p>
        </w:tc>
        <w:tc>
          <w:tcPr>
            <w:tcW w:w="1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6180" w:type="dxa"/>
            <w:vAlign w:val="bottom"/>
          </w:tcPr>
          <w:p>
            <w:pPr>
              <w:ind w:left="1480"/>
              <w:spacing w:after="0"/>
              <w:rPr>
                <w:sz w:val="20"/>
                <w:szCs w:val="20"/>
                <w:color w:val="auto"/>
              </w:rPr>
            </w:pPr>
            <w:r>
              <w:rPr>
                <w:rFonts w:ascii="Courier New" w:cs="Courier New" w:eastAsia="Courier New" w:hAnsi="Courier New"/>
                <w:sz w:val="15"/>
                <w:szCs w:val="15"/>
                <w:color w:val="auto"/>
              </w:rPr>
              <w:t>compensation</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(235,410)</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0</w:t>
            </w:r>
          </w:p>
        </w:tc>
      </w:tr>
      <w:tr>
        <w:trPr>
          <w:trHeight w:val="177"/>
        </w:trPr>
        <w:tc>
          <w:tcPr>
            <w:tcW w:w="6180" w:type="dxa"/>
            <w:vAlign w:val="bottom"/>
          </w:tcPr>
          <w:p>
            <w:pPr>
              <w:ind w:left="148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6180" w:type="dxa"/>
            <w:vAlign w:val="bottom"/>
          </w:tcPr>
          <w:p>
            <w:pPr>
              <w:ind w:left="1940"/>
              <w:spacing w:after="0"/>
              <w:rPr>
                <w:sz w:val="20"/>
                <w:szCs w:val="20"/>
                <w:color w:val="auto"/>
              </w:rPr>
            </w:pPr>
            <w:r>
              <w:rPr>
                <w:rFonts w:ascii="Courier New" w:cs="Courier New" w:eastAsia="Courier New" w:hAnsi="Courier New"/>
                <w:sz w:val="15"/>
                <w:szCs w:val="15"/>
                <w:color w:val="auto"/>
              </w:rPr>
              <w:t>Accounts receivable</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2,587,041</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(4,832,107)</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2,863,493</w:t>
            </w:r>
          </w:p>
        </w:tc>
      </w:tr>
      <w:tr>
        <w:trPr>
          <w:trHeight w:val="177"/>
        </w:trPr>
        <w:tc>
          <w:tcPr>
            <w:tcW w:w="6180" w:type="dxa"/>
            <w:vAlign w:val="bottom"/>
          </w:tcPr>
          <w:p>
            <w:pPr>
              <w:ind w:left="1940"/>
              <w:spacing w:after="0"/>
              <w:rPr>
                <w:sz w:val="20"/>
                <w:szCs w:val="20"/>
                <w:color w:val="auto"/>
              </w:rPr>
            </w:pPr>
            <w:r>
              <w:rPr>
                <w:rFonts w:ascii="Courier New" w:cs="Courier New" w:eastAsia="Courier New" w:hAnsi="Courier New"/>
                <w:sz w:val="15"/>
                <w:szCs w:val="15"/>
                <w:color w:val="auto"/>
              </w:rPr>
              <w:t>Inventories</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(8,968,576)</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(9,236,033)</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(9,662,093)</w:t>
            </w:r>
          </w:p>
        </w:tc>
      </w:tr>
      <w:tr>
        <w:trPr>
          <w:trHeight w:val="177"/>
        </w:trPr>
        <w:tc>
          <w:tcPr>
            <w:tcW w:w="6180" w:type="dxa"/>
            <w:vAlign w:val="bottom"/>
          </w:tcPr>
          <w:p>
            <w:pPr>
              <w:ind w:left="1940"/>
              <w:spacing w:after="0"/>
              <w:rPr>
                <w:sz w:val="20"/>
                <w:szCs w:val="20"/>
                <w:color w:val="auto"/>
              </w:rPr>
            </w:pPr>
            <w:r>
              <w:rPr>
                <w:rFonts w:ascii="Courier New" w:cs="Courier New" w:eastAsia="Courier New" w:hAnsi="Courier New"/>
                <w:sz w:val="15"/>
                <w:szCs w:val="15"/>
                <w:color w:val="auto"/>
              </w:rPr>
              <w:t>Prepaid expenses and other</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1,071,317</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491,532</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627,997</w:t>
            </w:r>
          </w:p>
        </w:tc>
      </w:tr>
      <w:tr>
        <w:trPr>
          <w:trHeight w:val="177"/>
        </w:trPr>
        <w:tc>
          <w:tcPr>
            <w:tcW w:w="6180" w:type="dxa"/>
            <w:vAlign w:val="bottom"/>
          </w:tcPr>
          <w:p>
            <w:pPr>
              <w:ind w:left="1940"/>
              <w:spacing w:after="0"/>
              <w:rPr>
                <w:sz w:val="20"/>
                <w:szCs w:val="20"/>
                <w:color w:val="auto"/>
              </w:rPr>
            </w:pPr>
            <w:r>
              <w:rPr>
                <w:rFonts w:ascii="Courier New" w:cs="Courier New" w:eastAsia="Courier New" w:hAnsi="Courier New"/>
                <w:sz w:val="15"/>
                <w:szCs w:val="15"/>
                <w:color w:val="auto"/>
              </w:rPr>
              <w:t>Accounts payable</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274,046</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3,758,358</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1,590,458</w:t>
            </w:r>
          </w:p>
        </w:tc>
      </w:tr>
      <w:tr>
        <w:trPr>
          <w:trHeight w:val="177"/>
        </w:trPr>
        <w:tc>
          <w:tcPr>
            <w:tcW w:w="6180" w:type="dxa"/>
            <w:vAlign w:val="bottom"/>
          </w:tcPr>
          <w:p>
            <w:pPr>
              <w:ind w:left="1940"/>
              <w:spacing w:after="0"/>
              <w:rPr>
                <w:sz w:val="20"/>
                <w:szCs w:val="20"/>
                <w:color w:val="auto"/>
              </w:rPr>
            </w:pPr>
            <w:r>
              <w:rPr>
                <w:rFonts w:ascii="Courier New" w:cs="Courier New" w:eastAsia="Courier New" w:hAnsi="Courier New"/>
                <w:sz w:val="15"/>
                <w:szCs w:val="15"/>
                <w:color w:val="auto"/>
              </w:rPr>
              <w:t>Accrued liabilities</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(290,328)</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2,853,627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(2,721,956)</w:t>
            </w:r>
          </w:p>
        </w:tc>
      </w:tr>
      <w:tr>
        <w:trPr>
          <w:trHeight w:val="177"/>
        </w:trPr>
        <w:tc>
          <w:tcPr>
            <w:tcW w:w="6180" w:type="dxa"/>
            <w:vAlign w:val="bottom"/>
          </w:tcPr>
          <w:p>
            <w:pPr>
              <w:spacing w:after="0"/>
              <w:rPr>
                <w:sz w:val="15"/>
                <w:szCs w:val="15"/>
                <w:color w:val="auto"/>
              </w:rPr>
            </w:pP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ind w:left="2580"/>
              <w:spacing w:after="0"/>
              <w:rPr>
                <w:sz w:val="20"/>
                <w:szCs w:val="20"/>
                <w:color w:val="auto"/>
              </w:rPr>
            </w:pPr>
            <w:r>
              <w:rPr>
                <w:rFonts w:ascii="Courier New" w:cs="Courier New" w:eastAsia="Courier New" w:hAnsi="Courier New"/>
                <w:sz w:val="15"/>
                <w:szCs w:val="15"/>
                <w:color w:val="auto"/>
              </w:rPr>
              <w:t>Net cash provided by</w:t>
            </w:r>
          </w:p>
        </w:tc>
        <w:tc>
          <w:tcPr>
            <w:tcW w:w="1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6180" w:type="dxa"/>
            <w:vAlign w:val="bottom"/>
          </w:tcPr>
          <w:p>
            <w:pPr>
              <w:ind w:left="2580"/>
              <w:spacing w:after="0"/>
              <w:rPr>
                <w:sz w:val="20"/>
                <w:szCs w:val="20"/>
                <w:color w:val="auto"/>
              </w:rPr>
            </w:pPr>
            <w:r>
              <w:rPr>
                <w:rFonts w:ascii="Courier New" w:cs="Courier New" w:eastAsia="Courier New" w:hAnsi="Courier New"/>
                <w:sz w:val="15"/>
                <w:szCs w:val="15"/>
                <w:color w:val="auto"/>
              </w:rPr>
              <w:t>operating activities</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131,440,151</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126,244,458</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131,368,456</w:t>
            </w:r>
          </w:p>
        </w:tc>
      </w:tr>
      <w:tr>
        <w:trPr>
          <w:trHeight w:val="177"/>
        </w:trPr>
        <w:tc>
          <w:tcPr>
            <w:tcW w:w="6180" w:type="dxa"/>
            <w:vAlign w:val="bottom"/>
          </w:tcPr>
          <w:p>
            <w:pPr>
              <w:spacing w:after="0"/>
              <w:rPr>
                <w:sz w:val="15"/>
                <w:szCs w:val="15"/>
                <w:color w:val="auto"/>
              </w:rPr>
            </w:pP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7"/>
        </w:trPr>
        <w:tc>
          <w:tcPr>
            <w:tcW w:w="6180" w:type="dxa"/>
            <w:vAlign w:val="bottom"/>
          </w:tcPr>
          <w:p>
            <w:pPr>
              <w:ind w:left="540"/>
              <w:spacing w:after="0"/>
              <w:rPr>
                <w:sz w:val="20"/>
                <w:szCs w:val="20"/>
                <w:color w:val="auto"/>
              </w:rPr>
            </w:pPr>
            <w:r>
              <w:rPr>
                <w:rFonts w:ascii="Courier New" w:cs="Courier New" w:eastAsia="Courier New" w:hAnsi="Courier New"/>
                <w:sz w:val="15"/>
                <w:szCs w:val="15"/>
                <w:color w:val="auto"/>
              </w:rPr>
              <w:t>Activity in available-for-sale securities:</w:t>
            </w:r>
          </w:p>
        </w:tc>
        <w:tc>
          <w:tcPr>
            <w:tcW w:w="1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6180" w:type="dxa"/>
            <w:vAlign w:val="bottom"/>
          </w:tcPr>
          <w:p>
            <w:pPr>
              <w:ind w:left="920"/>
              <w:spacing w:after="0"/>
              <w:rPr>
                <w:sz w:val="20"/>
                <w:szCs w:val="20"/>
                <w:color w:val="auto"/>
              </w:rPr>
            </w:pPr>
            <w:r>
              <w:rPr>
                <w:rFonts w:ascii="Courier New" w:cs="Courier New" w:eastAsia="Courier New" w:hAnsi="Courier New"/>
                <w:sz w:val="15"/>
                <w:szCs w:val="15"/>
                <w:color w:val="auto"/>
              </w:rPr>
              <w:t>Sales proceeds</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60,550,849</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30,057,962</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31,101,380</w:t>
            </w:r>
          </w:p>
        </w:tc>
      </w:tr>
      <w:tr>
        <w:trPr>
          <w:trHeight w:val="177"/>
        </w:trPr>
        <w:tc>
          <w:tcPr>
            <w:tcW w:w="6180" w:type="dxa"/>
            <w:vAlign w:val="bottom"/>
          </w:tcPr>
          <w:p>
            <w:pPr>
              <w:ind w:left="920"/>
              <w:spacing w:after="0"/>
              <w:rPr>
                <w:sz w:val="20"/>
                <w:szCs w:val="20"/>
                <w:color w:val="auto"/>
              </w:rPr>
            </w:pPr>
            <w:r>
              <w:rPr>
                <w:rFonts w:ascii="Courier New" w:cs="Courier New" w:eastAsia="Courier New" w:hAnsi="Courier New"/>
                <w:sz w:val="15"/>
                <w:szCs w:val="15"/>
                <w:color w:val="auto"/>
              </w:rPr>
              <w:t>Maturities and calls</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64,240,000</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101,159,061</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78,792,849</w:t>
            </w:r>
          </w:p>
        </w:tc>
      </w:tr>
      <w:tr>
        <w:trPr>
          <w:trHeight w:val="177"/>
        </w:trPr>
        <w:tc>
          <w:tcPr>
            <w:tcW w:w="6180" w:type="dxa"/>
            <w:vAlign w:val="bottom"/>
          </w:tcPr>
          <w:p>
            <w:pPr>
              <w:ind w:left="920"/>
              <w:spacing w:after="0"/>
              <w:rPr>
                <w:sz w:val="20"/>
                <w:szCs w:val="20"/>
                <w:color w:val="auto"/>
              </w:rPr>
            </w:pPr>
            <w:r>
              <w:rPr>
                <w:rFonts w:ascii="Courier New" w:cs="Courier New" w:eastAsia="Courier New" w:hAnsi="Courier New"/>
                <w:sz w:val="15"/>
                <w:szCs w:val="15"/>
                <w:color w:val="auto"/>
              </w:rPr>
              <w:t>Purchases</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(140,662,282)</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(101,378,452)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(105,551,220)</w:t>
            </w:r>
          </w:p>
        </w:tc>
      </w:tr>
      <w:tr>
        <w:trPr>
          <w:trHeight w:val="177"/>
        </w:trPr>
        <w:tc>
          <w:tcPr>
            <w:tcW w:w="6180" w:type="dxa"/>
            <w:vAlign w:val="bottom"/>
          </w:tcPr>
          <w:p>
            <w:pPr>
              <w:ind w:left="540"/>
              <w:spacing w:after="0"/>
              <w:rPr>
                <w:sz w:val="20"/>
                <w:szCs w:val="20"/>
                <w:color w:val="auto"/>
              </w:rPr>
            </w:pPr>
            <w:r>
              <w:rPr>
                <w:rFonts w:ascii="Courier New" w:cs="Courier New" w:eastAsia="Courier New" w:hAnsi="Courier New"/>
                <w:sz w:val="15"/>
                <w:szCs w:val="15"/>
                <w:color w:val="auto"/>
              </w:rPr>
              <w:t>Plant and equipment additions</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(48,193,083)</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(53,533,235)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(30,535,174)</w:t>
            </w:r>
          </w:p>
        </w:tc>
      </w:tr>
      <w:tr>
        <w:trPr>
          <w:trHeight w:val="177"/>
        </w:trPr>
        <w:tc>
          <w:tcPr>
            <w:tcW w:w="6180" w:type="dxa"/>
            <w:vAlign w:val="bottom"/>
          </w:tcPr>
          <w:p>
            <w:pPr>
              <w:ind w:left="540"/>
              <w:spacing w:after="0"/>
              <w:rPr>
                <w:sz w:val="20"/>
                <w:szCs w:val="20"/>
                <w:color w:val="auto"/>
              </w:rPr>
            </w:pPr>
            <w:r>
              <w:rPr>
                <w:rFonts w:ascii="Courier New" w:cs="Courier New" w:eastAsia="Courier New" w:hAnsi="Courier New"/>
                <w:sz w:val="15"/>
                <w:szCs w:val="15"/>
                <w:color w:val="auto"/>
              </w:rPr>
              <w:t>Proceeds from sale of plant and equipment</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500,665</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1,141,013</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56,500</w:t>
            </w:r>
          </w:p>
        </w:tc>
      </w:tr>
      <w:tr>
        <w:trPr>
          <w:trHeight w:val="177"/>
        </w:trPr>
        <w:tc>
          <w:tcPr>
            <w:tcW w:w="6180" w:type="dxa"/>
            <w:vAlign w:val="bottom"/>
          </w:tcPr>
          <w:p>
            <w:pPr>
              <w:ind w:left="540"/>
              <w:spacing w:after="0"/>
              <w:rPr>
                <w:sz w:val="20"/>
                <w:szCs w:val="20"/>
                <w:color w:val="auto"/>
              </w:rPr>
            </w:pPr>
            <w:r>
              <w:rPr>
                <w:rFonts w:ascii="Courier New" w:cs="Courier New" w:eastAsia="Courier New" w:hAnsi="Courier New"/>
                <w:sz w:val="15"/>
                <w:szCs w:val="15"/>
                <w:color w:val="auto"/>
              </w:rPr>
              <w:t>Decrease (increase) in other assets</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308,855</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(2,046,876)</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(1,001,902)</w:t>
            </w:r>
          </w:p>
        </w:tc>
      </w:tr>
      <w:tr>
        <w:trPr>
          <w:trHeight w:val="177"/>
        </w:trPr>
        <w:tc>
          <w:tcPr>
            <w:tcW w:w="6180" w:type="dxa"/>
            <w:vAlign w:val="bottom"/>
          </w:tcPr>
          <w:p>
            <w:pPr>
              <w:spacing w:after="0"/>
              <w:rPr>
                <w:sz w:val="15"/>
                <w:szCs w:val="15"/>
                <w:color w:val="auto"/>
              </w:rPr>
            </w:pP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ind w:left="2580"/>
              <w:spacing w:after="0"/>
              <w:rPr>
                <w:sz w:val="20"/>
                <w:szCs w:val="20"/>
                <w:color w:val="auto"/>
              </w:rPr>
            </w:pPr>
            <w:r>
              <w:rPr>
                <w:rFonts w:ascii="Courier New" w:cs="Courier New" w:eastAsia="Courier New" w:hAnsi="Courier New"/>
                <w:sz w:val="15"/>
                <w:szCs w:val="15"/>
                <w:color w:val="auto"/>
              </w:rPr>
              <w:t>Net cash provided by (used for)</w:t>
            </w:r>
          </w:p>
        </w:tc>
        <w:tc>
          <w:tcPr>
            <w:tcW w:w="1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6180" w:type="dxa"/>
            <w:vAlign w:val="bottom"/>
          </w:tcPr>
          <w:p>
            <w:pPr>
              <w:ind w:left="2580"/>
              <w:spacing w:after="0"/>
              <w:rPr>
                <w:sz w:val="20"/>
                <w:szCs w:val="20"/>
                <w:color w:val="auto"/>
              </w:rPr>
            </w:pPr>
            <w:r>
              <w:rPr>
                <w:rFonts w:ascii="Courier New" w:cs="Courier New" w:eastAsia="Courier New" w:hAnsi="Courier New"/>
                <w:sz w:val="15"/>
                <w:szCs w:val="15"/>
                <w:color w:val="auto"/>
              </w:rPr>
              <w:t>investing activities</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(63,254,996)</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(24,600,527)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(27,137,567)</w:t>
            </w:r>
          </w:p>
        </w:tc>
      </w:tr>
      <w:tr>
        <w:trPr>
          <w:trHeight w:val="177"/>
        </w:trPr>
        <w:tc>
          <w:tcPr>
            <w:tcW w:w="6180" w:type="dxa"/>
            <w:vAlign w:val="bottom"/>
          </w:tcPr>
          <w:p>
            <w:pPr>
              <w:spacing w:after="0"/>
              <w:rPr>
                <w:sz w:val="15"/>
                <w:szCs w:val="15"/>
                <w:color w:val="auto"/>
              </w:rPr>
            </w:pP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7"/>
        </w:trPr>
        <w:tc>
          <w:tcPr>
            <w:tcW w:w="6180" w:type="dxa"/>
            <w:vAlign w:val="bottom"/>
          </w:tcPr>
          <w:p>
            <w:pPr>
              <w:ind w:left="540"/>
              <w:spacing w:after="0"/>
              <w:rPr>
                <w:sz w:val="20"/>
                <w:szCs w:val="20"/>
                <w:color w:val="auto"/>
              </w:rPr>
            </w:pPr>
            <w:r>
              <w:rPr>
                <w:rFonts w:ascii="Courier New" w:cs="Courier New" w:eastAsia="Courier New" w:hAnsi="Courier New"/>
                <w:sz w:val="15"/>
                <w:szCs w:val="15"/>
                <w:color w:val="auto"/>
              </w:rPr>
              <w:t>Issuance of common stock from</w:t>
            </w:r>
          </w:p>
        </w:tc>
        <w:tc>
          <w:tcPr>
            <w:tcW w:w="1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6180" w:type="dxa"/>
            <w:vAlign w:val="bottom"/>
          </w:tcPr>
          <w:p>
            <w:pPr>
              <w:ind w:left="920"/>
              <w:spacing w:after="0"/>
              <w:rPr>
                <w:sz w:val="20"/>
                <w:szCs w:val="20"/>
                <w:color w:val="auto"/>
              </w:rPr>
            </w:pPr>
            <w:r>
              <w:rPr>
                <w:rFonts w:ascii="Courier New" w:cs="Courier New" w:eastAsia="Courier New" w:hAnsi="Courier New"/>
                <w:sz w:val="15"/>
                <w:szCs w:val="15"/>
                <w:color w:val="auto"/>
              </w:rPr>
              <w:t>stock plan transactions</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18,953,178</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21,491,243</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16,606,601</w:t>
            </w:r>
          </w:p>
        </w:tc>
      </w:tr>
      <w:tr>
        <w:trPr>
          <w:trHeight w:val="177"/>
        </w:trPr>
        <w:tc>
          <w:tcPr>
            <w:tcW w:w="6180" w:type="dxa"/>
            <w:vAlign w:val="bottom"/>
          </w:tcPr>
          <w:p>
            <w:pPr>
              <w:ind w:left="540"/>
              <w:spacing w:after="0"/>
              <w:rPr>
                <w:sz w:val="20"/>
                <w:szCs w:val="20"/>
                <w:color w:val="auto"/>
              </w:rPr>
            </w:pPr>
            <w:r>
              <w:rPr>
                <w:rFonts w:ascii="Courier New" w:cs="Courier New" w:eastAsia="Courier New" w:hAnsi="Courier New"/>
                <w:sz w:val="15"/>
                <w:szCs w:val="15"/>
                <w:color w:val="auto"/>
              </w:rPr>
              <w:t>Cash dividends paid</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(54,704,400)</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(53,777,627)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(47,961,742)</w:t>
            </w:r>
          </w:p>
        </w:tc>
      </w:tr>
      <w:tr>
        <w:trPr>
          <w:trHeight w:val="177"/>
        </w:trPr>
        <w:tc>
          <w:tcPr>
            <w:tcW w:w="6180" w:type="dxa"/>
            <w:vAlign w:val="bottom"/>
          </w:tcPr>
          <w:p>
            <w:pPr>
              <w:ind w:left="540"/>
              <w:spacing w:after="0"/>
              <w:rPr>
                <w:sz w:val="20"/>
                <w:szCs w:val="20"/>
                <w:color w:val="auto"/>
              </w:rPr>
            </w:pPr>
            <w:r>
              <w:rPr>
                <w:rFonts w:ascii="Courier New" w:cs="Courier New" w:eastAsia="Courier New" w:hAnsi="Courier New"/>
                <w:sz w:val="15"/>
                <w:szCs w:val="15"/>
                <w:color w:val="auto"/>
              </w:rPr>
              <w:t>Repurchases of common stock</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(226,851,253)</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(25,214,573)</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0</w:t>
            </w:r>
          </w:p>
        </w:tc>
      </w:tr>
      <w:tr>
        <w:trPr>
          <w:trHeight w:val="177"/>
        </w:trPr>
        <w:tc>
          <w:tcPr>
            <w:tcW w:w="6180" w:type="dxa"/>
            <w:vAlign w:val="bottom"/>
          </w:tcPr>
          <w:p>
            <w:pPr>
              <w:ind w:left="540"/>
              <w:spacing w:after="0"/>
              <w:rPr>
                <w:sz w:val="20"/>
                <w:szCs w:val="20"/>
                <w:color w:val="auto"/>
              </w:rPr>
            </w:pPr>
            <w:r>
              <w:rPr>
                <w:rFonts w:ascii="Courier New" w:cs="Courier New" w:eastAsia="Courier New" w:hAnsi="Courier New"/>
                <w:sz w:val="15"/>
                <w:szCs w:val="15"/>
                <w:color w:val="auto"/>
              </w:rPr>
              <w:t>Excess tax benefits from stock based compensation</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235,410</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0</w:t>
            </w:r>
          </w:p>
        </w:tc>
      </w:tr>
      <w:tr>
        <w:trPr>
          <w:trHeight w:val="177"/>
        </w:trPr>
        <w:tc>
          <w:tcPr>
            <w:tcW w:w="6180" w:type="dxa"/>
            <w:vAlign w:val="bottom"/>
          </w:tcPr>
          <w:p>
            <w:pPr>
              <w:spacing w:after="0"/>
              <w:rPr>
                <w:sz w:val="15"/>
                <w:szCs w:val="15"/>
                <w:color w:val="auto"/>
              </w:rPr>
            </w:pP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6180" w:type="dxa"/>
            <w:vAlign w:val="bottom"/>
          </w:tcPr>
          <w:p>
            <w:pPr>
              <w:ind w:left="2580"/>
              <w:spacing w:after="0"/>
              <w:rPr>
                <w:sz w:val="20"/>
                <w:szCs w:val="20"/>
                <w:color w:val="auto"/>
              </w:rPr>
            </w:pPr>
            <w:r>
              <w:rPr>
                <w:rFonts w:ascii="Courier New" w:cs="Courier New" w:eastAsia="Courier New" w:hAnsi="Courier New"/>
                <w:sz w:val="15"/>
                <w:szCs w:val="15"/>
                <w:color w:val="auto"/>
              </w:rPr>
              <w:t>Net cash provided by (used for)</w:t>
            </w:r>
          </w:p>
        </w:tc>
        <w:tc>
          <w:tcPr>
            <w:tcW w:w="16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6180" w:type="dxa"/>
            <w:vAlign w:val="bottom"/>
          </w:tcPr>
          <w:p>
            <w:pPr>
              <w:ind w:left="2860"/>
              <w:spacing w:after="0"/>
              <w:rPr>
                <w:sz w:val="20"/>
                <w:szCs w:val="20"/>
                <w:color w:val="auto"/>
              </w:rPr>
            </w:pPr>
            <w:r>
              <w:rPr>
                <w:rFonts w:ascii="Courier New" w:cs="Courier New" w:eastAsia="Courier New" w:hAnsi="Courier New"/>
                <w:sz w:val="15"/>
                <w:szCs w:val="15"/>
                <w:color w:val="auto"/>
              </w:rPr>
              <w:t>financing activities</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(262,367,065)</w:t>
            </w:r>
          </w:p>
        </w:tc>
        <w:tc>
          <w:tcPr>
            <w:tcW w:w="2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(57,500,957)</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(31,355,141)</w:t>
            </w:r>
          </w:p>
        </w:tc>
      </w:tr>
      <w:tr>
        <w:trPr>
          <w:trHeight w:val="177"/>
        </w:trPr>
        <w:tc>
          <w:tcPr>
            <w:tcW w:w="6180" w:type="dxa"/>
            <w:vAlign w:val="bottom"/>
          </w:tcPr>
          <w:p>
            <w:pPr>
              <w:spacing w:after="0"/>
              <w:rPr>
                <w:sz w:val="15"/>
                <w:szCs w:val="15"/>
                <w:color w:val="auto"/>
              </w:rPr>
            </w:pP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6180" w:type="dxa"/>
            <w:vAlign w:val="bottom"/>
          </w:tcPr>
          <w:p>
            <w:pPr>
              <w:spacing w:after="0"/>
              <w:rPr>
                <w:sz w:val="20"/>
                <w:szCs w:val="20"/>
                <w:color w:val="auto"/>
              </w:rPr>
            </w:pPr>
            <w:r>
              <w:rPr>
                <w:rFonts w:ascii="Courier New" w:cs="Courier New" w:eastAsia="Courier New" w:hAnsi="Courier New"/>
                <w:sz w:val="15"/>
                <w:szCs w:val="15"/>
                <w:color w:val="auto"/>
              </w:rPr>
              <w:t>NET INCREASE(DECREASE) IN CASH AND</w:t>
            </w:r>
          </w:p>
        </w:tc>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7"/>
        </w:trPr>
        <w:tc>
          <w:tcPr>
            <w:tcW w:w="6180" w:type="dxa"/>
            <w:vAlign w:val="bottom"/>
          </w:tcPr>
          <w:p>
            <w:pPr>
              <w:ind w:left="460"/>
              <w:spacing w:after="0"/>
              <w:rPr>
                <w:sz w:val="20"/>
                <w:szCs w:val="20"/>
                <w:color w:val="auto"/>
              </w:rPr>
            </w:pPr>
            <w:r>
              <w:rPr>
                <w:rFonts w:ascii="Courier New" w:cs="Courier New" w:eastAsia="Courier New" w:hAnsi="Courier New"/>
                <w:sz w:val="15"/>
                <w:szCs w:val="15"/>
                <w:color w:val="auto"/>
              </w:rPr>
              <w:t>CASH EQUIVALENTS</w:t>
            </w:r>
          </w:p>
        </w:tc>
        <w:tc>
          <w:tcPr>
            <w:tcW w:w="1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(194,181,910)</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44,142,974</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72,875,748</w:t>
            </w:r>
          </w:p>
        </w:tc>
      </w:tr>
      <w:tr>
        <w:trPr>
          <w:trHeight w:val="355"/>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7"/>
        </w:trPr>
        <w:tc>
          <w:tcPr>
            <w:tcW w:w="6180" w:type="dxa"/>
            <w:vAlign w:val="bottom"/>
          </w:tcPr>
          <w:p>
            <w:pPr>
              <w:ind w:left="540"/>
              <w:spacing w:after="0"/>
              <w:rPr>
                <w:sz w:val="20"/>
                <w:szCs w:val="20"/>
                <w:color w:val="auto"/>
              </w:rPr>
            </w:pPr>
            <w:r>
              <w:rPr>
                <w:rFonts w:ascii="Courier New" w:cs="Courier New" w:eastAsia="Courier New" w:hAnsi="Courier New"/>
                <w:sz w:val="15"/>
                <w:szCs w:val="15"/>
                <w:color w:val="auto"/>
              </w:rPr>
              <w:t>Beginning of year</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439,681,693</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395,538,719</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322,662,971</w:t>
            </w:r>
          </w:p>
        </w:tc>
      </w:tr>
      <w:tr>
        <w:trPr>
          <w:trHeight w:val="177"/>
        </w:trPr>
        <w:tc>
          <w:tcPr>
            <w:tcW w:w="6180" w:type="dxa"/>
            <w:vAlign w:val="bottom"/>
          </w:tcPr>
          <w:p>
            <w:pPr>
              <w:spacing w:after="0"/>
              <w:rPr>
                <w:sz w:val="15"/>
                <w:szCs w:val="15"/>
                <w:color w:val="auto"/>
              </w:rPr>
            </w:pP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61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7"/>
        </w:trPr>
        <w:tc>
          <w:tcPr>
            <w:tcW w:w="6180" w:type="dxa"/>
            <w:vAlign w:val="bottom"/>
          </w:tcPr>
          <w:p>
            <w:pPr>
              <w:ind w:left="540"/>
              <w:spacing w:after="0"/>
              <w:rPr>
                <w:sz w:val="20"/>
                <w:szCs w:val="20"/>
                <w:color w:val="auto"/>
              </w:rPr>
            </w:pPr>
            <w:r>
              <w:rPr>
                <w:rFonts w:ascii="Courier New" w:cs="Courier New" w:eastAsia="Courier New" w:hAnsi="Courier New"/>
                <w:sz w:val="15"/>
                <w:szCs w:val="15"/>
                <w:color w:val="auto"/>
              </w:rPr>
              <w:t>End of year</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$ 245,499,783</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$ 439,681,693</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$ 395,538,719</w:t>
            </w:r>
          </w:p>
        </w:tc>
      </w:tr>
      <w:tr>
        <w:trPr>
          <w:trHeight w:val="177"/>
        </w:trPr>
        <w:tc>
          <w:tcPr>
            <w:tcW w:w="6180" w:type="dxa"/>
            <w:vAlign w:val="bottom"/>
          </w:tcPr>
          <w:p>
            <w:pPr>
              <w:spacing w:after="0"/>
              <w:rPr>
                <w:sz w:val="15"/>
                <w:szCs w:val="15"/>
                <w:color w:val="auto"/>
              </w:rPr>
            </w:pP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8"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62"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5"/>
          <w:szCs w:val="15"/>
          <w:color w:val="auto"/>
        </w:rPr>
        <w:t>- 34 -</w:t>
      </w:r>
    </w:p>
    <w:p>
      <w:pPr>
        <w:sectPr>
          <w:pgSz w:w="11900" w:h="16838" w:orient="portrait"/>
          <w:cols w:equalWidth="0" w:num="1">
            <w:col w:w="11520"/>
          </w:cols>
          <w:pgMar w:left="240" w:top="473" w:right="139" w:bottom="1440" w:gutter="0" w:footer="0" w:header="0"/>
        </w:sectPr>
      </w:pPr>
    </w:p>
    <w:bookmarkStart w:id="37" w:name="page38"/>
    <w:bookmarkEnd w:id="37"/>
    <w:p>
      <w:pPr>
        <w:ind w:left="2125"/>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8" w:lineRule="exact"/>
        <w:rPr>
          <w:sz w:val="20"/>
          <w:szCs w:val="20"/>
          <w:color w:val="auto"/>
        </w:rPr>
      </w:pPr>
    </w:p>
    <w:p>
      <w:pPr>
        <w:ind w:left="1745"/>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5" w:lineRule="exact"/>
        <w:rPr>
          <w:sz w:val="20"/>
          <w:szCs w:val="20"/>
          <w:color w:val="auto"/>
        </w:rPr>
      </w:pPr>
    </w:p>
    <w:p>
      <w:pPr>
        <w:ind w:left="465" w:right="4599" w:hanging="465"/>
        <w:spacing w:after="0" w:line="501" w:lineRule="auto"/>
        <w:tabs>
          <w:tab w:leader="none" w:pos="46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The Company</w:t>
      </w:r>
    </w:p>
    <w:p>
      <w:pPr>
        <w:ind w:left="465"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Gentex Corporation designs, develops, manufactures and markets proprietary electro-optical products: automatic-dimming rearview mirrors for the automotive industry and fire protection products for the commercial building industry. A substantial portion of the Company's net sales and accounts receivable result from transactions with domestic and foreign automotive manufacturers and tier one suppliers. The Company's fire protection products are primarily sold to domestic distributors and original equipment manufacturers of fire and security systems. The Company does not require collateral or other security for trade accounts receivable.</w:t>
      </w:r>
    </w:p>
    <w:p>
      <w:pPr>
        <w:spacing w:after="0" w:line="181" w:lineRule="exact"/>
        <w:rPr>
          <w:rFonts w:ascii="Courier New" w:cs="Courier New" w:eastAsia="Courier New" w:hAnsi="Courier New"/>
          <w:sz w:val="15"/>
          <w:szCs w:val="15"/>
          <w:color w:val="auto"/>
        </w:rPr>
      </w:pPr>
    </w:p>
    <w:p>
      <w:pPr>
        <w:ind w:left="465" w:right="29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 of the Company not described elsewhere are as follows:</w:t>
      </w:r>
    </w:p>
    <w:p>
      <w:pPr>
        <w:spacing w:after="0" w:line="17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w:t>
      </w:r>
    </w:p>
    <w:p>
      <w:pPr>
        <w:spacing w:after="0" w:line="184" w:lineRule="exact"/>
        <w:rPr>
          <w:rFonts w:ascii="Courier New" w:cs="Courier New" w:eastAsia="Courier New" w:hAnsi="Courier New"/>
          <w:sz w:val="15"/>
          <w:szCs w:val="15"/>
          <w:color w:val="auto"/>
        </w:rPr>
      </w:pPr>
    </w:p>
    <w:p>
      <w:pPr>
        <w:ind w:left="465" w:right="32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176"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w:t>
      </w:r>
    </w:p>
    <w:p>
      <w:pPr>
        <w:spacing w:after="0" w:line="184" w:lineRule="exact"/>
        <w:rPr>
          <w:rFonts w:ascii="Courier New" w:cs="Courier New" w:eastAsia="Courier New" w:hAnsi="Courier New"/>
          <w:sz w:val="15"/>
          <w:szCs w:val="15"/>
          <w:color w:val="auto"/>
        </w:rPr>
      </w:pPr>
    </w:p>
    <w:p>
      <w:pPr>
        <w:ind w:left="465" w:right="33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consist of funds invested in bank accounts and money market funds that have daily liquidity.</w:t>
      </w:r>
    </w:p>
    <w:p>
      <w:pPr>
        <w:spacing w:after="0" w:line="17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84" w:lineRule="exact"/>
        <w:rPr>
          <w:rFonts w:ascii="Courier New" w:cs="Courier New" w:eastAsia="Courier New" w:hAnsi="Courier New"/>
          <w:sz w:val="15"/>
          <w:szCs w:val="15"/>
          <w:color w:val="auto"/>
        </w:rPr>
      </w:pPr>
    </w:p>
    <w:p>
      <w:pPr>
        <w:ind w:left="46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2006, investment securities are available for sale and are stated at fair value based on quoted market prices. Adjustments to the fair value of investments are recorded as increases or decreases, net of income taxes, within accumulated other comprehensive income (loss) in shareholders' investment.</w:t>
      </w:r>
    </w:p>
    <w:p>
      <w:pPr>
        <w:spacing w:after="0" w:line="176" w:lineRule="exact"/>
        <w:rPr>
          <w:rFonts w:ascii="Courier New" w:cs="Courier New" w:eastAsia="Courier New" w:hAnsi="Courier New"/>
          <w:sz w:val="15"/>
          <w:szCs w:val="15"/>
          <w:color w:val="auto"/>
        </w:rPr>
      </w:pPr>
    </w:p>
    <w:p>
      <w:pPr>
        <w:ind w:left="465" w:right="347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amortized cost, unrealized gains and losses, and market value of investment securities are shown as of December 31, 2006 and 2005:</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3"/>
          </w:tcPr>
          <w:p>
            <w:pPr>
              <w:jc w:val="right"/>
              <w:ind w:right="763"/>
              <w:spacing w:after="0"/>
              <w:rPr>
                <w:sz w:val="20"/>
                <w:szCs w:val="20"/>
                <w:color w:val="auto"/>
              </w:rPr>
            </w:pPr>
            <w:r>
              <w:rPr>
                <w:rFonts w:ascii="Courier New" w:cs="Courier New" w:eastAsia="Courier New" w:hAnsi="Courier New"/>
                <w:sz w:val="15"/>
                <w:szCs w:val="15"/>
                <w:color w:val="auto"/>
              </w:rPr>
              <w:t>Unrealized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7"/>
        </w:trPr>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40" w:type="dxa"/>
            <w:vAlign w:val="bottom"/>
            <w:gridSpan w:val="4"/>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2340" w:type="dxa"/>
            <w:vAlign w:val="bottom"/>
          </w:tcPr>
          <w:p>
            <w:pPr>
              <w:ind w:left="920"/>
              <w:spacing w:after="0"/>
              <w:rPr>
                <w:sz w:val="20"/>
                <w:szCs w:val="20"/>
                <w:color w:val="auto"/>
              </w:rPr>
            </w:pPr>
            <w:r>
              <w:rPr>
                <w:rFonts w:ascii="Courier New" w:cs="Courier New" w:eastAsia="Courier New" w:hAnsi="Courier New"/>
                <w:sz w:val="15"/>
                <w:szCs w:val="15"/>
                <w:color w:val="auto"/>
              </w:rPr>
              <w:t>2006</w:t>
            </w:r>
          </w:p>
        </w:tc>
        <w:tc>
          <w:tcPr>
            <w:tcW w:w="140" w:type="dxa"/>
            <w:vAlign w:val="bottom"/>
          </w:tcPr>
          <w:p>
            <w:pPr>
              <w:spacing w:after="0"/>
              <w:rPr>
                <w:sz w:val="15"/>
                <w:szCs w:val="15"/>
                <w:color w:val="auto"/>
              </w:rPr>
            </w:pPr>
          </w:p>
        </w:tc>
        <w:tc>
          <w:tcPr>
            <w:tcW w:w="12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Cost</w:t>
            </w:r>
          </w:p>
        </w:tc>
        <w:tc>
          <w:tcPr>
            <w:tcW w:w="120" w:type="dxa"/>
            <w:vAlign w:val="bottom"/>
          </w:tcPr>
          <w:p>
            <w:pPr>
              <w:spacing w:after="0"/>
              <w:rPr>
                <w:sz w:val="15"/>
                <w:szCs w:val="15"/>
                <w:color w:val="auto"/>
              </w:rPr>
            </w:pPr>
          </w:p>
        </w:tc>
        <w:tc>
          <w:tcPr>
            <w:tcW w:w="11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Gains</w:t>
            </w:r>
          </w:p>
        </w:tc>
        <w:tc>
          <w:tcPr>
            <w:tcW w:w="14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Losses</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w w:val="99"/>
              </w:rPr>
              <w:t>Market Value</w:t>
            </w:r>
          </w:p>
        </w:tc>
      </w:tr>
      <w:tr>
        <w:trPr>
          <w:trHeight w:val="177"/>
        </w:trPr>
        <w:tc>
          <w:tcPr>
            <w:tcW w:w="2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355"/>
        </w:trPr>
        <w:tc>
          <w:tcPr>
            <w:tcW w:w="2340" w:type="dxa"/>
            <w:vAlign w:val="bottom"/>
          </w:tcPr>
          <w:p>
            <w:pPr>
              <w:spacing w:after="0"/>
              <w:rPr>
                <w:sz w:val="20"/>
                <w:szCs w:val="20"/>
                <w:color w:val="auto"/>
              </w:rPr>
            </w:pPr>
            <w:r>
              <w:rPr>
                <w:rFonts w:ascii="Courier New" w:cs="Courier New" w:eastAsia="Courier New" w:hAnsi="Courier New"/>
                <w:sz w:val="15"/>
                <w:szCs w:val="15"/>
                <w:color w:val="auto"/>
              </w:rPr>
              <w:t>Government Agency</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8,992,336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(3,796)</w:t>
            </w:r>
          </w:p>
        </w:tc>
        <w:tc>
          <w:tcPr>
            <w:tcW w:w="280" w:type="dxa"/>
            <w:vAlign w:val="bottom"/>
          </w:tcPr>
          <w:p>
            <w:pPr>
              <w:jc w:val="right"/>
              <w:ind w:right="124"/>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8"/>
              </w:rPr>
              <w:t>8,988,540</w:t>
            </w:r>
          </w:p>
        </w:tc>
      </w:tr>
      <w:tr>
        <w:trPr>
          <w:trHeight w:val="177"/>
        </w:trPr>
        <w:tc>
          <w:tcPr>
            <w:tcW w:w="2340" w:type="dxa"/>
            <w:vAlign w:val="bottom"/>
          </w:tcPr>
          <w:p>
            <w:pPr>
              <w:spacing w:after="0"/>
              <w:rPr>
                <w:sz w:val="20"/>
                <w:szCs w:val="20"/>
                <w:color w:val="auto"/>
              </w:rPr>
            </w:pPr>
            <w:r>
              <w:rPr>
                <w:rFonts w:ascii="Courier New" w:cs="Courier New" w:eastAsia="Courier New" w:hAnsi="Courier New"/>
                <w:sz w:val="15"/>
                <w:szCs w:val="15"/>
                <w:color w:val="auto"/>
              </w:rPr>
              <w:t>Certificates of Deposit</w:t>
            </w:r>
          </w:p>
        </w:tc>
        <w:tc>
          <w:tcPr>
            <w:tcW w:w="140" w:type="dxa"/>
            <w:vAlign w:val="bottom"/>
          </w:tcPr>
          <w:p>
            <w:pPr>
              <w:spacing w:after="0"/>
              <w:rPr>
                <w:sz w:val="15"/>
                <w:szCs w:val="15"/>
                <w:color w:val="auto"/>
              </w:rPr>
            </w:pP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71,200,000</w:t>
            </w:r>
          </w:p>
        </w:tc>
        <w:tc>
          <w:tcPr>
            <w:tcW w:w="120" w:type="dxa"/>
            <w:vAlign w:val="bottom"/>
          </w:tcPr>
          <w:p>
            <w:pPr>
              <w:spacing w:after="0"/>
              <w:rPr>
                <w:sz w:val="15"/>
                <w:szCs w:val="15"/>
                <w:color w:val="auto"/>
              </w:rPr>
            </w:pPr>
          </w:p>
        </w:tc>
        <w:tc>
          <w:tcPr>
            <w:tcW w:w="11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71,200,000</w:t>
            </w:r>
          </w:p>
        </w:tc>
      </w:tr>
      <w:tr>
        <w:trPr>
          <w:trHeight w:val="177"/>
        </w:trPr>
        <w:tc>
          <w:tcPr>
            <w:tcW w:w="2340" w:type="dxa"/>
            <w:vAlign w:val="bottom"/>
          </w:tcPr>
          <w:p>
            <w:pPr>
              <w:spacing w:after="0"/>
              <w:rPr>
                <w:sz w:val="20"/>
                <w:szCs w:val="20"/>
                <w:color w:val="auto"/>
              </w:rPr>
            </w:pPr>
            <w:r>
              <w:rPr>
                <w:rFonts w:ascii="Courier New" w:cs="Courier New" w:eastAsia="Courier New" w:hAnsi="Courier New"/>
                <w:sz w:val="15"/>
                <w:szCs w:val="15"/>
                <w:color w:val="auto"/>
              </w:rPr>
              <w:t>Corporate Bonds</w:t>
            </w:r>
          </w:p>
        </w:tc>
        <w:tc>
          <w:tcPr>
            <w:tcW w:w="140" w:type="dxa"/>
            <w:vAlign w:val="bottom"/>
          </w:tcPr>
          <w:p>
            <w:pPr>
              <w:spacing w:after="0"/>
              <w:rPr>
                <w:sz w:val="15"/>
                <w:szCs w:val="15"/>
                <w:color w:val="auto"/>
              </w:rPr>
            </w:pP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297,579</w:t>
            </w:r>
          </w:p>
        </w:tc>
        <w:tc>
          <w:tcPr>
            <w:tcW w:w="120" w:type="dxa"/>
            <w:vAlign w:val="bottom"/>
          </w:tcPr>
          <w:p>
            <w:pPr>
              <w:spacing w:after="0"/>
              <w:rPr>
                <w:sz w:val="15"/>
                <w:szCs w:val="15"/>
                <w:color w:val="auto"/>
              </w:rPr>
            </w:pPr>
          </w:p>
        </w:tc>
        <w:tc>
          <w:tcPr>
            <w:tcW w:w="11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(4,926)</w:t>
            </w:r>
          </w:p>
        </w:tc>
        <w:tc>
          <w:tcPr>
            <w:tcW w:w="280" w:type="dxa"/>
            <w:vAlign w:val="bottom"/>
          </w:tcPr>
          <w:p>
            <w:pPr>
              <w:spacing w:after="0"/>
              <w:rPr>
                <w:sz w:val="15"/>
                <w:szCs w:val="15"/>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292,653</w:t>
            </w:r>
          </w:p>
        </w:tc>
      </w:tr>
      <w:tr>
        <w:trPr>
          <w:trHeight w:val="177"/>
        </w:trPr>
        <w:tc>
          <w:tcPr>
            <w:tcW w:w="2340" w:type="dxa"/>
            <w:vAlign w:val="bottom"/>
          </w:tcPr>
          <w:p>
            <w:pPr>
              <w:spacing w:after="0"/>
              <w:rPr>
                <w:sz w:val="20"/>
                <w:szCs w:val="20"/>
                <w:color w:val="auto"/>
              </w:rPr>
            </w:pPr>
            <w:r>
              <w:rPr>
                <w:rFonts w:ascii="Courier New" w:cs="Courier New" w:eastAsia="Courier New" w:hAnsi="Courier New"/>
                <w:sz w:val="15"/>
                <w:szCs w:val="15"/>
                <w:color w:val="auto"/>
              </w:rPr>
              <w:t>Other Fixed Income</w:t>
            </w:r>
          </w:p>
        </w:tc>
        <w:tc>
          <w:tcPr>
            <w:tcW w:w="140" w:type="dxa"/>
            <w:vAlign w:val="bottom"/>
          </w:tcPr>
          <w:p>
            <w:pPr>
              <w:spacing w:after="0"/>
              <w:rPr>
                <w:sz w:val="15"/>
                <w:szCs w:val="15"/>
                <w:color w:val="auto"/>
              </w:rPr>
            </w:pP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2,539,387</w:t>
            </w:r>
          </w:p>
        </w:tc>
        <w:tc>
          <w:tcPr>
            <w:tcW w:w="120" w:type="dxa"/>
            <w:vAlign w:val="bottom"/>
          </w:tcPr>
          <w:p>
            <w:pPr>
              <w:spacing w:after="0"/>
              <w:rPr>
                <w:sz w:val="15"/>
                <w:szCs w:val="15"/>
                <w:color w:val="auto"/>
              </w:rPr>
            </w:pPr>
          </w:p>
        </w:tc>
        <w:tc>
          <w:tcPr>
            <w:tcW w:w="11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0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8"/>
              </w:rPr>
              <w:t>2,539,387</w:t>
            </w:r>
          </w:p>
        </w:tc>
      </w:tr>
      <w:tr>
        <w:trPr>
          <w:trHeight w:val="177"/>
        </w:trPr>
        <w:tc>
          <w:tcPr>
            <w:tcW w:w="234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40" w:type="dxa"/>
            <w:vAlign w:val="bottom"/>
          </w:tcPr>
          <w:p>
            <w:pPr>
              <w:spacing w:after="0"/>
              <w:rPr>
                <w:sz w:val="15"/>
                <w:szCs w:val="15"/>
                <w:color w:val="auto"/>
              </w:rPr>
            </w:pP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110,150,262</w:t>
            </w:r>
          </w:p>
        </w:tc>
        <w:tc>
          <w:tcPr>
            <w:tcW w:w="120" w:type="dxa"/>
            <w:vAlign w:val="bottom"/>
          </w:tcPr>
          <w:p>
            <w:pPr>
              <w:spacing w:after="0"/>
              <w:rPr>
                <w:sz w:val="15"/>
                <w:szCs w:val="15"/>
                <w:color w:val="auto"/>
              </w:rPr>
            </w:pPr>
          </w:p>
        </w:tc>
        <w:tc>
          <w:tcPr>
            <w:tcW w:w="11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36,173,199</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(400,185)</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145,923,276</w:t>
            </w:r>
          </w:p>
        </w:tc>
      </w:tr>
      <w:tr>
        <w:trPr>
          <w:trHeight w:val="177"/>
        </w:trPr>
        <w:tc>
          <w:tcPr>
            <w:tcW w:w="2340" w:type="dxa"/>
            <w:vAlign w:val="bottom"/>
          </w:tcPr>
          <w:p>
            <w:pPr>
              <w:spacing w:after="0"/>
              <w:rPr>
                <w:sz w:val="15"/>
                <w:szCs w:val="15"/>
                <w:color w:val="auto"/>
              </w:rPr>
            </w:pPr>
          </w:p>
        </w:tc>
        <w:tc>
          <w:tcPr>
            <w:tcW w:w="14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2340" w:type="dxa"/>
            <w:vAlign w:val="bottom"/>
          </w:tcPr>
          <w:p>
            <w:pPr>
              <w:spacing w:after="0"/>
              <w:rPr>
                <w:sz w:val="15"/>
                <w:szCs w:val="15"/>
                <w:color w:val="auto"/>
              </w:rPr>
            </w:pPr>
          </w:p>
        </w:tc>
        <w:tc>
          <w:tcPr>
            <w:tcW w:w="14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$193,179,564</w:t>
            </w: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$36,173,199</w:t>
            </w:r>
          </w:p>
        </w:tc>
        <w:tc>
          <w:tcPr>
            <w:tcW w:w="11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$(408,907)</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w w:val="99"/>
              </w:rPr>
              <w:t>$228,943,856</w:t>
            </w:r>
          </w:p>
        </w:tc>
      </w:tr>
      <w:tr>
        <w:trPr>
          <w:trHeight w:val="177"/>
        </w:trPr>
        <w:tc>
          <w:tcPr>
            <w:tcW w:w="2340" w:type="dxa"/>
            <w:vAlign w:val="bottom"/>
          </w:tcPr>
          <w:p>
            <w:pPr>
              <w:spacing w:after="0"/>
              <w:rPr>
                <w:sz w:val="15"/>
                <w:szCs w:val="15"/>
                <w:color w:val="auto"/>
              </w:rPr>
            </w:pPr>
          </w:p>
        </w:tc>
        <w:tc>
          <w:tcPr>
            <w:tcW w:w="14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w w:val="99"/>
              </w:rPr>
              <w:t>============</w:t>
            </w:r>
          </w:p>
        </w:tc>
      </w:tr>
      <w:tr>
        <w:trPr>
          <w:trHeight w:val="887"/>
        </w:trPr>
        <w:tc>
          <w:tcPr>
            <w:tcW w:w="2340" w:type="dxa"/>
            <w:vAlign w:val="bottom"/>
          </w:tcPr>
          <w:p>
            <w:pPr>
              <w:ind w:left="920"/>
              <w:spacing w:after="0"/>
              <w:rPr>
                <w:sz w:val="20"/>
                <w:szCs w:val="20"/>
                <w:color w:val="auto"/>
              </w:rPr>
            </w:pPr>
            <w:r>
              <w:rPr>
                <w:rFonts w:ascii="Courier New" w:cs="Courier New" w:eastAsia="Courier New" w:hAnsi="Courier New"/>
                <w:sz w:val="15"/>
                <w:szCs w:val="15"/>
                <w:color w:val="auto"/>
              </w:rPr>
              <w:t>2005</w:t>
            </w:r>
          </w:p>
        </w:tc>
        <w:tc>
          <w:tcPr>
            <w:tcW w:w="140" w:type="dxa"/>
            <w:vAlign w:val="bottom"/>
          </w:tcPr>
          <w:p>
            <w:pPr>
              <w:spacing w:after="0"/>
              <w:rPr>
                <w:sz w:val="24"/>
                <w:szCs w:val="24"/>
                <w:color w:val="auto"/>
              </w:rPr>
            </w:pPr>
          </w:p>
        </w:tc>
        <w:tc>
          <w:tcPr>
            <w:tcW w:w="12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Cost</w:t>
            </w:r>
          </w:p>
        </w:tc>
        <w:tc>
          <w:tcPr>
            <w:tcW w:w="120" w:type="dxa"/>
            <w:vAlign w:val="bottom"/>
          </w:tcPr>
          <w:p>
            <w:pPr>
              <w:spacing w:after="0"/>
              <w:rPr>
                <w:sz w:val="24"/>
                <w:szCs w:val="24"/>
                <w:color w:val="auto"/>
              </w:rPr>
            </w:pPr>
          </w:p>
        </w:tc>
        <w:tc>
          <w:tcPr>
            <w:tcW w:w="11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Gains</w:t>
            </w:r>
          </w:p>
        </w:tc>
        <w:tc>
          <w:tcPr>
            <w:tcW w:w="140" w:type="dxa"/>
            <w:vAlign w:val="bottom"/>
          </w:tcPr>
          <w:p>
            <w:pPr>
              <w:spacing w:after="0"/>
              <w:rPr>
                <w:sz w:val="24"/>
                <w:szCs w:val="24"/>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Losses</w:t>
            </w:r>
          </w:p>
        </w:tc>
        <w:tc>
          <w:tcPr>
            <w:tcW w:w="1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Market Value</w:t>
            </w:r>
          </w:p>
        </w:tc>
      </w:tr>
      <w:tr>
        <w:trPr>
          <w:trHeight w:val="177"/>
        </w:trPr>
        <w:tc>
          <w:tcPr>
            <w:tcW w:w="2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340" w:type="dxa"/>
            <w:vAlign w:val="bottom"/>
          </w:tcPr>
          <w:p>
            <w:pPr>
              <w:spacing w:after="0"/>
              <w:rPr>
                <w:sz w:val="20"/>
                <w:szCs w:val="20"/>
                <w:color w:val="auto"/>
              </w:rPr>
            </w:pPr>
            <w:r>
              <w:rPr>
                <w:rFonts w:ascii="Courier New" w:cs="Courier New" w:eastAsia="Courier New" w:hAnsi="Courier New"/>
                <w:sz w:val="15"/>
                <w:szCs w:val="15"/>
                <w:color w:val="auto"/>
              </w:rPr>
              <w:t>U.S. Government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5,000,000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5,000,000</w:t>
            </w:r>
          </w:p>
        </w:tc>
      </w:tr>
      <w:tr>
        <w:trPr>
          <w:trHeight w:val="177"/>
        </w:trPr>
        <w:tc>
          <w:tcPr>
            <w:tcW w:w="2340" w:type="dxa"/>
            <w:vAlign w:val="bottom"/>
          </w:tcPr>
          <w:p>
            <w:pPr>
              <w:spacing w:after="0"/>
              <w:rPr>
                <w:sz w:val="20"/>
                <w:szCs w:val="20"/>
                <w:color w:val="auto"/>
              </w:rPr>
            </w:pPr>
            <w:r>
              <w:rPr>
                <w:rFonts w:ascii="Courier New" w:cs="Courier New" w:eastAsia="Courier New" w:hAnsi="Courier New"/>
                <w:sz w:val="15"/>
                <w:szCs w:val="15"/>
                <w:color w:val="auto"/>
              </w:rPr>
              <w:t>Government Agency</w:t>
            </w:r>
          </w:p>
        </w:tc>
        <w:tc>
          <w:tcPr>
            <w:tcW w:w="140" w:type="dxa"/>
            <w:vAlign w:val="bottom"/>
          </w:tcPr>
          <w:p>
            <w:pPr>
              <w:spacing w:after="0"/>
              <w:rPr>
                <w:sz w:val="15"/>
                <w:szCs w:val="15"/>
                <w:color w:val="auto"/>
              </w:rPr>
            </w:pP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18,024,332</w:t>
            </w:r>
          </w:p>
        </w:tc>
        <w:tc>
          <w:tcPr>
            <w:tcW w:w="120" w:type="dxa"/>
            <w:vAlign w:val="bottom"/>
          </w:tcPr>
          <w:p>
            <w:pPr>
              <w:spacing w:after="0"/>
              <w:rPr>
                <w:sz w:val="15"/>
                <w:szCs w:val="15"/>
                <w:color w:val="auto"/>
              </w:rPr>
            </w:pPr>
          </w:p>
        </w:tc>
        <w:tc>
          <w:tcPr>
            <w:tcW w:w="11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(33,462)</w:t>
            </w:r>
          </w:p>
        </w:tc>
        <w:tc>
          <w:tcPr>
            <w:tcW w:w="280" w:type="dxa"/>
            <w:vAlign w:val="bottom"/>
          </w:tcPr>
          <w:p>
            <w:pPr>
              <w:spacing w:after="0"/>
              <w:rPr>
                <w:sz w:val="15"/>
                <w:szCs w:val="15"/>
                <w:color w:val="auto"/>
              </w:rPr>
            </w:pP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17,990,870</w:t>
            </w:r>
          </w:p>
        </w:tc>
      </w:tr>
      <w:tr>
        <w:trPr>
          <w:trHeight w:val="177"/>
        </w:trPr>
        <w:tc>
          <w:tcPr>
            <w:tcW w:w="2340" w:type="dxa"/>
            <w:vAlign w:val="bottom"/>
          </w:tcPr>
          <w:p>
            <w:pPr>
              <w:spacing w:after="0"/>
              <w:rPr>
                <w:sz w:val="20"/>
                <w:szCs w:val="20"/>
                <w:color w:val="auto"/>
              </w:rPr>
            </w:pPr>
            <w:r>
              <w:rPr>
                <w:rFonts w:ascii="Courier New" w:cs="Courier New" w:eastAsia="Courier New" w:hAnsi="Courier New"/>
                <w:sz w:val="15"/>
                <w:szCs w:val="15"/>
                <w:color w:val="auto"/>
              </w:rPr>
              <w:t>Certificates of Deposit</w:t>
            </w:r>
          </w:p>
        </w:tc>
        <w:tc>
          <w:tcPr>
            <w:tcW w:w="140" w:type="dxa"/>
            <w:vAlign w:val="bottom"/>
          </w:tcPr>
          <w:p>
            <w:pPr>
              <w:spacing w:after="0"/>
              <w:rPr>
                <w:sz w:val="15"/>
                <w:szCs w:val="15"/>
                <w:color w:val="auto"/>
              </w:rPr>
            </w:pP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26,200,000</w:t>
            </w:r>
          </w:p>
        </w:tc>
        <w:tc>
          <w:tcPr>
            <w:tcW w:w="120" w:type="dxa"/>
            <w:vAlign w:val="bottom"/>
          </w:tcPr>
          <w:p>
            <w:pPr>
              <w:spacing w:after="0"/>
              <w:rPr>
                <w:sz w:val="15"/>
                <w:szCs w:val="15"/>
                <w:color w:val="auto"/>
              </w:rPr>
            </w:pPr>
          </w:p>
        </w:tc>
        <w:tc>
          <w:tcPr>
            <w:tcW w:w="11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26,200,000</w:t>
            </w:r>
          </w:p>
        </w:tc>
      </w:tr>
      <w:tr>
        <w:trPr>
          <w:trHeight w:val="177"/>
        </w:trPr>
        <w:tc>
          <w:tcPr>
            <w:tcW w:w="2340" w:type="dxa"/>
            <w:vAlign w:val="bottom"/>
          </w:tcPr>
          <w:p>
            <w:pPr>
              <w:spacing w:after="0"/>
              <w:rPr>
                <w:sz w:val="20"/>
                <w:szCs w:val="20"/>
                <w:color w:val="auto"/>
              </w:rPr>
            </w:pPr>
            <w:r>
              <w:rPr>
                <w:rFonts w:ascii="Courier New" w:cs="Courier New" w:eastAsia="Courier New" w:hAnsi="Courier New"/>
                <w:sz w:val="15"/>
                <w:szCs w:val="15"/>
                <w:color w:val="auto"/>
              </w:rPr>
              <w:t>Corporate Bonds</w:t>
            </w:r>
          </w:p>
        </w:tc>
        <w:tc>
          <w:tcPr>
            <w:tcW w:w="140" w:type="dxa"/>
            <w:vAlign w:val="bottom"/>
          </w:tcPr>
          <w:p>
            <w:pPr>
              <w:spacing w:after="0"/>
              <w:rPr>
                <w:sz w:val="15"/>
                <w:szCs w:val="15"/>
                <w:color w:val="auto"/>
              </w:rPr>
            </w:pP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17,288,250</w:t>
            </w:r>
          </w:p>
        </w:tc>
        <w:tc>
          <w:tcPr>
            <w:tcW w:w="120" w:type="dxa"/>
            <w:vAlign w:val="bottom"/>
          </w:tcPr>
          <w:p>
            <w:pPr>
              <w:spacing w:after="0"/>
              <w:rPr>
                <w:sz w:val="15"/>
                <w:szCs w:val="15"/>
                <w:color w:val="auto"/>
              </w:rPr>
            </w:pPr>
          </w:p>
        </w:tc>
        <w:tc>
          <w:tcPr>
            <w:tcW w:w="11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(93,899)</w:t>
            </w:r>
          </w:p>
        </w:tc>
        <w:tc>
          <w:tcPr>
            <w:tcW w:w="280" w:type="dxa"/>
            <w:vAlign w:val="bottom"/>
          </w:tcPr>
          <w:p>
            <w:pPr>
              <w:spacing w:after="0"/>
              <w:rPr>
                <w:sz w:val="15"/>
                <w:szCs w:val="15"/>
                <w:color w:val="auto"/>
              </w:rPr>
            </w:pP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17,194,351</w:t>
            </w:r>
          </w:p>
        </w:tc>
      </w:tr>
      <w:tr>
        <w:trPr>
          <w:trHeight w:val="177"/>
        </w:trPr>
        <w:tc>
          <w:tcPr>
            <w:tcW w:w="2340" w:type="dxa"/>
            <w:vAlign w:val="bottom"/>
          </w:tcPr>
          <w:p>
            <w:pPr>
              <w:spacing w:after="0"/>
              <w:rPr>
                <w:sz w:val="20"/>
                <w:szCs w:val="20"/>
                <w:color w:val="auto"/>
              </w:rPr>
            </w:pPr>
            <w:r>
              <w:rPr>
                <w:rFonts w:ascii="Courier New" w:cs="Courier New" w:eastAsia="Courier New" w:hAnsi="Courier New"/>
                <w:sz w:val="15"/>
                <w:szCs w:val="15"/>
                <w:color w:val="auto"/>
              </w:rPr>
              <w:t>Other Fixed Income</w:t>
            </w:r>
          </w:p>
        </w:tc>
        <w:tc>
          <w:tcPr>
            <w:tcW w:w="140" w:type="dxa"/>
            <w:vAlign w:val="bottom"/>
          </w:tcPr>
          <w:p>
            <w:pPr>
              <w:spacing w:after="0"/>
              <w:rPr>
                <w:sz w:val="15"/>
                <w:szCs w:val="15"/>
                <w:color w:val="auto"/>
              </w:rPr>
            </w:pP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1,215,708</w:t>
            </w:r>
          </w:p>
        </w:tc>
        <w:tc>
          <w:tcPr>
            <w:tcW w:w="120" w:type="dxa"/>
            <w:vAlign w:val="bottom"/>
          </w:tcPr>
          <w:p>
            <w:pPr>
              <w:spacing w:after="0"/>
              <w:rPr>
                <w:sz w:val="15"/>
                <w:szCs w:val="15"/>
                <w:color w:val="auto"/>
              </w:rPr>
            </w:pPr>
          </w:p>
        </w:tc>
        <w:tc>
          <w:tcPr>
            <w:tcW w:w="11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1,215,708</w:t>
            </w:r>
          </w:p>
        </w:tc>
      </w:tr>
      <w:tr>
        <w:trPr>
          <w:trHeight w:val="177"/>
        </w:trPr>
        <w:tc>
          <w:tcPr>
            <w:tcW w:w="2340" w:type="dxa"/>
            <w:vAlign w:val="bottom"/>
          </w:tcPr>
          <w:p>
            <w:pPr>
              <w:spacing w:after="0"/>
              <w:rPr>
                <w:sz w:val="20"/>
                <w:szCs w:val="20"/>
                <w:color w:val="auto"/>
              </w:rPr>
            </w:pPr>
            <w:r>
              <w:rPr>
                <w:rFonts w:ascii="Courier New" w:cs="Courier New" w:eastAsia="Courier New" w:hAnsi="Courier New"/>
                <w:sz w:val="15"/>
                <w:szCs w:val="15"/>
                <w:color w:val="auto"/>
              </w:rPr>
              <w:t>Equity</w:t>
            </w:r>
          </w:p>
        </w:tc>
        <w:tc>
          <w:tcPr>
            <w:tcW w:w="140" w:type="dxa"/>
            <w:vAlign w:val="bottom"/>
          </w:tcPr>
          <w:p>
            <w:pPr>
              <w:spacing w:after="0"/>
              <w:rPr>
                <w:sz w:val="15"/>
                <w:szCs w:val="15"/>
                <w:color w:val="auto"/>
              </w:rPr>
            </w:pP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103,212,665</w:t>
            </w:r>
          </w:p>
        </w:tc>
        <w:tc>
          <w:tcPr>
            <w:tcW w:w="120" w:type="dxa"/>
            <w:vAlign w:val="bottom"/>
          </w:tcPr>
          <w:p>
            <w:pPr>
              <w:spacing w:after="0"/>
              <w:rPr>
                <w:sz w:val="15"/>
                <w:szCs w:val="15"/>
                <w:color w:val="auto"/>
              </w:rPr>
            </w:pPr>
          </w:p>
        </w:tc>
        <w:tc>
          <w:tcPr>
            <w:tcW w:w="11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30,802,826</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(1,759,526)</w:t>
            </w:r>
          </w:p>
        </w:tc>
        <w:tc>
          <w:tcPr>
            <w:tcW w:w="280" w:type="dxa"/>
            <w:vAlign w:val="bottom"/>
          </w:tcPr>
          <w:p>
            <w:pPr>
              <w:spacing w:after="0"/>
              <w:rPr>
                <w:sz w:val="15"/>
                <w:szCs w:val="15"/>
                <w:color w:val="auto"/>
              </w:rPr>
            </w:pP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132,255,965</w:t>
            </w:r>
          </w:p>
        </w:tc>
      </w:tr>
      <w:tr>
        <w:trPr>
          <w:trHeight w:val="177"/>
        </w:trPr>
        <w:tc>
          <w:tcPr>
            <w:tcW w:w="2340" w:type="dxa"/>
            <w:vAlign w:val="bottom"/>
          </w:tcPr>
          <w:p>
            <w:pPr>
              <w:spacing w:after="0"/>
              <w:rPr>
                <w:sz w:val="15"/>
                <w:szCs w:val="15"/>
                <w:color w:val="auto"/>
              </w:rPr>
            </w:pPr>
          </w:p>
        </w:tc>
        <w:tc>
          <w:tcPr>
            <w:tcW w:w="14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2340" w:type="dxa"/>
            <w:vAlign w:val="bottom"/>
          </w:tcPr>
          <w:p>
            <w:pPr>
              <w:spacing w:after="0"/>
              <w:rPr>
                <w:sz w:val="15"/>
                <w:szCs w:val="15"/>
                <w:color w:val="auto"/>
              </w:rPr>
            </w:pPr>
          </w:p>
        </w:tc>
        <w:tc>
          <w:tcPr>
            <w:tcW w:w="14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$170,940,955</w:t>
            </w: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$30,802,826</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$(1,886,887)</w:t>
            </w:r>
          </w:p>
        </w:tc>
        <w:tc>
          <w:tcPr>
            <w:tcW w:w="14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$199,856,894</w:t>
            </w:r>
          </w:p>
        </w:tc>
      </w:tr>
      <w:tr>
        <w:trPr>
          <w:trHeight w:val="177"/>
        </w:trPr>
        <w:tc>
          <w:tcPr>
            <w:tcW w:w="2340" w:type="dxa"/>
            <w:vAlign w:val="bottom"/>
          </w:tcPr>
          <w:p>
            <w:pPr>
              <w:spacing w:after="0"/>
              <w:rPr>
                <w:sz w:val="15"/>
                <w:szCs w:val="15"/>
                <w:color w:val="auto"/>
              </w:rPr>
            </w:pPr>
          </w:p>
        </w:tc>
        <w:tc>
          <w:tcPr>
            <w:tcW w:w="14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Unrealized losses on investments as of December 31, 2006, are as follows: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080" w:type="dxa"/>
            <w:vAlign w:val="bottom"/>
          </w:tcPr>
          <w:p>
            <w:pPr>
              <w:spacing w:after="0"/>
              <w:rPr>
                <w:sz w:val="14"/>
                <w:szCs w:val="14"/>
                <w:color w:val="auto"/>
              </w:rPr>
            </w:pPr>
          </w:p>
        </w:tc>
        <w:tc>
          <w:tcPr>
            <w:tcW w:w="2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Aggregate Unrealized Losses</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Aggregate Fair Value</w:t>
            </w:r>
          </w:p>
        </w:tc>
      </w:tr>
      <w:tr>
        <w:trPr>
          <w:trHeight w:val="177"/>
        </w:trPr>
        <w:tc>
          <w:tcPr>
            <w:tcW w:w="2080" w:type="dxa"/>
            <w:vAlign w:val="bottom"/>
          </w:tcPr>
          <w:p>
            <w:pPr>
              <w:spacing w:after="0"/>
              <w:rPr>
                <w:sz w:val="15"/>
                <w:szCs w:val="15"/>
                <w:color w:val="auto"/>
              </w:rPr>
            </w:pPr>
          </w:p>
        </w:tc>
        <w:tc>
          <w:tcPr>
            <w:tcW w:w="2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080" w:type="dxa"/>
            <w:vAlign w:val="bottom"/>
          </w:tcPr>
          <w:p>
            <w:pPr>
              <w:spacing w:after="0"/>
              <w:rPr>
                <w:sz w:val="20"/>
                <w:szCs w:val="20"/>
                <w:color w:val="auto"/>
              </w:rPr>
            </w:pPr>
            <w:r>
              <w:rPr>
                <w:rFonts w:ascii="Courier New" w:cs="Courier New" w:eastAsia="Courier New" w:hAnsi="Courier New"/>
                <w:sz w:val="15"/>
                <w:szCs w:val="15"/>
                <w:color w:val="auto"/>
              </w:rPr>
              <w:t>Less than one year</w:t>
            </w:r>
          </w:p>
        </w:tc>
        <w:tc>
          <w:tcPr>
            <w:tcW w:w="2760" w:type="dxa"/>
            <w:vAlign w:val="bottom"/>
          </w:tcPr>
          <w:p>
            <w:pPr>
              <w:jc w:val="right"/>
              <w:ind w:right="903"/>
              <w:spacing w:after="0"/>
              <w:rPr>
                <w:sz w:val="20"/>
                <w:szCs w:val="20"/>
                <w:color w:val="auto"/>
              </w:rPr>
            </w:pPr>
            <w:r>
              <w:rPr>
                <w:rFonts w:ascii="Courier New" w:cs="Courier New" w:eastAsia="Courier New" w:hAnsi="Courier New"/>
                <w:sz w:val="15"/>
                <w:szCs w:val="15"/>
                <w:color w:val="auto"/>
              </w:rPr>
              <w:t>$351,434</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$ 7,451,508</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Greater than one year</w:t>
            </w:r>
          </w:p>
        </w:tc>
        <w:tc>
          <w:tcPr>
            <w:tcW w:w="2760" w:type="dxa"/>
            <w:vAlign w:val="bottom"/>
          </w:tcPr>
          <w:p>
            <w:pPr>
              <w:jc w:val="right"/>
              <w:ind w:right="903"/>
              <w:spacing w:after="0"/>
              <w:rPr>
                <w:sz w:val="20"/>
                <w:szCs w:val="20"/>
                <w:color w:val="auto"/>
              </w:rPr>
            </w:pPr>
            <w:r>
              <w:rPr>
                <w:rFonts w:ascii="Courier New" w:cs="Courier New" w:eastAsia="Courier New" w:hAnsi="Courier New"/>
                <w:sz w:val="15"/>
                <w:szCs w:val="15"/>
                <w:color w:val="auto"/>
              </w:rPr>
              <w:t>57,473</w:t>
            </w:r>
          </w:p>
        </w:tc>
        <w:tc>
          <w:tcPr>
            <w:tcW w:w="19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10,210,915</w:t>
            </w:r>
          </w:p>
        </w:tc>
      </w:tr>
    </w:tbl>
    <w:p>
      <w:pPr>
        <w:sectPr>
          <w:pgSz w:w="11900" w:h="16838" w:orient="portrait"/>
          <w:cols w:equalWidth="0" w:num="1">
            <w:col w:w="10225"/>
          </w:cols>
          <w:pgMar w:left="235" w:top="650" w:right="1440" w:bottom="369" w:gutter="0" w:footer="0" w:header="0"/>
        </w:sectPr>
      </w:pPr>
    </w:p>
    <w:bookmarkStart w:id="38" w:name="page39"/>
    <w:bookmarkEnd w:id="38"/>
    <w:p>
      <w:pPr>
        <w:ind w:left="23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9019"/>
          </w:cols>
          <w:pgMar w:left="1440" w:top="142" w:right="1440" w:bottom="1440" w:gutter="0" w:footer="0" w:header="0"/>
        </w:sectPr>
      </w:pPr>
    </w:p>
    <w:bookmarkStart w:id="39" w:name="page40"/>
    <w:bookmarkEnd w:id="39"/>
    <w:p>
      <w:pPr>
        <w:jc w:val="center"/>
        <w:ind w:right="2754"/>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465" w:hanging="465"/>
        <w:spacing w:after="0"/>
        <w:tabs>
          <w:tab w:leader="none" w:pos="46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w:t>
      </w:r>
    </w:p>
    <w:p>
      <w:pPr>
        <w:spacing w:after="0" w:line="184" w:lineRule="exact"/>
        <w:rPr>
          <w:rFonts w:ascii="Courier New" w:cs="Courier New" w:eastAsia="Courier New" w:hAnsi="Courier New"/>
          <w:sz w:val="15"/>
          <w:szCs w:val="15"/>
          <w:color w:val="auto"/>
        </w:rPr>
      </w:pPr>
    </w:p>
    <w:p>
      <w:pPr>
        <w:ind w:left="46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has reviewed the unrealized losses in the Company's fixed-income and equity securities as of December 31, 2006, and has determined that they are temporary in nature; accordingly, no losses have been recognized in income as of December 31, 2006.</w:t>
      </w:r>
    </w:p>
    <w:p>
      <w:pPr>
        <w:spacing w:after="0" w:line="176" w:lineRule="exact"/>
        <w:rPr>
          <w:rFonts w:ascii="Courier New" w:cs="Courier New" w:eastAsia="Courier New" w:hAnsi="Courier New"/>
          <w:sz w:val="15"/>
          <w:szCs w:val="15"/>
          <w:color w:val="auto"/>
        </w:rPr>
      </w:pPr>
    </w:p>
    <w:p>
      <w:pPr>
        <w:ind w:left="465" w:right="37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Fixed income securities as of December 31, 2006, have contractual maturities as follows:</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Due within one year</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$82,731,723</w:t>
            </w:r>
          </w:p>
        </w:tc>
      </w:tr>
      <w:tr>
        <w:trPr>
          <w:trHeight w:val="177"/>
        </w:trPr>
        <w:tc>
          <w:tcPr>
            <w:tcW w:w="2900" w:type="dxa"/>
            <w:vAlign w:val="bottom"/>
          </w:tcPr>
          <w:p>
            <w:pPr>
              <w:spacing w:after="0"/>
              <w:rPr>
                <w:sz w:val="20"/>
                <w:szCs w:val="20"/>
                <w:color w:val="auto"/>
              </w:rPr>
            </w:pPr>
            <w:r>
              <w:rPr>
                <w:rFonts w:ascii="Courier New" w:cs="Courier New" w:eastAsia="Courier New" w:hAnsi="Courier New"/>
                <w:sz w:val="15"/>
                <w:szCs w:val="15"/>
                <w:color w:val="auto"/>
              </w:rPr>
              <w:t>Due between one and five years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297,579</w:t>
            </w:r>
          </w:p>
        </w:tc>
      </w:tr>
      <w:tr>
        <w:trPr>
          <w:trHeight w:val="177"/>
        </w:trPr>
        <w:tc>
          <w:tcPr>
            <w:tcW w:w="2900" w:type="dxa"/>
            <w:vAlign w:val="bottom"/>
          </w:tcPr>
          <w:p>
            <w:pPr>
              <w:spacing w:after="0"/>
              <w:rPr>
                <w:sz w:val="20"/>
                <w:szCs w:val="20"/>
                <w:color w:val="auto"/>
              </w:rPr>
            </w:pPr>
            <w:r>
              <w:rPr>
                <w:rFonts w:ascii="Courier New" w:cs="Courier New" w:eastAsia="Courier New" w:hAnsi="Courier New"/>
                <w:sz w:val="15"/>
                <w:szCs w:val="15"/>
                <w:color w:val="auto"/>
              </w:rPr>
              <w:t>Due over five years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9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9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$83,029,302</w:t>
            </w:r>
          </w:p>
        </w:tc>
      </w:tr>
      <w:tr>
        <w:trPr>
          <w:trHeight w:val="177"/>
        </w:trPr>
        <w:tc>
          <w:tcPr>
            <w:tcW w:w="29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85" w:lineRule="exact"/>
        <w:rPr>
          <w:sz w:val="20"/>
          <w:szCs w:val="20"/>
          <w:color w:val="auto"/>
        </w:rPr>
      </w:pPr>
    </w:p>
    <w:p>
      <w:pPr>
        <w:ind w:left="465" w:right="3019"/>
        <w:spacing w:after="0" w:line="251" w:lineRule="auto"/>
        <w:rPr>
          <w:sz w:val="20"/>
          <w:szCs w:val="20"/>
          <w:color w:val="auto"/>
        </w:rPr>
      </w:pPr>
      <w:r>
        <w:rPr>
          <w:rFonts w:ascii="Courier New" w:cs="Courier New" w:eastAsia="Courier New" w:hAnsi="Courier New"/>
          <w:sz w:val="15"/>
          <w:szCs w:val="15"/>
          <w:color w:val="auto"/>
        </w:rPr>
        <w:t>The Company's financial instruments consist of cash and cash equivalents, investments, accounts receivable and accounts payable. The Company's estimate of the fair values of these financial instruments approximates their carrying amounts at December 31, 2006 and 2005.</w:t>
      </w:r>
    </w:p>
    <w:p>
      <w:pPr>
        <w:spacing w:after="0" w:line="176"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Inventories</w:t>
      </w:r>
    </w:p>
    <w:p>
      <w:pPr>
        <w:spacing w:after="0" w:line="185" w:lineRule="exact"/>
        <w:rPr>
          <w:sz w:val="20"/>
          <w:szCs w:val="20"/>
          <w:color w:val="auto"/>
        </w:rPr>
      </w:pPr>
    </w:p>
    <w:p>
      <w:pPr>
        <w:ind w:left="465" w:right="3019"/>
        <w:spacing w:after="0" w:line="252" w:lineRule="auto"/>
        <w:rPr>
          <w:sz w:val="20"/>
          <w:szCs w:val="20"/>
          <w:color w:val="auto"/>
        </w:rPr>
      </w:pPr>
      <w:r>
        <w:rPr>
          <w:rFonts w:ascii="Courier New" w:cs="Courier New" w:eastAsia="Courier New" w:hAnsi="Courier New"/>
          <w:sz w:val="15"/>
          <w:szCs w:val="15"/>
          <w:color w:val="auto"/>
        </w:rPr>
        <w:t>Inventories include material, direct labor and manufacturing overhead and are valued at the lower of first-in, first-out (FIFO) cost or market. Inventories consisted of the following as of December 31, 2006 and 2005:</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520" w:type="dxa"/>
            <w:vAlign w:val="bottom"/>
          </w:tcPr>
          <w:p>
            <w:pPr>
              <w:spacing w:after="0"/>
              <w:rPr>
                <w:sz w:val="14"/>
                <w:szCs w:val="14"/>
                <w:color w:val="auto"/>
              </w:rPr>
            </w:pP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2006</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2005</w:t>
            </w:r>
          </w:p>
        </w:tc>
      </w:tr>
      <w:tr>
        <w:trPr>
          <w:trHeight w:val="177"/>
        </w:trPr>
        <w:tc>
          <w:tcPr>
            <w:tcW w:w="1520" w:type="dxa"/>
            <w:vAlign w:val="bottom"/>
          </w:tcPr>
          <w:p>
            <w:pPr>
              <w:spacing w:after="0"/>
              <w:rPr>
                <w:sz w:val="15"/>
                <w:szCs w:val="15"/>
                <w:color w:val="auto"/>
              </w:rPr>
            </w:pPr>
          </w:p>
        </w:tc>
        <w:tc>
          <w:tcPr>
            <w:tcW w:w="12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5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2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$31,727,666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$24,628,200</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12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4,681,714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3,739,394</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2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12,396,018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11,469,228</w:t>
            </w:r>
          </w:p>
        </w:tc>
      </w:tr>
      <w:tr>
        <w:trPr>
          <w:trHeight w:val="177"/>
        </w:trPr>
        <w:tc>
          <w:tcPr>
            <w:tcW w:w="1520" w:type="dxa"/>
            <w:vAlign w:val="bottom"/>
          </w:tcPr>
          <w:p>
            <w:pPr>
              <w:spacing w:after="0"/>
              <w:rPr>
                <w:sz w:val="15"/>
                <w:szCs w:val="15"/>
                <w:color w:val="auto"/>
              </w:rPr>
            </w:pPr>
          </w:p>
        </w:tc>
        <w:tc>
          <w:tcPr>
            <w:tcW w:w="12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520" w:type="dxa"/>
            <w:vAlign w:val="bottom"/>
          </w:tcPr>
          <w:p>
            <w:pPr>
              <w:spacing w:after="0"/>
              <w:rPr>
                <w:sz w:val="15"/>
                <w:szCs w:val="15"/>
                <w:color w:val="auto"/>
              </w:rPr>
            </w:pPr>
          </w:p>
        </w:tc>
        <w:tc>
          <w:tcPr>
            <w:tcW w:w="12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$48,805,398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$39,836,822</w:t>
            </w:r>
          </w:p>
        </w:tc>
      </w:tr>
      <w:tr>
        <w:trPr>
          <w:trHeight w:val="177"/>
        </w:trPr>
        <w:tc>
          <w:tcPr>
            <w:tcW w:w="1520" w:type="dxa"/>
            <w:vAlign w:val="bottom"/>
          </w:tcPr>
          <w:p>
            <w:pPr>
              <w:spacing w:after="0"/>
              <w:rPr>
                <w:sz w:val="15"/>
                <w:szCs w:val="15"/>
                <w:color w:val="auto"/>
              </w:rPr>
            </w:pPr>
          </w:p>
        </w:tc>
        <w:tc>
          <w:tcPr>
            <w:tcW w:w="12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465" w:right="2839"/>
        <w:spacing w:after="0" w:line="253" w:lineRule="auto"/>
        <w:rPr>
          <w:sz w:val="20"/>
          <w:szCs w:val="20"/>
          <w:color w:val="auto"/>
        </w:rPr>
      </w:pPr>
      <w:r>
        <w:rPr>
          <w:rFonts w:ascii="Courier New" w:cs="Courier New" w:eastAsia="Courier New" w:hAnsi="Courier New"/>
          <w:sz w:val="15"/>
          <w:szCs w:val="15"/>
          <w:color w:val="auto"/>
        </w:rPr>
        <w:t>Allowances for slow-moving and obsolete inventories were not significant as of December 31, 2006 and 2005.</w:t>
      </w:r>
    </w:p>
    <w:p>
      <w:pPr>
        <w:spacing w:after="0" w:line="174"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Plant and Equipment</w:t>
      </w:r>
    </w:p>
    <w:p>
      <w:pPr>
        <w:spacing w:after="0" w:line="185" w:lineRule="exact"/>
        <w:rPr>
          <w:sz w:val="20"/>
          <w:szCs w:val="20"/>
          <w:color w:val="auto"/>
        </w:rPr>
      </w:pPr>
    </w:p>
    <w:p>
      <w:pPr>
        <w:ind w:left="465" w:right="3019"/>
        <w:spacing w:after="0" w:line="251" w:lineRule="auto"/>
        <w:rPr>
          <w:sz w:val="20"/>
          <w:szCs w:val="20"/>
          <w:color w:val="auto"/>
        </w:rPr>
      </w:pPr>
      <w:r>
        <w:rPr>
          <w:rFonts w:ascii="Courier New" w:cs="Courier New" w:eastAsia="Courier New" w:hAnsi="Courier New"/>
          <w:sz w:val="15"/>
          <w:szCs w:val="15"/>
          <w:color w:val="auto"/>
        </w:rPr>
        <w:t>Plant and equipment are stated at cost. Depreciation and amortization are computed for financial reporting purposes using the straight-line method, with estimated useful lives of 7 to 40 years for buildings and improvements, and 3 to 10 years for machinery and equipment.</w:t>
      </w:r>
    </w:p>
    <w:p>
      <w:pPr>
        <w:spacing w:after="0" w:line="176"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Impairment or Disposal of Long-Lived Assets</w:t>
      </w:r>
    </w:p>
    <w:p>
      <w:pPr>
        <w:spacing w:after="0" w:line="185" w:lineRule="exact"/>
        <w:rPr>
          <w:sz w:val="20"/>
          <w:szCs w:val="20"/>
          <w:color w:val="auto"/>
        </w:rPr>
      </w:pPr>
    </w:p>
    <w:p>
      <w:pPr>
        <w:ind w:left="465" w:right="2839"/>
        <w:spacing w:after="0" w:line="251" w:lineRule="auto"/>
        <w:rPr>
          <w:sz w:val="20"/>
          <w:szCs w:val="20"/>
          <w:color w:val="auto"/>
        </w:rPr>
      </w:pPr>
      <w:r>
        <w:rPr>
          <w:rFonts w:ascii="Courier New" w:cs="Courier New" w:eastAsia="Courier New" w:hAnsi="Courier New"/>
          <w:sz w:val="15"/>
          <w:szCs w:val="15"/>
          <w:color w:val="auto"/>
        </w:rPr>
        <w:t>The Company reviews long-lived assets for impairment whenever events or changes in circumstances indicate that the carrying amount of an asset may not be recoverable. If such assets are determined to be impaired, the impairment to be recognized is measured by the amount by which the carrying amount of the assets exceeds the fair value of the assets.</w:t>
      </w:r>
    </w:p>
    <w:p>
      <w:pPr>
        <w:spacing w:after="0" w:line="176"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Patents</w:t>
      </w:r>
    </w:p>
    <w:p>
      <w:pPr>
        <w:spacing w:after="0" w:line="185" w:lineRule="exact"/>
        <w:rPr>
          <w:sz w:val="20"/>
          <w:szCs w:val="20"/>
          <w:color w:val="auto"/>
        </w:rPr>
      </w:pPr>
    </w:p>
    <w:p>
      <w:pPr>
        <w:ind w:left="465" w:right="2839"/>
        <w:spacing w:after="0" w:line="251" w:lineRule="auto"/>
        <w:rPr>
          <w:sz w:val="20"/>
          <w:szCs w:val="20"/>
          <w:color w:val="auto"/>
        </w:rPr>
      </w:pPr>
      <w:r>
        <w:rPr>
          <w:rFonts w:ascii="Courier New" w:cs="Courier New" w:eastAsia="Courier New" w:hAnsi="Courier New"/>
          <w:sz w:val="15"/>
          <w:szCs w:val="15"/>
          <w:color w:val="auto"/>
        </w:rPr>
        <w:t>The Company's policy is to capitalize costs incurred to obtain patents. The cost of patents is amortized over their useful lives. The cost of patents in process is not amortized until issuance. Accumulated amortization was approximately $3,510,000 and $3,218,000 at December 31, 2006 and 2005, respectively. At December 31, 2006, patents had a weighted average amortization life of 13 years. Patent amortization expense was approximately $292,000, $233,000, and $193,000 in 2006, 2005 and 2004, respectively. For each of the next five years, patent amortization expense will approximate $362,000 annually.</w:t>
      </w:r>
    </w:p>
    <w:p>
      <w:pPr>
        <w:spacing w:after="0" w:line="17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Revenue Recognition</w:t>
      </w:r>
    </w:p>
    <w:p>
      <w:pPr>
        <w:spacing w:after="0" w:line="185" w:lineRule="exact"/>
        <w:rPr>
          <w:sz w:val="20"/>
          <w:szCs w:val="20"/>
          <w:color w:val="auto"/>
        </w:rPr>
      </w:pPr>
    </w:p>
    <w:p>
      <w:pPr>
        <w:ind w:left="465" w:right="3119"/>
        <w:spacing w:after="0" w:line="251" w:lineRule="auto"/>
        <w:rPr>
          <w:sz w:val="20"/>
          <w:szCs w:val="20"/>
          <w:color w:val="auto"/>
        </w:rPr>
      </w:pPr>
      <w:r>
        <w:rPr>
          <w:rFonts w:ascii="Courier New" w:cs="Courier New" w:eastAsia="Courier New" w:hAnsi="Courier New"/>
          <w:sz w:val="15"/>
          <w:szCs w:val="15"/>
          <w:color w:val="auto"/>
        </w:rPr>
        <w:t>The Company's revenue is generated from sales of its products. Sales are recognized when the product is shipped and legal title has passed to the customer. The Company does not generate sales from arrangements with multiple deliverables.</w:t>
      </w:r>
    </w:p>
    <w:p>
      <w:pPr>
        <w:spacing w:after="0" w:line="35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5"/>
          </w:cols>
          <w:pgMar w:left="235" w:top="650" w:right="1440" w:bottom="0" w:gutter="0" w:footer="0" w:header="0"/>
        </w:sectPr>
      </w:pPr>
    </w:p>
    <w:bookmarkStart w:id="40" w:name="page41"/>
    <w:bookmarkEnd w:id="40"/>
    <w:p>
      <w:pPr>
        <w:jc w:val="center"/>
        <w:ind w:right="2754"/>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465" w:right="3579" w:hanging="465"/>
        <w:spacing w:after="0" w:line="501" w:lineRule="auto"/>
        <w:tabs>
          <w:tab w:leader="none" w:pos="46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Advertising and Promotional Materials</w:t>
      </w:r>
    </w:p>
    <w:p>
      <w:pPr>
        <w:ind w:left="465" w:right="28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advertising and promotional costs are expensed as incurred and amounted to approximately $1,250,000, $1,458,000 and $1,314,000, in 2006, 2005 and 2004, respectively.</w:t>
      </w:r>
    </w:p>
    <w:p>
      <w:pPr>
        <w:spacing w:after="0" w:line="17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Repairs and Maintenance</w:t>
      </w:r>
    </w:p>
    <w:p>
      <w:pPr>
        <w:spacing w:after="0" w:line="184" w:lineRule="exact"/>
        <w:rPr>
          <w:rFonts w:ascii="Courier New" w:cs="Courier New" w:eastAsia="Courier New" w:hAnsi="Courier New"/>
          <w:sz w:val="15"/>
          <w:szCs w:val="15"/>
          <w:color w:val="auto"/>
        </w:rPr>
      </w:pPr>
    </w:p>
    <w:p>
      <w:pPr>
        <w:ind w:left="46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Major renewals and improvements of property and equipment are capitalized, and repairs and maintenance are expensed as incurred. The Company incurred expenses relating to the repair and maintenance of plant and equipment of approximately $6,727,000, $5,770,000 and $5,171,000, in 2006, 2005 and 2004, respectively.</w:t>
      </w:r>
    </w:p>
    <w:p>
      <w:pPr>
        <w:spacing w:after="0" w:line="176"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Self-Insurance</w:t>
      </w:r>
    </w:p>
    <w:p>
      <w:pPr>
        <w:spacing w:after="0" w:line="184" w:lineRule="exact"/>
        <w:rPr>
          <w:rFonts w:ascii="Courier New" w:cs="Courier New" w:eastAsia="Courier New" w:hAnsi="Courier New"/>
          <w:sz w:val="15"/>
          <w:szCs w:val="15"/>
          <w:color w:val="auto"/>
        </w:rPr>
      </w:pPr>
    </w:p>
    <w:p>
      <w:pPr>
        <w:ind w:left="46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 based upon historical claims lag information and other data.</w:t>
      </w:r>
    </w:p>
    <w:p>
      <w:pPr>
        <w:spacing w:after="0" w:line="176"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Product Warranty</w:t>
      </w:r>
    </w:p>
    <w:p>
      <w:pPr>
        <w:spacing w:after="0" w:line="184" w:lineRule="exact"/>
        <w:rPr>
          <w:rFonts w:ascii="Courier New" w:cs="Courier New" w:eastAsia="Courier New" w:hAnsi="Courier New"/>
          <w:sz w:val="15"/>
          <w:szCs w:val="15"/>
          <w:color w:val="auto"/>
        </w:rPr>
      </w:pPr>
    </w:p>
    <w:p>
      <w:pPr>
        <w:ind w:left="465" w:right="31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periodically incurs product warranty costs. Any liabilities associated with product warranty are estimated based on known facts and circumstances and are not significant at December 31, 2006 and 2005. The Company does not offer extended warranties on its products.</w:t>
      </w:r>
    </w:p>
    <w:p>
      <w:pPr>
        <w:spacing w:after="0" w:line="176"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84" w:lineRule="exact"/>
        <w:rPr>
          <w:rFonts w:ascii="Courier New" w:cs="Courier New" w:eastAsia="Courier New" w:hAnsi="Courier New"/>
          <w:sz w:val="15"/>
          <w:szCs w:val="15"/>
          <w:color w:val="auto"/>
        </w:rPr>
      </w:pPr>
    </w:p>
    <w:p>
      <w:pPr>
        <w:jc w:val="both"/>
        <w:ind w:left="465"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reconciles the numerators and denominators used in the calculations of basic and diluted earnings per share (EPS) for each of the last three years:</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740" w:type="dxa"/>
            <w:vAlign w:val="bottom"/>
          </w:tcPr>
          <w:p>
            <w:pPr>
              <w:spacing w:after="0"/>
              <w:rPr>
                <w:sz w:val="14"/>
                <w:szCs w:val="14"/>
                <w:color w:val="auto"/>
              </w:rPr>
            </w:pPr>
          </w:p>
        </w:tc>
        <w:tc>
          <w:tcPr>
            <w:tcW w:w="13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2006</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2005</w:t>
            </w:r>
          </w:p>
        </w:tc>
        <w:tc>
          <w:tcPr>
            <w:tcW w:w="12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374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740" w:type="dxa"/>
            <w:vAlign w:val="bottom"/>
          </w:tcPr>
          <w:p>
            <w:pPr>
              <w:spacing w:after="0"/>
              <w:rPr>
                <w:sz w:val="20"/>
                <w:szCs w:val="20"/>
                <w:color w:val="auto"/>
              </w:rPr>
            </w:pPr>
            <w:r>
              <w:rPr>
                <w:rFonts w:ascii="Courier New" w:cs="Courier New" w:eastAsia="Courier New" w:hAnsi="Courier New"/>
                <w:sz w:val="15"/>
                <w:szCs w:val="15"/>
                <w:color w:val="auto"/>
              </w:rPr>
              <w:t>Numerators:</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Numerator for both basic and diluted</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740" w:type="dxa"/>
            <w:vAlign w:val="bottom"/>
          </w:tcPr>
          <w:p>
            <w:pPr>
              <w:ind w:left="540"/>
              <w:spacing w:after="0"/>
              <w:rPr>
                <w:sz w:val="20"/>
                <w:szCs w:val="20"/>
                <w:color w:val="auto"/>
              </w:rPr>
            </w:pPr>
            <w:r>
              <w:rPr>
                <w:rFonts w:ascii="Courier New" w:cs="Courier New" w:eastAsia="Courier New" w:hAnsi="Courier New"/>
                <w:sz w:val="15"/>
                <w:szCs w:val="15"/>
                <w:color w:val="auto"/>
              </w:rPr>
              <w:t>EPS, net income</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$108,761,002</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$109,527,511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$112,656,518</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Denominators:</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Denominator for basic EPS,</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740" w:type="dxa"/>
            <w:vAlign w:val="bottom"/>
          </w:tcPr>
          <w:p>
            <w:pPr>
              <w:ind w:left="540"/>
              <w:spacing w:after="0"/>
              <w:rPr>
                <w:sz w:val="20"/>
                <w:szCs w:val="20"/>
                <w:color w:val="auto"/>
              </w:rPr>
            </w:pPr>
            <w:r>
              <w:rPr>
                <w:rFonts w:ascii="Courier New" w:cs="Courier New" w:eastAsia="Courier New" w:hAnsi="Courier New"/>
                <w:sz w:val="15"/>
                <w:szCs w:val="15"/>
                <w:color w:val="auto"/>
              </w:rPr>
              <w:t>weighted-average common shares</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740" w:type="dxa"/>
            <w:vAlign w:val="bottom"/>
          </w:tcPr>
          <w:p>
            <w:pPr>
              <w:ind w:left="820"/>
              <w:spacing w:after="0"/>
              <w:rPr>
                <w:sz w:val="20"/>
                <w:szCs w:val="20"/>
                <w:color w:val="auto"/>
              </w:rPr>
            </w:pPr>
            <w:r>
              <w:rPr>
                <w:rFonts w:ascii="Courier New" w:cs="Courier New" w:eastAsia="Courier New" w:hAnsi="Courier New"/>
                <w:sz w:val="15"/>
                <w:szCs w:val="15"/>
                <w:color w:val="auto"/>
              </w:rPr>
              <w:t>outstanding</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147,950,666</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155,438,834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154,321,342</w:t>
            </w: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Potentially dilutive shares</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740" w:type="dxa"/>
            <w:vAlign w:val="bottom"/>
          </w:tcPr>
          <w:p>
            <w:pPr>
              <w:ind w:left="540"/>
              <w:spacing w:after="0"/>
              <w:rPr>
                <w:sz w:val="20"/>
                <w:szCs w:val="20"/>
                <w:color w:val="auto"/>
              </w:rPr>
            </w:pPr>
            <w:r>
              <w:rPr>
                <w:rFonts w:ascii="Courier New" w:cs="Courier New" w:eastAsia="Courier New" w:hAnsi="Courier New"/>
                <w:sz w:val="15"/>
                <w:szCs w:val="15"/>
                <w:color w:val="auto"/>
              </w:rPr>
              <w:t>resulting from stock option plans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543,697</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1,591,790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2,399,890</w:t>
            </w:r>
          </w:p>
        </w:tc>
      </w:tr>
      <w:tr>
        <w:trPr>
          <w:trHeight w:val="177"/>
        </w:trPr>
        <w:tc>
          <w:tcPr>
            <w:tcW w:w="374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Denominator for diluted EPS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148,494,363</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157,030,624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156,721,232</w:t>
            </w:r>
          </w:p>
        </w:tc>
      </w:tr>
      <w:tr>
        <w:trPr>
          <w:trHeight w:val="177"/>
        </w:trPr>
        <w:tc>
          <w:tcPr>
            <w:tcW w:w="374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both"/>
        <w:ind w:left="465" w:right="2939"/>
        <w:spacing w:after="0" w:line="251" w:lineRule="auto"/>
        <w:rPr>
          <w:sz w:val="20"/>
          <w:szCs w:val="20"/>
          <w:color w:val="auto"/>
        </w:rPr>
      </w:pPr>
      <w:r>
        <w:rPr>
          <w:rFonts w:ascii="Courier New" w:cs="Courier New" w:eastAsia="Courier New" w:hAnsi="Courier New"/>
          <w:sz w:val="15"/>
          <w:szCs w:val="15"/>
          <w:color w:val="auto"/>
        </w:rPr>
        <w:t>For the years ended December 31, 2006, 2005 and 2004, 6,564,622, 3,517,373 and 1,512,782 shares, respectively, related to stock option plans were not included in diluted average common shares outstanding because their effect would be antidilutive.</w:t>
      </w:r>
    </w:p>
    <w:p>
      <w:pPr>
        <w:spacing w:after="0" w:line="176"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Other Comprehensive Income (Loss)</w:t>
      </w:r>
    </w:p>
    <w:p>
      <w:pPr>
        <w:spacing w:after="0" w:line="185" w:lineRule="exact"/>
        <w:rPr>
          <w:sz w:val="20"/>
          <w:szCs w:val="20"/>
          <w:color w:val="auto"/>
        </w:rPr>
      </w:pPr>
    </w:p>
    <w:p>
      <w:pPr>
        <w:ind w:left="465" w:right="2839"/>
        <w:spacing w:after="0" w:line="251" w:lineRule="auto"/>
        <w:rPr>
          <w:sz w:val="20"/>
          <w:szCs w:val="20"/>
          <w:color w:val="auto"/>
        </w:rPr>
      </w:pPr>
      <w:r>
        <w:rPr>
          <w:rFonts w:ascii="Courier New" w:cs="Courier New" w:eastAsia="Courier New" w:hAnsi="Courier New"/>
          <w:sz w:val="15"/>
          <w:szCs w:val="15"/>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w:t>
      </w:r>
    </w:p>
    <w:p>
      <w:pPr>
        <w:spacing w:after="0" w:line="176"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Foreign Currency Translation</w:t>
      </w:r>
    </w:p>
    <w:p>
      <w:pPr>
        <w:spacing w:after="0" w:line="185" w:lineRule="exact"/>
        <w:rPr>
          <w:sz w:val="20"/>
          <w:szCs w:val="20"/>
          <w:color w:val="auto"/>
        </w:rPr>
      </w:pPr>
    </w:p>
    <w:p>
      <w:pPr>
        <w:ind w:left="465" w:right="2839"/>
        <w:spacing w:after="0" w:line="251" w:lineRule="auto"/>
        <w:rPr>
          <w:sz w:val="20"/>
          <w:szCs w:val="20"/>
          <w:color w:val="auto"/>
        </w:rPr>
      </w:pPr>
      <w:r>
        <w:rPr>
          <w:rFonts w:ascii="Courier New" w:cs="Courier New" w:eastAsia="Courier New" w:hAnsi="Courier New"/>
          <w:sz w:val="15"/>
          <w:szCs w:val="15"/>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35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5"/>
          </w:cols>
          <w:pgMar w:left="235" w:top="650" w:right="1440" w:bottom="194" w:gutter="0" w:footer="0" w:header="0"/>
        </w:sectPr>
      </w:pPr>
    </w:p>
    <w:bookmarkStart w:id="41" w:name="page42"/>
    <w:bookmarkEnd w:id="41"/>
    <w:p>
      <w:pPr>
        <w:jc w:val="center"/>
        <w:ind w:right="2754"/>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5" w:right="3579" w:hanging="5"/>
        <w:spacing w:after="0" w:line="501" w:lineRule="auto"/>
        <w:tabs>
          <w:tab w:leader="none" w:pos="46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Stock-Based Compensation Plans</w:t>
      </w:r>
    </w:p>
    <w:p>
      <w:pPr>
        <w:ind w:left="465" w:right="2839"/>
        <w:spacing w:after="0" w:line="251" w:lineRule="auto"/>
        <w:rPr>
          <w:sz w:val="20"/>
          <w:szCs w:val="20"/>
          <w:color w:val="auto"/>
        </w:rPr>
      </w:pPr>
      <w:r>
        <w:rPr>
          <w:rFonts w:ascii="Courier New" w:cs="Courier New" w:eastAsia="Courier New" w:hAnsi="Courier New"/>
          <w:sz w:val="15"/>
          <w:szCs w:val="15"/>
          <w:color w:val="auto"/>
        </w:rPr>
        <w:t>At December 31, 2006, the Company had two stock option plans, a restricted plan and an employee stock purchase plan, which are described more fully in Note 6. Effective January 1, 2006, the Company adopted Statement of Financial Accounting Standards No. 123 (revised), "Shares-Based Payment" [SFAS 123(R)] utilizing the modified prospective approach. Prior to the adoption of SFAS 123(R) we accounted for stock option grants under the recognition and measurement principles of APB Opinion No. 25 (Accounting for Stock Issued to Employees) and related interpretations, and accordingly, recognized no compensation expense for stock option grants in net income.</w:t>
      </w:r>
    </w:p>
    <w:p>
      <w:pPr>
        <w:spacing w:after="0" w:line="352" w:lineRule="exact"/>
        <w:rPr>
          <w:sz w:val="20"/>
          <w:szCs w:val="20"/>
          <w:color w:val="auto"/>
        </w:rPr>
      </w:pPr>
    </w:p>
    <w:p>
      <w:pPr>
        <w:ind w:left="465" w:right="2839"/>
        <w:spacing w:after="0" w:line="250" w:lineRule="auto"/>
        <w:rPr>
          <w:sz w:val="20"/>
          <w:szCs w:val="20"/>
          <w:color w:val="auto"/>
        </w:rPr>
      </w:pPr>
      <w:r>
        <w:rPr>
          <w:rFonts w:ascii="Courier New" w:cs="Courier New" w:eastAsia="Courier New" w:hAnsi="Courier New"/>
          <w:sz w:val="15"/>
          <w:szCs w:val="15"/>
          <w:color w:val="auto"/>
        </w:rPr>
        <w:t>Under the modified prospective approach, SFAS 123(R) applies to new awards and to awards that were outstanding on December 31, 2005. Under the modified prospective approach, compensation cost recognized in 2006 includes compensation cost for all share-based payments granted prior to, but not yet vested as of December 31, 2005, based on the grant-date fair value estimated in accordance with the original provisions of SFAS 123, and compensation cost for all share-based payments granted subsequent to December 31, 2005, based on the grant-date fair value estimated in accordance with the provisions of SFAS 123 (R). Prior periods were not restated to reflect the impact of adopting the new standard.</w:t>
      </w:r>
    </w:p>
    <w:p>
      <w:pPr>
        <w:spacing w:after="0" w:line="182" w:lineRule="exact"/>
        <w:rPr>
          <w:sz w:val="20"/>
          <w:szCs w:val="20"/>
          <w:color w:val="auto"/>
        </w:rPr>
      </w:pPr>
    </w:p>
    <w:p>
      <w:pPr>
        <w:ind w:left="465" w:right="2839"/>
        <w:spacing w:after="0" w:line="251" w:lineRule="auto"/>
        <w:rPr>
          <w:sz w:val="20"/>
          <w:szCs w:val="20"/>
          <w:color w:val="auto"/>
        </w:rPr>
      </w:pPr>
      <w:r>
        <w:rPr>
          <w:rFonts w:ascii="Courier New" w:cs="Courier New" w:eastAsia="Courier New" w:hAnsi="Courier New"/>
          <w:sz w:val="15"/>
          <w:szCs w:val="15"/>
          <w:color w:val="auto"/>
        </w:rPr>
        <w:t>As a result of adopting SFAS 123(R) on January 1, 2006, the Company's income before taxes, net income and basic and diluted earnings per share for the year ended December 31, 2006, were $7,058,135, $4,554,731 and $.03 lower, respectively, than if we had continued to account for stock-based compensation under APB Opinion No. 25 for our stock option grants. Compensation cost capitalized as part of inventory as of December 31, 2006, was $95,111. The cumulative effect of the change in accounting for forfeitures was not material.</w:t>
      </w:r>
    </w:p>
    <w:p>
      <w:pPr>
        <w:spacing w:after="0" w:line="175" w:lineRule="exact"/>
        <w:rPr>
          <w:sz w:val="20"/>
          <w:szCs w:val="20"/>
          <w:color w:val="auto"/>
        </w:rPr>
      </w:pPr>
    </w:p>
    <w:p>
      <w:pPr>
        <w:ind w:left="465" w:right="2839"/>
        <w:spacing w:after="0" w:line="250" w:lineRule="auto"/>
        <w:rPr>
          <w:sz w:val="20"/>
          <w:szCs w:val="20"/>
          <w:color w:val="auto"/>
        </w:rPr>
      </w:pPr>
      <w:r>
        <w:rPr>
          <w:rFonts w:ascii="Courier New" w:cs="Courier New" w:eastAsia="Courier New" w:hAnsi="Courier New"/>
          <w:sz w:val="15"/>
          <w:szCs w:val="15"/>
          <w:color w:val="auto"/>
        </w:rPr>
        <w:t>We receive a tax deduction for certain stock option exercises during the period the options are exercised, generally for the excess of the price at which the options are sold over the exercise price of the options. Prior to the adoption of SFAS 123(R), we reported all tax benefits resulting from the exercise of stock options as operating cash flows in our consolidated statement of cash flows. In accordance with SFAS 123(R), for the twelve months ended December 31, 2006, we revised our consolidated statement of cash flows presentation to report the tax benefits from the exercise of stock options as financing cash flows. For the twelve months ended December 31, 2006, $235,410 of tax benefits from the exercise of stock options and vested restricted stock were reported as financing cash flows rather than operating cash flows.</w:t>
      </w:r>
    </w:p>
    <w:p>
      <w:pPr>
        <w:spacing w:after="0" w:line="183" w:lineRule="exact"/>
        <w:rPr>
          <w:sz w:val="20"/>
          <w:szCs w:val="20"/>
          <w:color w:val="auto"/>
        </w:rPr>
      </w:pPr>
    </w:p>
    <w:p>
      <w:pPr>
        <w:ind w:left="465" w:right="3019"/>
        <w:spacing w:after="0" w:line="251" w:lineRule="auto"/>
        <w:rPr>
          <w:sz w:val="20"/>
          <w:szCs w:val="20"/>
          <w:color w:val="auto"/>
        </w:rPr>
      </w:pPr>
      <w:r>
        <w:rPr>
          <w:rFonts w:ascii="Courier New" w:cs="Courier New" w:eastAsia="Courier New" w:hAnsi="Courier New"/>
          <w:sz w:val="15"/>
          <w:szCs w:val="15"/>
          <w:color w:val="auto"/>
        </w:rPr>
        <w:t>Net cash proceeds from the exercise of stock options and employee stock purchases were $18,953,178, for the year ended December 31, 2006. The actual income tax benefit realized from stock option exercises and vested restricted stock were $1,608,341 for the year.</w:t>
      </w:r>
    </w:p>
    <w:p>
      <w:pPr>
        <w:spacing w:after="0" w:line="176" w:lineRule="exact"/>
        <w:rPr>
          <w:sz w:val="20"/>
          <w:szCs w:val="20"/>
          <w:color w:val="auto"/>
        </w:rPr>
      </w:pPr>
    </w:p>
    <w:p>
      <w:pPr>
        <w:ind w:left="465" w:right="2839"/>
        <w:spacing w:after="0" w:line="251" w:lineRule="auto"/>
        <w:rPr>
          <w:sz w:val="20"/>
          <w:szCs w:val="20"/>
          <w:color w:val="auto"/>
        </w:rPr>
      </w:pPr>
      <w:r>
        <w:rPr>
          <w:rFonts w:ascii="Courier New" w:cs="Courier New" w:eastAsia="Courier New" w:hAnsi="Courier New"/>
          <w:sz w:val="15"/>
          <w:szCs w:val="15"/>
          <w:color w:val="auto"/>
        </w:rPr>
        <w:t>The following table illustrates the effect on net income and earnings per share if the Company had applied the fair value recognition provisions of Statement of Financial Accounting Standards (SFAS) No. 123, "Accounting for Stock-Based Compensation," to stock-based employee compensation:</w:t>
      </w:r>
    </w:p>
    <w:p>
      <w:pPr>
        <w:spacing w:after="0" w:line="200" w:lineRule="exact"/>
        <w:rPr>
          <w:sz w:val="20"/>
          <w:szCs w:val="20"/>
          <w:color w:val="auto"/>
        </w:rPr>
      </w:pPr>
    </w:p>
    <w:p>
      <w:pPr>
        <w:spacing w:after="0" w:line="33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2005</w:t>
            </w:r>
          </w:p>
        </w:tc>
        <w:tc>
          <w:tcPr>
            <w:tcW w:w="180" w:type="dxa"/>
            <w:vAlign w:val="bottom"/>
          </w:tcPr>
          <w:p>
            <w:pPr>
              <w:spacing w:after="0"/>
              <w:rPr>
                <w:sz w:val="14"/>
                <w:szCs w:val="14"/>
                <w:color w:val="auto"/>
              </w:rPr>
            </w:pPr>
          </w:p>
        </w:tc>
        <w:tc>
          <w:tcPr>
            <w:tcW w:w="1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3740" w:type="dxa"/>
            <w:vAlign w:val="bottom"/>
          </w:tcPr>
          <w:p>
            <w:pPr>
              <w:spacing w:after="0"/>
              <w:rPr>
                <w:sz w:val="15"/>
                <w:szCs w:val="15"/>
                <w:color w:val="auto"/>
              </w:rPr>
            </w:pPr>
          </w:p>
        </w:tc>
        <w:tc>
          <w:tcPr>
            <w:tcW w:w="14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14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$109,527,511</w:t>
            </w:r>
          </w:p>
        </w:tc>
        <w:tc>
          <w:tcPr>
            <w:tcW w:w="13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$112,656,518</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Deduct: Total stock-based employee</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compensation expense determined</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under fair value-based method of all</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awards, net of tax effects</w:t>
            </w:r>
          </w:p>
        </w:tc>
        <w:tc>
          <w:tcPr>
            <w:tcW w:w="220" w:type="dxa"/>
            <w:vAlign w:val="bottom"/>
          </w:tcPr>
          <w:p>
            <w:pPr>
              <w:spacing w:after="0"/>
              <w:rPr>
                <w:sz w:val="15"/>
                <w:szCs w:val="15"/>
                <w:color w:val="auto"/>
              </w:rPr>
            </w:pP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(19,982,017)</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(14,541,115)</w:t>
            </w:r>
          </w:p>
        </w:tc>
      </w:tr>
      <w:tr>
        <w:trPr>
          <w:trHeight w:val="177"/>
        </w:trPr>
        <w:tc>
          <w:tcPr>
            <w:tcW w:w="3740" w:type="dxa"/>
            <w:vAlign w:val="bottom"/>
          </w:tcPr>
          <w:p>
            <w:pPr>
              <w:spacing w:after="0"/>
              <w:rPr>
                <w:sz w:val="15"/>
                <w:szCs w:val="15"/>
                <w:color w:val="auto"/>
              </w:rPr>
            </w:pPr>
          </w:p>
        </w:tc>
        <w:tc>
          <w:tcPr>
            <w:tcW w:w="14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74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14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$ 89,545,494</w:t>
            </w:r>
          </w:p>
        </w:tc>
        <w:tc>
          <w:tcPr>
            <w:tcW w:w="13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$ 98,115,403</w:t>
            </w:r>
          </w:p>
        </w:tc>
      </w:tr>
      <w:tr>
        <w:trPr>
          <w:trHeight w:val="177"/>
        </w:trPr>
        <w:tc>
          <w:tcPr>
            <w:tcW w:w="3740" w:type="dxa"/>
            <w:vAlign w:val="bottom"/>
          </w:tcPr>
          <w:p>
            <w:pPr>
              <w:spacing w:after="0"/>
              <w:rPr>
                <w:sz w:val="15"/>
                <w:szCs w:val="15"/>
                <w:color w:val="auto"/>
              </w:rPr>
            </w:pPr>
          </w:p>
        </w:tc>
        <w:tc>
          <w:tcPr>
            <w:tcW w:w="14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7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Basic - as reported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w:t>
            </w: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Basic - pro forma</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.64</w:t>
            </w: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Diluted - as reported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.72</w:t>
            </w:r>
          </w:p>
        </w:tc>
      </w:tr>
      <w:tr>
        <w:trPr>
          <w:trHeight w:val="177"/>
        </w:trPr>
        <w:tc>
          <w:tcPr>
            <w:tcW w:w="3740" w:type="dxa"/>
            <w:vAlign w:val="bottom"/>
          </w:tcPr>
          <w:p>
            <w:pPr>
              <w:ind w:left="280"/>
              <w:spacing w:after="0"/>
              <w:rPr>
                <w:sz w:val="20"/>
                <w:szCs w:val="20"/>
                <w:color w:val="auto"/>
              </w:rPr>
            </w:pPr>
            <w:r>
              <w:rPr>
                <w:rFonts w:ascii="Courier New" w:cs="Courier New" w:eastAsia="Courier New" w:hAnsi="Courier New"/>
                <w:sz w:val="15"/>
                <w:szCs w:val="15"/>
                <w:color w:val="auto"/>
              </w:rPr>
              <w:t>Diluted - pro forma</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w:t>
            </w:r>
          </w:p>
        </w:tc>
      </w:tr>
    </w:tbl>
    <w:p>
      <w:pPr>
        <w:spacing w:after="0" w:line="360" w:lineRule="exact"/>
        <w:rPr>
          <w:sz w:val="20"/>
          <w:szCs w:val="20"/>
          <w:color w:val="auto"/>
        </w:rPr>
      </w:pPr>
    </w:p>
    <w:p>
      <w:pPr>
        <w:ind w:left="465" w:right="2839"/>
        <w:spacing w:after="0" w:line="251" w:lineRule="auto"/>
        <w:rPr>
          <w:sz w:val="20"/>
          <w:szCs w:val="20"/>
          <w:color w:val="auto"/>
        </w:rPr>
      </w:pPr>
      <w:r>
        <w:rPr>
          <w:rFonts w:ascii="Courier New" w:cs="Courier New" w:eastAsia="Courier New" w:hAnsi="Courier New"/>
          <w:sz w:val="15"/>
          <w:szCs w:val="15"/>
          <w:color w:val="auto"/>
        </w:rPr>
        <w:t>On March 30, 2005, in response to the required implementation of SFAS No. 123(R), the Company accelerated the vesting of current "under water" stock options. As a result of the vesting acceleration, approximately 2.3 million shares became immediately exercisable and an additional approximate $13.6 million of proforma stock-based employee compensation expense was recognized in the first quarter 2005, that otherwise would have been recognized as follows: $6.1 million in 2005;</w:t>
      </w:r>
    </w:p>
    <w:p>
      <w:pPr>
        <w:sectPr>
          <w:pgSz w:w="11900" w:h="16838" w:orient="portrait"/>
          <w:cols w:equalWidth="0" w:num="1">
            <w:col w:w="10225"/>
          </w:cols>
          <w:pgMar w:left="235" w:top="650" w:right="1440" w:bottom="0" w:gutter="0" w:footer="0" w:header="0"/>
        </w:sectPr>
      </w:pPr>
    </w:p>
    <w:bookmarkStart w:id="42" w:name="page43"/>
    <w:bookmarkEnd w:id="42"/>
    <w:p>
      <w:pPr>
        <w:ind w:left="23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9019"/>
          </w:cols>
          <w:pgMar w:left="1440" w:top="496" w:right="1440" w:bottom="1440" w:gutter="0" w:footer="0" w:header="0"/>
        </w:sectPr>
      </w:pPr>
    </w:p>
    <w:bookmarkStart w:id="43" w:name="page44"/>
    <w:bookmarkEnd w:id="43"/>
    <w:p>
      <w:pPr>
        <w:jc w:val="center"/>
        <w:ind w:right="2754"/>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465" w:right="3579" w:hanging="465"/>
        <w:spacing w:after="0" w:line="501" w:lineRule="auto"/>
        <w:tabs>
          <w:tab w:leader="none" w:pos="46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AND REPORTING POLICIES, continued Stock-Based Compensation Plans, continued</w:t>
      </w: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$4.5 million in 2006; $2.2 million in 2007 and $0.8 million in</w:t>
      </w:r>
    </w:p>
    <w:p>
      <w:pPr>
        <w:spacing w:after="0" w:line="7" w:lineRule="exact"/>
        <w:rPr>
          <w:rFonts w:ascii="Courier New" w:cs="Courier New" w:eastAsia="Courier New" w:hAnsi="Courier New"/>
          <w:sz w:val="15"/>
          <w:szCs w:val="15"/>
          <w:color w:val="auto"/>
        </w:rPr>
      </w:pPr>
    </w:p>
    <w:p>
      <w:pPr>
        <w:ind w:left="465" w:right="329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2008-2009. The objective of this Company action was primarily to avoid recognizing compensation expense associated with these options in future financial statements, upon the Company's adoption of SFAS 123(R), effective January 1, 2006. In addition, the Company also received shareholder approval of an amendment to its Employee Stock Option Plan to allow the grant of non-qualified stock options.</w:t>
      </w:r>
    </w:p>
    <w:p>
      <w:pPr>
        <w:spacing w:after="0" w:line="175"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w:t>
      </w:r>
    </w:p>
    <w:p>
      <w:pPr>
        <w:spacing w:after="0" w:line="184" w:lineRule="exact"/>
        <w:rPr>
          <w:rFonts w:ascii="Courier New" w:cs="Courier New" w:eastAsia="Courier New" w:hAnsi="Courier New"/>
          <w:sz w:val="15"/>
          <w:szCs w:val="15"/>
          <w:color w:val="auto"/>
        </w:rPr>
      </w:pPr>
    </w:p>
    <w:p>
      <w:pPr>
        <w:ind w:left="465" w:right="329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5"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84" w:lineRule="exact"/>
        <w:rPr>
          <w:rFonts w:ascii="Courier New" w:cs="Courier New" w:eastAsia="Courier New" w:hAnsi="Courier New"/>
          <w:sz w:val="15"/>
          <w:szCs w:val="15"/>
          <w:color w:val="auto"/>
        </w:rPr>
      </w:pPr>
    </w:p>
    <w:p>
      <w:pPr>
        <w:ind w:left="465"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2006, the Financial Accounting Standards Board (FASB) issued Interpretation No. 48, "Accounting for Uncertainty in Income Taxes." This interpretation clarifies the accounting for uncertainty in income taxes recognized in an enterprise's financial statements in accordance with FASB statement No. 109, "Accounting for Income Taxes." Interpretation No. 48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This Interpretation is effective for fiscal years beginning after December 15, 2006. The adoption of Interpretation No. 48 is not expected to have any significant effect on the Company's consolidated financial position or results of operations.</w:t>
      </w:r>
    </w:p>
    <w:p>
      <w:pPr>
        <w:spacing w:after="0" w:line="183"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84" w:lineRule="exact"/>
        <w:rPr>
          <w:rFonts w:ascii="Courier New" w:cs="Courier New" w:eastAsia="Courier New" w:hAnsi="Courier New"/>
          <w:sz w:val="15"/>
          <w:szCs w:val="15"/>
          <w:color w:val="auto"/>
        </w:rPr>
      </w:pPr>
    </w:p>
    <w:p>
      <w:pPr>
        <w:jc w:val="both"/>
        <w:ind w:left="465" w:right="32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available an unsecured $5,000,000 line of credit from a bank at an interest rate equal to the lower of the bank's prime rate or</w:t>
      </w:r>
    </w:p>
    <w:p>
      <w:pPr>
        <w:ind w:left="465" w:right="30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 above the LIBOR rate. No borrowings were outstanding under this line in 2006 or 2005. No compensating balances are required under this line.</w:t>
      </w:r>
    </w:p>
    <w:p>
      <w:pPr>
        <w:spacing w:after="0" w:line="174"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4" w:lineRule="exact"/>
        <w:rPr>
          <w:rFonts w:ascii="Courier New" w:cs="Courier New" w:eastAsia="Courier New" w:hAnsi="Courier New"/>
          <w:sz w:val="15"/>
          <w:szCs w:val="15"/>
          <w:color w:val="auto"/>
        </w:rPr>
      </w:pPr>
    </w:p>
    <w:p>
      <w:pPr>
        <w:ind w:left="46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bases of assets and liabilities using enacted tax rates. Deferred income tax expense is measured by the net change in deferred income tax assets and liabilities during the year.</w:t>
      </w:r>
    </w:p>
    <w:p>
      <w:pPr>
        <w:spacing w:after="0" w:line="181"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the provision for income taxes are as follows: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13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2006</w:t>
            </w: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2005</w:t>
            </w:r>
          </w:p>
        </w:tc>
        <w:tc>
          <w:tcPr>
            <w:tcW w:w="11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2540" w:type="dxa"/>
            <w:vAlign w:val="bottom"/>
          </w:tcPr>
          <w:p>
            <w:pPr>
              <w:spacing w:after="0"/>
              <w:rPr>
                <w:sz w:val="15"/>
                <w:szCs w:val="15"/>
                <w:color w:val="auto"/>
              </w:rPr>
            </w:pPr>
          </w:p>
        </w:tc>
        <w:tc>
          <w:tcPr>
            <w:tcW w:w="13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Federal</w:t>
            </w:r>
          </w:p>
        </w:tc>
        <w:tc>
          <w:tcPr>
            <w:tcW w:w="13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$51,411,596</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$52,375,000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$50,497,000</w:t>
            </w:r>
          </w:p>
        </w:tc>
      </w:tr>
      <w:tr>
        <w:trPr>
          <w:trHeight w:val="177"/>
        </w:trPr>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State</w:t>
            </w:r>
          </w:p>
        </w:tc>
        <w:tc>
          <w:tcPr>
            <w:tcW w:w="13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144,000</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(246,000)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167,000</w:t>
            </w:r>
          </w:p>
        </w:tc>
      </w:tr>
      <w:tr>
        <w:trPr>
          <w:trHeight w:val="177"/>
        </w:trPr>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Foreign</w:t>
            </w:r>
          </w:p>
        </w:tc>
        <w:tc>
          <w:tcPr>
            <w:tcW w:w="13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411,000</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411,000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7"/>
        </w:trPr>
        <w:tc>
          <w:tcPr>
            <w:tcW w:w="2540" w:type="dxa"/>
            <w:vAlign w:val="bottom"/>
          </w:tcPr>
          <w:p>
            <w:pPr>
              <w:spacing w:after="0"/>
              <w:rPr>
                <w:sz w:val="15"/>
                <w:szCs w:val="15"/>
                <w:color w:val="auto"/>
              </w:rPr>
            </w:pPr>
          </w:p>
        </w:tc>
        <w:tc>
          <w:tcPr>
            <w:tcW w:w="13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51,966,596</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52,540,000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50,672,000</w:t>
            </w:r>
          </w:p>
        </w:tc>
      </w:tr>
      <w:tr>
        <w:trPr>
          <w:trHeight w:val="177"/>
        </w:trPr>
        <w:tc>
          <w:tcPr>
            <w:tcW w:w="2540" w:type="dxa"/>
            <w:vAlign w:val="bottom"/>
          </w:tcPr>
          <w:p>
            <w:pPr>
              <w:spacing w:after="0"/>
              <w:rPr>
                <w:sz w:val="15"/>
                <w:szCs w:val="15"/>
                <w:color w:val="auto"/>
              </w:rPr>
            </w:pPr>
          </w:p>
        </w:tc>
        <w:tc>
          <w:tcPr>
            <w:tcW w:w="13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deferred:</w:t>
            </w: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Primarily federal</w:t>
            </w: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(1,754,000)</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(2,173,000)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2,404,000</w:t>
            </w:r>
          </w:p>
        </w:tc>
      </w:tr>
      <w:tr>
        <w:trPr>
          <w:trHeight w:val="177"/>
        </w:trPr>
        <w:tc>
          <w:tcPr>
            <w:tcW w:w="2540" w:type="dxa"/>
            <w:vAlign w:val="bottom"/>
          </w:tcPr>
          <w:p>
            <w:pPr>
              <w:spacing w:after="0"/>
              <w:rPr>
                <w:sz w:val="15"/>
                <w:szCs w:val="15"/>
                <w:color w:val="auto"/>
              </w:rPr>
            </w:pPr>
          </w:p>
        </w:tc>
        <w:tc>
          <w:tcPr>
            <w:tcW w:w="13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3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$50,212,596</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$50,367,000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$53,076,000</w:t>
            </w:r>
          </w:p>
        </w:tc>
      </w:tr>
      <w:tr>
        <w:trPr>
          <w:trHeight w:val="177"/>
        </w:trPr>
        <w:tc>
          <w:tcPr>
            <w:tcW w:w="2540" w:type="dxa"/>
            <w:vAlign w:val="bottom"/>
          </w:tcPr>
          <w:p>
            <w:pPr>
              <w:spacing w:after="0"/>
              <w:rPr>
                <w:sz w:val="15"/>
                <w:szCs w:val="15"/>
                <w:color w:val="auto"/>
              </w:rPr>
            </w:pPr>
          </w:p>
        </w:tc>
        <w:tc>
          <w:tcPr>
            <w:tcW w:w="13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The currently payable provision is further reduced by the tax benefits</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associated with the exercise, vesting or disposition of stock under the</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stock plans described in Note 6. These reductions totaled approximately</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$1,608,000, $3,180,000 and $3,512,000 in 2006, 2005 and 2004, respectively,</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and were recognized as an adjustment of additional paid-in capital.</w:t>
      </w:r>
    </w:p>
    <w:p>
      <w:pPr>
        <w:sectPr>
          <w:pgSz w:w="11900" w:h="16838" w:orient="portrait"/>
          <w:cols w:equalWidth="0" w:num="1">
            <w:col w:w="10225"/>
          </w:cols>
          <w:pgMar w:left="235" w:top="650" w:right="1440" w:bottom="0" w:gutter="0" w:footer="0" w:header="0"/>
        </w:sectPr>
      </w:pPr>
    </w:p>
    <w:bookmarkStart w:id="44" w:name="page45"/>
    <w:bookmarkEnd w:id="44"/>
    <w:p>
      <w:pPr>
        <w:ind w:left="23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9019"/>
          </w:cols>
          <w:pgMar w:left="1440" w:top="319" w:right="1440" w:bottom="1440" w:gutter="0" w:footer="0" w:header="0"/>
        </w:sectPr>
      </w:pPr>
    </w:p>
    <w:bookmarkStart w:id="45" w:name="page46"/>
    <w:bookmarkEnd w:id="45"/>
    <w:p>
      <w:pPr>
        <w:jc w:val="center"/>
        <w:ind w:right="275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INCOME TAXES (continued)</w:t>
      </w:r>
    </w:p>
    <w:p>
      <w:pPr>
        <w:spacing w:after="0" w:line="185" w:lineRule="exact"/>
        <w:rPr>
          <w:sz w:val="20"/>
          <w:szCs w:val="20"/>
          <w:color w:val="auto"/>
        </w:rPr>
      </w:pPr>
    </w:p>
    <w:p>
      <w:pPr>
        <w:ind w:left="460" w:right="3219"/>
        <w:spacing w:after="0" w:line="253" w:lineRule="auto"/>
        <w:rPr>
          <w:sz w:val="20"/>
          <w:szCs w:val="20"/>
          <w:color w:val="auto"/>
        </w:rPr>
      </w:pPr>
      <w:r>
        <w:rPr>
          <w:rFonts w:ascii="Courier New" w:cs="Courier New" w:eastAsia="Courier New" w:hAnsi="Courier New"/>
          <w:sz w:val="15"/>
          <w:szCs w:val="15"/>
          <w:color w:val="auto"/>
        </w:rPr>
        <w:t>The effective income tax rates are different from the statutory federal income tax rates for the following reasons: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2006</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2005</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3280" w:type="dxa"/>
            <w:vAlign w:val="bottom"/>
          </w:tcPr>
          <w:p>
            <w:pPr>
              <w:spacing w:after="0"/>
              <w:rPr>
                <w:sz w:val="15"/>
                <w:szCs w:val="15"/>
                <w:color w:val="auto"/>
              </w:rPr>
            </w:pP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Statutory federal income tax rate</w:t>
            </w:r>
          </w:p>
        </w:tc>
        <w:tc>
          <w:tcPr>
            <w:tcW w:w="6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35.0%</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35.0%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w:t>
            </w: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3280" w:type="dxa"/>
            <w:vAlign w:val="bottom"/>
          </w:tcPr>
          <w:p>
            <w:pPr>
              <w:ind w:left="280"/>
              <w:spacing w:after="0"/>
              <w:rPr>
                <w:sz w:val="20"/>
                <w:szCs w:val="20"/>
                <w:color w:val="auto"/>
              </w:rPr>
            </w:pPr>
            <w:r>
              <w:rPr>
                <w:rFonts w:ascii="Courier New" w:cs="Courier New" w:eastAsia="Courier New" w:hAnsi="Courier New"/>
                <w:sz w:val="15"/>
                <w:szCs w:val="15"/>
                <w:color w:val="auto"/>
              </w:rPr>
              <w:t>income tax benefit</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0.1</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(0.1)</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0.1</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Foreign source exempted income</w:t>
            </w:r>
          </w:p>
        </w:tc>
        <w:tc>
          <w:tcPr>
            <w:tcW w:w="6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Domestic production exclusion</w:t>
            </w:r>
          </w:p>
        </w:tc>
        <w:tc>
          <w:tcPr>
            <w:tcW w:w="6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(0.9)</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Tax-exempt investment income</w:t>
            </w:r>
          </w:p>
        </w:tc>
        <w:tc>
          <w:tcPr>
            <w:tcW w:w="6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(0.5)</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(0.6)</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0.5</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7"/>
        </w:trPr>
        <w:tc>
          <w:tcPr>
            <w:tcW w:w="3280" w:type="dxa"/>
            <w:vAlign w:val="bottom"/>
          </w:tcPr>
          <w:p>
            <w:pPr>
              <w:spacing w:after="0"/>
              <w:rPr>
                <w:sz w:val="15"/>
                <w:szCs w:val="15"/>
                <w:color w:val="auto"/>
              </w:rPr>
            </w:pP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6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31.6%</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31.5%</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32.0%</w:t>
            </w:r>
          </w:p>
        </w:tc>
      </w:tr>
      <w:tr>
        <w:trPr>
          <w:trHeight w:val="177"/>
        </w:trPr>
        <w:tc>
          <w:tcPr>
            <w:tcW w:w="3280" w:type="dxa"/>
            <w:vAlign w:val="bottom"/>
          </w:tcPr>
          <w:p>
            <w:pPr>
              <w:spacing w:after="0"/>
              <w:rPr>
                <w:sz w:val="15"/>
                <w:szCs w:val="15"/>
                <w:color w:val="auto"/>
              </w:rPr>
            </w:pP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460" w:right="2939"/>
        <w:spacing w:after="0" w:line="253" w:lineRule="auto"/>
        <w:rPr>
          <w:sz w:val="20"/>
          <w:szCs w:val="20"/>
          <w:color w:val="auto"/>
        </w:rPr>
      </w:pPr>
      <w:r>
        <w:rPr>
          <w:rFonts w:ascii="Courier New" w:cs="Courier New" w:eastAsia="Courier New" w:hAnsi="Courier New"/>
          <w:sz w:val="15"/>
          <w:szCs w:val="15"/>
          <w:color w:val="auto"/>
        </w:rPr>
        <w:t>The tax effect of temporary differences which give rise to deferred income tax assets and liabilities at December 31, 2006 and 2005, are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w w:val="99"/>
              </w:rPr>
              <w:t>2006</w:t>
            </w:r>
          </w:p>
        </w:tc>
        <w:tc>
          <w:tcPr>
            <w:tcW w:w="1120" w:type="dxa"/>
            <w:vAlign w:val="bottom"/>
          </w:tcPr>
          <w:p>
            <w:pPr>
              <w:spacing w:after="0"/>
              <w:rPr>
                <w:sz w:val="14"/>
                <w:szCs w:val="14"/>
                <w:color w:val="auto"/>
              </w:rPr>
            </w:pPr>
          </w:p>
        </w:tc>
        <w:tc>
          <w:tcPr>
            <w:tcW w:w="1380" w:type="dxa"/>
            <w:vAlign w:val="bottom"/>
            <w:gridSpan w:val="2"/>
          </w:tcPr>
          <w:p>
            <w:pPr>
              <w:jc w:val="right"/>
              <w:ind w:right="943"/>
              <w:spacing w:after="0"/>
              <w:rPr>
                <w:sz w:val="20"/>
                <w:szCs w:val="20"/>
                <w:color w:val="auto"/>
              </w:rPr>
            </w:pPr>
            <w:r>
              <w:rPr>
                <w:rFonts w:ascii="Courier New" w:cs="Courier New" w:eastAsia="Courier New" w:hAnsi="Courier New"/>
                <w:sz w:val="15"/>
                <w:szCs w:val="15"/>
                <w:color w:val="auto"/>
                <w:w w:val="94"/>
              </w:rPr>
              <w:t>2005</w:t>
            </w:r>
          </w:p>
        </w:tc>
      </w:tr>
      <w:tr>
        <w:trPr>
          <w:trHeight w:val="177"/>
        </w:trPr>
        <w:tc>
          <w:tcPr>
            <w:tcW w:w="346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1200" w:type="dxa"/>
            <w:vAlign w:val="bottom"/>
          </w:tcPr>
          <w:p>
            <w:pPr>
              <w:spacing w:after="0"/>
              <w:rPr>
                <w:sz w:val="15"/>
                <w:szCs w:val="15"/>
                <w:color w:val="auto"/>
              </w:rPr>
            </w:pPr>
          </w:p>
        </w:tc>
        <w:tc>
          <w:tcPr>
            <w:tcW w:w="250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Current</w:t>
            </w:r>
          </w:p>
        </w:tc>
        <w:tc>
          <w:tcPr>
            <w:tcW w:w="280" w:type="dxa"/>
            <w:vAlign w:val="bottom"/>
          </w:tcPr>
          <w:p>
            <w:pPr>
              <w:spacing w:after="0"/>
              <w:rPr>
                <w:sz w:val="15"/>
                <w:szCs w:val="15"/>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Non-Current</w:t>
            </w:r>
          </w:p>
        </w:tc>
        <w:tc>
          <w:tcPr>
            <w:tcW w:w="11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Current</w:t>
            </w:r>
          </w:p>
        </w:tc>
        <w:tc>
          <w:tcPr>
            <w:tcW w:w="26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Non-Current</w:t>
            </w:r>
          </w:p>
        </w:tc>
      </w:tr>
      <w:tr>
        <w:trPr>
          <w:trHeight w:val="177"/>
        </w:trPr>
        <w:tc>
          <w:tcPr>
            <w:tcW w:w="346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4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7"/>
        </w:trPr>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Accruals not currently deductible</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$2,676,168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164,603</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$2,755,501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164,603</w:t>
            </w:r>
          </w:p>
        </w:tc>
      </w:tr>
      <w:tr>
        <w:trPr>
          <w:trHeight w:val="177"/>
        </w:trPr>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Stock based compensation</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1,530,018</w:t>
            </w:r>
          </w:p>
        </w:tc>
        <w:tc>
          <w:tcPr>
            <w:tcW w:w="280" w:type="dxa"/>
            <w:vAlign w:val="bottom"/>
          </w:tcPr>
          <w:p>
            <w:pPr>
              <w:spacing w:after="0"/>
              <w:rPr>
                <w:sz w:val="15"/>
                <w:szCs w:val="15"/>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1,405,334</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1,294,506</w:t>
            </w:r>
          </w:p>
        </w:tc>
      </w:tr>
      <w:tr>
        <w:trPr>
          <w:trHeight w:val="177"/>
        </w:trPr>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2,038,409</w:t>
            </w:r>
          </w:p>
        </w:tc>
        <w:tc>
          <w:tcPr>
            <w:tcW w:w="280" w:type="dxa"/>
            <w:vAlign w:val="bottom"/>
          </w:tcPr>
          <w:p>
            <w:pPr>
              <w:spacing w:after="0"/>
              <w:rPr>
                <w:sz w:val="15"/>
                <w:szCs w:val="15"/>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14,147</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2,056,759</w:t>
            </w:r>
          </w:p>
        </w:tc>
        <w:tc>
          <w:tcPr>
            <w:tcW w:w="26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5,010</w:t>
            </w:r>
          </w:p>
        </w:tc>
      </w:tr>
      <w:tr>
        <w:trPr>
          <w:trHeight w:val="177"/>
        </w:trPr>
        <w:tc>
          <w:tcPr>
            <w:tcW w:w="346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deferred income tax assets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6,244,595</w:t>
            </w:r>
          </w:p>
        </w:tc>
        <w:tc>
          <w:tcPr>
            <w:tcW w:w="280" w:type="dxa"/>
            <w:vAlign w:val="bottom"/>
          </w:tcPr>
          <w:p>
            <w:pPr>
              <w:spacing w:after="0"/>
              <w:rPr>
                <w:sz w:val="15"/>
                <w:szCs w:val="15"/>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1,584,084</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4,812,260</w:t>
            </w:r>
          </w:p>
        </w:tc>
        <w:tc>
          <w:tcPr>
            <w:tcW w:w="26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1,464,119</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7"/>
        </w:trPr>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Excess tax over book depreciation</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(12,759,431)</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(13,286,196)</w:t>
            </w:r>
          </w:p>
        </w:tc>
      </w:tr>
      <w:tr>
        <w:trPr>
          <w:trHeight w:val="177"/>
        </w:trPr>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Patent costs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(1,278,283)</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(1,019,513)</w:t>
            </w:r>
          </w:p>
        </w:tc>
      </w:tr>
      <w:tr>
        <w:trPr>
          <w:trHeight w:val="177"/>
        </w:trPr>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Unrealized gain on investments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(12,517,503)</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(10,120,578)</w:t>
            </w:r>
          </w:p>
        </w:tc>
      </w:tr>
      <w:tr>
        <w:trPr>
          <w:trHeight w:val="177"/>
        </w:trPr>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(779,998)</w:t>
            </w:r>
          </w:p>
        </w:tc>
        <w:tc>
          <w:tcPr>
            <w:tcW w:w="280" w:type="dxa"/>
            <w:vAlign w:val="bottom"/>
          </w:tcPr>
          <w:p>
            <w:pPr>
              <w:spacing w:after="0"/>
              <w:rPr>
                <w:sz w:val="15"/>
                <w:szCs w:val="15"/>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(713,923)</w:t>
            </w:r>
          </w:p>
        </w:tc>
        <w:tc>
          <w:tcPr>
            <w:tcW w:w="26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deferred incomes taxes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$5,464,597</w:t>
            </w:r>
          </w:p>
        </w:tc>
        <w:tc>
          <w:tcPr>
            <w:tcW w:w="14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$(24,971,133)</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$4,098,337</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$(22,962,168)</w:t>
            </w:r>
          </w:p>
        </w:tc>
      </w:tr>
      <w:tr>
        <w:trPr>
          <w:trHeight w:val="177"/>
        </w:trPr>
        <w:tc>
          <w:tcPr>
            <w:tcW w:w="346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460" w:right="3019"/>
        <w:spacing w:after="0" w:line="253" w:lineRule="auto"/>
        <w:rPr>
          <w:sz w:val="20"/>
          <w:szCs w:val="20"/>
          <w:color w:val="auto"/>
        </w:rPr>
      </w:pPr>
      <w:r>
        <w:rPr>
          <w:rFonts w:ascii="Courier New" w:cs="Courier New" w:eastAsia="Courier New" w:hAnsi="Courier New"/>
          <w:sz w:val="15"/>
          <w:szCs w:val="15"/>
          <w:color w:val="auto"/>
        </w:rPr>
        <w:t>Income taxes paid in cash were approximately $49,061,000, $47,582,000 and $48,556,000, in 2006, 2005 and 2004,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EMPLOYEE BENEFIT PLAN</w:t>
      </w:r>
    </w:p>
    <w:p>
      <w:pPr>
        <w:spacing w:after="0" w:line="185"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2006, 2005 and 2004, the Company's contributions were approximately $1,715,000, $1,601,000 and $1,306,000, respectively.</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Company does not provide health care benefits to retired employees.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SHAREHOLDER PROTECTION RIGHTS PLAN</w:t>
      </w:r>
    </w:p>
    <w:p>
      <w:pPr>
        <w:spacing w:after="0" w:line="185"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The Company has a Shareholder Protection Rights Plan (the Plan). The Plan is designed to protect shareholders against unsolicited attempts to acquire control of the Company in a manner that does not offer a fair price to all shareholders.</w:t>
      </w:r>
    </w:p>
    <w:p>
      <w:pPr>
        <w:spacing w:after="0" w:line="176" w:lineRule="exact"/>
        <w:rPr>
          <w:sz w:val="20"/>
          <w:szCs w:val="20"/>
          <w:color w:val="auto"/>
        </w:rPr>
      </w:pPr>
    </w:p>
    <w:p>
      <w:pPr>
        <w:ind w:left="460" w:right="2839"/>
        <w:spacing w:after="0" w:line="250" w:lineRule="auto"/>
        <w:rPr>
          <w:sz w:val="20"/>
          <w:szCs w:val="20"/>
          <w:color w:val="auto"/>
        </w:rPr>
      </w:pPr>
      <w:r>
        <w:rPr>
          <w:rFonts w:ascii="Courier New" w:cs="Courier New" w:eastAsia="Courier New" w:hAnsi="Courier New"/>
          <w:sz w:val="15"/>
          <w:szCs w:val="15"/>
          <w:color w:val="auto"/>
        </w:rPr>
        <w:t>Under the Plan, one purchase Right automatically trades with each share of the Company's common stock. Each Right entitles a shareholder to purchase 1/100 of a share of junior participating preferred stock at a price of $55,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$.0025 per Right and, unless earlier redeemed, will expire on March 29, 2011. Rights beneficially owned by holders of 15 percent or more of the Company's common stock, or their transferees, automatically become void.</w:t>
      </w:r>
    </w:p>
    <w:p>
      <w:pPr>
        <w:spacing w:after="0" w:line="200" w:lineRule="exact"/>
        <w:rPr>
          <w:sz w:val="20"/>
          <w:szCs w:val="20"/>
          <w:color w:val="auto"/>
        </w:rPr>
      </w:pP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50" w:right="1440" w:bottom="16" w:gutter="0" w:footer="0" w:header="0"/>
        </w:sectPr>
      </w:pPr>
    </w:p>
    <w:bookmarkStart w:id="46" w:name="page47"/>
    <w:bookmarkEnd w:id="46"/>
    <w:p>
      <w:pPr>
        <w:jc w:val="center"/>
        <w:ind w:right="2754"/>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465" w:right="7079" w:hanging="465"/>
        <w:spacing w:after="0" w:line="501" w:lineRule="auto"/>
        <w:tabs>
          <w:tab w:leader="none" w:pos="37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 Employee Stock Option Plan</w:t>
      </w:r>
    </w:p>
    <w:p>
      <w:pPr>
        <w:ind w:left="465" w:right="2839"/>
        <w:spacing w:after="0" w:line="251" w:lineRule="auto"/>
        <w:rPr>
          <w:sz w:val="20"/>
          <w:szCs w:val="20"/>
          <w:color w:val="auto"/>
        </w:rPr>
      </w:pPr>
      <w:r>
        <w:rPr>
          <w:rFonts w:ascii="Courier New" w:cs="Courier New" w:eastAsia="Courier New" w:hAnsi="Courier New"/>
          <w:sz w:val="15"/>
          <w:szCs w:val="15"/>
          <w:color w:val="auto"/>
        </w:rPr>
        <w:t>In 2004, a new Employee Stock Option Plan was approved, replacing the prior plan. The Company may grant options for up to 18,000,000 shares under its new Employee Stock Option Plan. The Company has granted options on 5,460,775 shares (net of shares from canceled options) under the new plan through December 31, 2006. Under the plans, the option exercise price equals the stock's market price on date of grant. The options vest after one to five years, and expire after five to seven years.</w:t>
      </w:r>
    </w:p>
    <w:p>
      <w:pPr>
        <w:spacing w:after="0" w:line="176" w:lineRule="exact"/>
        <w:rPr>
          <w:sz w:val="20"/>
          <w:szCs w:val="20"/>
          <w:color w:val="auto"/>
        </w:rPr>
      </w:pPr>
    </w:p>
    <w:p>
      <w:pPr>
        <w:ind w:left="465" w:right="2839"/>
        <w:spacing w:after="0" w:line="252" w:lineRule="auto"/>
        <w:rPr>
          <w:sz w:val="20"/>
          <w:szCs w:val="20"/>
          <w:color w:val="auto"/>
        </w:rPr>
      </w:pPr>
      <w:r>
        <w:rPr>
          <w:rFonts w:ascii="Courier New" w:cs="Courier New" w:eastAsia="Courier New" w:hAnsi="Courier New"/>
          <w:sz w:val="15"/>
          <w:szCs w:val="15"/>
          <w:color w:val="auto"/>
        </w:rPr>
        <w:t>The fair value of each option grant in the Employee Stock Option Plan was estimated on the date of grant using the Black-Scholes option pricing model with the following weighted-average assumptions for the indicated periods:</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640" w:type="dxa"/>
            <w:vAlign w:val="bottom"/>
          </w:tcPr>
          <w:p>
            <w:pPr>
              <w:spacing w:after="0"/>
              <w:rPr>
                <w:sz w:val="14"/>
                <w:szCs w:val="14"/>
                <w:color w:val="auto"/>
              </w:rPr>
            </w:pP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2006</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2005</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3640" w:type="dxa"/>
            <w:vAlign w:val="bottom"/>
          </w:tcPr>
          <w:p>
            <w:pPr>
              <w:spacing w:after="0"/>
              <w:rPr>
                <w:sz w:val="15"/>
                <w:szCs w:val="15"/>
                <w:color w:val="auto"/>
              </w:rPr>
            </w:pP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364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Expected volatility</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30.0%</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48.5%</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4.8%</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Expected term of options (in years)</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4.4</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Weighted-average grant-date fair value</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4</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4</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   7</w:t>
            </w:r>
          </w:p>
        </w:tc>
      </w:tr>
    </w:tbl>
    <w:p>
      <w:pPr>
        <w:spacing w:after="0" w:line="360" w:lineRule="exact"/>
        <w:rPr>
          <w:sz w:val="20"/>
          <w:szCs w:val="20"/>
          <w:color w:val="auto"/>
        </w:rPr>
      </w:pPr>
    </w:p>
    <w:p>
      <w:pPr>
        <w:ind w:left="465" w:right="3119"/>
        <w:spacing w:after="0" w:line="253" w:lineRule="auto"/>
        <w:rPr>
          <w:sz w:val="20"/>
          <w:szCs w:val="20"/>
          <w:color w:val="auto"/>
        </w:rPr>
      </w:pPr>
      <w:r>
        <w:rPr>
          <w:rFonts w:ascii="Courier New" w:cs="Courier New" w:eastAsia="Courier New" w:hAnsi="Courier New"/>
          <w:sz w:val="15"/>
          <w:szCs w:val="15"/>
          <w:color w:val="auto"/>
        </w:rPr>
        <w:t>The Company determined that all employee groups exhibit similar exercise and post-vesting termination behavior to determine the expected term.</w:t>
      </w:r>
    </w:p>
    <w:p>
      <w:pPr>
        <w:spacing w:after="0" w:line="174" w:lineRule="exact"/>
        <w:rPr>
          <w:sz w:val="20"/>
          <w:szCs w:val="20"/>
          <w:color w:val="auto"/>
        </w:rPr>
      </w:pPr>
    </w:p>
    <w:p>
      <w:pPr>
        <w:ind w:left="465" w:right="2939"/>
        <w:spacing w:after="0" w:line="251" w:lineRule="auto"/>
        <w:rPr>
          <w:sz w:val="20"/>
          <w:szCs w:val="20"/>
          <w:color w:val="auto"/>
        </w:rPr>
      </w:pPr>
      <w:r>
        <w:rPr>
          <w:rFonts w:ascii="Courier New" w:cs="Courier New" w:eastAsia="Courier New" w:hAnsi="Courier New"/>
          <w:sz w:val="15"/>
          <w:szCs w:val="15"/>
          <w:color w:val="auto"/>
        </w:rPr>
        <w:t>As of December 31, 2006, there was $9,401,859 of unrecognized compensation cost related to share-based payments which is expected to be recognized over the remaining vesting periods, with a weighted-average period of 4.2 years.</w:t>
      </w:r>
    </w:p>
    <w:p>
      <w:pPr>
        <w:spacing w:after="0" w:line="176" w:lineRule="exact"/>
        <w:rPr>
          <w:sz w:val="20"/>
          <w:szCs w:val="20"/>
          <w:color w:val="auto"/>
        </w:rPr>
      </w:pPr>
    </w:p>
    <w:p>
      <w:pPr>
        <w:ind w:left="465" w:right="2939"/>
        <w:spacing w:after="0" w:line="252" w:lineRule="auto"/>
        <w:rPr>
          <w:sz w:val="20"/>
          <w:szCs w:val="20"/>
          <w:color w:val="auto"/>
        </w:rPr>
      </w:pPr>
      <w:r>
        <w:rPr>
          <w:rFonts w:ascii="Courier New" w:cs="Courier New" w:eastAsia="Courier New" w:hAnsi="Courier New"/>
          <w:sz w:val="15"/>
          <w:szCs w:val="15"/>
          <w:color w:val="auto"/>
        </w:rPr>
        <w:t>A summary of the status of the Company's employee stock option plan at December 31, 2006, 2005, and 2004, and changes during the same periods are presented in the tables and narrative below:</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2006</w:t>
            </w:r>
          </w:p>
        </w:tc>
        <w:tc>
          <w:tcPr>
            <w:tcW w:w="1520" w:type="dxa"/>
            <w:vAlign w:val="bottom"/>
          </w:tcPr>
          <w:p>
            <w:pPr>
              <w:spacing w:after="0"/>
              <w:rPr>
                <w:sz w:val="14"/>
                <w:szCs w:val="14"/>
                <w:color w:val="auto"/>
              </w:rPr>
            </w:pPr>
          </w:p>
        </w:tc>
      </w:tr>
      <w:tr>
        <w:trPr>
          <w:trHeight w:val="177"/>
        </w:trPr>
        <w:tc>
          <w:tcPr>
            <w:tcW w:w="3080" w:type="dxa"/>
            <w:vAlign w:val="bottom"/>
          </w:tcPr>
          <w:p>
            <w:pPr>
              <w:spacing w:after="0"/>
              <w:rPr>
                <w:sz w:val="15"/>
                <w:szCs w:val="15"/>
                <w:color w:val="auto"/>
              </w:rPr>
            </w:pPr>
          </w:p>
        </w:tc>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jc w:val="center"/>
              <w:ind w:left="43"/>
              <w:spacing w:after="0"/>
              <w:rPr>
                <w:sz w:val="20"/>
                <w:szCs w:val="20"/>
                <w:color w:val="auto"/>
              </w:rPr>
            </w:pPr>
            <w:r>
              <w:rPr>
                <w:rFonts w:ascii="Courier New" w:cs="Courier New" w:eastAsia="Courier New" w:hAnsi="Courier New"/>
                <w:sz w:val="15"/>
                <w:szCs w:val="15"/>
                <w:color w:val="auto"/>
              </w:rPr>
              <w:t>Aggregate</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Wtd. Avg.</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Wtd. Avg. Remaining</w:t>
            </w:r>
          </w:p>
        </w:tc>
        <w:tc>
          <w:tcPr>
            <w:tcW w:w="1520" w:type="dxa"/>
            <w:vAlign w:val="bottom"/>
          </w:tcPr>
          <w:p>
            <w:pPr>
              <w:jc w:val="center"/>
              <w:ind w:left="63"/>
              <w:spacing w:after="0"/>
              <w:rPr>
                <w:sz w:val="20"/>
                <w:szCs w:val="20"/>
                <w:color w:val="auto"/>
              </w:rPr>
            </w:pPr>
            <w:r>
              <w:rPr>
                <w:rFonts w:ascii="Courier New" w:cs="Courier New" w:eastAsia="Courier New" w:hAnsi="Courier New"/>
                <w:sz w:val="15"/>
                <w:szCs w:val="15"/>
                <w:color w:val="auto"/>
              </w:rPr>
              <w:t>Intrinsic Value</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Ex. Price</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Contract Life</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$000</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10,510</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1,691</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(1,320)</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w:t>
            </w:r>
          </w:p>
        </w:tc>
        <w:tc>
          <w:tcPr>
            <w:tcW w:w="2040" w:type="dxa"/>
            <w:vAlign w:val="bottom"/>
          </w:tcPr>
          <w:p>
            <w:pPr>
              <w:spacing w:after="0"/>
              <w:rPr>
                <w:sz w:val="15"/>
                <w:szCs w:val="15"/>
                <w:color w:val="auto"/>
              </w:rPr>
            </w:pPr>
          </w:p>
        </w:tc>
        <w:tc>
          <w:tcPr>
            <w:tcW w:w="15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$4,205</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(481)</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18</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10,400</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2.9 Yrs</w:t>
            </w:r>
          </w:p>
        </w:tc>
        <w:tc>
          <w:tcPr>
            <w:tcW w:w="15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$5,614</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6,904</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2.2 Yrs</w:t>
            </w:r>
          </w:p>
        </w:tc>
        <w:tc>
          <w:tcPr>
            <w:tcW w:w="15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$3,690</w:t>
            </w:r>
          </w:p>
        </w:tc>
      </w:tr>
      <w:tr>
        <w:trPr>
          <w:trHeight w:val="887"/>
        </w:trPr>
        <w:tc>
          <w:tcPr>
            <w:tcW w:w="3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2005</w:t>
            </w:r>
          </w:p>
        </w:tc>
        <w:tc>
          <w:tcPr>
            <w:tcW w:w="1520" w:type="dxa"/>
            <w:vAlign w:val="bottom"/>
          </w:tcPr>
          <w:p>
            <w:pPr>
              <w:spacing w:after="0"/>
              <w:rPr>
                <w:sz w:val="24"/>
                <w:szCs w:val="24"/>
                <w:color w:val="auto"/>
              </w:rPr>
            </w:pPr>
          </w:p>
        </w:tc>
      </w:tr>
      <w:tr>
        <w:trPr>
          <w:trHeight w:val="177"/>
        </w:trPr>
        <w:tc>
          <w:tcPr>
            <w:tcW w:w="3080" w:type="dxa"/>
            <w:vAlign w:val="bottom"/>
          </w:tcPr>
          <w:p>
            <w:pPr>
              <w:spacing w:after="0"/>
              <w:rPr>
                <w:sz w:val="15"/>
                <w:szCs w:val="15"/>
                <w:color w:val="auto"/>
              </w:rPr>
            </w:pPr>
          </w:p>
        </w:tc>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jc w:val="center"/>
              <w:ind w:left="43"/>
              <w:spacing w:after="0"/>
              <w:rPr>
                <w:sz w:val="20"/>
                <w:szCs w:val="20"/>
                <w:color w:val="auto"/>
              </w:rPr>
            </w:pPr>
            <w:r>
              <w:rPr>
                <w:rFonts w:ascii="Courier New" w:cs="Courier New" w:eastAsia="Courier New" w:hAnsi="Courier New"/>
                <w:sz w:val="15"/>
                <w:szCs w:val="15"/>
                <w:color w:val="auto"/>
              </w:rPr>
              <w:t>Aggregate</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Wtd. Avg.</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Wtd. Avg. Remaining</w:t>
            </w:r>
          </w:p>
        </w:tc>
        <w:tc>
          <w:tcPr>
            <w:tcW w:w="1520" w:type="dxa"/>
            <w:vAlign w:val="bottom"/>
          </w:tcPr>
          <w:p>
            <w:pPr>
              <w:jc w:val="center"/>
              <w:ind w:left="63"/>
              <w:spacing w:after="0"/>
              <w:rPr>
                <w:sz w:val="20"/>
                <w:szCs w:val="20"/>
                <w:color w:val="auto"/>
              </w:rPr>
            </w:pPr>
            <w:r>
              <w:rPr>
                <w:rFonts w:ascii="Courier New" w:cs="Courier New" w:eastAsia="Courier New" w:hAnsi="Courier New"/>
                <w:sz w:val="15"/>
                <w:szCs w:val="15"/>
                <w:color w:val="auto"/>
              </w:rPr>
              <w:t>Intrinsic Value</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Ex. Price</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Contract Life</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$000</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10,586</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1,931</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(1,580)</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w:t>
            </w:r>
          </w:p>
        </w:tc>
        <w:tc>
          <w:tcPr>
            <w:tcW w:w="2040" w:type="dxa"/>
            <w:vAlign w:val="bottom"/>
          </w:tcPr>
          <w:p>
            <w:pPr>
              <w:spacing w:after="0"/>
              <w:rPr>
                <w:sz w:val="15"/>
                <w:szCs w:val="15"/>
                <w:color w:val="auto"/>
              </w:rPr>
            </w:pPr>
          </w:p>
        </w:tc>
        <w:tc>
          <w:tcPr>
            <w:tcW w:w="15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$ 9,152</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(427)</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18</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10,510</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3.2 Yrs</w:t>
            </w:r>
          </w:p>
        </w:tc>
        <w:tc>
          <w:tcPr>
            <w:tcW w:w="15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$33,881</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7,440</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2.8 Yrs</w:t>
            </w:r>
          </w:p>
        </w:tc>
        <w:tc>
          <w:tcPr>
            <w:tcW w:w="15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$23,525</w:t>
            </w:r>
          </w:p>
        </w:tc>
      </w:tr>
      <w:tr>
        <w:trPr>
          <w:trHeight w:val="710"/>
        </w:trPr>
        <w:tc>
          <w:tcPr>
            <w:tcW w:w="308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w:t>
            </w: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25"/>
          </w:cols>
          <w:pgMar w:left="235" w:top="650" w:right="1440" w:bottom="724" w:gutter="0" w:footer="0" w:header="0"/>
        </w:sectPr>
      </w:pPr>
    </w:p>
    <w:bookmarkStart w:id="47" w:name="page48"/>
    <w:bookmarkEnd w:id="47"/>
    <w:p>
      <w:pPr>
        <w:jc w:val="center"/>
        <w:ind w:right="275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STOCK-BASED COMPENSATION PLANS, continued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2004</w:t>
            </w:r>
          </w:p>
        </w:tc>
        <w:tc>
          <w:tcPr>
            <w:tcW w:w="1520" w:type="dxa"/>
            <w:vAlign w:val="bottom"/>
          </w:tcPr>
          <w:p>
            <w:pPr>
              <w:spacing w:after="0"/>
              <w:rPr>
                <w:sz w:val="14"/>
                <w:szCs w:val="14"/>
                <w:color w:val="auto"/>
              </w:rPr>
            </w:pPr>
          </w:p>
        </w:tc>
      </w:tr>
      <w:tr>
        <w:trPr>
          <w:trHeight w:val="177"/>
        </w:trPr>
        <w:tc>
          <w:tcPr>
            <w:tcW w:w="3080" w:type="dxa"/>
            <w:vAlign w:val="bottom"/>
          </w:tcPr>
          <w:p>
            <w:pPr>
              <w:spacing w:after="0"/>
              <w:rPr>
                <w:sz w:val="15"/>
                <w:szCs w:val="15"/>
                <w:color w:val="auto"/>
              </w:rPr>
            </w:pPr>
          </w:p>
        </w:tc>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Aggregate</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Wtd. Avg.</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Wtd. Avg. Remaining</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Intrinsic Value</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Ex. Price</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Contract Life</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$000</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9,102</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2,864</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(1,258)</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w:t>
            </w:r>
          </w:p>
        </w:tc>
        <w:tc>
          <w:tcPr>
            <w:tcW w:w="2040" w:type="dxa"/>
            <w:vAlign w:val="bottom"/>
          </w:tcPr>
          <w:p>
            <w:pPr>
              <w:spacing w:after="0"/>
              <w:rPr>
                <w:sz w:val="15"/>
                <w:szCs w:val="15"/>
                <w:color w:val="auto"/>
              </w:rPr>
            </w:pPr>
          </w:p>
        </w:tc>
        <w:tc>
          <w:tcPr>
            <w:tcW w:w="15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$ 8,865</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(122)</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10,586</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3.4 Yrs</w:t>
            </w:r>
          </w:p>
        </w:tc>
        <w:tc>
          <w:tcPr>
            <w:tcW w:w="15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$33,116</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3,988</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2.2 Yrs</w:t>
            </w:r>
          </w:p>
        </w:tc>
        <w:tc>
          <w:tcPr>
            <w:tcW w:w="15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$19,107</w:t>
            </w:r>
          </w:p>
        </w:tc>
      </w:tr>
    </w:tbl>
    <w:p>
      <w:pPr>
        <w:spacing w:after="0" w:line="360" w:lineRule="exact"/>
        <w:rPr>
          <w:sz w:val="20"/>
          <w:szCs w:val="20"/>
          <w:color w:val="auto"/>
        </w:rPr>
      </w:pPr>
    </w:p>
    <w:p>
      <w:pPr>
        <w:ind w:left="460" w:right="3019"/>
        <w:spacing w:after="0" w:line="252" w:lineRule="auto"/>
        <w:rPr>
          <w:sz w:val="20"/>
          <w:szCs w:val="20"/>
          <w:color w:val="auto"/>
        </w:rPr>
      </w:pPr>
      <w:r>
        <w:rPr>
          <w:rFonts w:ascii="Courier New" w:cs="Courier New" w:eastAsia="Courier New" w:hAnsi="Courier New"/>
          <w:sz w:val="15"/>
          <w:szCs w:val="15"/>
          <w:color w:val="auto"/>
        </w:rPr>
        <w:t>A summary of the status of the Company's non-vested employee stock option activity for the years ended December 31, 2006, 2005, and 2004, are presented in the table and narrative below:</w:t>
      </w:r>
    </w:p>
    <w:p>
      <w:pPr>
        <w:sectPr>
          <w:pgSz w:w="11900" w:h="16838" w:orient="portrait"/>
          <w:cols w:equalWidth="0" w:num="1">
            <w:col w:w="10219"/>
          </w:cols>
          <w:pgMar w:left="240" w:top="650"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2006</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Wtd. Avg</w:t>
      </w:r>
    </w:p>
    <w:p>
      <w:pPr>
        <w:spacing w:after="0" w:line="8" w:lineRule="exact"/>
        <w:rPr>
          <w:sz w:val="20"/>
          <w:szCs w:val="20"/>
          <w:color w:val="auto"/>
        </w:rPr>
      </w:pPr>
    </w:p>
    <w:p>
      <w:pPr>
        <w:ind w:left="3040"/>
        <w:spacing w:after="0"/>
        <w:tabs>
          <w:tab w:leader="none" w:pos="3840" w:val="left"/>
        </w:tabs>
        <w:rPr>
          <w:sz w:val="20"/>
          <w:szCs w:val="20"/>
          <w:color w:val="auto"/>
        </w:rPr>
      </w:pPr>
      <w:r>
        <w:rPr>
          <w:rFonts w:ascii="Courier New" w:cs="Courier New" w:eastAsia="Courier New" w:hAnsi="Courier New"/>
          <w:sz w:val="15"/>
          <w:szCs w:val="15"/>
          <w:color w:val="auto"/>
        </w:rPr>
        <w:t>Shares</w:t>
        <w:tab/>
        <w:t>Grant Date</w:t>
      </w:r>
    </w:p>
    <w:p>
      <w:pPr>
        <w:spacing w:after="0" w:line="8" w:lineRule="exact"/>
        <w:rPr>
          <w:sz w:val="20"/>
          <w:szCs w:val="20"/>
          <w:color w:val="auto"/>
        </w:rPr>
      </w:pPr>
    </w:p>
    <w:p>
      <w:pPr>
        <w:ind w:left="3220"/>
        <w:spacing w:after="0"/>
        <w:tabs>
          <w:tab w:leader="none" w:pos="3840" w:val="left"/>
        </w:tabs>
        <w:rPr>
          <w:sz w:val="20"/>
          <w:szCs w:val="20"/>
          <w:color w:val="auto"/>
        </w:rPr>
      </w:pPr>
      <w:r>
        <w:rPr>
          <w:rFonts w:ascii="Courier New" w:cs="Courier New" w:eastAsia="Courier New" w:hAnsi="Courier New"/>
          <w:sz w:val="15"/>
          <w:szCs w:val="15"/>
          <w:color w:val="auto"/>
        </w:rPr>
        <w:t>000</w:t>
      </w:r>
      <w:r>
        <w:rPr>
          <w:sz w:val="20"/>
          <w:szCs w:val="20"/>
          <w:color w:val="auto"/>
        </w:rPr>
        <w:tab/>
      </w:r>
      <w:r>
        <w:rPr>
          <w:rFonts w:ascii="Courier New" w:cs="Courier New" w:eastAsia="Courier New" w:hAnsi="Courier New"/>
          <w:sz w:val="15"/>
          <w:szCs w:val="15"/>
          <w:color w:val="auto"/>
        </w:rPr>
        <w:t>Fair Value</w:t>
      </w:r>
    </w:p>
    <w:p>
      <w:pPr>
        <w:spacing w:after="0" w:line="8" w:lineRule="exact"/>
        <w:rPr>
          <w:sz w:val="20"/>
          <w:szCs w:val="20"/>
          <w:color w:val="auto"/>
        </w:rPr>
      </w:pPr>
    </w:p>
    <w:p>
      <w:pPr>
        <w:ind w:left="3040"/>
        <w:spacing w:after="0"/>
        <w:tabs>
          <w:tab w:leader="none" w:pos="384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2005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Wtd. Avg</w:t>
      </w:r>
    </w:p>
    <w:p>
      <w:pPr>
        <w:spacing w:after="0" w:line="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Grant Date</w:t>
      </w:r>
    </w:p>
    <w:p>
      <w:pPr>
        <w:spacing w:after="0" w:line="8" w:lineRule="exact"/>
        <w:rPr>
          <w:sz w:val="20"/>
          <w:szCs w:val="20"/>
          <w:color w:val="auto"/>
        </w:rPr>
      </w:pPr>
    </w:p>
    <w:p>
      <w:pPr>
        <w:ind w:left="200"/>
        <w:spacing w:after="0"/>
        <w:tabs>
          <w:tab w:leader="none" w:pos="820" w:val="left"/>
        </w:tabs>
        <w:rPr>
          <w:sz w:val="20"/>
          <w:szCs w:val="20"/>
          <w:color w:val="auto"/>
        </w:rPr>
      </w:pPr>
      <w:r>
        <w:rPr>
          <w:rFonts w:ascii="Courier New" w:cs="Courier New" w:eastAsia="Courier New" w:hAnsi="Courier New"/>
          <w:sz w:val="15"/>
          <w:szCs w:val="15"/>
          <w:color w:val="auto"/>
        </w:rPr>
        <w:t>000</w:t>
      </w:r>
      <w:r>
        <w:rPr>
          <w:sz w:val="20"/>
          <w:szCs w:val="20"/>
          <w:color w:val="auto"/>
        </w:rPr>
        <w:tab/>
      </w:r>
      <w:r>
        <w:rPr>
          <w:rFonts w:ascii="Courier New" w:cs="Courier New" w:eastAsia="Courier New" w:hAnsi="Courier New"/>
          <w:sz w:val="15"/>
          <w:szCs w:val="15"/>
          <w:color w:val="auto"/>
        </w:rPr>
        <w:t>Fair Value</w:t>
      </w:r>
    </w:p>
    <w:p>
      <w:pPr>
        <w:spacing w:after="0" w:line="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2004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Wtd. Avg</w:t>
      </w:r>
    </w:p>
    <w:p>
      <w:pPr>
        <w:spacing w:after="0" w:line="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Shares</w:t>
        <w:tab/>
        <w:t>Grant Date</w:t>
      </w:r>
    </w:p>
    <w:p>
      <w:pPr>
        <w:spacing w:after="0" w:line="8" w:lineRule="exact"/>
        <w:rPr>
          <w:sz w:val="20"/>
          <w:szCs w:val="20"/>
          <w:color w:val="auto"/>
        </w:rPr>
      </w:pPr>
    </w:p>
    <w:p>
      <w:pPr>
        <w:ind w:left="180"/>
        <w:spacing w:after="0"/>
        <w:tabs>
          <w:tab w:leader="none" w:pos="800" w:val="left"/>
        </w:tabs>
        <w:rPr>
          <w:sz w:val="20"/>
          <w:szCs w:val="20"/>
          <w:color w:val="auto"/>
        </w:rPr>
      </w:pPr>
      <w:r>
        <w:rPr>
          <w:rFonts w:ascii="Courier New" w:cs="Courier New" w:eastAsia="Courier New" w:hAnsi="Courier New"/>
          <w:sz w:val="15"/>
          <w:szCs w:val="15"/>
          <w:color w:val="auto"/>
        </w:rPr>
        <w:t>000</w:t>
      </w:r>
      <w:r>
        <w:rPr>
          <w:sz w:val="20"/>
          <w:szCs w:val="20"/>
          <w:color w:val="auto"/>
        </w:rPr>
        <w:tab/>
      </w:r>
      <w:r>
        <w:rPr>
          <w:rFonts w:ascii="Courier New" w:cs="Courier New" w:eastAsia="Courier New" w:hAnsi="Courier New"/>
          <w:sz w:val="15"/>
          <w:szCs w:val="15"/>
          <w:color w:val="auto"/>
        </w:rPr>
        <w:t>Fair Value</w:t>
      </w:r>
    </w:p>
    <w:p>
      <w:pPr>
        <w:spacing w:after="0" w:line="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w:t>
        <w:tab/>
        <w:t>----------</w:t>
      </w:r>
    </w:p>
    <w:p>
      <w:pPr>
        <w:spacing w:after="0" w:line="185" w:lineRule="exact"/>
        <w:rPr>
          <w:sz w:val="20"/>
          <w:szCs w:val="20"/>
          <w:color w:val="auto"/>
        </w:rPr>
      </w:pPr>
    </w:p>
    <w:p>
      <w:pPr>
        <w:sectPr>
          <w:pgSz w:w="11900" w:h="16838" w:orient="portrait"/>
          <w:cols w:equalWidth="0" w:num="3">
            <w:col w:w="4800" w:space="260"/>
            <w:col w:w="1760" w:space="280"/>
            <w:col w:w="311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Nonvested stock options at</w:t>
      </w:r>
    </w:p>
    <w:p>
      <w:pPr>
        <w:sectPr>
          <w:pgSz w:w="11900" w:h="16838" w:orient="portrait"/>
          <w:cols w:equalWidth="0" w:num="1">
            <w:col w:w="10219"/>
          </w:cols>
          <w:pgMar w:left="240" w:top="650" w:right="1440" w:bottom="1440" w:gutter="0" w:footer="0" w:header="0"/>
          <w:type w:val="continuous"/>
        </w:sectPr>
      </w:pP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Beginning of 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Vested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Forfeited</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3,069</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1,691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(1,124)</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(140)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$6</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4</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6</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6,598</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1,931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(5,345)</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(115)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$7</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3"/>
          <w:szCs w:val="13"/>
          <w:color w:val="auto"/>
        </w:rPr>
        <w:t>4</w:t>
      </w:r>
    </w:p>
    <w:p>
      <w:pPr>
        <w:spacing w:after="0" w:line="30" w:lineRule="exact"/>
        <w:rPr>
          <w:sz w:val="20"/>
          <w:szCs w:val="20"/>
          <w:color w:val="auto"/>
        </w:rPr>
      </w:pPr>
    </w:p>
    <w:p>
      <w:pPr>
        <w:ind w:left="200"/>
        <w:spacing w:after="0"/>
        <w:rPr>
          <w:sz w:val="20"/>
          <w:szCs w:val="20"/>
          <w:color w:val="auto"/>
        </w:rPr>
      </w:pPr>
      <w:r>
        <w:rPr>
          <w:rFonts w:ascii="Courier New" w:cs="Courier New" w:eastAsia="Courier New" w:hAnsi="Courier New"/>
          <w:sz w:val="13"/>
          <w:szCs w:val="13"/>
          <w:color w:val="auto"/>
        </w:rPr>
        <w:t>7</w:t>
      </w:r>
    </w:p>
    <w:p>
      <w:pPr>
        <w:spacing w:after="0" w:line="30" w:lineRule="exact"/>
        <w:rPr>
          <w:sz w:val="20"/>
          <w:szCs w:val="20"/>
          <w:color w:val="auto"/>
        </w:rPr>
      </w:pPr>
    </w:p>
    <w:p>
      <w:pPr>
        <w:ind w:left="200"/>
        <w:spacing w:after="0"/>
        <w:rPr>
          <w:sz w:val="20"/>
          <w:szCs w:val="20"/>
          <w:color w:val="auto"/>
        </w:rPr>
      </w:pPr>
      <w:r>
        <w:rPr>
          <w:rFonts w:ascii="Courier New" w:cs="Courier New" w:eastAsia="Courier New" w:hAnsi="Courier New"/>
          <w:sz w:val="13"/>
          <w:szCs w:val="13"/>
          <w:color w:val="auto"/>
        </w:rPr>
        <w:t>6</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5,911</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2,864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(2,063)</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639"/>
        <w:spacing w:after="0"/>
        <w:rPr>
          <w:sz w:val="20"/>
          <w:szCs w:val="20"/>
          <w:color w:val="auto"/>
        </w:rPr>
      </w:pPr>
      <w:r>
        <w:rPr>
          <w:rFonts w:ascii="Courier New" w:cs="Courier New" w:eastAsia="Courier New" w:hAnsi="Courier New"/>
          <w:sz w:val="15"/>
          <w:szCs w:val="15"/>
          <w:color w:val="auto"/>
        </w:rPr>
        <w:t>$7</w:t>
      </w:r>
    </w:p>
    <w:p>
      <w:pPr>
        <w:spacing w:after="0" w:line="8" w:lineRule="exact"/>
        <w:rPr>
          <w:sz w:val="20"/>
          <w:szCs w:val="20"/>
          <w:color w:val="auto"/>
        </w:rPr>
      </w:pPr>
    </w:p>
    <w:p>
      <w:pPr>
        <w:jc w:val="right"/>
        <w:ind w:right="1639"/>
        <w:spacing w:after="0"/>
        <w:rPr>
          <w:sz w:val="20"/>
          <w:szCs w:val="20"/>
          <w:color w:val="auto"/>
        </w:rPr>
      </w:pPr>
      <w:r>
        <w:rPr>
          <w:rFonts w:ascii="Courier New" w:cs="Courier New" w:eastAsia="Courier New" w:hAnsi="Courier New"/>
          <w:sz w:val="15"/>
          <w:szCs w:val="15"/>
          <w:color w:val="auto"/>
        </w:rPr>
        <w:t>7</w:t>
      </w:r>
    </w:p>
    <w:p>
      <w:pPr>
        <w:spacing w:after="0" w:line="8" w:lineRule="exact"/>
        <w:rPr>
          <w:sz w:val="20"/>
          <w:szCs w:val="20"/>
          <w:color w:val="auto"/>
        </w:rPr>
      </w:pPr>
    </w:p>
    <w:p>
      <w:pPr>
        <w:jc w:val="right"/>
        <w:ind w:right="1639"/>
        <w:spacing w:after="0"/>
        <w:rPr>
          <w:sz w:val="20"/>
          <w:szCs w:val="20"/>
          <w:color w:val="auto"/>
        </w:rPr>
      </w:pPr>
      <w:r>
        <w:rPr>
          <w:rFonts w:ascii="Courier New" w:cs="Courier New" w:eastAsia="Courier New" w:hAnsi="Courier New"/>
          <w:sz w:val="15"/>
          <w:szCs w:val="15"/>
          <w:color w:val="auto"/>
        </w:rPr>
        <w:t>7</w:t>
      </w:r>
    </w:p>
    <w:p>
      <w:pPr>
        <w:spacing w:after="0" w:line="8" w:lineRule="exact"/>
        <w:rPr>
          <w:sz w:val="20"/>
          <w:szCs w:val="20"/>
          <w:color w:val="auto"/>
        </w:rPr>
      </w:pPr>
    </w:p>
    <w:p>
      <w:pPr>
        <w:jc w:val="right"/>
        <w:ind w:right="1639"/>
        <w:spacing w:after="0"/>
        <w:rPr>
          <w:sz w:val="20"/>
          <w:szCs w:val="20"/>
          <w:color w:val="auto"/>
        </w:rPr>
      </w:pPr>
      <w:r>
        <w:rPr>
          <w:rFonts w:ascii="Courier New" w:cs="Courier New" w:eastAsia="Courier New" w:hAnsi="Courier New"/>
          <w:sz w:val="15"/>
          <w:szCs w:val="15"/>
          <w:color w:val="auto"/>
        </w:rPr>
        <w:t>7</w:t>
      </w:r>
    </w:p>
    <w:p>
      <w:pPr>
        <w:spacing w:after="0" w:line="8" w:lineRule="exact"/>
        <w:rPr>
          <w:sz w:val="20"/>
          <w:szCs w:val="20"/>
          <w:color w:val="auto"/>
        </w:rPr>
      </w:pPr>
    </w:p>
    <w:p>
      <w:pPr>
        <w:jc w:val="right"/>
        <w:ind w:right="1639"/>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ectPr>
          <w:pgSz w:w="11900" w:h="16838" w:orient="portrait"/>
          <w:cols w:equalWidth="0" w:num="7">
            <w:col w:w="2320" w:space="720"/>
            <w:col w:w="640" w:space="560"/>
            <w:col w:w="280" w:space="540"/>
            <w:col w:w="660" w:space="540"/>
            <w:col w:w="280" w:space="560"/>
            <w:col w:w="640" w:space="560"/>
            <w:col w:w="191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Nonvested stock options at End</w:t>
      </w:r>
    </w:p>
    <w:p>
      <w:pPr>
        <w:sectPr>
          <w:pgSz w:w="11900" w:h="16838" w:orient="portrait"/>
          <w:cols w:equalWidth="0" w:num="1">
            <w:col w:w="10219"/>
          </w:cols>
          <w:pgMar w:left="240" w:top="650" w:right="1440" w:bottom="1440" w:gutter="0" w:footer="0" w:header="0"/>
          <w:type w:val="continuous"/>
        </w:sectPr>
      </w:pP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of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3,496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3,069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6,598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ectPr>
          <w:pgSz w:w="11900" w:h="16838" w:orient="portrait"/>
          <w:cols w:equalWidth="0" w:num="7">
            <w:col w:w="2420" w:space="720"/>
            <w:col w:w="480" w:space="720"/>
            <w:col w:w="180" w:space="640"/>
            <w:col w:w="480" w:space="720"/>
            <w:col w:w="180" w:space="660"/>
            <w:col w:w="480" w:space="720"/>
            <w:col w:w="1819"/>
          </w:cols>
          <w:pgMar w:left="240" w:top="650" w:right="1440" w:bottom="1440" w:gutter="0" w:footer="0" w:header="0"/>
          <w:type w:val="continuous"/>
        </w:sectPr>
      </w:pPr>
    </w:p>
    <w:p>
      <w:pPr>
        <w:spacing w:after="0" w:line="16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Non-employee Director Stock Option Plan</w:t>
      </w:r>
    </w:p>
    <w:p>
      <w:pPr>
        <w:spacing w:after="0" w:line="185"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The Company has a Non-employee Director Stock Option Plan covering 1,000,000 shares that was approved, replacing a prior plan. The Company has granted options on 315,240 shares (net of shares from canceled options) under the current plan through December 31, 2006. Under the plan, the option exercise price equals the stock's market price on date of grant. The options vest after six months, and expire after ten years.</w:t>
      </w:r>
    </w:p>
    <w:p>
      <w:pPr>
        <w:sectPr>
          <w:pgSz w:w="11900" w:h="16838" w:orient="portrait"/>
          <w:cols w:equalWidth="0" w:num="1">
            <w:col w:w="10219"/>
          </w:cols>
          <w:pgMar w:left="240" w:top="650" w:right="1440" w:bottom="1440" w:gutter="0" w:footer="0" w:header="0"/>
          <w:type w:val="continuous"/>
        </w:sectPr>
      </w:pPr>
    </w:p>
    <w:p>
      <w:pPr>
        <w:spacing w:after="0" w:line="176" w:lineRule="exact"/>
        <w:rPr>
          <w:sz w:val="20"/>
          <w:szCs w:val="20"/>
          <w:color w:val="auto"/>
        </w:rPr>
      </w:pPr>
    </w:p>
    <w:p>
      <w:pPr>
        <w:ind w:left="460" w:right="3119"/>
        <w:spacing w:after="0" w:line="251" w:lineRule="auto"/>
        <w:rPr>
          <w:sz w:val="20"/>
          <w:szCs w:val="20"/>
          <w:color w:val="auto"/>
        </w:rPr>
      </w:pPr>
      <w:r>
        <w:rPr>
          <w:rFonts w:ascii="Courier New" w:cs="Courier New" w:eastAsia="Courier New" w:hAnsi="Courier New"/>
          <w:sz w:val="15"/>
          <w:szCs w:val="15"/>
          <w:color w:val="auto"/>
        </w:rPr>
        <w:t>The fair value of each option grant in the Nonemployee Director Stock Option Plans was estimated on the date of grant using the Black-Scholes option pricing model with the following weighted-average assumptions for the indicated periods: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40" w:type="dxa"/>
            <w:vAlign w:val="bottom"/>
          </w:tcPr>
          <w:p>
            <w:pPr>
              <w:spacing w:after="0"/>
              <w:rPr>
                <w:sz w:val="14"/>
                <w:szCs w:val="14"/>
                <w:color w:val="auto"/>
              </w:rPr>
            </w:pP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2006</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2005</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3640" w:type="dxa"/>
            <w:vAlign w:val="bottom"/>
          </w:tcPr>
          <w:p>
            <w:pPr>
              <w:spacing w:after="0"/>
              <w:rPr>
                <w:sz w:val="15"/>
                <w:szCs w:val="15"/>
                <w:color w:val="auto"/>
              </w:rPr>
            </w:pP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64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Expected volatility</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30.7%</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49.2%</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Expected term of options (in years)</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8.9</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8.6</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8.5</w:t>
            </w:r>
          </w:p>
        </w:tc>
      </w:tr>
      <w:tr>
        <w:trPr>
          <w:trHeight w:val="177"/>
        </w:trPr>
        <w:tc>
          <w:tcPr>
            <w:tcW w:w="3640" w:type="dxa"/>
            <w:vAlign w:val="bottom"/>
          </w:tcPr>
          <w:p>
            <w:pPr>
              <w:spacing w:after="0"/>
              <w:rPr>
                <w:sz w:val="20"/>
                <w:szCs w:val="20"/>
                <w:color w:val="auto"/>
              </w:rPr>
            </w:pPr>
            <w:r>
              <w:rPr>
                <w:rFonts w:ascii="Courier New" w:cs="Courier New" w:eastAsia="Courier New" w:hAnsi="Courier New"/>
                <w:sz w:val="15"/>
                <w:szCs w:val="15"/>
                <w:color w:val="auto"/>
              </w:rPr>
              <w:t>Weighted-average grant-date fair value</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6</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8</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9</w:t>
            </w:r>
          </w:p>
        </w:tc>
      </w:tr>
    </w:tbl>
    <w:p>
      <w:pPr>
        <w:spacing w:after="0" w:line="360" w:lineRule="exact"/>
        <w:rPr>
          <w:sz w:val="20"/>
          <w:szCs w:val="20"/>
          <w:color w:val="auto"/>
        </w:rPr>
      </w:pPr>
    </w:p>
    <w:p>
      <w:pPr>
        <w:ind w:left="460" w:right="3479"/>
        <w:spacing w:after="0" w:line="253" w:lineRule="auto"/>
        <w:rPr>
          <w:sz w:val="20"/>
          <w:szCs w:val="20"/>
          <w:color w:val="auto"/>
        </w:rPr>
      </w:pPr>
      <w:r>
        <w:rPr>
          <w:rFonts w:ascii="Courier New" w:cs="Courier New" w:eastAsia="Courier New" w:hAnsi="Courier New"/>
          <w:sz w:val="15"/>
          <w:szCs w:val="15"/>
          <w:color w:val="auto"/>
        </w:rPr>
        <w:t>As of December 31, 2006, there was no unrecognized compensation cost related to share-based payments under this plan.</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50" w:right="1440" w:bottom="1440" w:gutter="0" w:footer="0" w:header="0"/>
          <w:type w:val="continuous"/>
        </w:sectPr>
      </w:pPr>
    </w:p>
    <w:bookmarkStart w:id="48" w:name="page49"/>
    <w:bookmarkEnd w:id="48"/>
    <w:p>
      <w:pPr>
        <w:jc w:val="center"/>
        <w:ind w:right="2759"/>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STOCK-BASED COMPENSATION PLANS, continued</w:t>
      </w:r>
    </w:p>
    <w:p>
      <w:pPr>
        <w:spacing w:after="0" w:line="185" w:lineRule="exact"/>
        <w:rPr>
          <w:sz w:val="20"/>
          <w:szCs w:val="20"/>
          <w:color w:val="auto"/>
        </w:rPr>
      </w:pPr>
    </w:p>
    <w:p>
      <w:pPr>
        <w:ind w:left="460" w:right="2839"/>
        <w:spacing w:after="0" w:line="252" w:lineRule="auto"/>
        <w:rPr>
          <w:sz w:val="20"/>
          <w:szCs w:val="20"/>
          <w:color w:val="auto"/>
        </w:rPr>
      </w:pPr>
      <w:r>
        <w:rPr>
          <w:rFonts w:ascii="Courier New" w:cs="Courier New" w:eastAsia="Courier New" w:hAnsi="Courier New"/>
          <w:sz w:val="15"/>
          <w:szCs w:val="15"/>
          <w:color w:val="auto"/>
        </w:rPr>
        <w:t>A summary of the status of the Company's Non-employee Director Stock Option Plan at December 31, 2006, 2005, and 2004, and changes during the same periods are presented in the tables and narrative below:</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2006</w:t>
            </w:r>
          </w:p>
        </w:tc>
        <w:tc>
          <w:tcPr>
            <w:tcW w:w="1520" w:type="dxa"/>
            <w:vAlign w:val="bottom"/>
          </w:tcPr>
          <w:p>
            <w:pPr>
              <w:spacing w:after="0"/>
              <w:rPr>
                <w:sz w:val="14"/>
                <w:szCs w:val="14"/>
                <w:color w:val="auto"/>
              </w:rPr>
            </w:pPr>
          </w:p>
        </w:tc>
      </w:tr>
      <w:tr>
        <w:trPr>
          <w:trHeight w:val="177"/>
        </w:trPr>
        <w:tc>
          <w:tcPr>
            <w:tcW w:w="3080" w:type="dxa"/>
            <w:vAlign w:val="bottom"/>
          </w:tcPr>
          <w:p>
            <w:pPr>
              <w:spacing w:after="0"/>
              <w:rPr>
                <w:sz w:val="15"/>
                <w:szCs w:val="15"/>
                <w:color w:val="auto"/>
              </w:rPr>
            </w:pPr>
          </w:p>
        </w:tc>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jc w:val="center"/>
              <w:ind w:left="43"/>
              <w:spacing w:after="0"/>
              <w:rPr>
                <w:sz w:val="20"/>
                <w:szCs w:val="20"/>
                <w:color w:val="auto"/>
              </w:rPr>
            </w:pPr>
            <w:r>
              <w:rPr>
                <w:rFonts w:ascii="Courier New" w:cs="Courier New" w:eastAsia="Courier New" w:hAnsi="Courier New"/>
                <w:sz w:val="15"/>
                <w:szCs w:val="15"/>
                <w:color w:val="auto"/>
              </w:rPr>
              <w:t>Aggregate</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Wtd. Avg.</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Wtd. Avg. Remaining</w:t>
            </w:r>
          </w:p>
        </w:tc>
        <w:tc>
          <w:tcPr>
            <w:tcW w:w="1520" w:type="dxa"/>
            <w:vAlign w:val="bottom"/>
          </w:tcPr>
          <w:p>
            <w:pPr>
              <w:jc w:val="center"/>
              <w:ind w:left="63"/>
              <w:spacing w:after="0"/>
              <w:rPr>
                <w:sz w:val="20"/>
                <w:szCs w:val="20"/>
                <w:color w:val="auto"/>
              </w:rPr>
            </w:pPr>
            <w:r>
              <w:rPr>
                <w:rFonts w:ascii="Courier New" w:cs="Courier New" w:eastAsia="Courier New" w:hAnsi="Courier New"/>
                <w:sz w:val="15"/>
                <w:szCs w:val="15"/>
                <w:color w:val="auto"/>
              </w:rPr>
              <w:t>Intrinsic Value</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Ex. Price</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Contract Life</w:t>
            </w: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$000</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445</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(80)</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w:t>
            </w:r>
          </w:p>
        </w:tc>
        <w:tc>
          <w:tcPr>
            <w:tcW w:w="2040" w:type="dxa"/>
            <w:vAlign w:val="bottom"/>
          </w:tcPr>
          <w:p>
            <w:pPr>
              <w:spacing w:after="0"/>
              <w:rPr>
                <w:sz w:val="15"/>
                <w:szCs w:val="15"/>
                <w:color w:val="auto"/>
              </w:rPr>
            </w:pP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$662</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(72)</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16</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341</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6.1 Yrs</w:t>
            </w: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$450</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341</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$15</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6.1 Yrs</w:t>
            </w: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$450</w:t>
            </w:r>
          </w:p>
        </w:tc>
      </w:tr>
      <w:tr>
        <w:trPr>
          <w:trHeight w:val="887"/>
        </w:trPr>
        <w:tc>
          <w:tcPr>
            <w:tcW w:w="3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2005</w:t>
            </w:r>
          </w:p>
        </w:tc>
        <w:tc>
          <w:tcPr>
            <w:tcW w:w="1520" w:type="dxa"/>
            <w:vAlign w:val="bottom"/>
          </w:tcPr>
          <w:p>
            <w:pPr>
              <w:spacing w:after="0"/>
              <w:rPr>
                <w:sz w:val="24"/>
                <w:szCs w:val="24"/>
                <w:color w:val="auto"/>
              </w:rPr>
            </w:pPr>
          </w:p>
        </w:tc>
      </w:tr>
      <w:tr>
        <w:trPr>
          <w:trHeight w:val="177"/>
        </w:trPr>
        <w:tc>
          <w:tcPr>
            <w:tcW w:w="3080" w:type="dxa"/>
            <w:vAlign w:val="bottom"/>
          </w:tcPr>
          <w:p>
            <w:pPr>
              <w:spacing w:after="0"/>
              <w:rPr>
                <w:sz w:val="15"/>
                <w:szCs w:val="15"/>
                <w:color w:val="auto"/>
              </w:rPr>
            </w:pPr>
          </w:p>
        </w:tc>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jc w:val="center"/>
              <w:ind w:left="43"/>
              <w:spacing w:after="0"/>
              <w:rPr>
                <w:sz w:val="20"/>
                <w:szCs w:val="20"/>
                <w:color w:val="auto"/>
              </w:rPr>
            </w:pPr>
            <w:r>
              <w:rPr>
                <w:rFonts w:ascii="Courier New" w:cs="Courier New" w:eastAsia="Courier New" w:hAnsi="Courier New"/>
                <w:sz w:val="15"/>
                <w:szCs w:val="15"/>
                <w:color w:val="auto"/>
              </w:rPr>
              <w:t>Aggregate</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Wtd. Avg.</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Wtd. Avg. Remaining</w:t>
            </w:r>
          </w:p>
        </w:tc>
        <w:tc>
          <w:tcPr>
            <w:tcW w:w="1520" w:type="dxa"/>
            <w:vAlign w:val="bottom"/>
          </w:tcPr>
          <w:p>
            <w:pPr>
              <w:jc w:val="center"/>
              <w:ind w:left="63"/>
              <w:spacing w:after="0"/>
              <w:rPr>
                <w:sz w:val="20"/>
                <w:szCs w:val="20"/>
                <w:color w:val="auto"/>
              </w:rPr>
            </w:pPr>
            <w:r>
              <w:rPr>
                <w:rFonts w:ascii="Courier New" w:cs="Courier New" w:eastAsia="Courier New" w:hAnsi="Courier New"/>
                <w:sz w:val="15"/>
                <w:szCs w:val="15"/>
                <w:color w:val="auto"/>
              </w:rPr>
              <w:t>Intrinsic Value</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Ex. Price</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Contract Life</w:t>
            </w: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$000</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510</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18</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(101)</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10</w:t>
            </w:r>
          </w:p>
        </w:tc>
        <w:tc>
          <w:tcPr>
            <w:tcW w:w="2040" w:type="dxa"/>
            <w:vAlign w:val="bottom"/>
          </w:tcPr>
          <w:p>
            <w:pPr>
              <w:spacing w:after="0"/>
              <w:rPr>
                <w:sz w:val="15"/>
                <w:szCs w:val="15"/>
                <w:color w:val="auto"/>
              </w:rPr>
            </w:pP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  756</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18</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15"/>
                <w:szCs w:val="15"/>
                <w:color w:val="auto"/>
              </w:rPr>
            </w:pP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445</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5.6 Yrs</w:t>
            </w: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$2,617</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445</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5.6 Yrs</w:t>
            </w: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$2,617</w:t>
            </w:r>
          </w:p>
        </w:tc>
      </w:tr>
      <w:tr>
        <w:trPr>
          <w:trHeight w:val="887"/>
        </w:trPr>
        <w:tc>
          <w:tcPr>
            <w:tcW w:w="3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2004</w:t>
            </w:r>
          </w:p>
        </w:tc>
        <w:tc>
          <w:tcPr>
            <w:tcW w:w="1520" w:type="dxa"/>
            <w:vAlign w:val="bottom"/>
          </w:tcPr>
          <w:p>
            <w:pPr>
              <w:spacing w:after="0"/>
              <w:rPr>
                <w:sz w:val="24"/>
                <w:szCs w:val="24"/>
                <w:color w:val="auto"/>
              </w:rPr>
            </w:pPr>
          </w:p>
        </w:tc>
      </w:tr>
      <w:tr>
        <w:trPr>
          <w:trHeight w:val="177"/>
        </w:trPr>
        <w:tc>
          <w:tcPr>
            <w:tcW w:w="3080" w:type="dxa"/>
            <w:vAlign w:val="bottom"/>
          </w:tcPr>
          <w:p>
            <w:pPr>
              <w:spacing w:after="0"/>
              <w:rPr>
                <w:sz w:val="15"/>
                <w:szCs w:val="15"/>
                <w:color w:val="auto"/>
              </w:rPr>
            </w:pPr>
          </w:p>
        </w:tc>
        <w:tc>
          <w:tcPr>
            <w:tcW w:w="5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20" w:type="dxa"/>
            <w:vAlign w:val="bottom"/>
          </w:tcPr>
          <w:p>
            <w:pPr>
              <w:jc w:val="center"/>
              <w:ind w:left="43"/>
              <w:spacing w:after="0"/>
              <w:rPr>
                <w:sz w:val="20"/>
                <w:szCs w:val="20"/>
                <w:color w:val="auto"/>
              </w:rPr>
            </w:pPr>
            <w:r>
              <w:rPr>
                <w:rFonts w:ascii="Courier New" w:cs="Courier New" w:eastAsia="Courier New" w:hAnsi="Courier New"/>
                <w:sz w:val="15"/>
                <w:szCs w:val="15"/>
                <w:color w:val="auto"/>
              </w:rPr>
              <w:t>Aggregate</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Wtd. Avg.</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Wtd. Avg. Remaining</w:t>
            </w:r>
          </w:p>
        </w:tc>
        <w:tc>
          <w:tcPr>
            <w:tcW w:w="1520" w:type="dxa"/>
            <w:vAlign w:val="bottom"/>
          </w:tcPr>
          <w:p>
            <w:pPr>
              <w:jc w:val="center"/>
              <w:ind w:left="63"/>
              <w:spacing w:after="0"/>
              <w:rPr>
                <w:sz w:val="20"/>
                <w:szCs w:val="20"/>
                <w:color w:val="auto"/>
              </w:rPr>
            </w:pPr>
            <w:r>
              <w:rPr>
                <w:rFonts w:ascii="Courier New" w:cs="Courier New" w:eastAsia="Courier New" w:hAnsi="Courier New"/>
                <w:sz w:val="15"/>
                <w:szCs w:val="15"/>
                <w:color w:val="auto"/>
              </w:rPr>
              <w:t>Intrinsic Value</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Ex. Price</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Contract Life</w:t>
            </w: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$000</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626</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w:t>
            </w:r>
          </w:p>
        </w:tc>
        <w:tc>
          <w:tcPr>
            <w:tcW w:w="2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18</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(212)</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w:t>
            </w:r>
          </w:p>
        </w:tc>
        <w:tc>
          <w:tcPr>
            <w:tcW w:w="2040" w:type="dxa"/>
            <w:vAlign w:val="bottom"/>
          </w:tcPr>
          <w:p>
            <w:pPr>
              <w:spacing w:after="0"/>
              <w:rPr>
                <w:sz w:val="15"/>
                <w:szCs w:val="15"/>
                <w:color w:val="auto"/>
              </w:rPr>
            </w:pP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$2,940</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510</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5.8 Yrs</w:t>
            </w: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$2,992</w:t>
            </w:r>
          </w:p>
        </w:tc>
      </w:tr>
      <w:tr>
        <w:trPr>
          <w:trHeight w:val="177"/>
        </w:trPr>
        <w:tc>
          <w:tcPr>
            <w:tcW w:w="3080" w:type="dxa"/>
            <w:vAlign w:val="bottom"/>
          </w:tcPr>
          <w:p>
            <w:pPr>
              <w:spacing w:after="0"/>
              <w:rPr>
                <w:sz w:val="15"/>
                <w:szCs w:val="15"/>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510</w:t>
            </w: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w:t>
            </w:r>
          </w:p>
        </w:tc>
        <w:tc>
          <w:tcPr>
            <w:tcW w:w="2040" w:type="dxa"/>
            <w:vAlign w:val="bottom"/>
          </w:tcPr>
          <w:p>
            <w:pPr>
              <w:jc w:val="center"/>
              <w:spacing w:after="0"/>
              <w:rPr>
                <w:sz w:val="20"/>
                <w:szCs w:val="20"/>
                <w:color w:val="auto"/>
              </w:rPr>
            </w:pPr>
            <w:r>
              <w:rPr>
                <w:rFonts w:ascii="Courier New" w:cs="Courier New" w:eastAsia="Courier New" w:hAnsi="Courier New"/>
                <w:sz w:val="15"/>
                <w:szCs w:val="15"/>
                <w:color w:val="auto"/>
              </w:rPr>
              <w:t>5.8 Yrs</w:t>
            </w:r>
          </w:p>
        </w:tc>
        <w:tc>
          <w:tcPr>
            <w:tcW w:w="152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$2,992</w:t>
            </w:r>
          </w:p>
        </w:tc>
      </w:tr>
    </w:tbl>
    <w:p>
      <w:pPr>
        <w:spacing w:after="0" w:line="360" w:lineRule="exact"/>
        <w:rPr>
          <w:sz w:val="20"/>
          <w:szCs w:val="20"/>
          <w:color w:val="auto"/>
        </w:rPr>
      </w:pPr>
    </w:p>
    <w:p>
      <w:pPr>
        <w:ind w:left="460" w:right="2839"/>
        <w:spacing w:after="0" w:line="252" w:lineRule="auto"/>
        <w:rPr>
          <w:sz w:val="20"/>
          <w:szCs w:val="20"/>
          <w:color w:val="auto"/>
        </w:rPr>
      </w:pPr>
      <w:r>
        <w:rPr>
          <w:rFonts w:ascii="Courier New" w:cs="Courier New" w:eastAsia="Courier New" w:hAnsi="Courier New"/>
          <w:sz w:val="15"/>
          <w:szCs w:val="15"/>
          <w:color w:val="auto"/>
        </w:rPr>
        <w:t>A summary of the status of the Company's non-vested non-employee director stock option plan activity for the years ended December 31, 2006, 2005, and 2004, are presented in the table and narrative below:</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ind w:right="723"/>
              <w:spacing w:after="0"/>
              <w:rPr>
                <w:sz w:val="20"/>
                <w:szCs w:val="20"/>
                <w:color w:val="auto"/>
              </w:rPr>
            </w:pPr>
            <w:r>
              <w:rPr>
                <w:rFonts w:ascii="Courier New" w:cs="Courier New" w:eastAsia="Courier New" w:hAnsi="Courier New"/>
                <w:sz w:val="15"/>
                <w:szCs w:val="15"/>
                <w:color w:val="auto"/>
              </w:rPr>
              <w:t>2006</w:t>
            </w:r>
          </w:p>
        </w:tc>
        <w:tc>
          <w:tcPr>
            <w:tcW w:w="780" w:type="dxa"/>
            <w:vAlign w:val="bottom"/>
          </w:tcPr>
          <w:p>
            <w:pPr>
              <w:spacing w:after="0"/>
              <w:rPr>
                <w:sz w:val="14"/>
                <w:szCs w:val="14"/>
                <w:color w:val="auto"/>
              </w:rPr>
            </w:pPr>
          </w:p>
        </w:tc>
        <w:tc>
          <w:tcPr>
            <w:tcW w:w="124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2005</w:t>
            </w:r>
          </w:p>
        </w:tc>
        <w:tc>
          <w:tcPr>
            <w:tcW w:w="780" w:type="dxa"/>
            <w:vAlign w:val="bottom"/>
          </w:tcPr>
          <w:p>
            <w:pPr>
              <w:spacing w:after="0"/>
              <w:rPr>
                <w:sz w:val="14"/>
                <w:szCs w:val="14"/>
                <w:color w:val="auto"/>
              </w:rPr>
            </w:pPr>
          </w:p>
        </w:tc>
        <w:tc>
          <w:tcPr>
            <w:tcW w:w="11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2900" w:type="dxa"/>
            <w:vAlign w:val="bottom"/>
          </w:tcPr>
          <w:p>
            <w:pPr>
              <w:spacing w:after="0"/>
              <w:rPr>
                <w:sz w:val="15"/>
                <w:szCs w:val="15"/>
                <w:color w:val="auto"/>
              </w:rPr>
            </w:pPr>
          </w:p>
        </w:tc>
        <w:tc>
          <w:tcPr>
            <w:tcW w:w="20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Wtd. Avg</w:t>
            </w:r>
          </w:p>
        </w:tc>
        <w:tc>
          <w:tcPr>
            <w:tcW w:w="780" w:type="dxa"/>
            <w:vAlign w:val="bottom"/>
          </w:tcPr>
          <w:p>
            <w:pPr>
              <w:spacing w:after="0"/>
              <w:rPr>
                <w:sz w:val="15"/>
                <w:szCs w:val="15"/>
                <w:color w:val="auto"/>
              </w:rPr>
            </w:pP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Wtd. Avg</w:t>
            </w:r>
          </w:p>
        </w:tc>
        <w:tc>
          <w:tcPr>
            <w:tcW w:w="780" w:type="dxa"/>
            <w:vAlign w:val="bottom"/>
          </w:tcPr>
          <w:p>
            <w:pPr>
              <w:spacing w:after="0"/>
              <w:rPr>
                <w:sz w:val="15"/>
                <w:szCs w:val="15"/>
                <w:color w:val="auto"/>
              </w:rPr>
            </w:pP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Wtd. Avg</w:t>
            </w:r>
          </w:p>
        </w:tc>
      </w:tr>
      <w:tr>
        <w:trPr>
          <w:trHeight w:val="177"/>
        </w:trPr>
        <w:tc>
          <w:tcPr>
            <w:tcW w:w="290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Shares</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Grant Date</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Grant Date</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Shares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Grant Date</w:t>
            </w:r>
          </w:p>
        </w:tc>
      </w:tr>
      <w:tr>
        <w:trPr>
          <w:trHeight w:val="177"/>
        </w:trPr>
        <w:tc>
          <w:tcPr>
            <w:tcW w:w="2900" w:type="dxa"/>
            <w:vAlign w:val="bottom"/>
          </w:tcPr>
          <w:p>
            <w:pPr>
              <w:spacing w:after="0"/>
              <w:rPr>
                <w:sz w:val="15"/>
                <w:szCs w:val="15"/>
                <w:color w:val="auto"/>
              </w:rPr>
            </w:pP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000</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Fair Value</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000</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Fair Value</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Fair Value</w:t>
            </w:r>
          </w:p>
        </w:tc>
      </w:tr>
      <w:tr>
        <w:trPr>
          <w:trHeight w:val="177"/>
        </w:trPr>
        <w:tc>
          <w:tcPr>
            <w:tcW w:w="290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900" w:type="dxa"/>
            <w:vAlign w:val="bottom"/>
          </w:tcPr>
          <w:p>
            <w:pPr>
              <w:spacing w:after="0"/>
              <w:rPr>
                <w:sz w:val="20"/>
                <w:szCs w:val="20"/>
                <w:color w:val="auto"/>
              </w:rPr>
            </w:pPr>
            <w:r>
              <w:rPr>
                <w:rFonts w:ascii="Courier New" w:cs="Courier New" w:eastAsia="Courier New" w:hAnsi="Courier New"/>
                <w:sz w:val="15"/>
                <w:szCs w:val="15"/>
                <w:color w:val="auto"/>
              </w:rPr>
              <w:t>Nonvested stock options at</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7"/>
        </w:trPr>
        <w:tc>
          <w:tcPr>
            <w:tcW w:w="2900" w:type="dxa"/>
            <w:vAlign w:val="bottom"/>
          </w:tcPr>
          <w:p>
            <w:pPr>
              <w:ind w:left="280"/>
              <w:spacing w:after="0"/>
              <w:rPr>
                <w:sz w:val="20"/>
                <w:szCs w:val="20"/>
                <w:color w:val="auto"/>
              </w:rPr>
            </w:pPr>
            <w:r>
              <w:rPr>
                <w:rFonts w:ascii="Courier New" w:cs="Courier New" w:eastAsia="Courier New" w:hAnsi="Courier New"/>
                <w:sz w:val="15"/>
                <w:szCs w:val="15"/>
                <w:color w:val="auto"/>
              </w:rPr>
              <w:t>Beginning of Year</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w:t>
            </w:r>
          </w:p>
        </w:tc>
      </w:tr>
      <w:tr>
        <w:trPr>
          <w:trHeight w:val="177"/>
        </w:trPr>
        <w:tc>
          <w:tcPr>
            <w:tcW w:w="29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w:t>
            </w:r>
          </w:p>
        </w:tc>
        <w:tc>
          <w:tcPr>
            <w:tcW w:w="12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w:t>
            </w:r>
          </w:p>
        </w:tc>
      </w:tr>
      <w:tr>
        <w:trPr>
          <w:trHeight w:val="177"/>
        </w:trPr>
        <w:tc>
          <w:tcPr>
            <w:tcW w:w="2900" w:type="dxa"/>
            <w:vAlign w:val="bottom"/>
          </w:tcPr>
          <w:p>
            <w:pPr>
              <w:spacing w:after="0"/>
              <w:rPr>
                <w:sz w:val="20"/>
                <w:szCs w:val="20"/>
                <w:color w:val="auto"/>
              </w:rPr>
            </w:pPr>
            <w:r>
              <w:rPr>
                <w:rFonts w:ascii="Courier New" w:cs="Courier New" w:eastAsia="Courier New" w:hAnsi="Courier New"/>
                <w:sz w:val="15"/>
                <w:szCs w:val="15"/>
                <w:color w:val="auto"/>
              </w:rPr>
              <w:t>Vested</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w:t>
            </w:r>
          </w:p>
        </w:tc>
        <w:tc>
          <w:tcPr>
            <w:tcW w:w="12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(102)</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w:t>
            </w:r>
          </w:p>
        </w:tc>
      </w:tr>
      <w:tr>
        <w:trPr>
          <w:trHeight w:val="177"/>
        </w:trPr>
        <w:tc>
          <w:tcPr>
            <w:tcW w:w="29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r>
      <w:tr>
        <w:trPr>
          <w:trHeight w:val="177"/>
        </w:trPr>
        <w:tc>
          <w:tcPr>
            <w:tcW w:w="2900" w:type="dxa"/>
            <w:vAlign w:val="bottom"/>
          </w:tcPr>
          <w:p>
            <w:pPr>
              <w:spacing w:after="0"/>
              <w:rPr>
                <w:sz w:val="15"/>
                <w:szCs w:val="15"/>
                <w:color w:val="auto"/>
              </w:rPr>
            </w:pP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2900" w:type="dxa"/>
            <w:vAlign w:val="bottom"/>
          </w:tcPr>
          <w:p>
            <w:pPr>
              <w:spacing w:after="0"/>
              <w:rPr>
                <w:sz w:val="20"/>
                <w:szCs w:val="20"/>
                <w:color w:val="auto"/>
              </w:rPr>
            </w:pPr>
            <w:r>
              <w:rPr>
                <w:rFonts w:ascii="Courier New" w:cs="Courier New" w:eastAsia="Courier New" w:hAnsi="Courier New"/>
                <w:sz w:val="15"/>
                <w:szCs w:val="15"/>
                <w:color w:val="auto"/>
              </w:rPr>
              <w:t>Nonvested stock options at End</w:t>
            </w: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7"/>
        </w:trPr>
        <w:tc>
          <w:tcPr>
            <w:tcW w:w="2900" w:type="dxa"/>
            <w:vAlign w:val="bottom"/>
          </w:tcPr>
          <w:p>
            <w:pPr>
              <w:ind w:left="280"/>
              <w:spacing w:after="0"/>
              <w:rPr>
                <w:sz w:val="20"/>
                <w:szCs w:val="20"/>
                <w:color w:val="auto"/>
              </w:rPr>
            </w:pPr>
            <w:r>
              <w:rPr>
                <w:rFonts w:ascii="Courier New" w:cs="Courier New" w:eastAsia="Courier New" w:hAnsi="Courier New"/>
                <w:sz w:val="15"/>
                <w:szCs w:val="15"/>
                <w:color w:val="auto"/>
              </w:rPr>
              <w:t>of Year</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w:t>
            </w:r>
          </w:p>
        </w:tc>
        <w:tc>
          <w:tcPr>
            <w:tcW w:w="11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$ 0</w:t>
            </w:r>
          </w:p>
        </w:tc>
      </w:tr>
    </w:tbl>
    <w:p>
      <w:pPr>
        <w:sectPr>
          <w:pgSz w:w="11900" w:h="16838" w:orient="portrait"/>
          <w:cols w:equalWidth="0" w:num="1">
            <w:col w:w="10219"/>
          </w:cols>
          <w:pgMar w:left="240" w:top="650" w:right="1440" w:bottom="14" w:gutter="0" w:footer="0" w:header="0"/>
        </w:sectPr>
      </w:pPr>
    </w:p>
    <w:bookmarkStart w:id="49" w:name="page50"/>
    <w:bookmarkEnd w:id="49"/>
    <w:p>
      <w:pPr>
        <w:ind w:left="23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9019"/>
          </w:cols>
          <w:pgMar w:left="1440" w:top="319" w:right="1440" w:bottom="1440" w:gutter="0" w:footer="0" w:header="0"/>
        </w:sectPr>
      </w:pPr>
    </w:p>
    <w:bookmarkStart w:id="50" w:name="page51"/>
    <w:bookmarkEnd w:id="50"/>
    <w:p>
      <w:pPr>
        <w:jc w:val="center"/>
        <w:ind w:right="2754"/>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465" w:right="6999" w:hanging="465"/>
        <w:spacing w:after="0" w:line="501" w:lineRule="auto"/>
        <w:tabs>
          <w:tab w:leader="none" w:pos="46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 PLANS Employee Stock Purchase Plan</w:t>
      </w:r>
    </w:p>
    <w:p>
      <w:pPr>
        <w:ind w:left="46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2003, a new Employee Stock Purchase Plan covering 1,200,000 shares was approved, replacing a prior plan. The Company has sold to employees 130,876 shares, 135,409 shares and 111,808 shares under the new plan in 2006, 2005, and 2004, respectively, and has sold a total of 441,127 shares under the new plan through December 31, 2006. The Company sells shares at 85% of the stock's market price at date of purchase. The weighted average fair value of shares sold in 2006 was approximately $13.08.</w:t>
      </w:r>
    </w:p>
    <w:p>
      <w:pPr>
        <w:spacing w:after="0" w:line="175"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Plan</w:t>
      </w:r>
    </w:p>
    <w:p>
      <w:pPr>
        <w:spacing w:after="0" w:line="184" w:lineRule="exact"/>
        <w:rPr>
          <w:rFonts w:ascii="Courier New" w:cs="Courier New" w:eastAsia="Courier New" w:hAnsi="Courier New"/>
          <w:sz w:val="15"/>
          <w:szCs w:val="15"/>
          <w:color w:val="auto"/>
        </w:rPr>
      </w:pPr>
    </w:p>
    <w:p>
      <w:pPr>
        <w:ind w:left="46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Restricted Stock Plan covering 1,000,000 shares of common stock that was approved, the purpose of which is to permit grants of shares, subject to restrictions, to key employees of the Company as a means of retaining and rewarding them for long-term performance and to increase their ownership in the Company. Shares awarded under the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572,910 shares outstanding as of December 31, 2006. During 2006, 2005, and 2004, 182,530, 80,700, and 122,520 shares, respectively, were granted with a restriction period of five years at market prices ranging from $14.00 to $17.09 in 2006, $15.93 to $19.50 in 2005, and $17.37 to $21.10 in 2004 and has unearned stock-based compensation of $5,495,816 associated with these restricted stock grants. The unearned stock-based compensation related to these grants is being amortized to compensation expense over the applicable restriction periods. Amortization of restricted stock for 2006 was $1,423,736.</w:t>
      </w:r>
    </w:p>
    <w:p>
      <w:pPr>
        <w:spacing w:after="0" w:line="185"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w:t>
      </w:r>
    </w:p>
    <w:p>
      <w:pPr>
        <w:spacing w:after="0" w:line="184" w:lineRule="exact"/>
        <w:rPr>
          <w:rFonts w:ascii="Courier New" w:cs="Courier New" w:eastAsia="Courier New" w:hAnsi="Courier New"/>
          <w:sz w:val="15"/>
          <w:szCs w:val="15"/>
          <w:color w:val="auto"/>
        </w:rPr>
      </w:pPr>
    </w:p>
    <w:p>
      <w:pPr>
        <w:ind w:left="46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 2005, the Company's Board of Directors declared a two-for-one stock split effected in the form of a 100% common stock dividend to shareholders of record on May 6, 2005. The stock split increased the number of shares of common stock then outstanding from 78,020,342 to 156,040,684.</w:t>
      </w:r>
    </w:p>
    <w:p>
      <w:pPr>
        <w:spacing w:after="0" w:line="176" w:lineRule="exact"/>
        <w:rPr>
          <w:rFonts w:ascii="Courier New" w:cs="Courier New" w:eastAsia="Courier New" w:hAnsi="Courier New"/>
          <w:sz w:val="15"/>
          <w:szCs w:val="15"/>
          <w:color w:val="auto"/>
        </w:rPr>
      </w:pPr>
    </w:p>
    <w:p>
      <w:pPr>
        <w:ind w:left="465" w:right="33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and all share data have been restated in all prior periods to reflect these stock splits.</w:t>
      </w:r>
    </w:p>
    <w:p>
      <w:pPr>
        <w:spacing w:after="0" w:line="174"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84" w:lineRule="exact"/>
        <w:rPr>
          <w:rFonts w:ascii="Courier New" w:cs="Courier New" w:eastAsia="Courier New" w:hAnsi="Courier New"/>
          <w:sz w:val="15"/>
          <w:szCs w:val="15"/>
          <w:color w:val="auto"/>
        </w:rPr>
      </w:pPr>
    </w:p>
    <w:p>
      <w:pPr>
        <w:ind w:left="46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of the Company.</w:t>
      </w:r>
    </w:p>
    <w:p>
      <w:pPr>
        <w:spacing w:after="0" w:line="353"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5"/>
          </w:cols>
          <w:pgMar w:left="235" w:top="650" w:right="1440" w:bottom="1440" w:gutter="0" w:footer="0" w:header="0"/>
        </w:sectPr>
      </w:pPr>
    </w:p>
    <w:bookmarkStart w:id="51" w:name="page52"/>
    <w:bookmarkEnd w:id="51"/>
    <w:p>
      <w:pPr>
        <w:jc w:val="center"/>
        <w:ind w:right="2754"/>
        <w:spacing w:after="0"/>
        <w:rPr>
          <w:sz w:val="20"/>
          <w:szCs w:val="20"/>
          <w:color w:val="auto"/>
        </w:rPr>
      </w:pPr>
      <w:r>
        <w:rPr>
          <w:rFonts w:ascii="Courier New" w:cs="Courier New" w:eastAsia="Courier New" w:hAnsi="Courier New"/>
          <w:sz w:val="15"/>
          <w:szCs w:val="15"/>
          <w:color w:val="auto"/>
        </w:rPr>
        <w:t>GENTEX CORPORATION AND SUBSIDIARIES</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jc w:val="center"/>
        <w:ind w:right="2754"/>
        <w:spacing w:after="0"/>
        <w:rPr>
          <w:sz w:val="20"/>
          <w:szCs w:val="20"/>
          <w:color w:val="auto"/>
        </w:rPr>
      </w:pPr>
      <w:r>
        <w:rPr>
          <w:rFonts w:ascii="Courier New" w:cs="Courier New" w:eastAsia="Courier New" w:hAnsi="Courier New"/>
          <w:sz w:val="15"/>
          <w:szCs w:val="15"/>
          <w:color w:val="auto"/>
        </w:rPr>
        <w:t>(Continued)</w:t>
      </w:r>
    </w:p>
    <w:p>
      <w:pPr>
        <w:spacing w:after="0" w:line="185" w:lineRule="exact"/>
        <w:rPr>
          <w:sz w:val="20"/>
          <w:szCs w:val="20"/>
          <w:color w:val="auto"/>
        </w:rPr>
      </w:pPr>
    </w:p>
    <w:p>
      <w:pPr>
        <w:ind w:left="545" w:hanging="545"/>
        <w:spacing w:after="0"/>
        <w:tabs>
          <w:tab w:leader="none" w:pos="54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85" w:lineRule="exact"/>
        <w:rPr>
          <w:sz w:val="20"/>
          <w:szCs w:val="20"/>
          <w:color w:val="auto"/>
        </w:rPr>
      </w:pPr>
    </w:p>
    <w:p>
      <w:pPr>
        <w:ind w:left="465" w:right="2939"/>
        <w:spacing w:after="0" w:line="251" w:lineRule="auto"/>
        <w:rPr>
          <w:sz w:val="20"/>
          <w:szCs w:val="20"/>
          <w:color w:val="auto"/>
        </w:rPr>
      </w:pPr>
      <w:r>
        <w:rPr>
          <w:rFonts w:ascii="Courier New" w:cs="Courier New" w:eastAsia="Courier New" w:hAnsi="Courier New"/>
          <w:sz w:val="15"/>
          <w:szCs w:val="15"/>
          <w:color w:val="auto"/>
        </w:rPr>
        <w:t>SFAS No. 131, "Disclosures About Segments of an Enterprise and Related Information," requires that a public enterprise report financial and descriptive information about its reportable operating segments subject to certain aggregation criteria and quantitative thresholds. Operating segments are defined by SFAS No. 131 as components of an enterprise about which separate financial information is available that is evaluated regularly by the chief operating decision-makers in deciding how to allocate resources and in assessing performance.</w:t>
      </w:r>
    </w:p>
    <w:p>
      <w:pPr>
        <w:spacing w:after="0" w:line="200" w:lineRule="exact"/>
        <w:rPr>
          <w:sz w:val="20"/>
          <w:szCs w:val="20"/>
          <w:color w:val="auto"/>
        </w:rPr>
      </w:pPr>
    </w:p>
    <w:p>
      <w:pPr>
        <w:spacing w:after="0" w:line="33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720" w:type="dxa"/>
            <w:vAlign w:val="bottom"/>
          </w:tcPr>
          <w:p>
            <w:pPr>
              <w:spacing w:after="0"/>
              <w:rPr>
                <w:sz w:val="14"/>
                <w:szCs w:val="14"/>
                <w:color w:val="auto"/>
              </w:rPr>
            </w:pP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2006</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2005</w:t>
            </w:r>
          </w:p>
        </w:tc>
        <w:tc>
          <w:tcPr>
            <w:tcW w:w="1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2004</w:t>
            </w:r>
          </w:p>
        </w:tc>
      </w:tr>
      <w:tr>
        <w:trPr>
          <w:trHeight w:val="177"/>
        </w:trPr>
        <w:tc>
          <w:tcPr>
            <w:tcW w:w="272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Automotive Products</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United States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$230,152,102</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$236,708,606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$230,075,562</w:t>
            </w:r>
          </w:p>
        </w:tc>
      </w:tr>
      <w:tr>
        <w:trPr>
          <w:trHeight w:val="177"/>
        </w:trPr>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Germany</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127,531,636</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99,339,847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86,432,114</w:t>
            </w:r>
          </w:p>
        </w:tc>
      </w:tr>
      <w:tr>
        <w:trPr>
          <w:trHeight w:val="177"/>
        </w:trPr>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Japan</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56,547,995</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52,215,691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54,336,447</w:t>
            </w:r>
          </w:p>
        </w:tc>
      </w:tr>
      <w:tr>
        <w:trPr>
          <w:trHeight w:val="177"/>
        </w:trPr>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134,172,464</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124,532,388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112,306,599</w:t>
            </w: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Fire Protection Products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23,862,876</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23,687,442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22,515,613</w:t>
            </w:r>
          </w:p>
        </w:tc>
      </w:tr>
      <w:tr>
        <w:trPr>
          <w:trHeight w:val="177"/>
        </w:trPr>
        <w:tc>
          <w:tcPr>
            <w:tcW w:w="272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$572,267,073</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$536,483,974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$505,666,335</w:t>
            </w:r>
          </w:p>
        </w:tc>
      </w:tr>
      <w:tr>
        <w:trPr>
          <w:trHeight w:val="177"/>
        </w:trPr>
        <w:tc>
          <w:tcPr>
            <w:tcW w:w="272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Automotive Products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$121,766,143</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$131,165,600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$145,622,021</w:t>
            </w: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Fire Protection Products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4,680,833</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5,128,937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4,444,192</w:t>
            </w:r>
          </w:p>
        </w:tc>
      </w:tr>
      <w:tr>
        <w:trPr>
          <w:trHeight w:val="177"/>
        </w:trPr>
        <w:tc>
          <w:tcPr>
            <w:tcW w:w="272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$126,446,976</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$136,294,537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$150,066,213</w:t>
            </w:r>
          </w:p>
        </w:tc>
      </w:tr>
      <w:tr>
        <w:trPr>
          <w:trHeight w:val="177"/>
        </w:trPr>
        <w:tc>
          <w:tcPr>
            <w:tcW w:w="272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7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Automotive Products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$275,022,400</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$248,568,391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$202,052,906</w:t>
            </w: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Fire Protection Products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5,090,934</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4,334,747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4,252,818</w:t>
            </w: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504,915,066</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669,742,664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650,553,704</w:t>
            </w:r>
          </w:p>
        </w:tc>
      </w:tr>
      <w:tr>
        <w:trPr>
          <w:trHeight w:val="177"/>
        </w:trPr>
        <w:tc>
          <w:tcPr>
            <w:tcW w:w="272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$785,028,400</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$922,645,802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$856,859,428</w:t>
            </w:r>
          </w:p>
        </w:tc>
      </w:tr>
      <w:tr>
        <w:trPr>
          <w:trHeight w:val="177"/>
        </w:trPr>
        <w:tc>
          <w:tcPr>
            <w:tcW w:w="272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720" w:type="dxa"/>
            <w:vAlign w:val="bottom"/>
          </w:tcPr>
          <w:p>
            <w:pPr>
              <w:spacing w:after="0"/>
              <w:rPr>
                <w:sz w:val="20"/>
                <w:szCs w:val="20"/>
                <w:color w:val="auto"/>
              </w:rPr>
            </w:pPr>
            <w:r>
              <w:rPr>
                <w:rFonts w:ascii="Courier New" w:cs="Courier New" w:eastAsia="Courier New" w:hAnsi="Courier New"/>
                <w:sz w:val="15"/>
                <w:szCs w:val="15"/>
                <w:color w:val="auto"/>
              </w:rPr>
              <w:t>Depreciation &amp; Amortization:</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Automotive Products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$ 25,218,267</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$ 21,407,276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$ 19,323,047</w:t>
            </w: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Fire Protection Products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253,879</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207,336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228,844</w:t>
            </w: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2,290,564</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2,208,715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2,188,941</w:t>
            </w:r>
          </w:p>
        </w:tc>
      </w:tr>
      <w:tr>
        <w:trPr>
          <w:trHeight w:val="177"/>
        </w:trPr>
        <w:tc>
          <w:tcPr>
            <w:tcW w:w="272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$ 27,762,710</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$ 23,823,327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$ 21,740,832</w:t>
            </w:r>
          </w:p>
        </w:tc>
      </w:tr>
      <w:tr>
        <w:trPr>
          <w:trHeight w:val="177"/>
        </w:trPr>
        <w:tc>
          <w:tcPr>
            <w:tcW w:w="272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7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Automotive Products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$ 45,846,127</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$ 52,966,667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$ 29,233,220</w:t>
            </w: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Fire Protection Products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868,296</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131,821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251,492</w:t>
            </w: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1,478,660</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434,747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1,050,462</w:t>
            </w:r>
          </w:p>
        </w:tc>
      </w:tr>
      <w:tr>
        <w:trPr>
          <w:trHeight w:val="177"/>
        </w:trPr>
        <w:tc>
          <w:tcPr>
            <w:tcW w:w="272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72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$ 48,193,083</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$ 53,533,235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$ 30,535,174</w:t>
            </w:r>
          </w:p>
        </w:tc>
      </w:tr>
      <w:tr>
        <w:trPr>
          <w:trHeight w:val="177"/>
        </w:trPr>
        <w:tc>
          <w:tcPr>
            <w:tcW w:w="2720" w:type="dxa"/>
            <w:vAlign w:val="bottom"/>
          </w:tcPr>
          <w:p>
            <w:pPr>
              <w:spacing w:after="0"/>
              <w:rPr>
                <w:sz w:val="15"/>
                <w:szCs w:val="15"/>
                <w:color w:val="auto"/>
              </w:rPr>
            </w:pP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 w:right="2839"/>
        <w:spacing w:after="0" w:line="252" w:lineRule="auto"/>
        <w:rPr>
          <w:sz w:val="20"/>
          <w:szCs w:val="20"/>
          <w:color w:val="auto"/>
        </w:rPr>
      </w:pPr>
      <w:r>
        <w:rPr>
          <w:rFonts w:ascii="Courier New" w:cs="Courier New" w:eastAsia="Courier New" w:hAnsi="Courier New"/>
          <w:sz w:val="15"/>
          <w:szCs w:val="15"/>
          <w:color w:val="auto"/>
        </w:rPr>
        <w:t>Other assets are principally cash and cash equivalents, investments, deferred income taxes and corporate fixed assets. Substantially all long-lived assets are located in the U.S.</w:t>
      </w:r>
    </w:p>
    <w:p>
      <w:pPr>
        <w:spacing w:after="0" w:line="17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Automotive Products revenues in the "Other" category are sales to automotive manufacturing plants in Canada, Mexico and Korea, as well as other foreign automotive customers. Most of the Company's non-U.S. sales are invoiced and paid in U.S. dollars. During 2006, approximately 13% of the Company's net sales were invoiced and paid in European euros.</w:t>
      </w:r>
    </w:p>
    <w:p>
      <w:pPr>
        <w:spacing w:after="0" w:line="176" w:lineRule="exact"/>
        <w:rPr>
          <w:sz w:val="20"/>
          <w:szCs w:val="20"/>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During the years presented, the Company had four automotive customers, which individually accounted for 10% or more of net sales as follows: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Customer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w:t>
            </w:r>
          </w:p>
        </w:tc>
      </w:tr>
      <w:tr>
        <w:trPr>
          <w:trHeight w:val="177"/>
        </w:trPr>
        <w:tc>
          <w:tcPr>
            <w:tcW w:w="400" w:type="dxa"/>
            <w:vAlign w:val="bottom"/>
          </w:tcPr>
          <w:p>
            <w:pPr>
              <w:spacing w:after="0"/>
              <w:rPr>
                <w:sz w:val="15"/>
                <w:szCs w:val="15"/>
                <w:color w:val="auto"/>
              </w:rPr>
            </w:pP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2006</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w:t>
            </w:r>
          </w:p>
        </w:tc>
        <w:tc>
          <w:tcPr>
            <w:tcW w:w="4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532"/>
        </w:trPr>
        <w:tc>
          <w:tcPr>
            <w:tcW w:w="4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less than 10%</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25"/>
          </w:cols>
          <w:pgMar w:left="235" w:top="650" w:right="1440" w:bottom="0" w:gutter="0" w:footer="0" w:header="0"/>
        </w:sectPr>
      </w:pPr>
    </w:p>
    <w:bookmarkStart w:id="52" w:name="page53"/>
    <w:bookmarkEnd w:id="52"/>
    <w:p>
      <w:pPr>
        <w:ind w:left="23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9019"/>
          </w:cols>
          <w:pgMar w:left="1440" w:top="496"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2"/>
        </w:trPr>
        <w:tc>
          <w:tcPr>
            <w:tcW w:w="1240" w:type="dxa"/>
            <w:vAlign w:val="bottom"/>
          </w:tcPr>
          <w:p>
            <w:pPr>
              <w:spacing w:after="0"/>
              <w:rPr>
                <w:sz w:val="14"/>
                <w:szCs w:val="14"/>
                <w:color w:val="auto"/>
              </w:rPr>
            </w:pPr>
          </w:p>
        </w:tc>
        <w:tc>
          <w:tcPr>
            <w:tcW w:w="5620" w:type="dxa"/>
            <w:vAlign w:val="bottom"/>
          </w:tcPr>
          <w:p>
            <w:pPr>
              <w:ind w:left="1900"/>
              <w:spacing w:after="0"/>
              <w:rPr>
                <w:sz w:val="20"/>
                <w:szCs w:val="20"/>
                <w:color w:val="auto"/>
              </w:rPr>
            </w:pPr>
            <w:r>
              <w:rPr>
                <w:rFonts w:ascii="Courier New" w:cs="Courier New" w:eastAsia="Courier New" w:hAnsi="Courier New"/>
                <w:sz w:val="15"/>
                <w:szCs w:val="15"/>
                <w:color w:val="auto"/>
              </w:rPr>
              <w:t>EXHIBIT INDEX</w:t>
            </w:r>
          </w:p>
        </w:tc>
        <w:tc>
          <w:tcPr>
            <w:tcW w:w="700" w:type="dxa"/>
            <w:vAlign w:val="bottom"/>
          </w:tcPr>
          <w:p>
            <w:pPr>
              <w:spacing w:after="0"/>
              <w:rPr>
                <w:sz w:val="14"/>
                <w:szCs w:val="14"/>
                <w:color w:val="auto"/>
              </w:rPr>
            </w:pPr>
          </w:p>
        </w:tc>
      </w:tr>
      <w:tr>
        <w:trPr>
          <w:trHeight w:val="532"/>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620" w:type="dxa"/>
            <w:vAlign w:val="bottom"/>
          </w:tcPr>
          <w:p>
            <w:pPr>
              <w:ind w:left="2260"/>
              <w:spacing w:after="0"/>
              <w:rPr>
                <w:sz w:val="20"/>
                <w:szCs w:val="20"/>
                <w:color w:val="auto"/>
              </w:rPr>
            </w:pPr>
            <w:r>
              <w:rPr>
                <w:rFonts w:ascii="Courier New" w:cs="Courier New" w:eastAsia="Courier New" w:hAnsi="Courier New"/>
                <w:sz w:val="15"/>
                <w:szCs w:val="15"/>
                <w:color w:val="auto"/>
              </w:rPr>
              <w:t>DESCRIPTION</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PAGE</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20" w:type="dxa"/>
            <w:vAlign w:val="bottom"/>
          </w:tcPr>
          <w:p>
            <w:pPr>
              <w:ind w:left="24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3(a)(1)</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Registrant's Restated Articles of Incorporation, adopted on</w:t>
            </w:r>
          </w:p>
        </w:tc>
        <w:tc>
          <w:tcPr>
            <w:tcW w:w="700" w:type="dxa"/>
            <w:vAlign w:val="bottom"/>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August 20, 2004, were filed as Exhibit 3(a) to Registrant's</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Report on Form 10-Q dated November 2, 2004, and the same is</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hereby incorporated herein by reference.</w:t>
            </w:r>
          </w:p>
        </w:tc>
        <w:tc>
          <w:tcPr>
            <w:tcW w:w="700" w:type="dxa"/>
            <w:vAlign w:val="bottom"/>
          </w:tcPr>
          <w:p>
            <w:pPr>
              <w:spacing w:after="0"/>
              <w:rPr>
                <w:sz w:val="15"/>
                <w:szCs w:val="15"/>
                <w:color w:val="auto"/>
              </w:rPr>
            </w:pP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3(b)(1)</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Registrant's Bylaws as amended and restated February 27,</w:t>
            </w:r>
          </w:p>
        </w:tc>
        <w:tc>
          <w:tcPr>
            <w:tcW w:w="700" w:type="dxa"/>
            <w:vAlign w:val="bottom"/>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2003, was filed as Exhibit 3(b)(1) to Registrant's report</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on Form 10-Q dated May 5, 2003, and the same is hereby</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incorporated herein by reference.</w:t>
            </w:r>
          </w:p>
        </w:tc>
        <w:tc>
          <w:tcPr>
            <w:tcW w:w="700" w:type="dxa"/>
            <w:vAlign w:val="bottom"/>
          </w:tcPr>
          <w:p>
            <w:pPr>
              <w:spacing w:after="0"/>
              <w:rPr>
                <w:sz w:val="15"/>
                <w:szCs w:val="15"/>
                <w:color w:val="auto"/>
              </w:rPr>
            </w:pP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 specimen form of certificate for the Registrant's common</w:t>
            </w:r>
          </w:p>
        </w:tc>
        <w:tc>
          <w:tcPr>
            <w:tcW w:w="700" w:type="dxa"/>
            <w:vAlign w:val="bottom"/>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stock, par value $.06 per share, was filed as part of a</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(Registration Number 2-74226C) as</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Exhibit 3(a), as amended by Amendment No. 3 to such</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and the same is hereby incorporated</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herein by reference.</w:t>
            </w:r>
          </w:p>
        </w:tc>
        <w:tc>
          <w:tcPr>
            <w:tcW w:w="700" w:type="dxa"/>
            <w:vAlign w:val="bottom"/>
          </w:tcPr>
          <w:p>
            <w:pPr>
              <w:spacing w:after="0"/>
              <w:rPr>
                <w:sz w:val="15"/>
                <w:szCs w:val="15"/>
                <w:color w:val="auto"/>
              </w:rPr>
            </w:pP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Shareholder Protection Rights</w:t>
            </w:r>
          </w:p>
        </w:tc>
        <w:tc>
          <w:tcPr>
            <w:tcW w:w="700" w:type="dxa"/>
            <w:vAlign w:val="bottom"/>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Agreement, dated as of March 29, 2001, including as Exhibit</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 the form of Certificate of Adoption of Resolution</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Establishing Series of Shares of Junior Participating</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Preferred Stock of the Company, and as Exhibit B the form</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of Rights Certificate and of Election to Exercise, was</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filed as Exhibit 4(b) to Registrant's Report on Form 10-Q</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on April 27, 2001, and the same is hereby incorporated</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herein by reference.</w:t>
            </w:r>
          </w:p>
        </w:tc>
        <w:tc>
          <w:tcPr>
            <w:tcW w:w="700" w:type="dxa"/>
            <w:vAlign w:val="bottom"/>
          </w:tcPr>
          <w:p>
            <w:pPr>
              <w:spacing w:after="0"/>
              <w:rPr>
                <w:sz w:val="15"/>
                <w:szCs w:val="15"/>
                <w:color w:val="auto"/>
              </w:rPr>
            </w:pP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10(a)(1)</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 Lease, dated August 15, 1981, was filed as part of a</w:t>
            </w:r>
          </w:p>
        </w:tc>
        <w:tc>
          <w:tcPr>
            <w:tcW w:w="700" w:type="dxa"/>
            <w:vAlign w:val="bottom"/>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(Registration Number 2-74226C) as</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Exhibit 9(a)(1), and the same is hereby incorporated herein</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by reference.</w:t>
            </w:r>
          </w:p>
        </w:tc>
        <w:tc>
          <w:tcPr>
            <w:tcW w:w="700" w:type="dxa"/>
            <w:vAlign w:val="bottom"/>
          </w:tcPr>
          <w:p>
            <w:pPr>
              <w:spacing w:after="0"/>
              <w:rPr>
                <w:sz w:val="15"/>
                <w:szCs w:val="15"/>
                <w:color w:val="auto"/>
              </w:rPr>
            </w:pP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10(a)(2)</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 First Amendment to Lease, dated June 28, 1985, was filed</w:t>
            </w:r>
          </w:p>
        </w:tc>
        <w:tc>
          <w:tcPr>
            <w:tcW w:w="700" w:type="dxa"/>
            <w:vAlign w:val="bottom"/>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as Exhibit 10(m) to Registrant's Report on Form 10-K dated</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March 18, 1986, and the same is hereby incorporated herein</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by reference.</w:t>
            </w:r>
          </w:p>
        </w:tc>
        <w:tc>
          <w:tcPr>
            <w:tcW w:w="700" w:type="dxa"/>
            <w:vAlign w:val="bottom"/>
          </w:tcPr>
          <w:p>
            <w:pPr>
              <w:spacing w:after="0"/>
              <w:rPr>
                <w:sz w:val="15"/>
                <w:szCs w:val="15"/>
                <w:color w:val="auto"/>
              </w:rPr>
            </w:pP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*10(b)(1)</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Gentex Corporation Qualified Stock Option Plan (as amended</w:t>
            </w:r>
          </w:p>
        </w:tc>
        <w:tc>
          <w:tcPr>
            <w:tcW w:w="700" w:type="dxa"/>
            <w:vAlign w:val="bottom"/>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and restated, effective February 26, 2004) was included in</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Registrant's Proxy Statement dated April 6, 2004, filed</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with the Commission on April 6, 2004, and the same is</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hereby incorporated herein by reference, and the same</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became the Gentex Corporation Employee Stock Option Plan</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and was amended as of March 4, 2005 by the First Amendment</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to the Gentex Corporation Qualified Stock Option Plan,</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which amendment was included in the Registrant's Proxy</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Statement dated April 1, 2005, filed with the Commission on</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April 1, 2005, and the same is incorporated herein by</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reference.</w:t>
            </w:r>
          </w:p>
        </w:tc>
        <w:tc>
          <w:tcPr>
            <w:tcW w:w="700" w:type="dxa"/>
            <w:vAlign w:val="bottom"/>
          </w:tcPr>
          <w:p>
            <w:pPr>
              <w:spacing w:after="0"/>
              <w:rPr>
                <w:sz w:val="15"/>
                <w:szCs w:val="15"/>
                <w:color w:val="auto"/>
              </w:rPr>
            </w:pP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*10(b)(2)</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Specimen form of Grant Agreement for the Gentex Corporation</w:t>
            </w:r>
          </w:p>
        </w:tc>
        <w:tc>
          <w:tcPr>
            <w:tcW w:w="700" w:type="dxa"/>
            <w:vAlign w:val="bottom"/>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Qualified Stock Option Plan (as amended and restated,</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effective February 26, 2004 and as amended March 4, 2005),</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was filed as Exhibit 10(b)(3) to Registrant's Report on</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Form 10-Q dated November 1, 2005, and the same is hereby</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incorporated herein by reference.</w:t>
            </w:r>
          </w:p>
        </w:tc>
        <w:tc>
          <w:tcPr>
            <w:tcW w:w="700" w:type="dxa"/>
            <w:vAlign w:val="bottom"/>
          </w:tcPr>
          <w:p>
            <w:pPr>
              <w:spacing w:after="0"/>
              <w:rPr>
                <w:sz w:val="15"/>
                <w:szCs w:val="15"/>
                <w:color w:val="auto"/>
              </w:rPr>
            </w:pP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*10(b)(3)</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Gentex Corporation Second Restricted Stock Plan was filed</w:t>
            </w:r>
          </w:p>
        </w:tc>
        <w:tc>
          <w:tcPr>
            <w:tcW w:w="700" w:type="dxa"/>
            <w:vAlign w:val="bottom"/>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as Exhibit 10(b)(2) to Registrant's Report on Form 10-Q</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dated April 27, 2001, and the same is hereby incorporated</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herein by reference.</w:t>
            </w:r>
          </w:p>
        </w:tc>
        <w:tc>
          <w:tcPr>
            <w:tcW w:w="700" w:type="dxa"/>
            <w:vAlign w:val="bottom"/>
          </w:tcPr>
          <w:p>
            <w:pPr>
              <w:spacing w:after="0"/>
              <w:rPr>
                <w:sz w:val="15"/>
                <w:szCs w:val="15"/>
                <w:color w:val="auto"/>
              </w:rPr>
            </w:pP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*10(b)(4)</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Specimen form of Grant Agreement for the Gentex Corporation</w:t>
            </w:r>
          </w:p>
        </w:tc>
        <w:tc>
          <w:tcPr>
            <w:tcW w:w="700" w:type="dxa"/>
            <w:vAlign w:val="bottom"/>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Restricted Stock Plan (as amended and restated, effective</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February 26, 2004), was filed as Exhibit 10(b)(4) to</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Registrant's Report on Form 10-Q dated November 2, 2004,</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and the same is hereby incorporated herein by reference.</w:t>
            </w:r>
          </w:p>
        </w:tc>
        <w:tc>
          <w:tcPr>
            <w:tcW w:w="700" w:type="dxa"/>
            <w:vAlign w:val="bottom"/>
          </w:tcPr>
          <w:p>
            <w:pPr>
              <w:spacing w:after="0"/>
              <w:rPr>
                <w:sz w:val="15"/>
                <w:szCs w:val="15"/>
                <w:color w:val="auto"/>
              </w:rPr>
            </w:pP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*10(b)(5)</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Gentex Corporation 2002 Nonemployee Director Stock Option</w:t>
            </w:r>
          </w:p>
        </w:tc>
        <w:tc>
          <w:tcPr>
            <w:tcW w:w="700" w:type="dxa"/>
            <w:vAlign w:val="bottom"/>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Plan (adopted March 6, 2002) was filed as Exhibit 10(b)(4)</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to Registrant's Report on Form 10-Q dated April 30, 2002,</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and the same is hereby incorporated herein by reference.</w:t>
            </w:r>
          </w:p>
        </w:tc>
        <w:tc>
          <w:tcPr>
            <w:tcW w:w="700" w:type="dxa"/>
            <w:vAlign w:val="bottom"/>
          </w:tcPr>
          <w:p>
            <w:pPr>
              <w:spacing w:after="0"/>
              <w:rPr>
                <w:sz w:val="15"/>
                <w:szCs w:val="15"/>
                <w:color w:val="auto"/>
              </w:rPr>
            </w:pP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*10(b)(6)</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Specimen form of Grant Agreement for the Gentex Corporation</w:t>
            </w:r>
          </w:p>
        </w:tc>
        <w:tc>
          <w:tcPr>
            <w:tcW w:w="700" w:type="dxa"/>
            <w:vAlign w:val="bottom"/>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2002 Non-Employee Director Stock Option Plan (as amended</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and restated, effective February 26, 2004), was filed as</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Exhibit 10(b)(6) to Registrant's Report on Form 10-Q dated</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November 2, 2004, and the same is hereby incorporated</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herein by reference.</w:t>
            </w:r>
          </w:p>
        </w:tc>
        <w:tc>
          <w:tcPr>
            <w:tcW w:w="700" w:type="dxa"/>
            <w:vAlign w:val="bottom"/>
          </w:tcPr>
          <w:p>
            <w:pPr>
              <w:spacing w:after="0"/>
              <w:rPr>
                <w:sz w:val="15"/>
                <w:szCs w:val="15"/>
                <w:color w:val="auto"/>
              </w:rPr>
            </w:pPr>
          </w:p>
        </w:tc>
      </w:tr>
      <w:tr>
        <w:trPr>
          <w:trHeight w:val="355"/>
        </w:trPr>
        <w:tc>
          <w:tcPr>
            <w:tcW w:w="1240" w:type="dxa"/>
            <w:vAlign w:val="bottom"/>
          </w:tcPr>
          <w:p>
            <w:pPr>
              <w:spacing w:after="0"/>
              <w:rPr>
                <w:sz w:val="20"/>
                <w:szCs w:val="20"/>
                <w:color w:val="auto"/>
              </w:rPr>
            </w:pPr>
            <w:r>
              <w:rPr>
                <w:rFonts w:ascii="Courier New" w:cs="Courier New" w:eastAsia="Courier New" w:hAnsi="Courier New"/>
                <w:sz w:val="15"/>
                <w:szCs w:val="15"/>
                <w:color w:val="auto"/>
              </w:rPr>
              <w:t>*10(b)(7)</w:t>
            </w: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Confidential Severance Agreement and Release between Gentex</w:t>
            </w:r>
          </w:p>
        </w:tc>
        <w:tc>
          <w:tcPr>
            <w:tcW w:w="700" w:type="dxa"/>
            <w:vAlign w:val="bottom"/>
          </w:tcPr>
          <w:p>
            <w:pPr>
              <w:spacing w:after="0"/>
              <w:rPr>
                <w:sz w:val="24"/>
                <w:szCs w:val="24"/>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Corporation and Garth Deur was filed as Exhibit 10(b)(8) to</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Registrant's Report on Form 10-Q dated August 1, 2006, and</w:t>
            </w:r>
          </w:p>
        </w:tc>
        <w:tc>
          <w:tcPr>
            <w:tcW w:w="700" w:type="dxa"/>
            <w:vAlign w:val="bottom"/>
          </w:tcPr>
          <w:p>
            <w:pPr>
              <w:spacing w:after="0"/>
              <w:rPr>
                <w:sz w:val="15"/>
                <w:szCs w:val="15"/>
                <w:color w:val="auto"/>
              </w:rPr>
            </w:pPr>
          </w:p>
        </w:tc>
      </w:tr>
      <w:tr>
        <w:trPr>
          <w:trHeight w:val="177"/>
        </w:trPr>
        <w:tc>
          <w:tcPr>
            <w:tcW w:w="1240" w:type="dxa"/>
            <w:vAlign w:val="bottom"/>
          </w:tcPr>
          <w:p>
            <w:pPr>
              <w:spacing w:after="0"/>
              <w:rPr>
                <w:sz w:val="15"/>
                <w:szCs w:val="15"/>
                <w:color w:val="auto"/>
              </w:rPr>
            </w:pPr>
          </w:p>
        </w:tc>
        <w:tc>
          <w:tcPr>
            <w:tcW w:w="5620" w:type="dxa"/>
            <w:vAlign w:val="bottom"/>
          </w:tcPr>
          <w:p>
            <w:pPr>
              <w:ind w:left="40"/>
              <w:spacing w:after="0"/>
              <w:rPr>
                <w:sz w:val="20"/>
                <w:szCs w:val="20"/>
                <w:color w:val="auto"/>
              </w:rPr>
            </w:pPr>
            <w:r>
              <w:rPr>
                <w:rFonts w:ascii="Courier New" w:cs="Courier New" w:eastAsia="Courier New" w:hAnsi="Courier New"/>
                <w:sz w:val="15"/>
                <w:szCs w:val="15"/>
                <w:color w:val="auto"/>
              </w:rPr>
              <w:t>the same is incorporated herein by reference.</w:t>
            </w:r>
          </w:p>
        </w:tc>
        <w:tc>
          <w:tcPr>
            <w:tcW w:w="700" w:type="dxa"/>
            <w:vAlign w:val="bottom"/>
          </w:tcPr>
          <w:p>
            <w:pPr>
              <w:spacing w:after="0"/>
              <w:rPr>
                <w:sz w:val="15"/>
                <w:szCs w:val="15"/>
                <w:color w:val="auto"/>
              </w:rPr>
            </w:pPr>
          </w:p>
        </w:tc>
      </w:tr>
    </w:tbl>
    <w:p>
      <w:pPr>
        <w:sectPr>
          <w:pgSz w:w="11900" w:h="16838" w:orient="portrait"/>
          <w:cols w:equalWidth="0" w:num="1">
            <w:col w:w="10219"/>
          </w:cols>
          <w:pgMar w:left="240" w:top="650" w:right="1440"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The form of Indemnity Agreement between Registrant and each</w:t>
            </w:r>
          </w:p>
        </w:tc>
        <w:tc>
          <w:tcPr>
            <w:tcW w:w="360" w:type="dxa"/>
            <w:vAlign w:val="bottom"/>
          </w:tcPr>
          <w:p>
            <w:pPr>
              <w:spacing w:after="0"/>
              <w:rPr>
                <w:sz w:val="14"/>
                <w:szCs w:val="14"/>
                <w:color w:val="auto"/>
              </w:rPr>
            </w:pPr>
          </w:p>
        </w:tc>
      </w:tr>
      <w:tr>
        <w:trPr>
          <w:trHeight w:val="177"/>
        </w:trPr>
        <w:tc>
          <w:tcPr>
            <w:tcW w:w="880" w:type="dxa"/>
            <w:vAlign w:val="bottom"/>
          </w:tcPr>
          <w:p>
            <w:pPr>
              <w:spacing w:after="0"/>
              <w:rPr>
                <w:sz w:val="15"/>
                <w:szCs w:val="15"/>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of the Registrant's directors and certain officers was</w:t>
            </w:r>
          </w:p>
        </w:tc>
        <w:tc>
          <w:tcPr>
            <w:tcW w:w="360" w:type="dxa"/>
            <w:vAlign w:val="bottom"/>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filed as Exhibit 10(e) to Registrant's Report on Form 10-Q</w:t>
            </w:r>
          </w:p>
        </w:tc>
        <w:tc>
          <w:tcPr>
            <w:tcW w:w="360" w:type="dxa"/>
            <w:vAlign w:val="bottom"/>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dated October 31, 2002, and the same is hereby incorporated</w:t>
            </w:r>
          </w:p>
        </w:tc>
        <w:tc>
          <w:tcPr>
            <w:tcW w:w="360" w:type="dxa"/>
            <w:vAlign w:val="bottom"/>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herein by reference.</w:t>
            </w:r>
          </w:p>
        </w:tc>
        <w:tc>
          <w:tcPr>
            <w:tcW w:w="360" w:type="dxa"/>
            <w:vAlign w:val="bottom"/>
          </w:tcPr>
          <w:p>
            <w:pPr>
              <w:spacing w:after="0"/>
              <w:rPr>
                <w:sz w:val="15"/>
                <w:szCs w:val="15"/>
                <w:color w:val="auto"/>
              </w:rPr>
            </w:pPr>
          </w:p>
        </w:tc>
      </w:tr>
      <w:tr>
        <w:trPr>
          <w:trHeight w:val="355"/>
        </w:trPr>
        <w:tc>
          <w:tcPr>
            <w:tcW w:w="88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List of Company Subsidiaries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355"/>
        </w:trPr>
        <w:tc>
          <w:tcPr>
            <w:tcW w:w="88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Consent of Independent Registered Public Accounting Firm</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355"/>
        </w:trPr>
        <w:tc>
          <w:tcPr>
            <w:tcW w:w="880" w:type="dxa"/>
            <w:vAlign w:val="bottom"/>
          </w:tcPr>
          <w:p>
            <w:pPr>
              <w:spacing w:after="0"/>
              <w:rPr>
                <w:sz w:val="20"/>
                <w:szCs w:val="20"/>
                <w:color w:val="auto"/>
              </w:rPr>
            </w:pPr>
            <w:r>
              <w:rPr>
                <w:rFonts w:ascii="Courier New" w:cs="Courier New" w:eastAsia="Courier New" w:hAnsi="Courier New"/>
                <w:sz w:val="15"/>
                <w:szCs w:val="15"/>
                <w:color w:val="auto"/>
              </w:rPr>
              <w:t>31.1</w:t>
            </w: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Certificate of the Chief Executive Officer of Gentex</w:t>
            </w:r>
          </w:p>
        </w:tc>
        <w:tc>
          <w:tcPr>
            <w:tcW w:w="360" w:type="dxa"/>
            <w:vAlign w:val="bottom"/>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Corporation pursuant to Section 302 of the Sarbanes-Oxley</w:t>
            </w:r>
          </w:p>
        </w:tc>
        <w:tc>
          <w:tcPr>
            <w:tcW w:w="360" w:type="dxa"/>
            <w:vAlign w:val="bottom"/>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6040" w:type="dxa"/>
            <w:vAlign w:val="bottom"/>
          </w:tcPr>
          <w:p>
            <w:pPr>
              <w:ind w:left="400"/>
              <w:spacing w:after="0"/>
              <w:rPr>
                <w:sz w:val="20"/>
                <w:szCs w:val="20"/>
                <w:color w:val="auto"/>
              </w:rPr>
            </w:pPr>
            <w:r>
              <w:rPr>
                <w:rFonts w:ascii="Courier New" w:cs="Courier New" w:eastAsia="Courier New" w:hAnsi="Courier New"/>
                <w:sz w:val="15"/>
                <w:szCs w:val="15"/>
                <w:color w:val="auto"/>
              </w:rPr>
              <w:t>Act of 2002 (18 U.S.C. 1350).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710"/>
        </w:trPr>
        <w:tc>
          <w:tcPr>
            <w:tcW w:w="880" w:type="dxa"/>
            <w:vAlign w:val="bottom"/>
          </w:tcPr>
          <w:p>
            <w:pPr>
              <w:spacing w:after="0"/>
              <w:rPr>
                <w:sz w:val="24"/>
                <w:szCs w:val="24"/>
                <w:color w:val="auto"/>
              </w:rPr>
            </w:pPr>
          </w:p>
        </w:tc>
        <w:tc>
          <w:tcPr>
            <w:tcW w:w="6040" w:type="dxa"/>
            <w:vAlign w:val="bottom"/>
          </w:tcPr>
          <w:p>
            <w:pPr>
              <w:ind w:left="2260"/>
              <w:spacing w:after="0"/>
              <w:rPr>
                <w:sz w:val="20"/>
                <w:szCs w:val="20"/>
                <w:color w:val="auto"/>
              </w:rPr>
            </w:pPr>
            <w:r>
              <w:rPr>
                <w:rFonts w:ascii="Courier New" w:cs="Courier New" w:eastAsia="Courier New" w:hAnsi="Courier New"/>
                <w:sz w:val="15"/>
                <w:szCs w:val="15"/>
                <w:color w:val="auto"/>
              </w:rPr>
              <w:t>-46-</w:t>
            </w:r>
          </w:p>
        </w:tc>
        <w:tc>
          <w:tcPr>
            <w:tcW w:w="360" w:type="dxa"/>
            <w:vAlign w:val="bottom"/>
          </w:tcPr>
          <w:p>
            <w:pPr>
              <w:spacing w:after="0"/>
              <w:rPr>
                <w:sz w:val="24"/>
                <w:szCs w:val="24"/>
                <w:color w:val="auto"/>
              </w:rPr>
            </w:pPr>
          </w:p>
        </w:tc>
      </w:tr>
    </w:tbl>
    <w:p>
      <w:pPr>
        <w:sectPr>
          <w:pgSz w:w="11900" w:h="16838" w:orient="portrait"/>
          <w:cols w:equalWidth="0" w:num="1">
            <w:col w:w="10219"/>
          </w:cols>
          <w:pgMar w:left="240" w:top="319" w:right="1440" w:bottom="1440" w:gutter="0" w:footer="0" w:header="0"/>
        </w:sectPr>
      </w:pPr>
    </w:p>
    <w:bookmarkStart w:id="55" w:name="page56"/>
    <w:bookmarkEnd w:id="55"/>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82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4"/>
              </w:rPr>
              <w:t>31.2</w:t>
            </w:r>
          </w:p>
        </w:tc>
        <w:tc>
          <w:tcPr>
            <w:tcW w:w="4380" w:type="dxa"/>
            <w:vAlign w:val="bottom"/>
          </w:tcPr>
          <w:p>
            <w:pPr>
              <w:ind w:left="460"/>
              <w:spacing w:after="0"/>
              <w:rPr>
                <w:sz w:val="20"/>
                <w:szCs w:val="20"/>
                <w:color w:val="auto"/>
              </w:rPr>
            </w:pPr>
            <w:r>
              <w:rPr>
                <w:rFonts w:ascii="Courier New" w:cs="Courier New" w:eastAsia="Courier New" w:hAnsi="Courier New"/>
                <w:sz w:val="15"/>
                <w:szCs w:val="15"/>
                <w:color w:val="auto"/>
              </w:rPr>
              <w:t>Certificate of the Chief Financial Officer</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of Gentex</w:t>
            </w:r>
          </w:p>
        </w:tc>
      </w:tr>
      <w:tr>
        <w:trPr>
          <w:trHeight w:val="177"/>
        </w:trPr>
        <w:tc>
          <w:tcPr>
            <w:tcW w:w="820" w:type="dxa"/>
            <w:vAlign w:val="bottom"/>
          </w:tcPr>
          <w:p>
            <w:pPr>
              <w:spacing w:after="0"/>
              <w:rPr>
                <w:sz w:val="15"/>
                <w:szCs w:val="15"/>
                <w:color w:val="auto"/>
              </w:rPr>
            </w:pPr>
          </w:p>
        </w:tc>
        <w:tc>
          <w:tcPr>
            <w:tcW w:w="4380" w:type="dxa"/>
            <w:vAlign w:val="bottom"/>
          </w:tcPr>
          <w:p>
            <w:pPr>
              <w:ind w:left="460"/>
              <w:spacing w:after="0"/>
              <w:rPr>
                <w:sz w:val="20"/>
                <w:szCs w:val="20"/>
                <w:color w:val="auto"/>
              </w:rPr>
            </w:pPr>
            <w:r>
              <w:rPr>
                <w:rFonts w:ascii="Courier New" w:cs="Courier New" w:eastAsia="Courier New" w:hAnsi="Courier New"/>
                <w:sz w:val="15"/>
                <w:szCs w:val="15"/>
                <w:color w:val="auto"/>
              </w:rPr>
              <w:t>Corporation pursuant to Section 302 of the</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Sarbanes-Oxley</w:t>
            </w:r>
          </w:p>
        </w:tc>
      </w:tr>
      <w:tr>
        <w:trPr>
          <w:trHeight w:val="177"/>
        </w:trPr>
        <w:tc>
          <w:tcPr>
            <w:tcW w:w="820" w:type="dxa"/>
            <w:vAlign w:val="bottom"/>
          </w:tcPr>
          <w:p>
            <w:pPr>
              <w:spacing w:after="0"/>
              <w:rPr>
                <w:sz w:val="15"/>
                <w:szCs w:val="15"/>
                <w:color w:val="auto"/>
              </w:rPr>
            </w:pPr>
          </w:p>
        </w:tc>
        <w:tc>
          <w:tcPr>
            <w:tcW w:w="4380" w:type="dxa"/>
            <w:vAlign w:val="bottom"/>
          </w:tcPr>
          <w:p>
            <w:pPr>
              <w:ind w:left="460"/>
              <w:spacing w:after="0"/>
              <w:rPr>
                <w:sz w:val="20"/>
                <w:szCs w:val="20"/>
                <w:color w:val="auto"/>
              </w:rPr>
            </w:pPr>
            <w:r>
              <w:rPr>
                <w:rFonts w:ascii="Courier New" w:cs="Courier New" w:eastAsia="Courier New" w:hAnsi="Courier New"/>
                <w:sz w:val="15"/>
                <w:szCs w:val="15"/>
                <w:color w:val="auto"/>
              </w:rPr>
              <w:t>Act of 2002 (18 U.S.C. 1350).</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bl>
    <w:p>
      <w:pPr>
        <w:spacing w:after="0" w:line="183" w:lineRule="exact"/>
        <w:rPr>
          <w:sz w:val="20"/>
          <w:szCs w:val="20"/>
          <w:color w:val="auto"/>
        </w:rPr>
      </w:pPr>
    </w:p>
    <w:p>
      <w:pPr>
        <w:ind w:left="1285" w:right="3479" w:hanging="1285"/>
        <w:spacing w:after="0" w:line="250" w:lineRule="auto"/>
        <w:tabs>
          <w:tab w:leader="none" w:pos="12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the Chief Executive Officer and Chief Financial Officer of Gentex Corporation pursuant to Section 906 of the Sarbanes-Oxley Act of 2002 (18 U.S.C. Section</w:t>
      </w:r>
    </w:p>
    <w:p>
      <w:pPr>
        <w:spacing w:after="0" w:line="1" w:lineRule="exact"/>
        <w:rPr>
          <w:sz w:val="20"/>
          <w:szCs w:val="20"/>
          <w:color w:val="auto"/>
        </w:rPr>
      </w:pPr>
    </w:p>
    <w:p>
      <w:pPr>
        <w:jc w:val="right"/>
        <w:ind w:right="2939"/>
        <w:spacing w:after="0"/>
        <w:tabs>
          <w:tab w:leader="none" w:pos="160" w:val="left"/>
        </w:tabs>
        <w:rPr>
          <w:sz w:val="20"/>
          <w:szCs w:val="20"/>
          <w:color w:val="auto"/>
        </w:rPr>
      </w:pPr>
      <w:r>
        <w:rPr>
          <w:rFonts w:ascii="Courier New" w:cs="Courier New" w:eastAsia="Courier New" w:hAnsi="Courier New"/>
          <w:sz w:val="15"/>
          <w:szCs w:val="15"/>
          <w:color w:val="auto"/>
        </w:rPr>
        <w:t>1350).</w:t>
      </w:r>
      <w:r>
        <w:rPr>
          <w:sz w:val="20"/>
          <w:szCs w:val="20"/>
          <w:color w:val="auto"/>
        </w:rPr>
        <w:tab/>
      </w:r>
      <w:r>
        <w:rPr>
          <w:rFonts w:ascii="Courier New" w:cs="Courier New" w:eastAsia="Courier New" w:hAnsi="Courier New"/>
          <w:sz w:val="15"/>
          <w:szCs w:val="15"/>
          <w:color w:val="auto"/>
        </w:rPr>
        <w:t>52</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145" w:right="5619" w:hanging="3145"/>
        <w:spacing w:after="0" w:line="754" w:lineRule="auto"/>
        <w:tabs>
          <w:tab w:leader="none" w:pos="47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a compensatory plan or arrangement. -47-</w:t>
      </w:r>
    </w:p>
    <w:p>
      <w:pPr>
        <w:sectPr>
          <w:pgSz w:w="11900" w:h="16838" w:orient="portrait"/>
          <w:cols w:equalWidth="0" w:num="1">
            <w:col w:w="10225"/>
          </w:cols>
          <w:pgMar w:left="235" w:top="1005" w:right="1440" w:bottom="1440" w:gutter="0" w:footer="0" w:header="0"/>
        </w:sectPr>
      </w:pPr>
    </w:p>
    <w:bookmarkStart w:id="56" w:name="page57"/>
    <w:bookmarkEnd w:id="56"/>
    <w:p>
      <w:pPr>
        <w:jc w:val="right"/>
        <w:ind w:right="2839"/>
        <w:spacing w:after="0"/>
        <w:rPr>
          <w:sz w:val="20"/>
          <w:szCs w:val="20"/>
          <w:color w:val="auto"/>
        </w:rPr>
      </w:pPr>
      <w:r>
        <w:rPr>
          <w:rFonts w:ascii="Courier New" w:cs="Courier New" w:eastAsia="Courier New" w:hAnsi="Courier New"/>
          <w:sz w:val="15"/>
          <w:szCs w:val="15"/>
          <w:color w:val="auto"/>
        </w:rPr>
        <w:t>EXHIBIT 21</w:t>
      </w:r>
    </w:p>
    <w:p>
      <w:pPr>
        <w:spacing w:after="0" w:line="185"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LIST OF GENTEX CORPORATION SUBSIDIARIES</w:t>
      </w:r>
    </w:p>
    <w:p>
      <w:pPr>
        <w:spacing w:after="0" w:line="185" w:lineRule="exact"/>
        <w:rPr>
          <w:sz w:val="20"/>
          <w:szCs w:val="20"/>
          <w:color w:val="auto"/>
        </w:rPr>
      </w:pPr>
    </w:p>
    <w:p>
      <w:pPr>
        <w:ind w:left="465" w:right="3219" w:hanging="465"/>
        <w:spacing w:after="0" w:line="253" w:lineRule="auto"/>
        <w:tabs>
          <w:tab w:leader="none" w:pos="46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 Aviation Services, Inc., a Michigan corporation, is a wholly-owned subsidiary of Gentex Corporation.</w:t>
      </w:r>
    </w:p>
    <w:p>
      <w:pPr>
        <w:spacing w:after="0" w:line="174" w:lineRule="exact"/>
        <w:rPr>
          <w:rFonts w:ascii="Courier New" w:cs="Courier New" w:eastAsia="Courier New" w:hAnsi="Courier New"/>
          <w:sz w:val="15"/>
          <w:szCs w:val="15"/>
          <w:color w:val="auto"/>
        </w:rPr>
      </w:pPr>
    </w:p>
    <w:p>
      <w:pPr>
        <w:ind w:left="465" w:right="2839" w:hanging="465"/>
        <w:spacing w:after="0" w:line="253" w:lineRule="auto"/>
        <w:tabs>
          <w:tab w:leader="none" w:pos="46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Holdings, Inc., a Michigan corporation, is a wholly-owned subsidiary of Gentex Corporation.</w:t>
      </w:r>
    </w:p>
    <w:p>
      <w:pPr>
        <w:spacing w:after="0" w:line="174" w:lineRule="exact"/>
        <w:rPr>
          <w:rFonts w:ascii="Courier New" w:cs="Courier New" w:eastAsia="Courier New" w:hAnsi="Courier New"/>
          <w:sz w:val="15"/>
          <w:szCs w:val="15"/>
          <w:color w:val="auto"/>
        </w:rPr>
      </w:pPr>
    </w:p>
    <w:p>
      <w:pPr>
        <w:ind w:left="465" w:right="2939" w:hanging="465"/>
        <w:spacing w:after="0" w:line="253" w:lineRule="auto"/>
        <w:tabs>
          <w:tab w:leader="none" w:pos="46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GmbH, a German limited liability company, is a subsidiary 50% owned by Gentex Corporation and 50% owned by Gentex Holdings, Inc.</w:t>
      </w:r>
    </w:p>
    <w:p>
      <w:pPr>
        <w:spacing w:after="0" w:line="174" w:lineRule="exact"/>
        <w:rPr>
          <w:rFonts w:ascii="Courier New" w:cs="Courier New" w:eastAsia="Courier New" w:hAnsi="Courier New"/>
          <w:sz w:val="15"/>
          <w:szCs w:val="15"/>
          <w:color w:val="auto"/>
        </w:rPr>
      </w:pPr>
    </w:p>
    <w:p>
      <w:pPr>
        <w:ind w:left="465" w:right="2839" w:hanging="465"/>
        <w:spacing w:after="0" w:line="253" w:lineRule="auto"/>
        <w:tabs>
          <w:tab w:leader="none" w:pos="46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Japan, Inc., a Japanese corporation, is a wholly-owned subsidiary of Gentex Corporation.</w:t>
      </w:r>
    </w:p>
    <w:p>
      <w:pPr>
        <w:spacing w:after="0" w:line="174" w:lineRule="exact"/>
        <w:rPr>
          <w:rFonts w:ascii="Courier New" w:cs="Courier New" w:eastAsia="Courier New" w:hAnsi="Courier New"/>
          <w:sz w:val="15"/>
          <w:szCs w:val="15"/>
          <w:color w:val="auto"/>
        </w:rPr>
      </w:pPr>
    </w:p>
    <w:p>
      <w:pPr>
        <w:ind w:left="465" w:right="3399" w:hanging="465"/>
        <w:spacing w:after="0" w:line="253" w:lineRule="auto"/>
        <w:tabs>
          <w:tab w:leader="none" w:pos="46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Mirrors Ltd., a United Kingdom limited liability company, is a wholly-owned subsidiary of Gentex Corporation.</w:t>
      </w:r>
    </w:p>
    <w:p>
      <w:pPr>
        <w:spacing w:after="0" w:line="174" w:lineRule="exact"/>
        <w:rPr>
          <w:rFonts w:ascii="Courier New" w:cs="Courier New" w:eastAsia="Courier New" w:hAnsi="Courier New"/>
          <w:sz w:val="15"/>
          <w:szCs w:val="15"/>
          <w:color w:val="auto"/>
        </w:rPr>
      </w:pPr>
    </w:p>
    <w:p>
      <w:pPr>
        <w:ind w:left="465" w:right="3579" w:hanging="465"/>
        <w:spacing w:after="0" w:line="253" w:lineRule="auto"/>
        <w:tabs>
          <w:tab w:leader="none" w:pos="46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France, SAS, a French simplified liability corporation, is a wholly-owned subsidiary of Gentex Corporation.</w:t>
      </w:r>
    </w:p>
    <w:p>
      <w:pPr>
        <w:spacing w:after="0" w:line="174" w:lineRule="exact"/>
        <w:rPr>
          <w:rFonts w:ascii="Courier New" w:cs="Courier New" w:eastAsia="Courier New" w:hAnsi="Courier New"/>
          <w:sz w:val="15"/>
          <w:szCs w:val="15"/>
          <w:color w:val="auto"/>
        </w:rPr>
      </w:pPr>
    </w:p>
    <w:p>
      <w:pPr>
        <w:ind w:left="465" w:right="3019" w:hanging="465"/>
        <w:spacing w:after="0" w:line="253" w:lineRule="auto"/>
        <w:tabs>
          <w:tab w:leader="none" w:pos="46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Technologies Korea Co., Ltd., a Korean limited stock company, is a wholly-owned subsidiary of Gentex Corporation.</w:t>
      </w:r>
    </w:p>
    <w:p>
      <w:pPr>
        <w:spacing w:after="0" w:line="174" w:lineRule="exact"/>
        <w:rPr>
          <w:rFonts w:ascii="Courier New" w:cs="Courier New" w:eastAsia="Courier New" w:hAnsi="Courier New"/>
          <w:sz w:val="15"/>
          <w:szCs w:val="15"/>
          <w:color w:val="auto"/>
        </w:rPr>
      </w:pPr>
    </w:p>
    <w:p>
      <w:pPr>
        <w:ind w:left="465" w:right="3399" w:hanging="465"/>
        <w:spacing w:after="0" w:line="253" w:lineRule="auto"/>
        <w:tabs>
          <w:tab w:leader="none" w:pos="46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Gentex (Shanghai) Electronic Technology Co., Inc., a Chinese limited liability company, is a wholly-owned subsidiary of Gentex Corporation</w:t>
      </w:r>
    </w:p>
    <w:p>
      <w:pPr>
        <w:spacing w:after="0" w:line="35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5"/>
          </w:cols>
          <w:pgMar w:left="235" w:top="496" w:right="1440" w:bottom="1440" w:gutter="0" w:footer="0" w:header="0"/>
        </w:sectPr>
      </w:pPr>
    </w:p>
    <w:bookmarkStart w:id="57" w:name="page58"/>
    <w:bookmarkEnd w:id="57"/>
    <w:p>
      <w:pPr>
        <w:ind w:left="6180"/>
        <w:spacing w:after="0"/>
        <w:rPr>
          <w:sz w:val="20"/>
          <w:szCs w:val="20"/>
          <w:color w:val="auto"/>
        </w:rPr>
      </w:pPr>
      <w:r>
        <w:rPr>
          <w:rFonts w:ascii="Courier New" w:cs="Courier New" w:eastAsia="Courier New" w:hAnsi="Courier New"/>
          <w:sz w:val="15"/>
          <w:szCs w:val="15"/>
          <w:color w:val="auto"/>
        </w:rPr>
        <w:t>Exhibit 23(a)</w:t>
      </w:r>
    </w:p>
    <w:p>
      <w:pPr>
        <w:spacing w:after="0" w:line="18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(Form S-8 Nos. 333-101642, 33-65321, 333-04661, 333-105858 and 333-118213) pertaining to various stock option and incentive plans of Gentex Corporation of our reports dated February 9, 2007, with respect to the consolidated financial statements of Gentex Corporation and subsidiaries, Gentex Corporation management's assessment of the effectiveness of internal control over financial reporting, and the effectiveness of internal control over financial reporting of Gentex Corporation, included in this Annual Report (Form 10-K) for the year ended December 31, 2006.</w:t>
      </w: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Ernst &amp; Young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Grand Rapids, Michigan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23, 2007</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96" w:right="1440" w:bottom="1440" w:gutter="0" w:footer="0" w:header="0"/>
        </w:sectPr>
      </w:pPr>
    </w:p>
    <w:bookmarkStart w:id="58" w:name="page59"/>
    <w:bookmarkEnd w:id="58"/>
    <w:p>
      <w:pPr>
        <w:jc w:val="center"/>
        <w:ind w:right="2839"/>
        <w:spacing w:after="0"/>
        <w:rPr>
          <w:sz w:val="20"/>
          <w:szCs w:val="20"/>
          <w:color w:val="auto"/>
        </w:rPr>
      </w:pPr>
      <w:r>
        <w:rPr>
          <w:rFonts w:ascii="Courier New" w:cs="Courier New" w:eastAsia="Courier New" w:hAnsi="Courier New"/>
          <w:sz w:val="15"/>
          <w:szCs w:val="15"/>
          <w:color w:val="auto"/>
        </w:rPr>
        <w:t>EXHIBIT 31.1</w:t>
      </w:r>
    </w:p>
    <w:p>
      <w:pPr>
        <w:spacing w:after="0" w:line="18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CERTIFICATION OF THE CHIEF EXECUTIVE OFFICER OF GENTEX COPORATION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Fred T. Bauer, certify that:</w:t>
      </w:r>
    </w:p>
    <w:p>
      <w:pPr>
        <w:spacing w:after="0" w:line="185" w:lineRule="exact"/>
        <w:rPr>
          <w:sz w:val="20"/>
          <w:szCs w:val="20"/>
          <w:color w:val="auto"/>
        </w:rPr>
      </w:pPr>
    </w:p>
    <w:p>
      <w:pPr>
        <w:ind w:left="920" w:hanging="464"/>
        <w:spacing w:after="0"/>
        <w:tabs>
          <w:tab w:leader="none" w:pos="9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Gentex Corporation;</w:t>
      </w:r>
    </w:p>
    <w:p>
      <w:pPr>
        <w:spacing w:after="0" w:line="184" w:lineRule="exact"/>
        <w:rPr>
          <w:rFonts w:ascii="Courier New" w:cs="Courier New" w:eastAsia="Courier New" w:hAnsi="Courier New"/>
          <w:sz w:val="15"/>
          <w:szCs w:val="15"/>
          <w:color w:val="auto"/>
        </w:rPr>
      </w:pPr>
    </w:p>
    <w:p>
      <w:pPr>
        <w:ind w:left="920" w:right="2939" w:hanging="464"/>
        <w:spacing w:after="0" w:line="251" w:lineRule="auto"/>
        <w:tabs>
          <w:tab w:leader="none" w:pos="9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6" w:lineRule="exact"/>
        <w:rPr>
          <w:rFonts w:ascii="Courier New" w:cs="Courier New" w:eastAsia="Courier New" w:hAnsi="Courier New"/>
          <w:sz w:val="15"/>
          <w:szCs w:val="15"/>
          <w:color w:val="auto"/>
        </w:rPr>
      </w:pPr>
    </w:p>
    <w:p>
      <w:pPr>
        <w:ind w:left="920" w:right="2939" w:hanging="464"/>
        <w:spacing w:after="0" w:line="251" w:lineRule="auto"/>
        <w:tabs>
          <w:tab w:leader="none" w:pos="9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6" w:lineRule="exact"/>
        <w:rPr>
          <w:rFonts w:ascii="Courier New" w:cs="Courier New" w:eastAsia="Courier New" w:hAnsi="Courier New"/>
          <w:sz w:val="15"/>
          <w:szCs w:val="15"/>
          <w:color w:val="auto"/>
        </w:rPr>
      </w:pPr>
    </w:p>
    <w:p>
      <w:pPr>
        <w:jc w:val="both"/>
        <w:ind w:left="920" w:right="3119" w:hanging="464"/>
        <w:spacing w:after="0" w:line="250" w:lineRule="auto"/>
        <w:tabs>
          <w:tab w:leader="none" w:pos="9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13a-15(f) and 15d-15(f)] for the registrant and have:</w:t>
      </w:r>
    </w:p>
    <w:p>
      <w:pPr>
        <w:spacing w:after="0" w:line="184" w:lineRule="exact"/>
        <w:rPr>
          <w:rFonts w:ascii="Courier New" w:cs="Courier New" w:eastAsia="Courier New" w:hAnsi="Courier New"/>
          <w:sz w:val="15"/>
          <w:szCs w:val="15"/>
          <w:color w:val="auto"/>
        </w:rPr>
      </w:pPr>
    </w:p>
    <w:p>
      <w:pPr>
        <w:ind w:left="1840" w:right="2839" w:hanging="461"/>
        <w:spacing w:after="0" w:line="251" w:lineRule="auto"/>
        <w:tabs>
          <w:tab w:leader="none" w:pos="184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1840" w:right="2839" w:hanging="461"/>
        <w:spacing w:after="0" w:line="251" w:lineRule="auto"/>
        <w:tabs>
          <w:tab w:leader="none" w:pos="184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Courier New" w:cs="Courier New" w:eastAsia="Courier New" w:hAnsi="Courier New"/>
          <w:sz w:val="15"/>
          <w:szCs w:val="15"/>
          <w:color w:val="auto"/>
        </w:rPr>
      </w:pPr>
    </w:p>
    <w:p>
      <w:pPr>
        <w:ind w:left="1840" w:right="2839" w:hanging="461"/>
        <w:spacing w:after="0" w:line="251" w:lineRule="auto"/>
        <w:tabs>
          <w:tab w:leader="none" w:pos="184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76" w:lineRule="exact"/>
        <w:rPr>
          <w:rFonts w:ascii="Courier New" w:cs="Courier New" w:eastAsia="Courier New" w:hAnsi="Courier New"/>
          <w:sz w:val="15"/>
          <w:szCs w:val="15"/>
          <w:color w:val="auto"/>
        </w:rPr>
      </w:pPr>
    </w:p>
    <w:p>
      <w:pPr>
        <w:ind w:left="1840" w:right="2939" w:hanging="461"/>
        <w:spacing w:after="0" w:line="251" w:lineRule="auto"/>
        <w:tabs>
          <w:tab w:leader="none" w:pos="184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ind w:left="920" w:right="2839" w:hanging="464"/>
        <w:spacing w:after="0" w:line="251" w:lineRule="auto"/>
        <w:tabs>
          <w:tab w:leader="none" w:pos="9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ind w:left="1840" w:right="2939" w:hanging="461"/>
        <w:spacing w:after="0" w:line="251" w:lineRule="auto"/>
        <w:tabs>
          <w:tab w:leader="none" w:pos="184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ind w:left="1840" w:right="2839" w:hanging="461"/>
        <w:spacing w:after="0" w:line="252" w:lineRule="auto"/>
        <w:tabs>
          <w:tab w:leader="none" w:pos="184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February 22, 2007</w:t>
      </w:r>
    </w:p>
    <w:p>
      <w:pPr>
        <w:spacing w:after="0" w:line="36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Fred T. Bauer</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Fred T. Bauer</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Chief Executive Officer</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96" w:right="1440" w:bottom="1440" w:gutter="0" w:footer="0" w:header="0"/>
        </w:sectPr>
      </w:pPr>
    </w:p>
    <w:bookmarkStart w:id="59" w:name="page60"/>
    <w:bookmarkEnd w:id="59"/>
    <w:p>
      <w:pPr>
        <w:jc w:val="center"/>
        <w:ind w:right="2839"/>
        <w:spacing w:after="0"/>
        <w:rPr>
          <w:sz w:val="20"/>
          <w:szCs w:val="20"/>
          <w:color w:val="auto"/>
        </w:rPr>
      </w:pPr>
      <w:r>
        <w:rPr>
          <w:rFonts w:ascii="Courier New" w:cs="Courier New" w:eastAsia="Courier New" w:hAnsi="Courier New"/>
          <w:sz w:val="15"/>
          <w:szCs w:val="15"/>
          <w:color w:val="auto"/>
        </w:rPr>
        <w:t>EXHIBIT 31.2</w:t>
      </w:r>
    </w:p>
    <w:p>
      <w:pPr>
        <w:spacing w:after="0" w:line="18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CERTIFICATION OF THE CHIEF FINANCIAL OFFICER OF GENTEX COPORATION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Steven A. Dykman, certify that:</w:t>
      </w:r>
    </w:p>
    <w:p>
      <w:pPr>
        <w:spacing w:after="0" w:line="185" w:lineRule="exact"/>
        <w:rPr>
          <w:sz w:val="20"/>
          <w:szCs w:val="20"/>
          <w:color w:val="auto"/>
        </w:rPr>
      </w:pPr>
    </w:p>
    <w:p>
      <w:pPr>
        <w:ind w:left="920" w:hanging="464"/>
        <w:spacing w:after="0"/>
        <w:tabs>
          <w:tab w:leader="none" w:pos="9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annual report on Form 10-K of Gentex Corporation;</w:t>
      </w:r>
    </w:p>
    <w:p>
      <w:pPr>
        <w:spacing w:after="0" w:line="184" w:lineRule="exact"/>
        <w:rPr>
          <w:rFonts w:ascii="Courier New" w:cs="Courier New" w:eastAsia="Courier New" w:hAnsi="Courier New"/>
          <w:sz w:val="15"/>
          <w:szCs w:val="15"/>
          <w:color w:val="auto"/>
        </w:rPr>
      </w:pPr>
    </w:p>
    <w:p>
      <w:pPr>
        <w:ind w:left="920" w:right="2939" w:hanging="464"/>
        <w:spacing w:after="0" w:line="251" w:lineRule="auto"/>
        <w:tabs>
          <w:tab w:leader="none" w:pos="9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6" w:lineRule="exact"/>
        <w:rPr>
          <w:rFonts w:ascii="Courier New" w:cs="Courier New" w:eastAsia="Courier New" w:hAnsi="Courier New"/>
          <w:sz w:val="15"/>
          <w:szCs w:val="15"/>
          <w:color w:val="auto"/>
        </w:rPr>
      </w:pPr>
    </w:p>
    <w:p>
      <w:pPr>
        <w:ind w:left="920" w:right="2939" w:hanging="464"/>
        <w:spacing w:after="0" w:line="251" w:lineRule="auto"/>
        <w:tabs>
          <w:tab w:leader="none" w:pos="9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6" w:lineRule="exact"/>
        <w:rPr>
          <w:rFonts w:ascii="Courier New" w:cs="Courier New" w:eastAsia="Courier New" w:hAnsi="Courier New"/>
          <w:sz w:val="15"/>
          <w:szCs w:val="15"/>
          <w:color w:val="auto"/>
        </w:rPr>
      </w:pPr>
    </w:p>
    <w:p>
      <w:pPr>
        <w:jc w:val="both"/>
        <w:ind w:left="920" w:right="3119" w:hanging="464"/>
        <w:spacing w:after="0" w:line="250" w:lineRule="auto"/>
        <w:tabs>
          <w:tab w:leader="none" w:pos="9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13a-15(f) and 15d-15(f)] for the registrant and have:</w:t>
      </w:r>
    </w:p>
    <w:p>
      <w:pPr>
        <w:spacing w:after="0" w:line="184" w:lineRule="exact"/>
        <w:rPr>
          <w:rFonts w:ascii="Courier New" w:cs="Courier New" w:eastAsia="Courier New" w:hAnsi="Courier New"/>
          <w:sz w:val="15"/>
          <w:szCs w:val="15"/>
          <w:color w:val="auto"/>
        </w:rPr>
      </w:pPr>
    </w:p>
    <w:p>
      <w:pPr>
        <w:ind w:left="1840" w:right="2839" w:hanging="461"/>
        <w:spacing w:after="0" w:line="251" w:lineRule="auto"/>
        <w:tabs>
          <w:tab w:leader="none" w:pos="184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5" w:lineRule="exact"/>
        <w:rPr>
          <w:rFonts w:ascii="Courier New" w:cs="Courier New" w:eastAsia="Courier New" w:hAnsi="Courier New"/>
          <w:sz w:val="15"/>
          <w:szCs w:val="15"/>
          <w:color w:val="auto"/>
        </w:rPr>
      </w:pPr>
    </w:p>
    <w:p>
      <w:pPr>
        <w:ind w:left="1840" w:right="2839" w:hanging="461"/>
        <w:spacing w:after="0" w:line="251" w:lineRule="auto"/>
        <w:tabs>
          <w:tab w:leader="none" w:pos="184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Courier New" w:cs="Courier New" w:eastAsia="Courier New" w:hAnsi="Courier New"/>
          <w:sz w:val="15"/>
          <w:szCs w:val="15"/>
          <w:color w:val="auto"/>
        </w:rPr>
      </w:pPr>
    </w:p>
    <w:p>
      <w:pPr>
        <w:ind w:left="1840" w:right="2939" w:hanging="461"/>
        <w:spacing w:after="0" w:line="251" w:lineRule="auto"/>
        <w:tabs>
          <w:tab w:leader="none" w:pos="184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and presented in this annual report our conclusions about the effectiveness of the disclosure controls and procedures, as of end of the period covered by this annual report based on such evaluation; and</w:t>
      </w:r>
    </w:p>
    <w:p>
      <w:pPr>
        <w:spacing w:after="0" w:line="176" w:lineRule="exact"/>
        <w:rPr>
          <w:rFonts w:ascii="Courier New" w:cs="Courier New" w:eastAsia="Courier New" w:hAnsi="Courier New"/>
          <w:sz w:val="15"/>
          <w:szCs w:val="15"/>
          <w:color w:val="auto"/>
        </w:rPr>
      </w:pPr>
    </w:p>
    <w:p>
      <w:pPr>
        <w:ind w:left="1840" w:right="2939" w:hanging="461"/>
        <w:spacing w:after="0" w:line="251" w:lineRule="auto"/>
        <w:tabs>
          <w:tab w:leader="none" w:pos="184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ind w:left="920" w:right="2839" w:hanging="464"/>
        <w:spacing w:after="0" w:line="251" w:lineRule="auto"/>
        <w:tabs>
          <w:tab w:leader="none" w:pos="9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ind w:left="1840" w:right="2939" w:hanging="461"/>
        <w:spacing w:after="0" w:line="251" w:lineRule="auto"/>
        <w:tabs>
          <w:tab w:leader="none" w:pos="184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ind w:left="1840" w:right="2839" w:hanging="461"/>
        <w:spacing w:after="0" w:line="252" w:lineRule="auto"/>
        <w:tabs>
          <w:tab w:leader="none" w:pos="184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February 22, 2007</w:t>
      </w:r>
    </w:p>
    <w:p>
      <w:pPr>
        <w:spacing w:after="0" w:line="36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Steven A. Dykman</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Steven A. Dykman</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Vice President, Finance</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97" w:right="1440" w:bottom="1440" w:gutter="0" w:footer="0" w:header="0"/>
        </w:sectPr>
      </w:pPr>
    </w:p>
    <w:bookmarkStart w:id="60" w:name="page61"/>
    <w:bookmarkEnd w:id="60"/>
    <w:p>
      <w:pPr>
        <w:jc w:val="center"/>
        <w:ind w:right="2839"/>
        <w:spacing w:after="0"/>
        <w:rPr>
          <w:sz w:val="20"/>
          <w:szCs w:val="20"/>
          <w:color w:val="auto"/>
        </w:rPr>
      </w:pPr>
      <w:r>
        <w:rPr>
          <w:rFonts w:ascii="Courier New" w:cs="Courier New" w:eastAsia="Courier New" w:hAnsi="Courier New"/>
          <w:sz w:val="15"/>
          <w:szCs w:val="15"/>
          <w:color w:val="auto"/>
        </w:rPr>
        <w:t>EXHIBIT 32</w:t>
      </w:r>
    </w:p>
    <w:p>
      <w:pPr>
        <w:spacing w:after="0" w:line="185" w:lineRule="exact"/>
        <w:rPr>
          <w:sz w:val="20"/>
          <w:szCs w:val="20"/>
          <w:color w:val="auto"/>
        </w:rPr>
      </w:pPr>
    </w:p>
    <w:p>
      <w:pPr>
        <w:ind w:left="2200" w:right="3859" w:hanging="1106"/>
        <w:spacing w:after="0" w:line="253" w:lineRule="auto"/>
        <w:rPr>
          <w:sz w:val="20"/>
          <w:szCs w:val="20"/>
          <w:color w:val="auto"/>
        </w:rPr>
      </w:pPr>
      <w:r>
        <w:rPr>
          <w:rFonts w:ascii="Courier New" w:cs="Courier New" w:eastAsia="Courier New" w:hAnsi="Courier New"/>
          <w:sz w:val="15"/>
          <w:szCs w:val="15"/>
          <w:color w:val="auto"/>
        </w:rPr>
        <w:t>CERTIFICATE PURSUANT TO SECTION 906 OF THE SARBANES-OXLEY ACT OF 2002 (18-U.S.C. SECTION 1350)</w:t>
      </w:r>
    </w:p>
    <w:p>
      <w:pPr>
        <w:spacing w:after="0" w:line="17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Each, Fred T. Bauer, Chief Executive Officer of Gentex Corporation, and Steven A. Dykman, Chief Financial Officer of Gentex Corporation, certify to the best of their knowledge and belief, pursuant to Section 906 of the Sarbanes-Oxley Act of 2002 (18 U.S.C. Section 1350), that:</w:t>
      </w:r>
    </w:p>
    <w:p>
      <w:pPr>
        <w:spacing w:after="0" w:line="176" w:lineRule="exact"/>
        <w:rPr>
          <w:sz w:val="20"/>
          <w:szCs w:val="20"/>
          <w:color w:val="auto"/>
        </w:rPr>
      </w:pPr>
    </w:p>
    <w:p>
      <w:pPr>
        <w:ind w:left="920" w:right="2839" w:hanging="464"/>
        <w:spacing w:after="0" w:line="252" w:lineRule="auto"/>
        <w:tabs>
          <w:tab w:leader="none" w:pos="9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report on Form 10-K for the year ended December 31, 2006, which this statement accompanies, fully complies with the requirements of Section 13(a) or 15(d) of the Securities Exchange Act of 1934; and</w:t>
      </w:r>
    </w:p>
    <w:p>
      <w:pPr>
        <w:spacing w:after="0" w:line="174" w:lineRule="exact"/>
        <w:rPr>
          <w:rFonts w:ascii="Courier New" w:cs="Courier New" w:eastAsia="Courier New" w:hAnsi="Courier New"/>
          <w:sz w:val="15"/>
          <w:szCs w:val="15"/>
          <w:color w:val="auto"/>
        </w:rPr>
      </w:pPr>
    </w:p>
    <w:p>
      <w:pPr>
        <w:ind w:left="920" w:right="2939" w:hanging="464"/>
        <w:spacing w:after="0" w:line="251" w:lineRule="auto"/>
        <w:tabs>
          <w:tab w:leader="none" w:pos="9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this annual report on Form 10-K of the year ended December 31, 2006, fairly presents, in all material respects, the financial condition and results of operations of Gentex Corporation.</w:t>
      </w:r>
    </w:p>
    <w:p>
      <w:pPr>
        <w:sectPr>
          <w:pgSz w:w="11900" w:h="16838" w:orient="portrait"/>
          <w:cols w:equalWidth="0" w:num="1">
            <w:col w:w="10219"/>
          </w:cols>
          <w:pgMar w:left="240" w:top="496"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February 22, 2007</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GENTEX CORPORATION</w:t>
      </w:r>
    </w:p>
    <w:p>
      <w:pPr>
        <w:spacing w:after="0" w:line="200" w:lineRule="exact"/>
        <w:rPr>
          <w:sz w:val="20"/>
          <w:szCs w:val="20"/>
          <w:color w:val="auto"/>
        </w:rPr>
      </w:pPr>
    </w:p>
    <w:p>
      <w:pPr>
        <w:sectPr>
          <w:pgSz w:w="11900" w:h="16838" w:orient="portrait"/>
          <w:cols w:equalWidth="0" w:num="2">
            <w:col w:w="2960" w:space="720"/>
            <w:col w:w="6539"/>
          </w:cols>
          <w:pgMar w:left="240" w:top="496" w:right="1440" w:bottom="1440" w:gutter="0" w:footer="0" w:header="0"/>
          <w:type w:val="continuous"/>
        </w:sectPr>
      </w:pPr>
    </w:p>
    <w:p>
      <w:pPr>
        <w:spacing w:after="0" w:line="16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Fred T. Bauer</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Fred T. Bauer</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Its Chief Executive Officer</w:t>
      </w:r>
    </w:p>
    <w:p>
      <w:pPr>
        <w:spacing w:after="0" w:line="36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Steven A. Dykman</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Steven A. Dykman</w:t>
      </w:r>
    </w:p>
    <w:p>
      <w:pPr>
        <w:sectPr>
          <w:pgSz w:w="11900" w:h="16838" w:orient="portrait"/>
          <w:cols w:equalWidth="0" w:num="1">
            <w:col w:w="10219"/>
          </w:cols>
          <w:pgMar w:left="240" w:top="496" w:right="1440" w:bottom="1440" w:gutter="0" w:footer="0" w:header="0"/>
          <w:type w:val="continuous"/>
        </w:sectPr>
      </w:pP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Its Vice President-Finance/Chief</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Financial Officer</w:t>
      </w:r>
    </w:p>
    <w:p>
      <w:pPr>
        <w:spacing w:after="0" w:line="185" w:lineRule="exact"/>
        <w:rPr>
          <w:sz w:val="20"/>
          <w:szCs w:val="20"/>
          <w:color w:val="auto"/>
        </w:rPr>
      </w:pPr>
    </w:p>
    <w:p>
      <w:pPr>
        <w:ind w:right="3299"/>
        <w:spacing w:after="0" w:line="252" w:lineRule="auto"/>
        <w:rPr>
          <w:sz w:val="20"/>
          <w:szCs w:val="20"/>
          <w:color w:val="auto"/>
        </w:rPr>
      </w:pPr>
      <w:r>
        <w:rPr>
          <w:rFonts w:ascii="Courier New" w:cs="Courier New" w:eastAsia="Courier New" w:hAnsi="Courier New"/>
          <w:sz w:val="15"/>
          <w:szCs w:val="15"/>
          <w:color w:val="auto"/>
        </w:rPr>
        <w:t>A signed original of this written statement has been provided to Gentex Corporation and will be retained by Gentex Corporation and furnished to the Securities and Exchange Commission or its staff upon request.</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-52-</w:t>
      </w:r>
    </w:p>
    <w:sectPr>
      <w:pgSz w:w="11900" w:h="16838" w:orient="portrait"/>
      <w:cols w:equalWidth="0" w:num="1">
        <w:col w:w="10219"/>
      </w:cols>
      <w:pgMar w:left="240" w:top="49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24"/>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lowerLetter"/>
      <w:start w:val="1"/>
    </w:lvl>
    <w:lvl w:ilvl="1">
      <w:lvlJc w:val="left"/>
      <w:lvlText w:val="%2."/>
      <w:numFmt w:val="decimal"/>
      <w:start w:val="2"/>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6"/>
    </w:lvl>
  </w:abstractNum>
  <w:abstractNum w:abstractNumId="27">
    <w:nsid w:val="737B8DDC"/>
    <w:multiLevelType w:val="hybridMultilevel"/>
    <w:lvl w:ilvl="0">
      <w:lvlJc w:val="left"/>
      <w:lvlText w:val="(%1)"/>
      <w:numFmt w:val="decimal"/>
      <w:start w:val="6"/>
    </w:lvl>
  </w:abstractNum>
  <w:abstractNum w:abstractNumId="28">
    <w:nsid w:val="6CEAF087"/>
    <w:multiLevelType w:val="hybridMultilevel"/>
    <w:lvl w:ilvl="0">
      <w:lvlJc w:val="left"/>
      <w:lvlText w:val="(%1)"/>
      <w:numFmt w:val="decimal"/>
      <w:start w:val="9"/>
    </w:lvl>
  </w:abstractNum>
  <w:abstractNum w:abstractNumId="29">
    <w:nsid w:val="22221A70"/>
    <w:multiLevelType w:val="hybridMultilevel"/>
    <w:lvl w:ilvl="0">
      <w:lvlJc w:val="left"/>
      <w:lvlText w:val="%1"/>
      <w:numFmt w:val="decimal"/>
      <w:start w:val="32"/>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2019-12-13T10:57:41Z</dcterms:created>
  <dcterms:modified xsi:type="dcterms:W3CDTF">2019-12-13T10:57:41Z</dcterms:modified>
</cp:coreProperties>
</file>