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4"/>
          <w:szCs w:val="24"/>
          <w:color w:val="auto"/>
        </w:rPr>
      </w:pPr>
    </w:p>
    <w:p>
      <w:pPr>
        <w:ind w:left="3780"/>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1120" w:right="859" w:hanging="890"/>
        <w:spacing w:after="0" w:line="256" w:lineRule="auto"/>
        <w:tabs>
          <w:tab w:leader="none" w:pos="11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 xml:space="preserve">For fiscal year ended </w:t>
      </w:r>
      <w:r>
        <w:rPr>
          <w:rFonts w:ascii="Arial" w:cs="Arial" w:eastAsia="Arial" w:hAnsi="Arial"/>
          <w:sz w:val="18"/>
          <w:szCs w:val="18"/>
          <w:b w:val="1"/>
          <w:bCs w:val="1"/>
          <w:u w:val="single" w:color="auto"/>
          <w:color w:val="auto"/>
        </w:rPr>
        <w:t>December 31, 2008</w:t>
      </w:r>
      <w:r>
        <w:rPr>
          <w:rFonts w:ascii="Arial" w:cs="Arial" w:eastAsia="Arial" w:hAnsi="Arial"/>
          <w:sz w:val="18"/>
          <w:szCs w:val="18"/>
          <w:b w:val="1"/>
          <w:bCs w:val="1"/>
          <w:color w:val="auto"/>
        </w:rPr>
        <w:t>.</w:t>
      </w:r>
    </w:p>
    <w:p>
      <w:pPr>
        <w:spacing w:after="0" w:line="216" w:lineRule="exact"/>
        <w:rPr>
          <w:sz w:val="24"/>
          <w:szCs w:val="24"/>
          <w:color w:val="auto"/>
        </w:rPr>
      </w:pPr>
    </w:p>
    <w:p>
      <w:pPr>
        <w:ind w:left="1120" w:right="1779" w:hanging="850"/>
        <w:spacing w:after="0" w:line="256" w:lineRule="auto"/>
        <w:tabs>
          <w:tab w:leader="none" w:pos="11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1120"/>
        <w:spacing w:after="0"/>
        <w:tabs>
          <w:tab w:leader="none" w:pos="4400" w:val="left"/>
          <w:tab w:leader="none" w:pos="5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2211705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7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0-10235</w:t>
      </w:r>
    </w:p>
    <w:p>
      <w:pPr>
        <w:spacing w:after="0" w:line="160"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GENTEX CORPORATION</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500" w:type="dxa"/>
        <w:tblCellMar>
          <w:top w:w="0" w:type="dxa"/>
          <w:left w:w="0" w:type="dxa"/>
          <w:bottom w:w="0" w:type="dxa"/>
          <w:right w:w="0" w:type="dxa"/>
        </w:tblCellMar>
      </w:tblPr>
      <w:tr>
        <w:trPr>
          <w:trHeight w:val="220"/>
        </w:trPr>
        <w:tc>
          <w:tcPr>
            <w:tcW w:w="46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Michigan</w:t>
            </w:r>
          </w:p>
        </w:tc>
        <w:tc>
          <w:tcPr>
            <w:tcW w:w="2600" w:type="dxa"/>
            <w:vAlign w:val="bottom"/>
          </w:tcPr>
          <w:p>
            <w:pPr>
              <w:jc w:val="right"/>
              <w:ind w:right="150"/>
              <w:spacing w:after="0"/>
              <w:rPr>
                <w:sz w:val="20"/>
                <w:szCs w:val="20"/>
                <w:color w:val="auto"/>
              </w:rPr>
            </w:pPr>
            <w:r>
              <w:rPr>
                <w:rFonts w:ascii="Arial" w:cs="Arial" w:eastAsia="Arial" w:hAnsi="Arial"/>
                <w:sz w:val="18"/>
                <w:szCs w:val="18"/>
                <w:b w:val="1"/>
                <w:bCs w:val="1"/>
                <w:color w:val="auto"/>
              </w:rPr>
              <w:t>38-2030505</w:t>
            </w:r>
          </w:p>
        </w:tc>
      </w:tr>
      <w:tr>
        <w:trPr>
          <w:trHeight w:val="216"/>
        </w:trPr>
        <w:tc>
          <w:tcPr>
            <w:tcW w:w="4680" w:type="dxa"/>
            <w:vAlign w:val="bottom"/>
          </w:tcPr>
          <w:p>
            <w:pPr>
              <w:ind w:left="640"/>
              <w:spacing w:after="0"/>
              <w:rPr>
                <w:sz w:val="20"/>
                <w:szCs w:val="20"/>
                <w:color w:val="auto"/>
              </w:rPr>
            </w:pPr>
            <w:r>
              <w:rPr>
                <w:rFonts w:ascii="Arial" w:cs="Arial" w:eastAsia="Arial" w:hAnsi="Arial"/>
                <w:sz w:val="18"/>
                <w:szCs w:val="18"/>
                <w:color w:val="auto"/>
              </w:rPr>
              <w:t>(State or other jurisdiction of</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4680" w:type="dxa"/>
            <w:vAlign w:val="bottom"/>
          </w:tcPr>
          <w:p>
            <w:pPr>
              <w:jc w:val="center"/>
              <w:ind w:right="1170"/>
              <w:spacing w:after="0"/>
              <w:rPr>
                <w:sz w:val="20"/>
                <w:szCs w:val="20"/>
                <w:color w:val="auto"/>
              </w:rPr>
            </w:pPr>
            <w:r>
              <w:rPr>
                <w:rFonts w:ascii="Arial" w:cs="Arial" w:eastAsia="Arial" w:hAnsi="Arial"/>
                <w:sz w:val="18"/>
                <w:szCs w:val="18"/>
                <w:color w:val="auto"/>
                <w:w w:val="93"/>
              </w:rPr>
              <w:t>incorporation or organization)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6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600 N. Centennial Street, Zeeland, Michigan</w:t>
            </w:r>
          </w:p>
        </w:tc>
        <w:tc>
          <w:tcPr>
            <w:tcW w:w="2600" w:type="dxa"/>
            <w:vAlign w:val="bottom"/>
          </w:tcPr>
          <w:p>
            <w:pPr>
              <w:jc w:val="right"/>
              <w:ind w:right="370"/>
              <w:spacing w:after="0"/>
              <w:rPr>
                <w:sz w:val="20"/>
                <w:szCs w:val="20"/>
                <w:color w:val="auto"/>
              </w:rPr>
            </w:pPr>
            <w:r>
              <w:rPr>
                <w:rFonts w:ascii="Arial" w:cs="Arial" w:eastAsia="Arial" w:hAnsi="Arial"/>
                <w:sz w:val="18"/>
                <w:szCs w:val="18"/>
                <w:b w:val="1"/>
                <w:bCs w:val="1"/>
                <w:color w:val="auto"/>
              </w:rPr>
              <w:t>49464</w:t>
            </w:r>
          </w:p>
        </w:tc>
      </w:tr>
      <w:tr>
        <w:trPr>
          <w:trHeight w:val="230"/>
        </w:trPr>
        <w:tc>
          <w:tcPr>
            <w:tcW w:w="4680" w:type="dxa"/>
            <w:vAlign w:val="bottom"/>
          </w:tcPr>
          <w:p>
            <w:pPr>
              <w:jc w:val="center"/>
              <w:ind w:right="1170"/>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bl>
    <w:p>
      <w:pPr>
        <w:spacing w:after="0" w:line="15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(616) 772-1800</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4"/>
          <w:szCs w:val="24"/>
          <w:color w:val="auto"/>
        </w:rPr>
      </w:pPr>
    </w:p>
    <w:p>
      <w:pPr>
        <w:ind w:left="25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8"/>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$.06 per share</w:t>
            </w:r>
          </w:p>
        </w:tc>
        <w:tc>
          <w:tcPr>
            <w:tcW w:w="46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56"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8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(Title of Class)</w:t>
      </w:r>
    </w:p>
    <w:p>
      <w:pPr>
        <w:spacing w:after="0" w:line="184" w:lineRule="exact"/>
        <w:rPr>
          <w:sz w:val="24"/>
          <w:szCs w:val="24"/>
          <w:color w:val="auto"/>
        </w:rPr>
      </w:pPr>
    </w:p>
    <w:p>
      <w:pPr>
        <w:ind w:right="1439"/>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2" w:lineRule="exact"/>
        <w:rPr>
          <w:sz w:val="24"/>
          <w:szCs w:val="24"/>
          <w:color w:val="auto"/>
        </w:rPr>
      </w:pPr>
    </w:p>
    <w:p>
      <w:pPr>
        <w:ind w:right="1279"/>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4"/>
          <w:szCs w:val="24"/>
          <w:color w:val="auto"/>
        </w:rPr>
      </w:pPr>
    </w:p>
    <w:p>
      <w:pPr>
        <w:ind w:right="59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4"/>
          <w:szCs w:val="24"/>
          <w:color w:val="auto"/>
        </w:rPr>
      </w:pPr>
    </w:p>
    <w:p>
      <w:pPr>
        <w:jc w:val="both"/>
        <w:ind w:right="679"/>
        <w:spacing w:after="0" w:line="286" w:lineRule="auto"/>
        <w:rPr>
          <w:sz w:val="20"/>
          <w:szCs w:val="20"/>
          <w:color w:val="auto"/>
        </w:rPr>
      </w:pPr>
      <w:r>
        <w:rPr>
          <w:rFonts w:ascii="Arial" w:cs="Arial" w:eastAsia="Arial" w:hAnsi="Arial"/>
          <w:sz w:val="17"/>
          <w:szCs w:val="17"/>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5" w:lineRule="exact"/>
        <w:rPr>
          <w:sz w:val="24"/>
          <w:szCs w:val="24"/>
          <w:color w:val="auto"/>
        </w:rPr>
      </w:pPr>
    </w:p>
    <w:p>
      <w:pPr>
        <w:ind w:right="61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9879"/>
          </w:cols>
          <w:pgMar w:left="580" w:top="481" w:right="1440" w:bottom="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4"/>
          <w:szCs w:val="24"/>
          <w:color w:val="auto"/>
        </w:rPr>
      </w:pPr>
    </w:p>
    <w:p>
      <w:pPr>
        <w:sectPr>
          <w:pgSz w:w="11900" w:h="16838" w:orient="portrait"/>
          <w:cols w:equalWidth="0" w:num="4">
            <w:col w:w="1920" w:space="200"/>
            <w:col w:w="1380" w:space="200"/>
            <w:col w:w="3300" w:space="120"/>
            <w:col w:w="2759"/>
          </w:cols>
          <w:pgMar w:left="580" w:top="481" w:right="1440" w:bottom="0" w:gutter="0" w:footer="0" w:header="0"/>
          <w:type w:val="continuous"/>
        </w:sect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242" w:lineRule="exact"/>
        <w:rPr>
          <w:sz w:val="24"/>
          <w:szCs w:val="24"/>
          <w:color w:val="auto"/>
        </w:rPr>
      </w:pPr>
    </w:p>
    <w:p>
      <w:pPr>
        <w:jc w:val="both"/>
        <w:ind w:right="639"/>
        <w:spacing w:after="0" w:line="302" w:lineRule="auto"/>
        <w:rPr>
          <w:sz w:val="20"/>
          <w:szCs w:val="20"/>
          <w:color w:val="auto"/>
        </w:rPr>
      </w:pPr>
      <w:r>
        <w:rPr>
          <w:rFonts w:ascii="Arial" w:cs="Arial" w:eastAsia="Arial" w:hAnsi="Arial"/>
          <w:sz w:val="16"/>
          <w:szCs w:val="16"/>
          <w:color w:val="auto"/>
        </w:rPr>
        <w:t>As of June 30, 2008 (the last business day of the registrant’s most recently completed second fiscal quarter), 135,608,920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$1,958,192,805 computed at the closing price on that date.</w:t>
      </w:r>
    </w:p>
    <w:p>
      <w:pPr>
        <w:spacing w:after="0" w:line="114"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10, 2009, 137,631,052 shares of the registrant’s common stock, par value $.06 per share, were outstanding.</w:t>
      </w:r>
    </w:p>
    <w:p>
      <w:pPr>
        <w:spacing w:after="0" w:line="208" w:lineRule="exact"/>
        <w:rPr>
          <w:sz w:val="24"/>
          <w:szCs w:val="24"/>
          <w:color w:val="auto"/>
        </w:rPr>
      </w:pPr>
    </w:p>
    <w:p>
      <w:pPr>
        <w:ind w:right="959"/>
        <w:spacing w:after="0" w:line="277" w:lineRule="auto"/>
        <w:rPr>
          <w:sz w:val="20"/>
          <w:szCs w:val="20"/>
          <w:color w:val="auto"/>
        </w:rPr>
      </w:pPr>
      <w:r>
        <w:rPr>
          <w:rFonts w:ascii="Arial" w:cs="Arial" w:eastAsia="Arial" w:hAnsi="Arial"/>
          <w:sz w:val="18"/>
          <w:szCs w:val="18"/>
          <w:color w:val="auto"/>
        </w:rPr>
        <w:t>Portions of the Company’s Proxy Statement for its 2009 Annual Meeting of Shareholders are incorporated by reference into Part III.</w:t>
      </w:r>
    </w:p>
    <w:p>
      <w:pPr>
        <w:sectPr>
          <w:pgSz w:w="11900" w:h="16838" w:orient="portrait"/>
          <w:cols w:equalWidth="0" w:num="1">
            <w:col w:w="9879"/>
          </w:cols>
          <w:pgMar w:left="580" w:top="481" w:right="1440" w:bottom="0" w:gutter="0" w:footer="0" w:header="0"/>
          <w:type w:val="continuous"/>
        </w:sectPr>
      </w:pPr>
    </w:p>
    <w:bookmarkStart w:id="1" w:name="page2"/>
    <w:bookmarkEnd w:id="1"/>
    <w:p>
      <w:pPr>
        <w:ind w:left="2620"/>
        <w:spacing w:after="0"/>
        <w:rPr>
          <w:sz w:val="20"/>
          <w:szCs w:val="20"/>
          <w:color w:val="auto"/>
        </w:rPr>
      </w:pPr>
      <w:r>
        <w:rPr>
          <w:rFonts w:ascii="Arial" w:cs="Arial" w:eastAsia="Arial" w:hAnsi="Arial"/>
          <w:sz w:val="16"/>
          <w:szCs w:val="16"/>
          <w:color w:val="auto"/>
        </w:rPr>
        <w:t>Exhibit Index located at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158115</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833755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360"/>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Development of Business</w:t>
      </w:r>
    </w:p>
    <w:p>
      <w:pPr>
        <w:spacing w:after="0" w:line="189" w:lineRule="exact"/>
        <w:rPr>
          <w:sz w:val="20"/>
          <w:szCs w:val="20"/>
          <w:color w:val="auto"/>
        </w:rPr>
      </w:pPr>
    </w:p>
    <w:p>
      <w:pPr>
        <w:ind w:right="799" w:firstLine="747"/>
        <w:spacing w:after="0" w:line="259" w:lineRule="auto"/>
        <w:rPr>
          <w:sz w:val="20"/>
          <w:szCs w:val="20"/>
          <w:color w:val="auto"/>
        </w:rPr>
      </w:pPr>
      <w:r>
        <w:rPr>
          <w:rFonts w:ascii="Arial" w:cs="Arial" w:eastAsia="Arial" w:hAnsi="Arial"/>
          <w:sz w:val="18"/>
          <w:szCs w:val="18"/>
          <w:color w:val="auto"/>
        </w:rPr>
        <w:t>Gentex Corporation (the “Company”) designs, develops, manufactures and markets proprietary products employing electro-optic technology: automatic-dimming rearview automotive mirrors and fire protection products. The Company also developed and manufactures variable dimmable windows for the aircraft industry and non-automatic-dimming rearview automotive mirrors with electronic features.</w:t>
      </w:r>
    </w:p>
    <w:p>
      <w:pPr>
        <w:spacing w:after="0" w:line="160" w:lineRule="exact"/>
        <w:rPr>
          <w:sz w:val="20"/>
          <w:szCs w:val="20"/>
          <w:color w:val="auto"/>
        </w:rPr>
      </w:pPr>
    </w:p>
    <w:p>
      <w:pPr>
        <w:ind w:right="599" w:firstLine="747"/>
        <w:spacing w:after="0" w:line="285" w:lineRule="auto"/>
        <w:rPr>
          <w:sz w:val="20"/>
          <w:szCs w:val="20"/>
          <w:color w:val="auto"/>
        </w:rPr>
      </w:pPr>
      <w:r>
        <w:rPr>
          <w:rFonts w:ascii="Arial" w:cs="Arial" w:eastAsia="Arial" w:hAnsi="Arial"/>
          <w:sz w:val="16"/>
          <w:szCs w:val="16"/>
          <w:color w:val="auto"/>
        </w:rPr>
        <w:t>The Company was organized as a Michigan company in 1974 to manufacture residential smoke detectors, a product line that has since evolved into a more sophisticated group of fire protection products primarily for the commercial building industry. In 1982, the Company introduced an automatic interior rearview mirror that was the first commercially successful glare-control product offered as an alternative to the conventional, manual day/night mirror. In 1987, the Company introduced its interior electrochromic (auto-dimming) mirror, providing the first successful commercial application of electrochromic</w:t>
      </w:r>
    </w:p>
    <w:p>
      <w:pPr>
        <w:spacing w:after="0" w:line="2" w:lineRule="exact"/>
        <w:rPr>
          <w:sz w:val="20"/>
          <w:szCs w:val="20"/>
          <w:color w:val="auto"/>
        </w:rPr>
      </w:pPr>
    </w:p>
    <w:p>
      <w:pPr>
        <w:ind w:right="699"/>
        <w:spacing w:after="0" w:line="253" w:lineRule="auto"/>
        <w:rPr>
          <w:sz w:val="20"/>
          <w:szCs w:val="20"/>
          <w:color w:val="auto"/>
        </w:rPr>
      </w:pPr>
      <w:r>
        <w:rPr>
          <w:rFonts w:ascii="Arial" w:cs="Arial" w:eastAsia="Arial" w:hAnsi="Arial"/>
          <w:sz w:val="18"/>
          <w:szCs w:val="18"/>
          <w:color w:val="auto"/>
        </w:rPr>
        <w:t>(EC) technology in the automotive industry and world. Through the use of electrochromic technology, this mirror is continually variable and automatically darkens to the degree required to eliminate rearview mirror headlight glare. In 1991, the Company introduced its exterior electrochromic sub-assembly, which works as a complete glare-control system with the interior auto-dimming mirror. In 1997, the Company began making volume shipments of three new exterior mirror sub-assembly products: thin glass flat, convex and aspheric.</w:t>
      </w:r>
    </w:p>
    <w:p>
      <w:pPr>
        <w:spacing w:after="0" w:line="151" w:lineRule="exact"/>
        <w:rPr>
          <w:sz w:val="20"/>
          <w:szCs w:val="20"/>
          <w:color w:val="auto"/>
        </w:rPr>
      </w:pPr>
    </w:p>
    <w:p>
      <w:pPr>
        <w:ind w:right="579" w:firstLine="747"/>
        <w:spacing w:after="0" w:line="297" w:lineRule="auto"/>
        <w:rPr>
          <w:sz w:val="20"/>
          <w:szCs w:val="20"/>
          <w:color w:val="auto"/>
        </w:rPr>
      </w:pPr>
      <w:r>
        <w:rPr>
          <w:rFonts w:ascii="Arial" w:cs="Arial" w:eastAsia="Arial" w:hAnsi="Arial"/>
          <w:sz w:val="16"/>
          <w:szCs w:val="16"/>
          <w:color w:val="auto"/>
        </w:rPr>
        <w:t>During 2001, the Company announced a revolutionary new proprietary technology, called SmartBeam</w:t>
      </w:r>
      <w:r>
        <w:rPr>
          <w:rFonts w:ascii="Arial" w:cs="Arial" w:eastAsia="Arial" w:hAnsi="Arial"/>
          <w:sz w:val="13"/>
          <w:szCs w:val="13"/>
          <w:color w:val="auto"/>
        </w:rPr>
        <w:t>®</w:t>
      </w:r>
      <w:r>
        <w:rPr>
          <w:rFonts w:ascii="Arial" w:cs="Arial" w:eastAsia="Arial" w:hAnsi="Arial"/>
          <w:sz w:val="16"/>
          <w:szCs w:val="16"/>
          <w:color w:val="auto"/>
        </w:rPr>
        <w:t>, that uses a custom, active-pixel, CMOS (complementary metal oxide semiconductor) sensor, and maximizes a driver’s forward vision by significantly improving utilization of the vehicle’s highbeam headlamps during nighttime driving. During 2004,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During 2008,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xml:space="preserve"> on seven additional models for Audi, Opel, Chrysler, Bavarian Motor Works, A.G. (BMW) and Toyota.</w:t>
      </w:r>
    </w:p>
    <w:p>
      <w:pPr>
        <w:spacing w:after="0" w:line="118" w:lineRule="exact"/>
        <w:rPr>
          <w:sz w:val="20"/>
          <w:szCs w:val="20"/>
          <w:color w:val="auto"/>
        </w:rPr>
      </w:pPr>
    </w:p>
    <w:p>
      <w:pPr>
        <w:ind w:right="559" w:firstLine="747"/>
        <w:spacing w:after="0" w:line="293" w:lineRule="auto"/>
        <w:rPr>
          <w:sz w:val="20"/>
          <w:szCs w:val="20"/>
          <w:color w:val="auto"/>
        </w:rPr>
      </w:pPr>
      <w:r>
        <w:rPr>
          <w:rFonts w:ascii="Arial" w:cs="Arial" w:eastAsia="Arial" w:hAnsi="Arial"/>
          <w:sz w:val="16"/>
          <w:szCs w:val="16"/>
          <w:color w:val="auto"/>
        </w:rPr>
        <w:t>During 2006, the Company announced development programs with several automakers for its Rear Camera Display (RCD) Mirror that shows the vehicle operator a panoramic video view of objects directly behind the vehicle in real time. During 2007, the Company announced a number of OEM (Original Equipment Manufacturer) programs and dealer or port-installed programs for its RCD Mirror. During 2008, the Company announced that its RCD Mirror is available on 16 additional models for Hyundai/Kia, General Motors, Toyota and Ford. The Company also announced in 2008 that its RCD Mirror is now available through MITO Corporation, a distributor of high-quality aftermarket electronic products and accessories.</w:t>
      </w:r>
    </w:p>
    <w:p>
      <w:pPr>
        <w:spacing w:after="0" w:line="138" w:lineRule="exact"/>
        <w:rPr>
          <w:sz w:val="20"/>
          <w:szCs w:val="20"/>
          <w:color w:val="auto"/>
        </w:rPr>
      </w:pPr>
    </w:p>
    <w:p>
      <w:pPr>
        <w:ind w:right="559" w:firstLine="747"/>
        <w:spacing w:after="0" w:line="255" w:lineRule="auto"/>
        <w:rPr>
          <w:sz w:val="20"/>
          <w:szCs w:val="20"/>
          <w:color w:val="auto"/>
        </w:rPr>
      </w:pPr>
      <w:r>
        <w:rPr>
          <w:rFonts w:ascii="Arial" w:cs="Arial" w:eastAsia="Arial" w:hAnsi="Arial"/>
          <w:sz w:val="18"/>
          <w:szCs w:val="18"/>
          <w:color w:val="auto"/>
        </w:rPr>
        <w:t>During 2005, the Company reached an agreement with PPG Aerospace to work together to provide the variably dimmable windows for the passenger compartment on the new Boeing 787 Dreamliner series of aircraft. The Company shipped the first set of variably dimmable aircraft windows for test planes in mid 2007. Boeing, based on the latest available information, now expects the first delivery of the 787 Dreamliner series of aircraft to occur in early 2010. The Company anticipates that it will begin to deliver windows to the production line in 2009. During 2008, the Company and PPG Aerospace announced that they will work together to supply dimmable windows to Hawker Beechcraft Corporation for passenger-cabin windows on the 2010 Beechcraft King Air 350i airplane.</w:t>
      </w:r>
    </w:p>
    <w:p>
      <w:pPr>
        <w:spacing w:after="0" w:line="149" w:lineRule="exact"/>
        <w:rPr>
          <w:sz w:val="20"/>
          <w:szCs w:val="20"/>
          <w:color w:val="auto"/>
        </w:rPr>
      </w:pPr>
    </w:p>
    <w:p>
      <w:pPr>
        <w:jc w:val="both"/>
        <w:ind w:right="659" w:firstLine="747"/>
        <w:spacing w:after="0" w:line="264" w:lineRule="auto"/>
        <w:rPr>
          <w:sz w:val="20"/>
          <w:szCs w:val="20"/>
          <w:color w:val="auto"/>
        </w:rPr>
      </w:pPr>
      <w:r>
        <w:rPr>
          <w:rFonts w:ascii="Arial" w:cs="Arial" w:eastAsia="Arial" w:hAnsi="Arial"/>
          <w:sz w:val="18"/>
          <w:szCs w:val="18"/>
          <w:color w:val="auto"/>
        </w:rPr>
        <w:t>During 2006, the Company has developed its own compass technology called Z-Nav</w:t>
      </w:r>
      <w:r>
        <w:rPr>
          <w:rFonts w:ascii="Arial" w:cs="Arial" w:eastAsia="Arial" w:hAnsi="Arial"/>
          <w:sz w:val="15"/>
          <w:szCs w:val="15"/>
          <w:color w:val="auto"/>
        </w:rPr>
        <w:t>®</w:t>
      </w:r>
      <w:r>
        <w:rPr>
          <w:rFonts w:ascii="Arial" w:cs="Arial" w:eastAsia="Arial" w:hAnsi="Arial"/>
          <w:sz w:val="18"/>
          <w:szCs w:val="18"/>
          <w:color w:val="auto"/>
        </w:rPr>
        <w:t>, which can be sold as a system with the compass heading displayed in the interior auto-dimming mirror or it can be mounted on any fixed or pivotal location in the vehicle.</w:t>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During 2007, the Company began shipping non automatic-dimming exterior mirrors with electronic features in 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Information About Segments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See Note 8 to the Consolidated Financial Statements filed with this report.</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 Narrative Description of Business</w:t>
      </w:r>
    </w:p>
    <w:p>
      <w:pPr>
        <w:spacing w:after="0" w:line="202" w:lineRule="exact"/>
        <w:rPr>
          <w:sz w:val="20"/>
          <w:szCs w:val="20"/>
          <w:color w:val="auto"/>
        </w:rPr>
      </w:pPr>
    </w:p>
    <w:p>
      <w:pPr>
        <w:ind w:right="559" w:firstLine="747"/>
        <w:spacing w:after="0" w:line="259" w:lineRule="auto"/>
        <w:rPr>
          <w:sz w:val="20"/>
          <w:szCs w:val="20"/>
          <w:color w:val="auto"/>
        </w:rPr>
      </w:pPr>
      <w:r>
        <w:rPr>
          <w:rFonts w:ascii="Arial" w:cs="Arial" w:eastAsia="Arial" w:hAnsi="Arial"/>
          <w:sz w:val="18"/>
          <w:szCs w:val="18"/>
          <w:color w:val="auto"/>
        </w:rPr>
        <w:t>The Company currently manufactures electro-optic products, including automatic-dimming rearview mirrors for the automotive industry and fire protection products primarily for the commercial building industry. The Company also manufactures variable dimmable windows for the aircraft industry and non automatic-dimming rearview automotive mirrors with electronic features for the automotive industry.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Automotive Mirrors</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b w:val="1"/>
          <w:bCs w:val="1"/>
          <w:u w:val="single" w:color="auto"/>
          <w:color w:val="auto"/>
        </w:rPr>
        <w:t>Automatic-Dimming Rearview Mirrors</w:t>
      </w:r>
    </w:p>
    <w:p>
      <w:pPr>
        <w:spacing w:after="0" w:line="202" w:lineRule="exact"/>
        <w:rPr>
          <w:sz w:val="20"/>
          <w:szCs w:val="20"/>
          <w:color w:val="auto"/>
        </w:rPr>
      </w:pPr>
    </w:p>
    <w:p>
      <w:pPr>
        <w:ind w:right="619" w:firstLine="747"/>
        <w:spacing w:after="0" w:line="270" w:lineRule="auto"/>
        <w:rPr>
          <w:sz w:val="20"/>
          <w:szCs w:val="20"/>
          <w:color w:val="auto"/>
        </w:rPr>
      </w:pPr>
      <w:r>
        <w:rPr>
          <w:rFonts w:ascii="Arial" w:cs="Arial" w:eastAsia="Arial" w:hAnsi="Arial"/>
          <w:sz w:val="17"/>
          <w:szCs w:val="17"/>
          <w:i w:val="1"/>
          <w:iCs w:val="1"/>
          <w:u w:val="single" w:color="auto"/>
          <w:color w:val="auto"/>
        </w:rPr>
        <w:t>Interior Auto-Dimming Mirrors</w:t>
      </w:r>
      <w:r>
        <w:rPr>
          <w:rFonts w:ascii="Arial" w:cs="Arial" w:eastAsia="Arial" w:hAnsi="Arial"/>
          <w:sz w:val="17"/>
          <w:szCs w:val="17"/>
          <w:color w:val="auto"/>
        </w:rPr>
        <w:t>. In 1987, the Company achieved a significant technological breakthrough by applying</w:t>
      </w:r>
      <w:r>
        <w:rPr>
          <w:rFonts w:ascii="Arial" w:cs="Arial" w:eastAsia="Arial" w:hAnsi="Arial"/>
          <w:sz w:val="17"/>
          <w:szCs w:val="17"/>
          <w:i w:val="1"/>
          <w:iCs w:val="1"/>
          <w:color w:val="auto"/>
        </w:rPr>
        <w:t xml:space="preserve"> </w:t>
      </w:r>
      <w:r>
        <w:rPr>
          <w:rFonts w:ascii="Arial" w:cs="Arial" w:eastAsia="Arial" w:hAnsi="Arial"/>
          <w:sz w:val="17"/>
          <w:szCs w:val="17"/>
          <w:color w:val="auto"/>
        </w:rPr>
        <w:t>electrochromic technology to the glare-sensing capabilities of its Motorized Mirror. Through the use of this technology, the mirror gradually darkens to the degree necessary to eliminate rearview glare from following vehicle headlights. The auto-dimming mirror offers all of the continuous reflectance levels between its approximate 87%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by the sensors, an electric current causes the electrochromic material to darken, decreasing the mirror’s reflectance, thereby eliminating glare.</w:t>
      </w:r>
    </w:p>
    <w:p>
      <w:pPr>
        <w:spacing w:after="0" w:line="137" w:lineRule="exact"/>
        <w:rPr>
          <w:sz w:val="20"/>
          <w:szCs w:val="20"/>
          <w:color w:val="auto"/>
        </w:rPr>
      </w:pPr>
    </w:p>
    <w:p>
      <w:pPr>
        <w:ind w:right="579" w:firstLine="747"/>
        <w:spacing w:after="0" w:line="253" w:lineRule="auto"/>
        <w:rPr>
          <w:sz w:val="20"/>
          <w:szCs w:val="20"/>
          <w:color w:val="auto"/>
        </w:rPr>
      </w:pPr>
      <w:r>
        <w:rPr>
          <w:rFonts w:ascii="Arial" w:cs="Arial" w:eastAsia="Arial" w:hAnsi="Arial"/>
          <w:sz w:val="18"/>
          <w:szCs w:val="18"/>
          <w:color w:val="auto"/>
        </w:rPr>
        <w:t>During 1991, the Company began shipping the first advanced-feature interior auto-dimming mirror, the auto-dimming headlamp control mirror, an automatic-dimming mirror that automatically turns car head- and taillamps “on” and “off” at dusk and dawn in response to the level of light observed. During 1993, the Company began shipping an auto-dimming compass mirror, with an electronic compass that automatically compensates for changes in the earth’s magnetic field. During 1997, the Company began shipping a new interior auto-dimming mirror that digitally displays either a compass or outside temperature reading. During 1998, the Company began shipping new compass mirrors with light-emitting diode (LED) map lamps, a major improvement over mirrors with standard incandescent map lamps, including extremely long life, low heat generation, lower current draw, more resistance to shock, and lower total cost of ownership. In 2000, the Company began shipping to General Motors interior auto-dimming mirrors that serve as the driver interface for the OnStar</w:t>
      </w:r>
      <w:r>
        <w:rPr>
          <w:rFonts w:ascii="Arial" w:cs="Arial" w:eastAsia="Arial" w:hAnsi="Arial"/>
          <w:sz w:val="15"/>
          <w:szCs w:val="15"/>
          <w:color w:val="auto"/>
        </w:rPr>
        <w:t>®</w:t>
      </w:r>
      <w:r>
        <w:rPr>
          <w:rFonts w:ascii="Arial" w:cs="Arial" w:eastAsia="Arial" w:hAnsi="Arial"/>
          <w:sz w:val="18"/>
          <w:szCs w:val="18"/>
          <w:color w:val="auto"/>
        </w:rPr>
        <w:t xml:space="preserve"> System, an in-vehicle safety, security and information service using Global Positioning System (GPS) satellite technology. OnStar is a registered trademark of OnStar Corporation.</w:t>
      </w:r>
    </w:p>
    <w:p>
      <w:pPr>
        <w:spacing w:after="0" w:line="152" w:lineRule="exact"/>
        <w:rPr>
          <w:sz w:val="20"/>
          <w:szCs w:val="20"/>
          <w:color w:val="auto"/>
        </w:rPr>
      </w:pPr>
    </w:p>
    <w:p>
      <w:pPr>
        <w:ind w:right="559" w:firstLine="747"/>
        <w:spacing w:after="0" w:line="272" w:lineRule="auto"/>
        <w:rPr>
          <w:sz w:val="20"/>
          <w:szCs w:val="20"/>
          <w:color w:val="auto"/>
        </w:rPr>
      </w:pPr>
      <w:r>
        <w:rPr>
          <w:rFonts w:ascii="Arial" w:cs="Arial" w:eastAsia="Arial" w:hAnsi="Arial"/>
          <w:sz w:val="17"/>
          <w:szCs w:val="17"/>
          <w:color w:val="auto"/>
        </w:rPr>
        <w:t>During 2001 and 2002, the Company began making shipments of its auto-dimming mirrors for a number of small/mid-sized, medium-priced vehicles, including the Toyota Camry, Matrix and Corolla; Ford Taurus and Mercury Sable; Volkswagen Passat, Jetta, Golf GTI and Beetle; Nissan Altima; Opel cross car line; Chrysler Sebring Coupe; Hyundai Santa Fe and Sonata; and Kia Optima and Sorento. The Company continues to expand its shipments of auto-dimming mirrors for small/mid-sized, medium-priced vehicles, including the new 2008 Honda Civic and Accord; and the popular Ford Focus and Fiesta in Europe. The Company also continued to expand its shipments of auto-dimming mirrors with features during 2008 for crossover vehicles including the Nissan Rogue, Kia Soul and the Toyota Venza.</w:t>
      </w:r>
    </w:p>
    <w:p>
      <w:pPr>
        <w:spacing w:after="0" w:line="151" w:lineRule="exact"/>
        <w:rPr>
          <w:sz w:val="20"/>
          <w:szCs w:val="20"/>
          <w:color w:val="auto"/>
        </w:rPr>
      </w:pPr>
    </w:p>
    <w:p>
      <w:pPr>
        <w:ind w:right="919" w:firstLine="747"/>
        <w:spacing w:after="0" w:line="259" w:lineRule="auto"/>
        <w:rPr>
          <w:sz w:val="20"/>
          <w:szCs w:val="20"/>
          <w:color w:val="auto"/>
        </w:rPr>
      </w:pPr>
      <w:r>
        <w:rPr>
          <w:rFonts w:ascii="Arial" w:cs="Arial" w:eastAsia="Arial" w:hAnsi="Arial"/>
          <w:sz w:val="18"/>
          <w:szCs w:val="18"/>
          <w:color w:val="auto"/>
        </w:rPr>
        <w:t>During 2003, the Company began making shipments of its auto-dimming mirrors to two new automotive OEM customers, Honda and Volvo, and began volume shipments of its microphone as part of DaimlerChrysler’s “U-Connect</w:t>
      </w:r>
      <w:r>
        <w:rPr>
          <w:rFonts w:ascii="Arial" w:cs="Arial" w:eastAsia="Arial" w:hAnsi="Arial"/>
          <w:sz w:val="15"/>
          <w:szCs w:val="15"/>
          <w:color w:val="auto"/>
        </w:rPr>
        <w:t>®</w:t>
      </w:r>
      <w:r>
        <w:rPr>
          <w:rFonts w:ascii="Arial" w:cs="Arial" w:eastAsia="Arial" w:hAnsi="Arial"/>
          <w:sz w:val="18"/>
          <w:szCs w:val="18"/>
          <w:color w:val="auto"/>
        </w:rPr>
        <w:t>” telematics system. During 2007, the Company began making shipments of its microphone mirrors as part of Ford’s “Sync</w:t>
      </w:r>
      <w:r>
        <w:rPr>
          <w:rFonts w:ascii="Arial" w:cs="Arial" w:eastAsia="Arial" w:hAnsi="Arial"/>
          <w:sz w:val="15"/>
          <w:szCs w:val="15"/>
          <w:color w:val="auto"/>
        </w:rPr>
        <w:t>®</w:t>
      </w:r>
      <w:r>
        <w:rPr>
          <w:rFonts w:ascii="Arial" w:cs="Arial" w:eastAsia="Arial" w:hAnsi="Arial"/>
          <w:sz w:val="18"/>
          <w:szCs w:val="18"/>
          <w:color w:val="auto"/>
        </w:rPr>
        <w:t>” telematics system.</w:t>
      </w:r>
    </w:p>
    <w:p>
      <w:pPr>
        <w:spacing w:after="0" w:line="146" w:lineRule="exact"/>
        <w:rPr>
          <w:sz w:val="20"/>
          <w:szCs w:val="20"/>
          <w:color w:val="auto"/>
        </w:rPr>
      </w:pPr>
    </w:p>
    <w:p>
      <w:pPr>
        <w:ind w:right="579" w:firstLine="747"/>
        <w:spacing w:after="0" w:line="253" w:lineRule="auto"/>
        <w:rPr>
          <w:sz w:val="20"/>
          <w:szCs w:val="20"/>
          <w:color w:val="auto"/>
        </w:rPr>
      </w:pPr>
      <w:r>
        <w:rPr>
          <w:rFonts w:ascii="Arial" w:cs="Arial" w:eastAsia="Arial" w:hAnsi="Arial"/>
          <w:sz w:val="18"/>
          <w:szCs w:val="18"/>
          <w:color w:val="auto"/>
        </w:rPr>
        <w:t>During 2004 and 2005, the Company began shipping auto-dimming mirrors with SmartBeam</w:t>
      </w:r>
      <w:r>
        <w:rPr>
          <w:rFonts w:ascii="Arial" w:cs="Arial" w:eastAsia="Arial" w:hAnsi="Arial"/>
          <w:sz w:val="15"/>
          <w:szCs w:val="15"/>
          <w:color w:val="auto"/>
        </w:rPr>
        <w:t>®</w:t>
      </w:r>
      <w:r>
        <w:rPr>
          <w:rFonts w:ascii="Arial" w:cs="Arial" w:eastAsia="Arial" w:hAnsi="Arial"/>
          <w:sz w:val="18"/>
          <w:szCs w:val="18"/>
          <w:color w:val="auto"/>
        </w:rPr>
        <w:t>, its proprietary intelligent high-beam headlamp control feature, for the Cadillac STS, Jeep Grand Cherokee, Cadillac DTS, the Jeep Commander, and BMW 5, 6 and 7 Series models in Europe and other select markets. During 2006, the Company began shipping auto-dimming mirrors with SmartBeam</w:t>
      </w:r>
      <w:r>
        <w:rPr>
          <w:rFonts w:ascii="Arial" w:cs="Arial" w:eastAsia="Arial" w:hAnsi="Arial"/>
          <w:sz w:val="15"/>
          <w:szCs w:val="15"/>
          <w:color w:val="auto"/>
        </w:rPr>
        <w:t>®</w:t>
      </w:r>
      <w:r>
        <w:rPr>
          <w:rFonts w:ascii="Arial" w:cs="Arial" w:eastAsia="Arial" w:hAnsi="Arial"/>
          <w:sz w:val="18"/>
          <w:szCs w:val="18"/>
          <w:color w:val="auto"/>
        </w:rPr>
        <w:t xml:space="preserve"> for the BMW 3 Series, Cadillac Escalade and the Chrysler 300C. During 2007, the Company began shipping auto-dimming mirrors with SmartBeam</w:t>
      </w:r>
      <w:r>
        <w:rPr>
          <w:rFonts w:ascii="Arial" w:cs="Arial" w:eastAsia="Arial" w:hAnsi="Arial"/>
          <w:sz w:val="15"/>
          <w:szCs w:val="15"/>
          <w:color w:val="auto"/>
        </w:rPr>
        <w:t>®</w:t>
      </w:r>
      <w:r>
        <w:rPr>
          <w:rFonts w:ascii="Arial" w:cs="Arial" w:eastAsia="Arial" w:hAnsi="Arial"/>
          <w:sz w:val="18"/>
          <w:szCs w:val="18"/>
          <w:color w:val="auto"/>
        </w:rPr>
        <w:t xml:space="preserve"> for the BMW 5 and 6 Series in North America and the BMW X5 model in Europe and other select markets. During 2008, the Company began shipping auto-dimming mirrors with SmartBeam</w:t>
      </w:r>
      <w:r>
        <w:rPr>
          <w:rFonts w:ascii="Arial" w:cs="Arial" w:eastAsia="Arial" w:hAnsi="Arial"/>
          <w:sz w:val="15"/>
          <w:szCs w:val="15"/>
          <w:color w:val="auto"/>
        </w:rPr>
        <w:t>®</w:t>
      </w:r>
      <w:r>
        <w:rPr>
          <w:rFonts w:ascii="Arial" w:cs="Arial" w:eastAsia="Arial" w:hAnsi="Arial"/>
          <w:sz w:val="18"/>
          <w:szCs w:val="18"/>
          <w:color w:val="auto"/>
        </w:rPr>
        <w:t xml:space="preserve"> for the Audi A4, A5 and Q7 in Europe, the Opel Insignia in Europe, the Chrysler Town &amp; Country minivan, the BMW X6 and the Toyota Venza crossover sedan. The Company is currently shipping auto-dimming mirrors with SmartBeam</w:t>
      </w:r>
      <w:r>
        <w:rPr>
          <w:rFonts w:ascii="Arial" w:cs="Arial" w:eastAsia="Arial" w:hAnsi="Arial"/>
          <w:sz w:val="15"/>
          <w:szCs w:val="15"/>
          <w:color w:val="auto"/>
        </w:rPr>
        <w:t>®</w:t>
      </w:r>
      <w:r>
        <w:rPr>
          <w:rFonts w:ascii="Arial" w:cs="Arial" w:eastAsia="Arial" w:hAnsi="Arial"/>
          <w:sz w:val="18"/>
          <w:szCs w:val="18"/>
          <w:color w:val="auto"/>
        </w:rPr>
        <w:t xml:space="preserve"> for 20 models.</w:t>
      </w:r>
    </w:p>
    <w:p>
      <w:pPr>
        <w:spacing w:after="0" w:line="200" w:lineRule="exact"/>
        <w:rPr>
          <w:sz w:val="20"/>
          <w:szCs w:val="20"/>
          <w:color w:val="auto"/>
        </w:rPr>
      </w:pPr>
    </w:p>
    <w:p>
      <w:pPr>
        <w:spacing w:after="0" w:line="36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ind w:right="559" w:firstLine="747"/>
        <w:spacing w:after="0" w:line="287" w:lineRule="auto"/>
        <w:rPr>
          <w:sz w:val="20"/>
          <w:szCs w:val="20"/>
          <w:color w:val="auto"/>
        </w:rPr>
      </w:pPr>
      <w:r>
        <w:rPr>
          <w:rFonts w:ascii="Arial" w:cs="Arial" w:eastAsia="Arial" w:hAnsi="Arial"/>
          <w:sz w:val="16"/>
          <w:szCs w:val="16"/>
          <w:color w:val="auto"/>
        </w:rPr>
        <w:t>During 2006, the Company announced development programs with several automakers for its Rear Camera Display (RCD) Mirror that shows a panoramic video view of objects directly behind the vehicle in real time. During 2007, the Company began shipping auto-dimming mirrors with RCD for the Ford Expedition, Ford F150, Lincoln Navigator, Lincoln Mark LT and the Kia Mohave in the Korean market. The Company also began shipping auto-dimming mirrors with RCD for the Mazda CX-9 as a dealer or port-installed program. In addition, the Company began shipping auto-dimming mirrors with RCD for the Toyota Camry as a dealer or port-installed option through Gulf States Toyota, one of two independent Toyota distributorships that covers dealers in the states of Arkansas, Louisiana, Mississippi, Oklahoma and Texas. During 2008, the Company began shipping auto-dimming mirrors with RCD for the Hyundai Grandeur and the Kia Soul in the Korean market, Toyota Tacoma, FJ Cruiser and RAV4, Ford E-Series passenger van and the General Motors GMT 900 and Lambda platforms. The Company also announced that its RCD Mirror is available through MITO Corporation, a distributor of high-quality aftermarket electronic products and accessories. The Company is currently shipping auto-dimming mirrors with RCD for 26 models.</w:t>
      </w:r>
    </w:p>
    <w:p>
      <w:pPr>
        <w:spacing w:after="0" w:line="146" w:lineRule="exact"/>
        <w:rPr>
          <w:sz w:val="20"/>
          <w:szCs w:val="20"/>
          <w:color w:val="auto"/>
        </w:rPr>
      </w:pPr>
    </w:p>
    <w:p>
      <w:pPr>
        <w:ind w:right="619" w:firstLine="747"/>
        <w:spacing w:after="0" w:line="254" w:lineRule="auto"/>
        <w:rPr>
          <w:sz w:val="20"/>
          <w:szCs w:val="20"/>
          <w:color w:val="auto"/>
        </w:rPr>
      </w:pPr>
      <w:r>
        <w:rPr>
          <w:rFonts w:ascii="Arial" w:cs="Arial" w:eastAsia="Arial" w:hAnsi="Arial"/>
          <w:sz w:val="18"/>
          <w:szCs w:val="18"/>
          <w:color w:val="auto"/>
        </w:rPr>
        <w:t>On February 28, 2008, the President signed into law the “Kids Transportation Safety Act of 2007”. The National Highway Traffic Safety Administration (NHTSA) has one year to initiate rulemaking to revise the federal standard to expand the field of view so that drivers can detect objects directly behind vehicles. NHTSA then has three years to determine how automakers must meet the rules, which may include the use of additional mirrors, sensors, rear back-up cameras (which could be in a mirror, navigation system or other LCD display). Once NHTSA publishes the new rules, automakers will have 48 months to comply with those rules for vehicles in the United States. The Company’s RCD Mirror is a cost competitive product that is relatively easy to implement and may be among the technologies that NHTSA will include as a means to meet the requirements of the legislation.</w:t>
      </w:r>
    </w:p>
    <w:p>
      <w:pPr>
        <w:spacing w:after="0" w:line="152" w:lineRule="exact"/>
        <w:rPr>
          <w:sz w:val="20"/>
          <w:szCs w:val="20"/>
          <w:color w:val="auto"/>
        </w:rPr>
      </w:pPr>
    </w:p>
    <w:p>
      <w:pPr>
        <w:ind w:right="699" w:firstLine="747"/>
        <w:spacing w:after="0" w:line="277" w:lineRule="auto"/>
        <w:rPr>
          <w:sz w:val="20"/>
          <w:szCs w:val="20"/>
          <w:color w:val="auto"/>
        </w:rPr>
      </w:pPr>
      <w:r>
        <w:rPr>
          <w:rFonts w:ascii="Arial" w:cs="Arial" w:eastAsia="Arial" w:hAnsi="Arial"/>
          <w:sz w:val="18"/>
          <w:szCs w:val="18"/>
          <w:color w:val="auto"/>
        </w:rPr>
        <w:t>The Company shipped approximately 9,426,000 interior auto-dimming mirrors in 2006, approximately 11,001,000 in 2007, and 10,505,000 in 2008.</w:t>
      </w: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 w:name="page6"/>
    <w:bookmarkEnd w:id="5"/>
    <w:p>
      <w:pPr>
        <w:ind w:left="340" w:right="1800" w:firstLine="747"/>
        <w:spacing w:after="0" w:line="259" w:lineRule="auto"/>
        <w:rPr>
          <w:sz w:val="20"/>
          <w:szCs w:val="20"/>
          <w:color w:val="auto"/>
        </w:rPr>
      </w:pPr>
      <w:r>
        <w:rPr>
          <w:rFonts w:ascii="Arial" w:cs="Arial" w:eastAsia="Arial" w:hAnsi="Arial"/>
          <w:sz w:val="18"/>
          <w:szCs w:val="18"/>
          <w:color w:val="auto"/>
        </w:rPr>
        <w:t>During 2008, interior total mirror unit shipments decreased primarily due to decreased shipments to the traditional Big Three automakers, partially offset by increased shipments at certain European and Asian automakers. The Company’s interior auto-dimming mirrors are standard equipment or factory-installed options on certain trim levels of the following 2009 vehicle models: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Table 1. Interior Auto-Dimming Mirror Availability by Vehicle Line (North American Manufacturers)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GM/Cadillac</w:t>
            </w: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DTS</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Chrysler/Dodge</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Avenger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STS</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Caliber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CTS</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Caravan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Escalade</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Challenger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SRX</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Charger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GM/Buick</w:t>
            </w:r>
          </w:p>
        </w:tc>
        <w:tc>
          <w:tcPr>
            <w:tcW w:w="2340" w:type="dxa"/>
            <w:vAlign w:val="bottom"/>
          </w:tcPr>
          <w:p>
            <w:pPr>
              <w:ind w:left="700"/>
              <w:spacing w:after="0"/>
              <w:rPr>
                <w:sz w:val="20"/>
                <w:szCs w:val="20"/>
                <w:color w:val="auto"/>
              </w:rPr>
            </w:pPr>
            <w:r>
              <w:rPr>
                <w:rFonts w:ascii="Arial" w:cs="Arial" w:eastAsia="Arial" w:hAnsi="Arial"/>
                <w:sz w:val="18"/>
                <w:szCs w:val="18"/>
                <w:color w:val="auto"/>
              </w:rPr>
              <w:t>Enclave</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Dakota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LaCrosse</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Durango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Lucerne</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Journey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GM/Hummer</w:t>
            </w: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H2</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Magnum</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H3</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Nitro</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GM/Pontiac</w:t>
            </w: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G6</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PT Cruiser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Torrent</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Ram Pickup</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GM/Chevrolet</w:t>
            </w: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Avalanche</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Chrysler/Jeep</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Commander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Colorado</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Compass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Equinox</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Grand Cherokee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HHR</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Liberty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Impala</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Patriot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Malibu</w:t>
            </w:r>
          </w:p>
        </w:tc>
        <w:tc>
          <w:tcPr>
            <w:tcW w:w="2920" w:type="dxa"/>
            <w:vAlign w:val="bottom"/>
          </w:tcPr>
          <w:p>
            <w:pPr>
              <w:ind w:left="420"/>
              <w:spacing w:after="0"/>
              <w:rPr>
                <w:sz w:val="20"/>
                <w:szCs w:val="20"/>
                <w:color w:val="auto"/>
              </w:rPr>
            </w:pPr>
            <w:r>
              <w:rPr>
                <w:rFonts w:ascii="Arial" w:cs="Arial" w:eastAsia="Arial" w:hAnsi="Arial"/>
                <w:sz w:val="18"/>
                <w:szCs w:val="18"/>
                <w:color w:val="auto"/>
              </w:rPr>
              <w:t>Daimler/Mercedes Benz</w:t>
            </w:r>
          </w:p>
        </w:tc>
        <w:tc>
          <w:tcPr>
            <w:tcW w:w="2320" w:type="dxa"/>
            <w:vAlign w:val="bottom"/>
          </w:tcPr>
          <w:p>
            <w:pPr>
              <w:ind w:left="740"/>
              <w:spacing w:after="0"/>
              <w:rPr>
                <w:sz w:val="20"/>
                <w:szCs w:val="20"/>
                <w:color w:val="auto"/>
              </w:rPr>
            </w:pPr>
            <w:r>
              <w:rPr>
                <w:rFonts w:ascii="Arial" w:cs="Arial" w:eastAsia="Arial" w:hAnsi="Arial"/>
                <w:sz w:val="18"/>
                <w:szCs w:val="18"/>
                <w:color w:val="auto"/>
              </w:rPr>
              <w:t>GL Class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Silverado</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 Class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Suburban</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R Class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Tahoe</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BMW</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X5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Trailblazer</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X6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Traverse</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Honda</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Accord</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GM/GMC</w:t>
            </w:r>
          </w:p>
        </w:tc>
        <w:tc>
          <w:tcPr>
            <w:tcW w:w="2340" w:type="dxa"/>
            <w:vAlign w:val="bottom"/>
          </w:tcPr>
          <w:p>
            <w:pPr>
              <w:ind w:left="700"/>
              <w:spacing w:after="0"/>
              <w:rPr>
                <w:sz w:val="20"/>
                <w:szCs w:val="20"/>
                <w:color w:val="auto"/>
              </w:rPr>
            </w:pPr>
            <w:r>
              <w:rPr>
                <w:rFonts w:ascii="Arial" w:cs="Arial" w:eastAsia="Arial" w:hAnsi="Arial"/>
                <w:sz w:val="18"/>
                <w:szCs w:val="18"/>
                <w:color w:val="auto"/>
              </w:rPr>
              <w:t>Acadia</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Pilot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Canyon</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Honda/Acura</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MDX</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Envoy</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RDX</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Sierra</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Yukon</w:t>
            </w:r>
          </w:p>
        </w:tc>
        <w:tc>
          <w:tcPr>
            <w:tcW w:w="2920" w:type="dxa"/>
            <w:vAlign w:val="bottom"/>
          </w:tcPr>
          <w:p>
            <w:pPr>
              <w:ind w:left="420"/>
              <w:spacing w:after="0"/>
              <w:rPr>
                <w:sz w:val="20"/>
                <w:szCs w:val="20"/>
                <w:color w:val="auto"/>
              </w:rPr>
            </w:pPr>
            <w:r>
              <w:rPr>
                <w:rFonts w:ascii="Arial" w:cs="Arial" w:eastAsia="Arial" w:hAnsi="Arial"/>
                <w:sz w:val="18"/>
                <w:szCs w:val="18"/>
                <w:color w:val="auto"/>
              </w:rPr>
              <w:t>Hyundai</w:t>
            </w:r>
          </w:p>
        </w:tc>
        <w:tc>
          <w:tcPr>
            <w:tcW w:w="2320" w:type="dxa"/>
            <w:vAlign w:val="bottom"/>
          </w:tcPr>
          <w:p>
            <w:pPr>
              <w:ind w:left="740"/>
              <w:spacing w:after="0"/>
              <w:rPr>
                <w:sz w:val="20"/>
                <w:szCs w:val="20"/>
                <w:color w:val="auto"/>
              </w:rPr>
            </w:pPr>
            <w:r>
              <w:rPr>
                <w:rFonts w:ascii="Arial" w:cs="Arial" w:eastAsia="Arial" w:hAnsi="Arial"/>
                <w:sz w:val="18"/>
                <w:szCs w:val="18"/>
                <w:color w:val="auto"/>
              </w:rPr>
              <w:t>Santa Fe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GM/Saab</w:t>
            </w:r>
          </w:p>
        </w:tc>
        <w:tc>
          <w:tcPr>
            <w:tcW w:w="23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9-7x</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Sonata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GM/Saturn</w:t>
            </w:r>
          </w:p>
        </w:tc>
        <w:tc>
          <w:tcPr>
            <w:tcW w:w="2340" w:type="dxa"/>
            <w:vAlign w:val="bottom"/>
          </w:tcPr>
          <w:p>
            <w:pPr>
              <w:ind w:left="700"/>
              <w:spacing w:after="0"/>
              <w:rPr>
                <w:sz w:val="20"/>
                <w:szCs w:val="20"/>
                <w:color w:val="auto"/>
              </w:rPr>
            </w:pPr>
            <w:r>
              <w:rPr>
                <w:rFonts w:ascii="Arial" w:cs="Arial" w:eastAsia="Arial" w:hAnsi="Arial"/>
                <w:sz w:val="18"/>
                <w:szCs w:val="18"/>
                <w:color w:val="auto"/>
              </w:rPr>
              <w:t>Aura</w:t>
            </w:r>
          </w:p>
        </w:tc>
        <w:tc>
          <w:tcPr>
            <w:tcW w:w="2920" w:type="dxa"/>
            <w:vAlign w:val="bottom"/>
          </w:tcPr>
          <w:p>
            <w:pPr>
              <w:ind w:left="420"/>
              <w:spacing w:after="0"/>
              <w:rPr>
                <w:sz w:val="20"/>
                <w:szCs w:val="20"/>
                <w:color w:val="auto"/>
              </w:rPr>
            </w:pPr>
            <w:r>
              <w:rPr>
                <w:rFonts w:ascii="Arial" w:cs="Arial" w:eastAsia="Arial" w:hAnsi="Arial"/>
                <w:sz w:val="18"/>
                <w:szCs w:val="18"/>
                <w:color w:val="auto"/>
              </w:rPr>
              <w:t>Mazda</w:t>
            </w:r>
          </w:p>
        </w:tc>
        <w:tc>
          <w:tcPr>
            <w:tcW w:w="2320" w:type="dxa"/>
            <w:vAlign w:val="bottom"/>
          </w:tcPr>
          <w:p>
            <w:pPr>
              <w:ind w:left="800"/>
              <w:spacing w:after="0"/>
              <w:rPr>
                <w:sz w:val="20"/>
                <w:szCs w:val="20"/>
                <w:color w:val="auto"/>
              </w:rPr>
            </w:pPr>
            <w:r>
              <w:rPr>
                <w:rFonts w:ascii="Arial" w:cs="Arial" w:eastAsia="Arial" w:hAnsi="Arial"/>
                <w:sz w:val="18"/>
                <w:szCs w:val="18"/>
                <w:color w:val="auto"/>
              </w:rPr>
              <w:t>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Outlook</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Mitsubishi</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Galant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Vue</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Raider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Ford</w:t>
            </w: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Crown Victoria</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Nissan</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Altima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E Series</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Armada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Edge</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Frontier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Expedition</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Maxima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Flex</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Pathfinder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Taurus</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Quest</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Taurus X</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Titan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Fusion</w:t>
            </w:r>
          </w:p>
        </w:tc>
        <w:tc>
          <w:tcPr>
            <w:tcW w:w="2920" w:type="dxa"/>
            <w:vAlign w:val="bottom"/>
          </w:tcPr>
          <w:p>
            <w:pPr>
              <w:ind w:left="420"/>
              <w:spacing w:after="0"/>
              <w:rPr>
                <w:sz w:val="20"/>
                <w:szCs w:val="20"/>
                <w:color w:val="auto"/>
              </w:rPr>
            </w:pPr>
            <w:r>
              <w:rPr>
                <w:rFonts w:ascii="Arial" w:cs="Arial" w:eastAsia="Arial" w:hAnsi="Arial"/>
                <w:sz w:val="18"/>
                <w:szCs w:val="18"/>
                <w:color w:val="auto"/>
              </w:rPr>
              <w:t>Nissan/Infiniti</w:t>
            </w:r>
          </w:p>
        </w:tc>
        <w:tc>
          <w:tcPr>
            <w:tcW w:w="2320" w:type="dxa"/>
            <w:vAlign w:val="bottom"/>
          </w:tcPr>
          <w:p>
            <w:pPr>
              <w:ind w:left="740"/>
              <w:spacing w:after="0"/>
              <w:rPr>
                <w:sz w:val="20"/>
                <w:szCs w:val="20"/>
                <w:color w:val="auto"/>
              </w:rPr>
            </w:pPr>
            <w:r>
              <w:rPr>
                <w:rFonts w:ascii="Arial" w:cs="Arial" w:eastAsia="Arial" w:hAnsi="Arial"/>
                <w:sz w:val="18"/>
                <w:szCs w:val="18"/>
                <w:color w:val="auto"/>
              </w:rPr>
              <w:t>QX56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 Series</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Toyota</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Avalon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Mustang</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Camry</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Ford/Lincoln</w:t>
            </w: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MKS</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Camry Solara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MKX</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Corolla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MKZ</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Matrix</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Mark LT</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Rav 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Navigator</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Sequoia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Town Car</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Sienna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Ford/Mercury</w:t>
            </w: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Grand Marquis</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Tacoma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Milan</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Tundra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Sable</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Venza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Chrysler</w:t>
            </w:r>
          </w:p>
        </w:tc>
        <w:tc>
          <w:tcPr>
            <w:tcW w:w="2340" w:type="dxa"/>
            <w:vAlign w:val="bottom"/>
          </w:tcPr>
          <w:p>
            <w:pPr>
              <w:ind w:left="740"/>
              <w:spacing w:after="0"/>
              <w:rPr>
                <w:sz w:val="20"/>
                <w:szCs w:val="20"/>
                <w:color w:val="auto"/>
              </w:rPr>
            </w:pPr>
            <w:r>
              <w:rPr>
                <w:rFonts w:ascii="Arial" w:cs="Arial" w:eastAsia="Arial" w:hAnsi="Arial"/>
                <w:sz w:val="18"/>
                <w:szCs w:val="18"/>
                <w:color w:val="auto"/>
              </w:rPr>
              <w:t>300</w:t>
            </w:r>
          </w:p>
        </w:tc>
        <w:tc>
          <w:tcPr>
            <w:tcW w:w="2920" w:type="dxa"/>
            <w:vAlign w:val="bottom"/>
          </w:tcPr>
          <w:p>
            <w:pPr>
              <w:ind w:left="420"/>
              <w:spacing w:after="0"/>
              <w:rPr>
                <w:sz w:val="20"/>
                <w:szCs w:val="20"/>
                <w:color w:val="auto"/>
              </w:rPr>
            </w:pPr>
            <w:r>
              <w:rPr>
                <w:rFonts w:ascii="Arial" w:cs="Arial" w:eastAsia="Arial" w:hAnsi="Arial"/>
                <w:sz w:val="18"/>
                <w:szCs w:val="18"/>
                <w:color w:val="auto"/>
              </w:rPr>
              <w:t>Toyota/Lexus</w:t>
            </w:r>
          </w:p>
        </w:tc>
        <w:tc>
          <w:tcPr>
            <w:tcW w:w="2320" w:type="dxa"/>
            <w:vAlign w:val="bottom"/>
          </w:tcPr>
          <w:p>
            <w:pPr>
              <w:ind w:left="740"/>
              <w:spacing w:after="0"/>
              <w:rPr>
                <w:sz w:val="20"/>
                <w:szCs w:val="20"/>
                <w:color w:val="auto"/>
              </w:rPr>
            </w:pPr>
            <w:r>
              <w:rPr>
                <w:rFonts w:ascii="Arial" w:cs="Arial" w:eastAsia="Arial" w:hAnsi="Arial"/>
                <w:sz w:val="18"/>
                <w:szCs w:val="18"/>
                <w:color w:val="auto"/>
              </w:rPr>
              <w:t>RX</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Aspen</w:t>
            </w:r>
          </w:p>
        </w:tc>
        <w:tc>
          <w:tcPr>
            <w:tcW w:w="2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Volkswagen</w:t>
            </w:r>
          </w:p>
        </w:tc>
        <w:tc>
          <w:tcPr>
            <w:tcW w:w="23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Beetle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40" w:type="dxa"/>
            <w:vAlign w:val="bottom"/>
          </w:tcPr>
          <w:p>
            <w:pPr>
              <w:ind w:left="700"/>
              <w:spacing w:after="0"/>
              <w:rPr>
                <w:sz w:val="20"/>
                <w:szCs w:val="20"/>
                <w:color w:val="auto"/>
              </w:rPr>
            </w:pPr>
            <w:r>
              <w:rPr>
                <w:rFonts w:ascii="Arial" w:cs="Arial" w:eastAsia="Arial" w:hAnsi="Arial"/>
                <w:sz w:val="18"/>
                <w:szCs w:val="18"/>
                <w:color w:val="auto"/>
              </w:rPr>
              <w:t>Sebring</w:t>
            </w:r>
          </w:p>
        </w:tc>
        <w:tc>
          <w:tcPr>
            <w:tcW w:w="2920" w:type="dxa"/>
            <w:vAlign w:val="bottom"/>
          </w:tcPr>
          <w:p>
            <w:pPr>
              <w:spacing w:after="0"/>
              <w:rPr>
                <w:sz w:val="18"/>
                <w:szCs w:val="18"/>
                <w:color w:val="auto"/>
              </w:rPr>
            </w:pPr>
          </w:p>
        </w:tc>
        <w:tc>
          <w:tcPr>
            <w:tcW w:w="2320" w:type="dxa"/>
            <w:vAlign w:val="bottom"/>
          </w:tcPr>
          <w:p>
            <w:pPr>
              <w:ind w:left="740"/>
              <w:spacing w:after="0"/>
              <w:rPr>
                <w:sz w:val="20"/>
                <w:szCs w:val="20"/>
                <w:color w:val="auto"/>
              </w:rPr>
            </w:pPr>
            <w:r>
              <w:rPr>
                <w:rFonts w:ascii="Arial" w:cs="Arial" w:eastAsia="Arial" w:hAnsi="Arial"/>
                <w:sz w:val="18"/>
                <w:szCs w:val="18"/>
                <w:color w:val="auto"/>
              </w:rPr>
              <w:t>Jetta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Town &amp; Country</w:t>
            </w:r>
          </w:p>
        </w:tc>
        <w:tc>
          <w:tcPr>
            <w:tcW w:w="29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920" w:type="dxa"/>
            <w:vAlign w:val="bottom"/>
          </w:tcPr>
          <w:p>
            <w:pPr>
              <w:ind w:left="420"/>
              <w:spacing w:after="0"/>
              <w:rPr>
                <w:sz w:val="20"/>
                <w:szCs w:val="20"/>
                <w:color w:val="auto"/>
              </w:rPr>
            </w:pPr>
            <w:r>
              <w:rPr>
                <w:rFonts w:ascii="Arial" w:cs="Arial" w:eastAsia="Arial" w:hAnsi="Arial"/>
                <w:sz w:val="18"/>
                <w:szCs w:val="18"/>
                <w:color w:val="auto"/>
              </w:rPr>
              <w:t>- 5 -</w:t>
            </w:r>
          </w:p>
        </w:tc>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924" w:gutter="0" w:footer="0" w:header="0"/>
        </w:sectPr>
      </w:pPr>
    </w:p>
    <w:bookmarkStart w:id="6" w:name="page7"/>
    <w:bookmarkEnd w:id="6"/>
    <w:p>
      <w:pPr>
        <w:ind w:right="979"/>
        <w:spacing w:after="0" w:line="282" w:lineRule="auto"/>
        <w:rPr>
          <w:sz w:val="20"/>
          <w:szCs w:val="20"/>
          <w:color w:val="auto"/>
        </w:rPr>
      </w:pPr>
      <w:r>
        <w:rPr>
          <w:rFonts w:ascii="Arial" w:cs="Arial" w:eastAsia="Arial" w:hAnsi="Arial"/>
          <w:sz w:val="18"/>
          <w:szCs w:val="18"/>
          <w:b w:val="1"/>
          <w:bCs w:val="1"/>
          <w:u w:val="single" w:color="auto"/>
          <w:color w:val="auto"/>
        </w:rPr>
        <w:t>Table 1. Interior Auto-Dimming Mirror Availability by Vehicle Line — Continued (Manufacturers Outside of North America)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Bentley</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Arnage</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Hyundai (cont’d)</w:t>
            </w: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Santa Fe</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Toyota</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Aurion</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Azure</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Starex</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Auris</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Continental</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Tuscani</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Avensis</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GTC</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Tucson</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Blade</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BMW</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 Series</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Veracruz</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Camry</w:t>
            </w:r>
          </w:p>
        </w:tc>
      </w:tr>
      <w:tr>
        <w:trPr>
          <w:trHeight w:val="216"/>
        </w:trPr>
        <w:tc>
          <w:tcPr>
            <w:tcW w:w="156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6 Series</w:t>
            </w:r>
          </w:p>
        </w:tc>
        <w:tc>
          <w:tcPr>
            <w:tcW w:w="1660" w:type="dxa"/>
            <w:vAlign w:val="bottom"/>
          </w:tcPr>
          <w:p>
            <w:pPr>
              <w:ind w:left="220"/>
              <w:spacing w:after="0"/>
              <w:rPr>
                <w:sz w:val="20"/>
                <w:szCs w:val="20"/>
                <w:color w:val="auto"/>
              </w:rPr>
            </w:pPr>
            <w:r>
              <w:rPr>
                <w:rFonts w:ascii="Arial" w:cs="Arial" w:eastAsia="Arial" w:hAnsi="Arial"/>
                <w:sz w:val="18"/>
                <w:szCs w:val="18"/>
                <w:color w:val="auto"/>
              </w:rPr>
              <w:t>Hyundai/Kia</w:t>
            </w:r>
          </w:p>
        </w:tc>
        <w:tc>
          <w:tcPr>
            <w:tcW w:w="1360" w:type="dxa"/>
            <w:vAlign w:val="bottom"/>
          </w:tcPr>
          <w:p>
            <w:pPr>
              <w:ind w:left="200"/>
              <w:spacing w:after="0"/>
              <w:rPr>
                <w:sz w:val="20"/>
                <w:szCs w:val="20"/>
                <w:color w:val="auto"/>
              </w:rPr>
            </w:pPr>
            <w:r>
              <w:rPr>
                <w:rFonts w:ascii="Arial" w:cs="Arial" w:eastAsia="Arial" w:hAnsi="Arial"/>
                <w:sz w:val="18"/>
                <w:szCs w:val="18"/>
                <w:color w:val="auto"/>
              </w:rPr>
              <w:t>Amanti</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Corolla</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 Series</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Carnival</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Crown Royal</w:t>
            </w:r>
          </w:p>
        </w:tc>
      </w:tr>
      <w:tr>
        <w:trPr>
          <w:trHeight w:val="216"/>
        </w:trPr>
        <w:tc>
          <w:tcPr>
            <w:tcW w:w="156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3 Series</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Carens</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FJ Cruiser</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 Series</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C’eed</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Highlander</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X3</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Cerato</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Hilux Surf</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Daewoo</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Antara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Lotze</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iQ</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Lacetti</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Mohave</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Ist</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Winstorm</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Borrego</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Cruiser</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5"/>
              </w:rPr>
              <w:t>Daewoo/Ssangyong</w:t>
            </w:r>
          </w:p>
        </w:tc>
        <w:tc>
          <w:tcPr>
            <w:tcW w:w="1540" w:type="dxa"/>
            <w:vAlign w:val="bottom"/>
          </w:tcPr>
          <w:p>
            <w:pPr>
              <w:ind w:left="120"/>
              <w:spacing w:after="0"/>
              <w:rPr>
                <w:sz w:val="20"/>
                <w:szCs w:val="20"/>
                <w:color w:val="auto"/>
              </w:rPr>
            </w:pPr>
            <w:r>
              <w:rPr>
                <w:rFonts w:ascii="Arial" w:cs="Arial" w:eastAsia="Arial" w:hAnsi="Arial"/>
                <w:sz w:val="18"/>
                <w:szCs w:val="18"/>
                <w:color w:val="auto"/>
              </w:rPr>
              <w:t>Actyon</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Opirus</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Mark X</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Chairman</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Optima</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Prius</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Kyron</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Sedona</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RAV4</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Rexton</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Sorento</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Reiz</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Rodius</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Soul</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Verso</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Chrysler</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300</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Spectra</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Yaris</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Sebring</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Sportage</w:t>
            </w:r>
          </w:p>
        </w:tc>
        <w:tc>
          <w:tcPr>
            <w:tcW w:w="1760" w:type="dxa"/>
            <w:vAlign w:val="bottom"/>
          </w:tcPr>
          <w:p>
            <w:pPr>
              <w:spacing w:after="0"/>
              <w:rPr>
                <w:sz w:val="18"/>
                <w:szCs w:val="18"/>
                <w:color w:val="auto"/>
              </w:rPr>
            </w:pPr>
          </w:p>
        </w:tc>
        <w:tc>
          <w:tcPr>
            <w:tcW w:w="1440" w:type="dxa"/>
            <w:vAlign w:val="bottom"/>
          </w:tcPr>
          <w:p>
            <w:pPr>
              <w:ind w:left="200"/>
              <w:spacing w:after="0"/>
              <w:rPr>
                <w:sz w:val="20"/>
                <w:szCs w:val="20"/>
                <w:color w:val="auto"/>
              </w:rPr>
            </w:pPr>
            <w:r>
              <w:rPr>
                <w:rFonts w:ascii="Arial" w:cs="Arial" w:eastAsia="Arial" w:hAnsi="Arial"/>
                <w:sz w:val="18"/>
                <w:szCs w:val="18"/>
                <w:color w:val="auto"/>
              </w:rPr>
              <w:t>4-Runner</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Chrysler/Jeep</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Commander</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Jaguar</w:t>
            </w: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XF</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Zi0</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Grand Cherokee</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XK</w:t>
            </w:r>
          </w:p>
        </w:tc>
        <w:tc>
          <w:tcPr>
            <w:tcW w:w="1760" w:type="dxa"/>
            <w:vAlign w:val="bottom"/>
          </w:tcPr>
          <w:p>
            <w:pPr>
              <w:ind w:left="220"/>
              <w:spacing w:after="0"/>
              <w:rPr>
                <w:sz w:val="20"/>
                <w:szCs w:val="20"/>
                <w:color w:val="auto"/>
              </w:rPr>
            </w:pPr>
            <w:r>
              <w:rPr>
                <w:rFonts w:ascii="Arial" w:cs="Arial" w:eastAsia="Arial" w:hAnsi="Arial"/>
                <w:sz w:val="18"/>
                <w:szCs w:val="18"/>
                <w:color w:val="auto"/>
              </w:rPr>
              <w:t>Volkswagen</w:t>
            </w:r>
          </w:p>
        </w:tc>
        <w:tc>
          <w:tcPr>
            <w:tcW w:w="1440" w:type="dxa"/>
            <w:vAlign w:val="bottom"/>
          </w:tcPr>
          <w:p>
            <w:pPr>
              <w:ind w:left="160"/>
              <w:spacing w:after="0"/>
              <w:rPr>
                <w:sz w:val="20"/>
                <w:szCs w:val="20"/>
                <w:color w:val="auto"/>
              </w:rPr>
            </w:pPr>
            <w:r>
              <w:rPr>
                <w:rFonts w:ascii="Arial" w:cs="Arial" w:eastAsia="Arial" w:hAnsi="Arial"/>
                <w:sz w:val="18"/>
                <w:szCs w:val="18"/>
                <w:color w:val="auto"/>
              </w:rPr>
              <w:t>EOS</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Fiat</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Idea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XJ</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Golf</w:t>
            </w:r>
          </w:p>
        </w:tc>
      </w:tr>
      <w:tr>
        <w:trPr>
          <w:trHeight w:val="216"/>
        </w:trPr>
        <w:tc>
          <w:tcPr>
            <w:tcW w:w="156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500</w:t>
            </w:r>
          </w:p>
        </w:tc>
        <w:tc>
          <w:tcPr>
            <w:tcW w:w="1660" w:type="dxa"/>
            <w:vAlign w:val="bottom"/>
          </w:tcPr>
          <w:p>
            <w:pPr>
              <w:ind w:left="220"/>
              <w:spacing w:after="0"/>
              <w:rPr>
                <w:sz w:val="20"/>
                <w:szCs w:val="20"/>
                <w:color w:val="auto"/>
              </w:rPr>
            </w:pPr>
            <w:r>
              <w:rPr>
                <w:rFonts w:ascii="Arial" w:cs="Arial" w:eastAsia="Arial" w:hAnsi="Arial"/>
                <w:sz w:val="18"/>
                <w:szCs w:val="18"/>
                <w:color w:val="auto"/>
              </w:rPr>
              <w:t>Land Rover</w:t>
            </w:r>
          </w:p>
        </w:tc>
        <w:tc>
          <w:tcPr>
            <w:tcW w:w="1360" w:type="dxa"/>
            <w:vAlign w:val="bottom"/>
          </w:tcPr>
          <w:p>
            <w:pPr>
              <w:ind w:left="200"/>
              <w:spacing w:after="0"/>
              <w:rPr>
                <w:sz w:val="20"/>
                <w:szCs w:val="20"/>
                <w:color w:val="auto"/>
              </w:rPr>
            </w:pPr>
            <w:r>
              <w:rPr>
                <w:rFonts w:ascii="Arial" w:cs="Arial" w:eastAsia="Arial" w:hAnsi="Arial"/>
                <w:sz w:val="18"/>
                <w:szCs w:val="18"/>
                <w:color w:val="auto"/>
              </w:rPr>
              <w:t>Defender</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Jetta</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Palio</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Discovery</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Lavida</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Punto</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Range Rover</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Model X</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Stilo</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Maserati</w:t>
            </w: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Quattroporte</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Passat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Fiat/Alfa Romero</w:t>
            </w:r>
          </w:p>
        </w:tc>
        <w:tc>
          <w:tcPr>
            <w:tcW w:w="1540" w:type="dxa"/>
            <w:vAlign w:val="bottom"/>
          </w:tcPr>
          <w:p>
            <w:pPr>
              <w:ind w:left="160"/>
              <w:spacing w:after="0"/>
              <w:rPr>
                <w:sz w:val="20"/>
                <w:szCs w:val="20"/>
                <w:color w:val="auto"/>
              </w:rPr>
            </w:pPr>
            <w:r>
              <w:rPr>
                <w:rFonts w:ascii="Arial" w:cs="Arial" w:eastAsia="Arial" w:hAnsi="Arial"/>
                <w:sz w:val="18"/>
                <w:szCs w:val="18"/>
                <w:color w:val="auto"/>
              </w:rPr>
              <w:t>147</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GT Coupe</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Phaeton</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Fiat/Lancia</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Thesis</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Mazda</w:t>
            </w: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CX-7</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Polo</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Ford</w:t>
            </w:r>
          </w:p>
        </w:tc>
        <w:tc>
          <w:tcPr>
            <w:tcW w:w="1540" w:type="dxa"/>
            <w:vAlign w:val="bottom"/>
          </w:tcPr>
          <w:p>
            <w:pPr>
              <w:ind w:left="120"/>
              <w:spacing w:after="0"/>
              <w:rPr>
                <w:sz w:val="20"/>
                <w:szCs w:val="20"/>
                <w:color w:val="auto"/>
              </w:rPr>
            </w:pPr>
            <w:r>
              <w:rPr>
                <w:rFonts w:ascii="Arial" w:cs="Arial" w:eastAsia="Arial" w:hAnsi="Arial"/>
                <w:sz w:val="18"/>
                <w:szCs w:val="18"/>
                <w:color w:val="auto"/>
              </w:rPr>
              <w:t>C-Max</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CX-9</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Sagitar</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Fiesta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RX-8</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Scirocco</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Falcon</w:t>
            </w:r>
          </w:p>
        </w:tc>
        <w:tc>
          <w:tcPr>
            <w:tcW w:w="1660" w:type="dxa"/>
            <w:vAlign w:val="bottom"/>
          </w:tcPr>
          <w:p>
            <w:pPr>
              <w:ind w:left="220"/>
              <w:spacing w:after="0"/>
              <w:rPr>
                <w:sz w:val="20"/>
                <w:szCs w:val="20"/>
                <w:color w:val="auto"/>
              </w:rPr>
            </w:pPr>
            <w:r>
              <w:rPr>
                <w:rFonts w:ascii="Arial" w:cs="Arial" w:eastAsia="Arial" w:hAnsi="Arial"/>
                <w:sz w:val="18"/>
                <w:szCs w:val="18"/>
                <w:color w:val="auto"/>
              </w:rPr>
              <w:t>Daimler</w:t>
            </w:r>
          </w:p>
        </w:tc>
        <w:tc>
          <w:tcPr>
            <w:tcW w:w="1360" w:type="dxa"/>
            <w:vAlign w:val="bottom"/>
          </w:tcPr>
          <w:p>
            <w:pPr>
              <w:ind w:left="200"/>
              <w:spacing w:after="0"/>
              <w:rPr>
                <w:sz w:val="20"/>
                <w:szCs w:val="20"/>
                <w:color w:val="auto"/>
              </w:rPr>
            </w:pPr>
            <w:r>
              <w:rPr>
                <w:rFonts w:ascii="Arial" w:cs="Arial" w:eastAsia="Arial" w:hAnsi="Arial"/>
                <w:sz w:val="18"/>
                <w:szCs w:val="18"/>
                <w:color w:val="auto"/>
              </w:rPr>
              <w:t>C Class</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Sharan</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Focus</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/Mercedes Benz</w:t>
            </w: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 Class</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Tiguan</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Galaxy</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CLC</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Touareg</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Kuga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CLK</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Touran</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Mondeo</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CLS</w:t>
            </w:r>
          </w:p>
        </w:tc>
        <w:tc>
          <w:tcPr>
            <w:tcW w:w="1760" w:type="dxa"/>
            <w:vAlign w:val="bottom"/>
          </w:tcPr>
          <w:p>
            <w:pPr>
              <w:ind w:left="220"/>
              <w:spacing w:after="0"/>
              <w:rPr>
                <w:sz w:val="20"/>
                <w:szCs w:val="20"/>
                <w:color w:val="auto"/>
              </w:rPr>
            </w:pPr>
            <w:r>
              <w:rPr>
                <w:rFonts w:ascii="Arial" w:cs="Arial" w:eastAsia="Arial" w:hAnsi="Arial"/>
                <w:sz w:val="18"/>
                <w:szCs w:val="18"/>
                <w:color w:val="auto"/>
              </w:rPr>
              <w:t>Volkswagen/Audi</w:t>
            </w:r>
          </w:p>
        </w:tc>
        <w:tc>
          <w:tcPr>
            <w:tcW w:w="1440" w:type="dxa"/>
            <w:vAlign w:val="bottom"/>
          </w:tcPr>
          <w:p>
            <w:pPr>
              <w:ind w:left="160"/>
              <w:spacing w:after="0"/>
              <w:rPr>
                <w:sz w:val="20"/>
                <w:szCs w:val="20"/>
                <w:color w:val="auto"/>
              </w:rPr>
            </w:pPr>
            <w:r>
              <w:rPr>
                <w:rFonts w:ascii="Arial" w:cs="Arial" w:eastAsia="Arial" w:hAnsi="Arial"/>
                <w:sz w:val="18"/>
                <w:szCs w:val="18"/>
                <w:color w:val="auto"/>
              </w:rPr>
              <w:t>A3</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Territory</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 Class</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A4</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S-Max</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G Wagen</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A5</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Ford/Volvo</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C70</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 Class</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A6</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C30</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SL Class</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A8</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S40</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SLK</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Cabrio</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V50</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Viano</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Allroad</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XC60</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Mitsubishi</w:t>
            </w:r>
          </w:p>
        </w:tc>
        <w:tc>
          <w:tcPr>
            <w:tcW w:w="1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380</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Q5</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GM/Buick</w:t>
            </w:r>
          </w:p>
        </w:tc>
        <w:tc>
          <w:tcPr>
            <w:tcW w:w="1540" w:type="dxa"/>
            <w:vAlign w:val="bottom"/>
          </w:tcPr>
          <w:p>
            <w:pPr>
              <w:ind w:left="120"/>
              <w:spacing w:after="0"/>
              <w:rPr>
                <w:sz w:val="20"/>
                <w:szCs w:val="20"/>
                <w:color w:val="auto"/>
              </w:rPr>
            </w:pPr>
            <w:r>
              <w:rPr>
                <w:rFonts w:ascii="Arial" w:cs="Arial" w:eastAsia="Arial" w:hAnsi="Arial"/>
                <w:sz w:val="18"/>
                <w:szCs w:val="18"/>
                <w:color w:val="auto"/>
              </w:rPr>
              <w:t>LaCrosse</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Pajero</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Q7</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Regal</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Nissan</w:t>
            </w:r>
          </w:p>
        </w:tc>
        <w:tc>
          <w:tcPr>
            <w:tcW w:w="1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370Z</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R8</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GM/Cadillac</w:t>
            </w:r>
          </w:p>
        </w:tc>
        <w:tc>
          <w:tcPr>
            <w:tcW w:w="1540" w:type="dxa"/>
            <w:vAlign w:val="bottom"/>
          </w:tcPr>
          <w:p>
            <w:pPr>
              <w:ind w:left="120"/>
              <w:spacing w:after="0"/>
              <w:rPr>
                <w:sz w:val="20"/>
                <w:szCs w:val="20"/>
                <w:color w:val="auto"/>
              </w:rPr>
            </w:pPr>
            <w:r>
              <w:rPr>
                <w:rFonts w:ascii="Arial" w:cs="Arial" w:eastAsia="Arial" w:hAnsi="Arial"/>
                <w:sz w:val="18"/>
                <w:szCs w:val="18"/>
                <w:color w:val="auto"/>
              </w:rPr>
              <w:t>STS</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GT-R</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TT</w:t>
            </w: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GM/Opel</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Astra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Murano</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Volkswagen/SEAT</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Altea</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Captiva</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Navara</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Cordoba</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Corsa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Pathfinder</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Exeo</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Insignia</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Rogue</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Ibiza</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Meriva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Skyline</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Leon</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Signum</w:t>
            </w:r>
          </w:p>
        </w:tc>
        <w:tc>
          <w:tcPr>
            <w:tcW w:w="1660" w:type="dxa"/>
            <w:vAlign w:val="bottom"/>
          </w:tcPr>
          <w:p>
            <w:pPr>
              <w:ind w:left="220"/>
              <w:spacing w:after="0"/>
              <w:rPr>
                <w:sz w:val="20"/>
                <w:szCs w:val="20"/>
                <w:color w:val="auto"/>
              </w:rPr>
            </w:pPr>
            <w:r>
              <w:rPr>
                <w:rFonts w:ascii="Arial" w:cs="Arial" w:eastAsia="Arial" w:hAnsi="Arial"/>
                <w:sz w:val="18"/>
                <w:szCs w:val="18"/>
                <w:color w:val="auto"/>
              </w:rPr>
              <w:t>Nissan/Infiniti</w:t>
            </w:r>
          </w:p>
        </w:tc>
        <w:tc>
          <w:tcPr>
            <w:tcW w:w="1360" w:type="dxa"/>
            <w:vAlign w:val="bottom"/>
          </w:tcPr>
          <w:p>
            <w:pPr>
              <w:ind w:left="200"/>
              <w:spacing w:after="0"/>
              <w:rPr>
                <w:sz w:val="20"/>
                <w:szCs w:val="20"/>
                <w:color w:val="auto"/>
              </w:rPr>
            </w:pPr>
            <w:r>
              <w:rPr>
                <w:rFonts w:ascii="Arial" w:cs="Arial" w:eastAsia="Arial" w:hAnsi="Arial"/>
                <w:sz w:val="18"/>
                <w:szCs w:val="18"/>
                <w:color w:val="auto"/>
              </w:rPr>
              <w:t>EX</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Toledo</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Tigra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FX35/FX45</w:t>
            </w:r>
          </w:p>
        </w:tc>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Volkswagen/Skoda</w:t>
            </w: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Octavia</w:t>
            </w: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Vectra</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G35/G37</w:t>
            </w:r>
          </w:p>
        </w:tc>
        <w:tc>
          <w:tcPr>
            <w:tcW w:w="176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Superb</w:t>
            </w: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Zafira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M35/M45</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Honda/Acura</w:t>
            </w:r>
          </w:p>
        </w:tc>
        <w:tc>
          <w:tcPr>
            <w:tcW w:w="1540" w:type="dxa"/>
            <w:vAlign w:val="bottom"/>
          </w:tcPr>
          <w:p>
            <w:pPr>
              <w:ind w:left="120"/>
              <w:spacing w:after="0"/>
              <w:rPr>
                <w:sz w:val="20"/>
                <w:szCs w:val="20"/>
                <w:color w:val="auto"/>
              </w:rPr>
            </w:pPr>
            <w:r>
              <w:rPr>
                <w:rFonts w:ascii="Arial" w:cs="Arial" w:eastAsia="Arial" w:hAnsi="Arial"/>
                <w:sz w:val="18"/>
                <w:szCs w:val="18"/>
                <w:color w:val="auto"/>
              </w:rPr>
              <w:t>TSX</w:t>
            </w:r>
          </w:p>
        </w:tc>
        <w:tc>
          <w:tcPr>
            <w:tcW w:w="1660" w:type="dxa"/>
            <w:vAlign w:val="bottom"/>
          </w:tcPr>
          <w:p>
            <w:pPr>
              <w:ind w:left="220"/>
              <w:spacing w:after="0"/>
              <w:rPr>
                <w:sz w:val="20"/>
                <w:szCs w:val="20"/>
                <w:color w:val="auto"/>
              </w:rPr>
            </w:pPr>
            <w:r>
              <w:rPr>
                <w:rFonts w:ascii="Arial" w:cs="Arial" w:eastAsia="Arial" w:hAnsi="Arial"/>
                <w:sz w:val="18"/>
                <w:szCs w:val="18"/>
                <w:color w:val="auto"/>
              </w:rPr>
              <w:t>PSA/Citroen</w:t>
            </w:r>
          </w:p>
        </w:tc>
        <w:tc>
          <w:tcPr>
            <w:tcW w:w="1360" w:type="dxa"/>
            <w:vAlign w:val="bottom"/>
          </w:tcPr>
          <w:p>
            <w:pPr>
              <w:ind w:left="200"/>
              <w:spacing w:after="0"/>
              <w:rPr>
                <w:sz w:val="20"/>
                <w:szCs w:val="20"/>
                <w:color w:val="auto"/>
              </w:rPr>
            </w:pPr>
            <w:r>
              <w:rPr>
                <w:rFonts w:ascii="Arial" w:cs="Arial" w:eastAsia="Arial" w:hAnsi="Arial"/>
                <w:sz w:val="18"/>
                <w:szCs w:val="18"/>
                <w:color w:val="auto"/>
              </w:rPr>
              <w:t>C6</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Honda</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Accord</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PSA/Peugeot</w:t>
            </w:r>
          </w:p>
        </w:tc>
        <w:tc>
          <w:tcPr>
            <w:tcW w:w="1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207</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Civic</w:t>
            </w:r>
          </w:p>
        </w:tc>
        <w:tc>
          <w:tcPr>
            <w:tcW w:w="16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8"/>
                <w:szCs w:val="18"/>
                <w:color w:val="auto"/>
              </w:rPr>
              <w:t>407</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Inspire</w:t>
            </w:r>
          </w:p>
        </w:tc>
        <w:tc>
          <w:tcPr>
            <w:tcW w:w="1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Porsche</w:t>
            </w: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Cayenne</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Hongqi</w:t>
            </w:r>
          </w:p>
        </w:tc>
        <w:tc>
          <w:tcPr>
            <w:tcW w:w="1540" w:type="dxa"/>
            <w:vAlign w:val="bottom"/>
          </w:tcPr>
          <w:p>
            <w:pPr>
              <w:ind w:left="120"/>
              <w:spacing w:after="0"/>
              <w:rPr>
                <w:sz w:val="20"/>
                <w:szCs w:val="20"/>
                <w:color w:val="auto"/>
              </w:rPr>
            </w:pPr>
            <w:r>
              <w:rPr>
                <w:rFonts w:ascii="Arial" w:cs="Arial" w:eastAsia="Arial" w:hAnsi="Arial"/>
                <w:sz w:val="18"/>
                <w:szCs w:val="18"/>
                <w:color w:val="auto"/>
              </w:rPr>
              <w:t>Benteng</w:t>
            </w:r>
          </w:p>
        </w:tc>
        <w:tc>
          <w:tcPr>
            <w:tcW w:w="1660" w:type="dxa"/>
            <w:vAlign w:val="bottom"/>
          </w:tcPr>
          <w:p>
            <w:pPr>
              <w:ind w:left="220"/>
              <w:spacing w:after="0"/>
              <w:rPr>
                <w:sz w:val="20"/>
                <w:szCs w:val="20"/>
                <w:color w:val="auto"/>
              </w:rPr>
            </w:pPr>
            <w:r>
              <w:rPr>
                <w:rFonts w:ascii="Arial" w:cs="Arial" w:eastAsia="Arial" w:hAnsi="Arial"/>
                <w:sz w:val="18"/>
                <w:szCs w:val="18"/>
                <w:color w:val="auto"/>
              </w:rPr>
              <w:t>SAIC</w:t>
            </w:r>
          </w:p>
        </w:tc>
        <w:tc>
          <w:tcPr>
            <w:tcW w:w="1360" w:type="dxa"/>
            <w:vAlign w:val="bottom"/>
          </w:tcPr>
          <w:p>
            <w:pPr>
              <w:ind w:left="200"/>
              <w:spacing w:after="0"/>
              <w:rPr>
                <w:sz w:val="20"/>
                <w:szCs w:val="20"/>
                <w:color w:val="auto"/>
              </w:rPr>
            </w:pPr>
            <w:r>
              <w:rPr>
                <w:rFonts w:ascii="Arial" w:cs="Arial" w:eastAsia="Arial" w:hAnsi="Arial"/>
                <w:sz w:val="18"/>
                <w:szCs w:val="18"/>
                <w:color w:val="auto"/>
              </w:rPr>
              <w:t>Roewe 550</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Hyundai</w:t>
            </w: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Avante</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Roewe 750</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Azera</w:t>
            </w:r>
          </w:p>
        </w:tc>
        <w:tc>
          <w:tcPr>
            <w:tcW w:w="1660" w:type="dxa"/>
            <w:vAlign w:val="bottom"/>
          </w:tcPr>
          <w:p>
            <w:pPr>
              <w:ind w:left="220"/>
              <w:spacing w:after="0"/>
              <w:rPr>
                <w:sz w:val="20"/>
                <w:szCs w:val="20"/>
                <w:color w:val="auto"/>
              </w:rPr>
            </w:pPr>
            <w:r>
              <w:rPr>
                <w:rFonts w:ascii="Arial" w:cs="Arial" w:eastAsia="Arial" w:hAnsi="Arial"/>
                <w:sz w:val="18"/>
                <w:szCs w:val="18"/>
                <w:color w:val="auto"/>
              </w:rPr>
              <w:t>Toyota/Lexus</w:t>
            </w:r>
          </w:p>
        </w:tc>
        <w:tc>
          <w:tcPr>
            <w:tcW w:w="1360" w:type="dxa"/>
            <w:vAlign w:val="bottom"/>
          </w:tcPr>
          <w:p>
            <w:pPr>
              <w:ind w:left="200"/>
              <w:spacing w:after="0"/>
              <w:rPr>
                <w:sz w:val="20"/>
                <w:szCs w:val="20"/>
                <w:color w:val="auto"/>
              </w:rPr>
            </w:pPr>
            <w:r>
              <w:rPr>
                <w:rFonts w:ascii="Arial" w:cs="Arial" w:eastAsia="Arial" w:hAnsi="Arial"/>
                <w:sz w:val="18"/>
                <w:szCs w:val="18"/>
                <w:color w:val="auto"/>
              </w:rPr>
              <w:t>ES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Elantra</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GX</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Equus</w:t>
            </w:r>
          </w:p>
        </w:tc>
        <w:tc>
          <w:tcPr>
            <w:tcW w:w="166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LX</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Genesis</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RX</w:t>
            </w: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Grandeur</w:t>
            </w: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1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I30</w:t>
            </w:r>
          </w:p>
        </w:tc>
        <w:tc>
          <w:tcPr>
            <w:tcW w:w="1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540" w:type="dxa"/>
            <w:vAlign w:val="bottom"/>
          </w:tcPr>
          <w:p>
            <w:pPr>
              <w:ind w:left="120"/>
              <w:spacing w:after="0"/>
              <w:rPr>
                <w:sz w:val="20"/>
                <w:szCs w:val="20"/>
                <w:color w:val="auto"/>
              </w:rPr>
            </w:pPr>
            <w:r>
              <w:rPr>
                <w:rFonts w:ascii="Arial" w:cs="Arial" w:eastAsia="Arial" w:hAnsi="Arial"/>
                <w:sz w:val="18"/>
                <w:szCs w:val="18"/>
                <w:color w:val="auto"/>
              </w:rPr>
              <w:t>Sonata</w:t>
            </w:r>
          </w:p>
        </w:tc>
        <w:tc>
          <w:tcPr>
            <w:tcW w:w="1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ectPr>
          <w:pgSz w:w="11900" w:h="16838" w:orient="portrait"/>
          <w:cols w:equalWidth="0" w:num="1">
            <w:col w:w="9879"/>
          </w:cols>
          <w:pgMar w:left="580" w:top="931" w:right="1440" w:bottom="0" w:gutter="0" w:footer="0" w:header="0"/>
        </w:sectPr>
      </w:pPr>
    </w:p>
    <w:bookmarkStart w:id="7" w:name="page8"/>
    <w:bookmarkEnd w:id="7"/>
    <w:p>
      <w:pPr>
        <w:ind w:left="3640"/>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340" w:right="1840" w:firstLine="747"/>
        <w:spacing w:after="0" w:line="269" w:lineRule="auto"/>
        <w:rPr>
          <w:sz w:val="20"/>
          <w:szCs w:val="20"/>
          <w:color w:val="auto"/>
        </w:rPr>
      </w:pPr>
      <w:r>
        <w:rPr>
          <w:rFonts w:ascii="Arial" w:cs="Arial" w:eastAsia="Arial" w:hAnsi="Arial"/>
          <w:sz w:val="17"/>
          <w:szCs w:val="17"/>
          <w:i w:val="1"/>
          <w:iCs w:val="1"/>
          <w:u w:val="single" w:color="auto"/>
          <w:color w:val="auto"/>
        </w:rPr>
        <w:t>Exterior Auto-Dimming Mirror Sub-Assemblies</w:t>
      </w:r>
      <w:r>
        <w:rPr>
          <w:rFonts w:ascii="Arial" w:cs="Arial" w:eastAsia="Arial" w:hAnsi="Arial"/>
          <w:sz w:val="17"/>
          <w:szCs w:val="17"/>
          <w:color w:val="auto"/>
        </w:rPr>
        <w:t>. The Company has devoted substantial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efforts to the development of its electrochromic technology to permit its use in exterior rearview mirrors. Exterior auto-dimming mirrors are controlled by the sensors and electronic circuitry in the interior auto-dimming mirror, and both the interior and exterior mirrors dim simultaneously. During 1991, the Company’s efforts culminated in a design that is intended to provide acceptable long-term performance in all automotive environments likely to be encountered. In 1994, the Company began shipments of its complete three-mirror system, including the convex (curved glass) wide-angle auto-dimming mirror to BMW. During 1997, the Company began making volume shipments of additional new exterior mirror products: thin glass flat and aspheric mirrors. During 2001 and 2002, the Company began making shipments of the world’s first exterior automatic-dimming mirrors with built-in turn-signal indicators to Southeast Toyota and General Motors. The Company currently offers its exterior auto-dimming mirrors with turn-signal indicators and side blind zone features. The Company currently sells its exterior auto-dimming mirror sub-assemblies to exterior mirror suppliers of the automakers who assemble the exterior auto-dimming mirror sub-assemblies into full mirror units for subsequent resale to the automakers.</w:t>
      </w:r>
    </w:p>
    <w:p>
      <w:pPr>
        <w:spacing w:after="0" w:line="153" w:lineRule="exact"/>
        <w:rPr>
          <w:sz w:val="20"/>
          <w:szCs w:val="20"/>
          <w:color w:val="auto"/>
        </w:rPr>
      </w:pPr>
    </w:p>
    <w:p>
      <w:pPr>
        <w:ind w:left="340" w:right="2000" w:firstLine="747"/>
        <w:spacing w:after="0" w:line="259" w:lineRule="auto"/>
        <w:rPr>
          <w:sz w:val="20"/>
          <w:szCs w:val="20"/>
          <w:color w:val="auto"/>
        </w:rPr>
      </w:pPr>
      <w:r>
        <w:rPr>
          <w:rFonts w:ascii="Arial" w:cs="Arial" w:eastAsia="Arial" w:hAnsi="Arial"/>
          <w:sz w:val="18"/>
          <w:szCs w:val="18"/>
          <w:color w:val="auto"/>
        </w:rPr>
        <w:t>The Company shipped approximately 4,001,000 exterior auto-dimming mirror sub-assemblies during 2006, approximately 4,220,000 in 2007, and approximately 3,884,000 in 2008. During 2008, total exterior unit shipments decreased primarily due to decreased shipments in North America, partially offset by increased shipments at certain European and Asian automakers.</w:t>
      </w:r>
    </w:p>
    <w:p>
      <w:pPr>
        <w:spacing w:after="0" w:line="146" w:lineRule="exact"/>
        <w:rPr>
          <w:sz w:val="20"/>
          <w:szCs w:val="20"/>
          <w:color w:val="auto"/>
        </w:rPr>
      </w:pPr>
    </w:p>
    <w:p>
      <w:pPr>
        <w:ind w:left="340" w:right="2180" w:firstLine="747"/>
        <w:spacing w:after="0" w:line="277" w:lineRule="auto"/>
        <w:rPr>
          <w:sz w:val="20"/>
          <w:szCs w:val="20"/>
          <w:color w:val="auto"/>
        </w:rPr>
      </w:pPr>
      <w:r>
        <w:rPr>
          <w:rFonts w:ascii="Arial" w:cs="Arial" w:eastAsia="Arial" w:hAnsi="Arial"/>
          <w:sz w:val="18"/>
          <w:szCs w:val="18"/>
          <w:color w:val="auto"/>
        </w:rPr>
        <w:t>The exterior auto-dimming mirror is standard equipment or a factory-installed option on certain trim levels of the following 2009 vehicle models: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Table 2. Exterior Auto-Dimming Mirror Availability by Vehicle Line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GM/Cadillac</w:t>
            </w: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DTS</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BMW (cont’d)</w:t>
            </w:r>
          </w:p>
        </w:tc>
        <w:tc>
          <w:tcPr>
            <w:tcW w:w="1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 Series</w:t>
            </w:r>
          </w:p>
        </w:tc>
        <w:tc>
          <w:tcPr>
            <w:tcW w:w="1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Honda/Acura</w:t>
            </w: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RL</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Escalade</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1 Series</w:t>
            </w:r>
          </w:p>
        </w:tc>
        <w:tc>
          <w:tcPr>
            <w:tcW w:w="1600" w:type="dxa"/>
            <w:vAlign w:val="bottom"/>
          </w:tcPr>
          <w:p>
            <w:pPr>
              <w:ind w:left="260"/>
              <w:spacing w:after="0"/>
              <w:rPr>
                <w:sz w:val="20"/>
                <w:szCs w:val="20"/>
                <w:color w:val="auto"/>
              </w:rPr>
            </w:pPr>
            <w:r>
              <w:rPr>
                <w:rFonts w:ascii="Arial" w:cs="Arial" w:eastAsia="Arial" w:hAnsi="Arial"/>
                <w:sz w:val="18"/>
                <w:szCs w:val="18"/>
                <w:color w:val="auto"/>
              </w:rPr>
              <w:t>Hyundai</w:t>
            </w:r>
          </w:p>
        </w:tc>
        <w:tc>
          <w:tcPr>
            <w:tcW w:w="1540" w:type="dxa"/>
            <w:vAlign w:val="bottom"/>
          </w:tcPr>
          <w:p>
            <w:pPr>
              <w:ind w:left="320"/>
              <w:spacing w:after="0"/>
              <w:rPr>
                <w:sz w:val="20"/>
                <w:szCs w:val="20"/>
                <w:color w:val="auto"/>
              </w:rPr>
            </w:pPr>
            <w:r>
              <w:rPr>
                <w:rFonts w:ascii="Arial" w:cs="Arial" w:eastAsia="Arial" w:hAnsi="Arial"/>
                <w:sz w:val="18"/>
                <w:szCs w:val="18"/>
                <w:color w:val="auto"/>
              </w:rPr>
              <w:t>Equus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XLR</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X3</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Genesis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GM/Buick</w:t>
            </w:r>
          </w:p>
        </w:tc>
        <w:tc>
          <w:tcPr>
            <w:tcW w:w="1720" w:type="dxa"/>
            <w:vAlign w:val="bottom"/>
          </w:tcPr>
          <w:p>
            <w:pPr>
              <w:ind w:left="340"/>
              <w:spacing w:after="0"/>
              <w:rPr>
                <w:sz w:val="20"/>
                <w:szCs w:val="20"/>
                <w:color w:val="auto"/>
              </w:rPr>
            </w:pPr>
            <w:r>
              <w:rPr>
                <w:rFonts w:ascii="Arial" w:cs="Arial" w:eastAsia="Arial" w:hAnsi="Arial"/>
                <w:sz w:val="18"/>
                <w:szCs w:val="18"/>
                <w:color w:val="auto"/>
              </w:rPr>
              <w:t>Enclave</w:t>
            </w:r>
          </w:p>
        </w:tc>
        <w:tc>
          <w:tcPr>
            <w:tcW w:w="1540" w:type="dxa"/>
            <w:vAlign w:val="bottom"/>
          </w:tcPr>
          <w:p>
            <w:pPr>
              <w:ind w:left="160"/>
              <w:spacing w:after="0"/>
              <w:rPr>
                <w:sz w:val="20"/>
                <w:szCs w:val="20"/>
                <w:color w:val="auto"/>
              </w:rPr>
            </w:pPr>
            <w:r>
              <w:rPr>
                <w:rFonts w:ascii="Arial" w:cs="Arial" w:eastAsia="Arial" w:hAnsi="Arial"/>
                <w:sz w:val="18"/>
                <w:szCs w:val="18"/>
                <w:color w:val="auto"/>
              </w:rPr>
              <w:t>Bentley</w:t>
            </w:r>
          </w:p>
        </w:tc>
        <w:tc>
          <w:tcPr>
            <w:tcW w:w="1300" w:type="dxa"/>
            <w:vAlign w:val="bottom"/>
          </w:tcPr>
          <w:p>
            <w:pPr>
              <w:ind w:left="80"/>
              <w:spacing w:after="0"/>
              <w:rPr>
                <w:sz w:val="20"/>
                <w:szCs w:val="20"/>
                <w:color w:val="auto"/>
              </w:rPr>
            </w:pPr>
            <w:r>
              <w:rPr>
                <w:rFonts w:ascii="Arial" w:cs="Arial" w:eastAsia="Arial" w:hAnsi="Arial"/>
                <w:sz w:val="18"/>
                <w:szCs w:val="18"/>
                <w:color w:val="auto"/>
              </w:rPr>
              <w:t>Arnage</w:t>
            </w:r>
          </w:p>
        </w:tc>
        <w:tc>
          <w:tcPr>
            <w:tcW w:w="160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rPr>
              <w:t>Grandeur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Lucerne</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Azure</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Veracruz</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GM/Chevrolet</w:t>
            </w:r>
          </w:p>
        </w:tc>
        <w:tc>
          <w:tcPr>
            <w:tcW w:w="1720" w:type="dxa"/>
            <w:vAlign w:val="bottom"/>
          </w:tcPr>
          <w:p>
            <w:pPr>
              <w:ind w:left="340"/>
              <w:spacing w:after="0"/>
              <w:rPr>
                <w:sz w:val="20"/>
                <w:szCs w:val="20"/>
                <w:color w:val="auto"/>
              </w:rPr>
            </w:pPr>
            <w:r>
              <w:rPr>
                <w:rFonts w:ascii="Arial" w:cs="Arial" w:eastAsia="Arial" w:hAnsi="Arial"/>
                <w:sz w:val="18"/>
                <w:szCs w:val="18"/>
                <w:color w:val="auto"/>
              </w:rPr>
              <w:t>Avalanche</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Continental</w:t>
            </w:r>
          </w:p>
        </w:tc>
        <w:tc>
          <w:tcPr>
            <w:tcW w:w="1600" w:type="dxa"/>
            <w:vAlign w:val="bottom"/>
          </w:tcPr>
          <w:p>
            <w:pPr>
              <w:ind w:left="260"/>
              <w:spacing w:after="0"/>
              <w:rPr>
                <w:sz w:val="20"/>
                <w:szCs w:val="20"/>
                <w:color w:val="auto"/>
              </w:rPr>
            </w:pPr>
            <w:r>
              <w:rPr>
                <w:rFonts w:ascii="Arial" w:cs="Arial" w:eastAsia="Arial" w:hAnsi="Arial"/>
                <w:sz w:val="18"/>
                <w:szCs w:val="18"/>
                <w:color w:val="auto"/>
              </w:rPr>
              <w:t>Hyundai/Kia</w:t>
            </w:r>
          </w:p>
        </w:tc>
        <w:tc>
          <w:tcPr>
            <w:tcW w:w="1540" w:type="dxa"/>
            <w:vAlign w:val="bottom"/>
          </w:tcPr>
          <w:p>
            <w:pPr>
              <w:ind w:left="320"/>
              <w:spacing w:after="0"/>
              <w:rPr>
                <w:sz w:val="20"/>
                <w:szCs w:val="20"/>
                <w:color w:val="auto"/>
              </w:rPr>
            </w:pPr>
            <w:r>
              <w:rPr>
                <w:rFonts w:ascii="Arial" w:cs="Arial" w:eastAsia="Arial" w:hAnsi="Arial"/>
                <w:sz w:val="18"/>
                <w:szCs w:val="18"/>
                <w:color w:val="auto"/>
              </w:rPr>
              <w:t>Amanti</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Silverado</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GTC</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Opirus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Suburban</w:t>
            </w:r>
          </w:p>
        </w:tc>
        <w:tc>
          <w:tcPr>
            <w:tcW w:w="1540" w:type="dxa"/>
            <w:vAlign w:val="bottom"/>
          </w:tcPr>
          <w:p>
            <w:pPr>
              <w:ind w:left="160"/>
              <w:spacing w:after="0"/>
              <w:rPr>
                <w:sz w:val="20"/>
                <w:szCs w:val="20"/>
                <w:color w:val="auto"/>
              </w:rPr>
            </w:pPr>
            <w:r>
              <w:rPr>
                <w:rFonts w:ascii="Arial" w:cs="Arial" w:eastAsia="Arial" w:hAnsi="Arial"/>
                <w:sz w:val="18"/>
                <w:szCs w:val="18"/>
                <w:color w:val="auto"/>
              </w:rPr>
              <w:t>Daimler</w:t>
            </w:r>
          </w:p>
        </w:tc>
        <w:tc>
          <w:tcPr>
            <w:tcW w:w="1300" w:type="dxa"/>
            <w:vAlign w:val="bottom"/>
          </w:tcPr>
          <w:p>
            <w:pPr>
              <w:ind w:left="80"/>
              <w:spacing w:after="0"/>
              <w:rPr>
                <w:sz w:val="20"/>
                <w:szCs w:val="20"/>
                <w:color w:val="auto"/>
              </w:rPr>
            </w:pPr>
            <w:r>
              <w:rPr>
                <w:rFonts w:ascii="Arial" w:cs="Arial" w:eastAsia="Arial" w:hAnsi="Arial"/>
                <w:sz w:val="18"/>
                <w:szCs w:val="18"/>
                <w:color w:val="auto"/>
              </w:rPr>
              <w:t>C Class</w:t>
            </w:r>
          </w:p>
        </w:tc>
        <w:tc>
          <w:tcPr>
            <w:tcW w:w="1600" w:type="dxa"/>
            <w:vAlign w:val="bottom"/>
          </w:tcPr>
          <w:p>
            <w:pPr>
              <w:ind w:left="260"/>
              <w:spacing w:after="0"/>
              <w:rPr>
                <w:sz w:val="20"/>
                <w:szCs w:val="20"/>
                <w:color w:val="auto"/>
              </w:rPr>
            </w:pPr>
            <w:r>
              <w:rPr>
                <w:rFonts w:ascii="Arial" w:cs="Arial" w:eastAsia="Arial" w:hAnsi="Arial"/>
                <w:sz w:val="18"/>
                <w:szCs w:val="18"/>
                <w:color w:val="auto"/>
              </w:rPr>
              <w:t>Nissan/Infiniti</w:t>
            </w:r>
          </w:p>
        </w:tc>
        <w:tc>
          <w:tcPr>
            <w:tcW w:w="1540" w:type="dxa"/>
            <w:vAlign w:val="bottom"/>
          </w:tcPr>
          <w:p>
            <w:pPr>
              <w:ind w:left="320"/>
              <w:spacing w:after="0"/>
              <w:rPr>
                <w:sz w:val="20"/>
                <w:szCs w:val="20"/>
                <w:color w:val="auto"/>
              </w:rPr>
            </w:pPr>
            <w:r>
              <w:rPr>
                <w:rFonts w:ascii="Arial" w:cs="Arial" w:eastAsia="Arial" w:hAnsi="Arial"/>
                <w:sz w:val="18"/>
                <w:szCs w:val="18"/>
                <w:color w:val="auto"/>
              </w:rPr>
              <w:t>QX56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Tahoe</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/Mercedes Benz</w:t>
            </w: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 Class</w:t>
            </w:r>
          </w:p>
        </w:tc>
        <w:tc>
          <w:tcPr>
            <w:tcW w:w="1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Toyota/Lexus</w:t>
            </w: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GM/GMC</w:t>
            </w:r>
          </w:p>
        </w:tc>
        <w:tc>
          <w:tcPr>
            <w:tcW w:w="1720" w:type="dxa"/>
            <w:vAlign w:val="bottom"/>
          </w:tcPr>
          <w:p>
            <w:pPr>
              <w:ind w:left="340"/>
              <w:spacing w:after="0"/>
              <w:rPr>
                <w:sz w:val="20"/>
                <w:szCs w:val="20"/>
                <w:color w:val="auto"/>
              </w:rPr>
            </w:pPr>
            <w:r>
              <w:rPr>
                <w:rFonts w:ascii="Arial" w:cs="Arial" w:eastAsia="Arial" w:hAnsi="Arial"/>
                <w:sz w:val="18"/>
                <w:szCs w:val="18"/>
                <w:color w:val="auto"/>
              </w:rPr>
              <w:t>Acadia</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CLC</w:t>
            </w:r>
          </w:p>
        </w:tc>
        <w:tc>
          <w:tcPr>
            <w:tcW w:w="160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rPr>
              <w:t>LS</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Sierra</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CLK</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LX</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Yukon</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CLS</w:t>
            </w:r>
          </w:p>
        </w:tc>
        <w:tc>
          <w:tcPr>
            <w:tcW w:w="160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rPr>
              <w:t>RX</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GM/Hummer</w:t>
            </w: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H2</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 Class</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GM/Saturn</w:t>
            </w:r>
          </w:p>
        </w:tc>
        <w:tc>
          <w:tcPr>
            <w:tcW w:w="1720" w:type="dxa"/>
            <w:vAlign w:val="bottom"/>
          </w:tcPr>
          <w:p>
            <w:pPr>
              <w:ind w:left="340"/>
              <w:spacing w:after="0"/>
              <w:rPr>
                <w:sz w:val="20"/>
                <w:szCs w:val="20"/>
                <w:color w:val="auto"/>
              </w:rPr>
            </w:pPr>
            <w:r>
              <w:rPr>
                <w:rFonts w:ascii="Arial" w:cs="Arial" w:eastAsia="Arial" w:hAnsi="Arial"/>
                <w:sz w:val="18"/>
                <w:szCs w:val="18"/>
                <w:color w:val="auto"/>
              </w:rPr>
              <w:t>Outlook</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GLK</w:t>
            </w:r>
          </w:p>
        </w:tc>
        <w:tc>
          <w:tcPr>
            <w:tcW w:w="1600" w:type="dxa"/>
            <w:vAlign w:val="bottom"/>
          </w:tcPr>
          <w:p>
            <w:pPr>
              <w:ind w:left="260"/>
              <w:spacing w:after="0"/>
              <w:rPr>
                <w:sz w:val="20"/>
                <w:szCs w:val="20"/>
                <w:color w:val="auto"/>
              </w:rPr>
            </w:pPr>
            <w:r>
              <w:rPr>
                <w:rFonts w:ascii="Arial" w:cs="Arial" w:eastAsia="Arial" w:hAnsi="Arial"/>
                <w:sz w:val="18"/>
                <w:szCs w:val="18"/>
                <w:color w:val="auto"/>
              </w:rPr>
              <w:t>Toyota</w:t>
            </w:r>
          </w:p>
        </w:tc>
        <w:tc>
          <w:tcPr>
            <w:tcW w:w="1540" w:type="dxa"/>
            <w:vAlign w:val="bottom"/>
          </w:tcPr>
          <w:p>
            <w:pPr>
              <w:ind w:left="320"/>
              <w:spacing w:after="0"/>
              <w:rPr>
                <w:sz w:val="20"/>
                <w:szCs w:val="20"/>
                <w:color w:val="auto"/>
              </w:rPr>
            </w:pPr>
            <w:r>
              <w:rPr>
                <w:rFonts w:ascii="Arial" w:cs="Arial" w:eastAsia="Arial" w:hAnsi="Arial"/>
                <w:sz w:val="18"/>
                <w:szCs w:val="18"/>
                <w:color w:val="auto"/>
              </w:rPr>
              <w:t>Avalon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Ford/Lincoln</w:t>
            </w: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MKZ</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 Wagen</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Camry Solara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Town Car</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GL Class</w:t>
            </w:r>
          </w:p>
        </w:tc>
        <w:tc>
          <w:tcPr>
            <w:tcW w:w="160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rPr>
              <w:t>Land Cruiser</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Chrysler</w:t>
            </w:r>
          </w:p>
        </w:tc>
        <w:tc>
          <w:tcPr>
            <w:tcW w:w="1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300</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 Class</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Sequoia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Aspen</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R Class</w:t>
            </w:r>
          </w:p>
        </w:tc>
        <w:tc>
          <w:tcPr>
            <w:tcW w:w="160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rPr>
              <w:t>Sienna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Town &amp; Country</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 Class</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Tundra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Chrysler/Dodge</w:t>
            </w:r>
          </w:p>
        </w:tc>
        <w:tc>
          <w:tcPr>
            <w:tcW w:w="1720" w:type="dxa"/>
            <w:vAlign w:val="bottom"/>
          </w:tcPr>
          <w:p>
            <w:pPr>
              <w:ind w:left="340"/>
              <w:spacing w:after="0"/>
              <w:rPr>
                <w:sz w:val="20"/>
                <w:szCs w:val="20"/>
                <w:color w:val="auto"/>
              </w:rPr>
            </w:pPr>
            <w:r>
              <w:rPr>
                <w:rFonts w:ascii="Arial" w:cs="Arial" w:eastAsia="Arial" w:hAnsi="Arial"/>
                <w:sz w:val="18"/>
                <w:szCs w:val="18"/>
                <w:color w:val="auto"/>
              </w:rPr>
              <w:t>Caravan</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SL Class</w:t>
            </w:r>
          </w:p>
        </w:tc>
        <w:tc>
          <w:tcPr>
            <w:tcW w:w="1600" w:type="dxa"/>
            <w:vAlign w:val="bottom"/>
          </w:tcPr>
          <w:p>
            <w:pPr>
              <w:ind w:left="260"/>
              <w:spacing w:after="0"/>
              <w:rPr>
                <w:sz w:val="20"/>
                <w:szCs w:val="20"/>
                <w:color w:val="auto"/>
              </w:rPr>
            </w:pPr>
            <w:r>
              <w:rPr>
                <w:rFonts w:ascii="Arial" w:cs="Arial" w:eastAsia="Arial" w:hAnsi="Arial"/>
                <w:sz w:val="18"/>
                <w:szCs w:val="18"/>
                <w:color w:val="auto"/>
              </w:rPr>
              <w:t>Nissan</w:t>
            </w:r>
          </w:p>
        </w:tc>
        <w:tc>
          <w:tcPr>
            <w:tcW w:w="1540" w:type="dxa"/>
            <w:vAlign w:val="bottom"/>
          </w:tcPr>
          <w:p>
            <w:pPr>
              <w:ind w:left="320"/>
              <w:spacing w:after="0"/>
              <w:rPr>
                <w:sz w:val="20"/>
                <w:szCs w:val="20"/>
                <w:color w:val="auto"/>
              </w:rPr>
            </w:pPr>
            <w:r>
              <w:rPr>
                <w:rFonts w:ascii="Arial" w:cs="Arial" w:eastAsia="Arial" w:hAnsi="Arial"/>
                <w:sz w:val="18"/>
                <w:szCs w:val="18"/>
                <w:color w:val="auto"/>
              </w:rPr>
              <w:t>Armada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Durango</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SLK</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Cima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Chrysler/Jeep</w:t>
            </w:r>
          </w:p>
        </w:tc>
        <w:tc>
          <w:tcPr>
            <w:tcW w:w="1720" w:type="dxa"/>
            <w:vAlign w:val="bottom"/>
          </w:tcPr>
          <w:p>
            <w:pPr>
              <w:ind w:left="340"/>
              <w:spacing w:after="0"/>
              <w:rPr>
                <w:sz w:val="20"/>
                <w:szCs w:val="20"/>
                <w:color w:val="auto"/>
              </w:rPr>
            </w:pPr>
            <w:r>
              <w:rPr>
                <w:rFonts w:ascii="Arial" w:cs="Arial" w:eastAsia="Arial" w:hAnsi="Arial"/>
                <w:sz w:val="18"/>
                <w:szCs w:val="18"/>
                <w:color w:val="auto"/>
              </w:rPr>
              <w:t>Commander</w:t>
            </w:r>
          </w:p>
        </w:tc>
        <w:tc>
          <w:tcPr>
            <w:tcW w:w="1540" w:type="dxa"/>
            <w:vAlign w:val="bottom"/>
          </w:tcPr>
          <w:p>
            <w:pPr>
              <w:ind w:left="160"/>
              <w:spacing w:after="0"/>
              <w:rPr>
                <w:sz w:val="20"/>
                <w:szCs w:val="20"/>
                <w:color w:val="auto"/>
              </w:rPr>
            </w:pPr>
            <w:r>
              <w:rPr>
                <w:rFonts w:ascii="Arial" w:cs="Arial" w:eastAsia="Arial" w:hAnsi="Arial"/>
                <w:sz w:val="18"/>
                <w:szCs w:val="18"/>
                <w:color w:val="auto"/>
              </w:rPr>
              <w:t>Jaguar</w:t>
            </w:r>
          </w:p>
        </w:tc>
        <w:tc>
          <w:tcPr>
            <w:tcW w:w="1300" w:type="dxa"/>
            <w:vAlign w:val="bottom"/>
          </w:tcPr>
          <w:p>
            <w:pPr>
              <w:ind w:left="80"/>
              <w:spacing w:after="0"/>
              <w:rPr>
                <w:sz w:val="20"/>
                <w:szCs w:val="20"/>
                <w:color w:val="auto"/>
              </w:rPr>
            </w:pPr>
            <w:r>
              <w:rPr>
                <w:rFonts w:ascii="Arial" w:cs="Arial" w:eastAsia="Arial" w:hAnsi="Arial"/>
                <w:sz w:val="18"/>
                <w:szCs w:val="18"/>
                <w:color w:val="auto"/>
              </w:rPr>
              <w:t>XF</w:t>
            </w:r>
          </w:p>
        </w:tc>
        <w:tc>
          <w:tcPr>
            <w:tcW w:w="1600" w:type="dxa"/>
            <w:vAlign w:val="bottom"/>
          </w:tcPr>
          <w:p>
            <w:pPr>
              <w:spacing w:after="0"/>
              <w:rPr>
                <w:sz w:val="18"/>
                <w:szCs w:val="18"/>
                <w:color w:val="auto"/>
              </w:rPr>
            </w:pPr>
          </w:p>
        </w:tc>
        <w:tc>
          <w:tcPr>
            <w:tcW w:w="1540" w:type="dxa"/>
            <w:vAlign w:val="bottom"/>
          </w:tcPr>
          <w:p>
            <w:pPr>
              <w:ind w:left="320"/>
              <w:spacing w:after="0"/>
              <w:rPr>
                <w:sz w:val="20"/>
                <w:szCs w:val="20"/>
                <w:color w:val="auto"/>
              </w:rPr>
            </w:pPr>
            <w:r>
              <w:rPr>
                <w:rFonts w:ascii="Arial" w:cs="Arial" w:eastAsia="Arial" w:hAnsi="Arial"/>
                <w:sz w:val="18"/>
                <w:szCs w:val="18"/>
                <w:color w:val="auto"/>
              </w:rPr>
              <w:t>Maxima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Grand Cherokee</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XJ</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Titan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Volkswagen/Audi</w:t>
            </w:r>
          </w:p>
        </w:tc>
        <w:tc>
          <w:tcPr>
            <w:tcW w:w="1720" w:type="dxa"/>
            <w:vAlign w:val="bottom"/>
          </w:tcPr>
          <w:p>
            <w:pPr>
              <w:ind w:left="340"/>
              <w:spacing w:after="0"/>
              <w:rPr>
                <w:sz w:val="20"/>
                <w:szCs w:val="20"/>
                <w:color w:val="auto"/>
              </w:rPr>
            </w:pPr>
            <w:r>
              <w:rPr>
                <w:rFonts w:ascii="Arial" w:cs="Arial" w:eastAsia="Arial" w:hAnsi="Arial"/>
                <w:sz w:val="18"/>
                <w:szCs w:val="18"/>
                <w:color w:val="auto"/>
              </w:rPr>
              <w:t>A3</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XK</w:t>
            </w:r>
          </w:p>
        </w:tc>
        <w:tc>
          <w:tcPr>
            <w:tcW w:w="1600" w:type="dxa"/>
            <w:vAlign w:val="bottom"/>
          </w:tcPr>
          <w:p>
            <w:pPr>
              <w:ind w:left="260"/>
              <w:spacing w:after="0"/>
              <w:rPr>
                <w:sz w:val="20"/>
                <w:szCs w:val="20"/>
                <w:color w:val="auto"/>
              </w:rPr>
            </w:pPr>
            <w:r>
              <w:rPr>
                <w:rFonts w:ascii="Arial" w:cs="Arial" w:eastAsia="Arial" w:hAnsi="Arial"/>
                <w:sz w:val="18"/>
                <w:szCs w:val="18"/>
                <w:color w:val="auto"/>
              </w:rPr>
              <w:t>Rolls Royce</w:t>
            </w:r>
          </w:p>
        </w:tc>
        <w:tc>
          <w:tcPr>
            <w:tcW w:w="1540" w:type="dxa"/>
            <w:vAlign w:val="bottom"/>
          </w:tcPr>
          <w:p>
            <w:pPr>
              <w:ind w:left="320"/>
              <w:spacing w:after="0"/>
              <w:rPr>
                <w:sz w:val="20"/>
                <w:szCs w:val="20"/>
                <w:color w:val="auto"/>
              </w:rPr>
            </w:pPr>
            <w:r>
              <w:rPr>
                <w:rFonts w:ascii="Arial" w:cs="Arial" w:eastAsia="Arial" w:hAnsi="Arial"/>
                <w:sz w:val="18"/>
                <w:szCs w:val="18"/>
                <w:color w:val="auto"/>
                <w:w w:val="87"/>
              </w:rPr>
              <w:t>Drophead Coupe</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A4</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 Rover</w:t>
            </w: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Range Rover</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Phantom</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A5</w:t>
            </w:r>
          </w:p>
        </w:tc>
        <w:tc>
          <w:tcPr>
            <w:tcW w:w="1540" w:type="dxa"/>
            <w:vAlign w:val="bottom"/>
          </w:tcPr>
          <w:p>
            <w:pPr>
              <w:ind w:left="160"/>
              <w:spacing w:after="0"/>
              <w:rPr>
                <w:sz w:val="20"/>
                <w:szCs w:val="20"/>
                <w:color w:val="auto"/>
              </w:rPr>
            </w:pPr>
            <w:r>
              <w:rPr>
                <w:rFonts w:ascii="Arial" w:cs="Arial" w:eastAsia="Arial" w:hAnsi="Arial"/>
                <w:sz w:val="18"/>
                <w:szCs w:val="18"/>
                <w:color w:val="auto"/>
              </w:rPr>
              <w:t>Maserati</w:t>
            </w:r>
          </w:p>
        </w:tc>
        <w:tc>
          <w:tcPr>
            <w:tcW w:w="1300" w:type="dxa"/>
            <w:vAlign w:val="bottom"/>
          </w:tcPr>
          <w:p>
            <w:pPr>
              <w:ind w:left="80"/>
              <w:spacing w:after="0"/>
              <w:rPr>
                <w:sz w:val="20"/>
                <w:szCs w:val="20"/>
                <w:color w:val="auto"/>
              </w:rPr>
            </w:pPr>
            <w:r>
              <w:rPr>
                <w:rFonts w:ascii="Arial" w:cs="Arial" w:eastAsia="Arial" w:hAnsi="Arial"/>
                <w:sz w:val="18"/>
                <w:szCs w:val="18"/>
                <w:color w:val="auto"/>
              </w:rPr>
              <w:t>Quattroporte</w:t>
            </w:r>
          </w:p>
        </w:tc>
        <w:tc>
          <w:tcPr>
            <w:tcW w:w="1600" w:type="dxa"/>
            <w:vAlign w:val="bottom"/>
          </w:tcPr>
          <w:p>
            <w:pPr>
              <w:ind w:left="260"/>
              <w:spacing w:after="0"/>
              <w:rPr>
                <w:sz w:val="20"/>
                <w:szCs w:val="20"/>
                <w:color w:val="auto"/>
              </w:rPr>
            </w:pPr>
            <w:r>
              <w:rPr>
                <w:rFonts w:ascii="Arial" w:cs="Arial" w:eastAsia="Arial" w:hAnsi="Arial"/>
                <w:sz w:val="18"/>
                <w:szCs w:val="18"/>
                <w:color w:val="auto"/>
              </w:rPr>
              <w:t>Daewoo</w:t>
            </w:r>
          </w:p>
        </w:tc>
        <w:tc>
          <w:tcPr>
            <w:tcW w:w="1540" w:type="dxa"/>
            <w:vAlign w:val="bottom"/>
          </w:tcPr>
          <w:p>
            <w:pPr>
              <w:ind w:left="320"/>
              <w:spacing w:after="0"/>
              <w:rPr>
                <w:sz w:val="20"/>
                <w:szCs w:val="20"/>
                <w:color w:val="auto"/>
              </w:rPr>
            </w:pPr>
            <w:r>
              <w:rPr>
                <w:rFonts w:ascii="Arial" w:cs="Arial" w:eastAsia="Arial" w:hAnsi="Arial"/>
                <w:sz w:val="18"/>
                <w:szCs w:val="18"/>
                <w:color w:val="auto"/>
              </w:rPr>
              <w:t>Antara</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A6</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GT Coupe</w:t>
            </w:r>
          </w:p>
        </w:tc>
        <w:tc>
          <w:tcPr>
            <w:tcW w:w="1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Daewoo</w:t>
            </w:r>
          </w:p>
        </w:tc>
        <w:tc>
          <w:tcPr>
            <w:tcW w:w="1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Chairman</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A8</w:t>
            </w:r>
          </w:p>
        </w:tc>
        <w:tc>
          <w:tcPr>
            <w:tcW w:w="1540" w:type="dxa"/>
            <w:vAlign w:val="bottom"/>
          </w:tcPr>
          <w:p>
            <w:pPr>
              <w:ind w:left="160"/>
              <w:spacing w:after="0"/>
              <w:rPr>
                <w:sz w:val="20"/>
                <w:szCs w:val="20"/>
                <w:color w:val="auto"/>
              </w:rPr>
            </w:pPr>
            <w:r>
              <w:rPr>
                <w:rFonts w:ascii="Arial" w:cs="Arial" w:eastAsia="Arial" w:hAnsi="Arial"/>
                <w:sz w:val="18"/>
                <w:szCs w:val="18"/>
                <w:color w:val="auto"/>
              </w:rPr>
              <w:t>PSA/Citroen</w:t>
            </w:r>
          </w:p>
        </w:tc>
        <w:tc>
          <w:tcPr>
            <w:tcW w:w="1300" w:type="dxa"/>
            <w:vAlign w:val="bottom"/>
          </w:tcPr>
          <w:p>
            <w:pPr>
              <w:ind w:left="80"/>
              <w:spacing w:after="0"/>
              <w:rPr>
                <w:sz w:val="20"/>
                <w:szCs w:val="20"/>
                <w:color w:val="auto"/>
              </w:rPr>
            </w:pPr>
            <w:r>
              <w:rPr>
                <w:rFonts w:ascii="Arial" w:cs="Arial" w:eastAsia="Arial" w:hAnsi="Arial"/>
                <w:sz w:val="18"/>
                <w:szCs w:val="18"/>
                <w:color w:val="auto"/>
              </w:rPr>
              <w:t>C5</w:t>
            </w:r>
          </w:p>
        </w:tc>
        <w:tc>
          <w:tcPr>
            <w:tcW w:w="1600" w:type="dxa"/>
            <w:vAlign w:val="bottom"/>
          </w:tcPr>
          <w:p>
            <w:pPr>
              <w:ind w:left="260"/>
              <w:spacing w:after="0"/>
              <w:rPr>
                <w:sz w:val="20"/>
                <w:szCs w:val="20"/>
                <w:color w:val="auto"/>
              </w:rPr>
            </w:pPr>
            <w:r>
              <w:rPr>
                <w:rFonts w:ascii="Arial" w:cs="Arial" w:eastAsia="Arial" w:hAnsi="Arial"/>
                <w:sz w:val="18"/>
                <w:szCs w:val="18"/>
                <w:color w:val="auto"/>
              </w:rPr>
              <w:t>/Ssangyong</w:t>
            </w: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Allroad</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C6</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Cabrio</w:t>
            </w:r>
          </w:p>
        </w:tc>
        <w:tc>
          <w:tcPr>
            <w:tcW w:w="1540" w:type="dxa"/>
            <w:vAlign w:val="bottom"/>
          </w:tcPr>
          <w:p>
            <w:pPr>
              <w:ind w:left="160"/>
              <w:spacing w:after="0"/>
              <w:rPr>
                <w:sz w:val="20"/>
                <w:szCs w:val="20"/>
                <w:color w:val="auto"/>
              </w:rPr>
            </w:pPr>
            <w:r>
              <w:rPr>
                <w:rFonts w:ascii="Arial" w:cs="Arial" w:eastAsia="Arial" w:hAnsi="Arial"/>
                <w:sz w:val="18"/>
                <w:szCs w:val="18"/>
                <w:color w:val="auto"/>
              </w:rPr>
              <w:t>VW/Skoda</w:t>
            </w:r>
          </w:p>
        </w:tc>
        <w:tc>
          <w:tcPr>
            <w:tcW w:w="1300" w:type="dxa"/>
            <w:vAlign w:val="bottom"/>
          </w:tcPr>
          <w:p>
            <w:pPr>
              <w:ind w:left="80"/>
              <w:spacing w:after="0"/>
              <w:rPr>
                <w:sz w:val="20"/>
                <w:szCs w:val="20"/>
                <w:color w:val="auto"/>
              </w:rPr>
            </w:pPr>
            <w:r>
              <w:rPr>
                <w:rFonts w:ascii="Arial" w:cs="Arial" w:eastAsia="Arial" w:hAnsi="Arial"/>
                <w:sz w:val="18"/>
                <w:szCs w:val="18"/>
                <w:color w:val="auto"/>
              </w:rPr>
              <w:t>Octavia</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Q5</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Superb</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Q7</w:t>
            </w:r>
          </w:p>
        </w:tc>
        <w:tc>
          <w:tcPr>
            <w:tcW w:w="1540" w:type="dxa"/>
            <w:vAlign w:val="bottom"/>
          </w:tcPr>
          <w:p>
            <w:pPr>
              <w:ind w:left="160"/>
              <w:spacing w:after="0"/>
              <w:rPr>
                <w:sz w:val="20"/>
                <w:szCs w:val="20"/>
                <w:color w:val="auto"/>
              </w:rPr>
            </w:pPr>
            <w:r>
              <w:rPr>
                <w:rFonts w:ascii="Arial" w:cs="Arial" w:eastAsia="Arial" w:hAnsi="Arial"/>
                <w:sz w:val="18"/>
                <w:szCs w:val="18"/>
                <w:color w:val="auto"/>
              </w:rPr>
              <w:t>Volkswagen</w:t>
            </w:r>
          </w:p>
        </w:tc>
        <w:tc>
          <w:tcPr>
            <w:tcW w:w="1300" w:type="dxa"/>
            <w:vAlign w:val="bottom"/>
          </w:tcPr>
          <w:p>
            <w:pPr>
              <w:ind w:left="80"/>
              <w:spacing w:after="0"/>
              <w:rPr>
                <w:sz w:val="20"/>
                <w:szCs w:val="20"/>
                <w:color w:val="auto"/>
              </w:rPr>
            </w:pPr>
            <w:r>
              <w:rPr>
                <w:rFonts w:ascii="Arial" w:cs="Arial" w:eastAsia="Arial" w:hAnsi="Arial"/>
                <w:sz w:val="18"/>
                <w:szCs w:val="18"/>
                <w:color w:val="auto"/>
              </w:rPr>
              <w:t>EOS</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R8</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Golf</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340"/>
              <w:spacing w:after="0"/>
              <w:rPr>
                <w:sz w:val="20"/>
                <w:szCs w:val="20"/>
                <w:color w:val="auto"/>
              </w:rPr>
            </w:pPr>
            <w:r>
              <w:rPr>
                <w:rFonts w:ascii="Arial" w:cs="Arial" w:eastAsia="Arial" w:hAnsi="Arial"/>
                <w:sz w:val="18"/>
                <w:szCs w:val="18"/>
                <w:color w:val="auto"/>
              </w:rPr>
              <w:t>TT</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Passat</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BMW</w:t>
            </w:r>
          </w:p>
        </w:tc>
        <w:tc>
          <w:tcPr>
            <w:tcW w:w="1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 Series</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Sharan</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20" w:type="dxa"/>
            <w:vAlign w:val="bottom"/>
          </w:tcPr>
          <w:p>
            <w:pPr>
              <w:ind w:left="400"/>
              <w:spacing w:after="0"/>
              <w:rPr>
                <w:sz w:val="20"/>
                <w:szCs w:val="20"/>
                <w:color w:val="auto"/>
              </w:rPr>
            </w:pPr>
            <w:r>
              <w:rPr>
                <w:rFonts w:ascii="Arial" w:cs="Arial" w:eastAsia="Arial" w:hAnsi="Arial"/>
                <w:sz w:val="18"/>
                <w:szCs w:val="18"/>
                <w:color w:val="auto"/>
              </w:rPr>
              <w:t>6 Series</w:t>
            </w:r>
          </w:p>
        </w:tc>
        <w:tc>
          <w:tcPr>
            <w:tcW w:w="154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Touran</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Series</w:t>
            </w:r>
          </w:p>
        </w:tc>
        <w:tc>
          <w:tcPr>
            <w:tcW w:w="1540" w:type="dxa"/>
            <w:vAlign w:val="bottom"/>
            <w:shd w:val="clear" w:color="auto" w:fill="CCEEFF"/>
          </w:tcPr>
          <w:p>
            <w:pPr>
              <w:spacing w:after="0"/>
              <w:rPr>
                <w:sz w:val="18"/>
                <w:szCs w:val="18"/>
                <w:color w:val="auto"/>
              </w:rPr>
            </w:pPr>
          </w:p>
        </w:tc>
        <w:tc>
          <w:tcPr>
            <w:tcW w:w="1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Touareg</w:t>
            </w:r>
          </w:p>
        </w:tc>
        <w:tc>
          <w:tcPr>
            <w:tcW w:w="16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Honda</w:t>
            </w:r>
          </w:p>
        </w:tc>
        <w:tc>
          <w:tcPr>
            <w:tcW w:w="1300" w:type="dxa"/>
            <w:vAlign w:val="bottom"/>
          </w:tcPr>
          <w:p>
            <w:pPr>
              <w:ind w:left="80"/>
              <w:spacing w:after="0"/>
              <w:rPr>
                <w:sz w:val="20"/>
                <w:szCs w:val="20"/>
                <w:color w:val="auto"/>
              </w:rPr>
            </w:pPr>
            <w:r>
              <w:rPr>
                <w:rFonts w:ascii="Arial" w:cs="Arial" w:eastAsia="Arial" w:hAnsi="Arial"/>
                <w:sz w:val="18"/>
                <w:szCs w:val="18"/>
                <w:color w:val="auto"/>
              </w:rPr>
              <w:t>Accord</w:t>
            </w: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40" w:type="dxa"/>
            <w:vAlign w:val="bottom"/>
          </w:tcPr>
          <w:p>
            <w:pPr>
              <w:ind w:left="1160"/>
              <w:spacing w:after="0"/>
              <w:rPr>
                <w:sz w:val="20"/>
                <w:szCs w:val="20"/>
                <w:color w:val="auto"/>
              </w:rPr>
            </w:pPr>
            <w:r>
              <w:rPr>
                <w:rFonts w:ascii="Arial" w:cs="Arial" w:eastAsia="Arial" w:hAnsi="Arial"/>
                <w:sz w:val="18"/>
                <w:szCs w:val="18"/>
                <w:color w:val="auto"/>
              </w:rPr>
              <w:t>- 7 -</w:t>
            </w:r>
          </w:p>
        </w:tc>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899" w:firstLine="747"/>
        <w:spacing w:after="0" w:line="266" w:lineRule="auto"/>
        <w:rPr>
          <w:sz w:val="20"/>
          <w:szCs w:val="20"/>
          <w:color w:val="auto"/>
        </w:rPr>
      </w:pPr>
      <w:r>
        <w:rPr>
          <w:rFonts w:ascii="Arial" w:cs="Arial" w:eastAsia="Arial" w:hAnsi="Arial"/>
          <w:sz w:val="18"/>
          <w:szCs w:val="18"/>
          <w:b w:val="1"/>
          <w:bCs w:val="1"/>
          <w:u w:val="single" w:color="auto"/>
          <w:color w:val="auto"/>
        </w:rPr>
        <w:t>Non-Automatic-Dimming Rearview Mirrors</w:t>
      </w:r>
      <w:r>
        <w:rPr>
          <w:rFonts w:ascii="Arial" w:cs="Arial" w:eastAsia="Arial" w:hAnsi="Arial"/>
          <w:sz w:val="18"/>
          <w:szCs w:val="18"/>
          <w:b w:val="1"/>
          <w:bCs w:val="1"/>
          <w:color w:val="auto"/>
        </w:rPr>
        <w:t xml:space="preserve">. </w:t>
      </w:r>
      <w:r>
        <w:rPr>
          <w:rFonts w:ascii="Arial" w:cs="Arial" w:eastAsia="Arial" w:hAnsi="Arial"/>
          <w:sz w:val="18"/>
          <w:szCs w:val="18"/>
          <w:color w:val="auto"/>
        </w:rPr>
        <w:t>In 2007, the Company began shipping non-auto-dimming exterior</w:t>
      </w:r>
      <w:r>
        <w:rPr>
          <w:rFonts w:ascii="Arial" w:cs="Arial" w:eastAsia="Arial" w:hAnsi="Arial"/>
          <w:sz w:val="18"/>
          <w:szCs w:val="18"/>
          <w:b w:val="1"/>
          <w:bCs w:val="1"/>
          <w:color w:val="auto"/>
        </w:rPr>
        <w:t xml:space="preserve"> </w:t>
      </w:r>
      <w:r>
        <w:rPr>
          <w:rFonts w:ascii="Arial" w:cs="Arial" w:eastAsia="Arial" w:hAnsi="Arial"/>
          <w:sz w:val="18"/>
          <w:szCs w:val="18"/>
          <w:color w:val="auto"/>
        </w:rPr>
        <w:t>mirrors with electronic features (i.e. side blind zone indicators) in low volume. During 2008, unit shipments for non-auto-dimming exterior mirrors with electronic features continued in low volume.</w:t>
      </w:r>
    </w:p>
    <w:p>
      <w:pPr>
        <w:spacing w:after="0" w:line="153" w:lineRule="exact"/>
        <w:rPr>
          <w:sz w:val="20"/>
          <w:szCs w:val="20"/>
          <w:color w:val="auto"/>
        </w:rPr>
      </w:pPr>
    </w:p>
    <w:p>
      <w:pPr>
        <w:ind w:right="579" w:firstLine="747"/>
        <w:spacing w:after="0" w:line="288" w:lineRule="auto"/>
        <w:rPr>
          <w:sz w:val="20"/>
          <w:szCs w:val="20"/>
          <w:color w:val="auto"/>
        </w:rPr>
      </w:pPr>
      <w:r>
        <w:rPr>
          <w:rFonts w:ascii="Arial" w:cs="Arial" w:eastAsia="Arial" w:hAnsi="Arial"/>
          <w:sz w:val="16"/>
          <w:szCs w:val="16"/>
          <w:i w:val="1"/>
          <w:iCs w:val="1"/>
          <w:u w:val="single" w:color="auto"/>
          <w:color w:val="auto"/>
        </w:rPr>
        <w:t>Product Development</w:t>
      </w:r>
      <w:r>
        <w:rPr>
          <w:rFonts w:ascii="Arial" w:cs="Arial" w:eastAsia="Arial" w:hAnsi="Arial"/>
          <w:sz w:val="16"/>
          <w:szCs w:val="16"/>
          <w:color w:val="auto"/>
        </w:rPr>
        <w:t>. The Company plans to continue introducing additional advanced-feature auto-dimming mirrors.</w:t>
      </w:r>
      <w:r>
        <w:rPr>
          <w:rFonts w:ascii="Arial" w:cs="Arial" w:eastAsia="Arial" w:hAnsi="Arial"/>
          <w:sz w:val="16"/>
          <w:szCs w:val="16"/>
          <w:i w:val="1"/>
          <w:iCs w:val="1"/>
          <w:color w:val="auto"/>
        </w:rPr>
        <w:t xml:space="preserve"> </w:t>
      </w:r>
      <w:r>
        <w:rPr>
          <w:rFonts w:ascii="Arial" w:cs="Arial" w:eastAsia="Arial" w:hAnsi="Arial"/>
          <w:sz w:val="16"/>
          <w:szCs w:val="16"/>
          <w:color w:val="auto"/>
        </w:rPr>
        <w:t>Advanced-feature auto-dimming mirrors currently being offered by the Company include the auto-dimming headlamp control mirror, the auto-dimming lighted mirror with LED map lamps, the auto-dimming compass mirror, the auto-dimming mirror with remote keyless entry, the auto-dimming compass/temperature mirror, the auto-dimming dual display compass/temperature mirror, auto-dimming telematics mirrors and the auto-dimming HomeLink</w:t>
      </w:r>
      <w:r>
        <w:rPr>
          <w:rFonts w:ascii="Arial" w:cs="Arial" w:eastAsia="Arial" w:hAnsi="Arial"/>
          <w:sz w:val="13"/>
          <w:szCs w:val="13"/>
          <w:color w:val="auto"/>
        </w:rPr>
        <w:t>®</w:t>
      </w:r>
      <w:r>
        <w:rPr>
          <w:rFonts w:ascii="Arial" w:cs="Arial" w:eastAsia="Arial" w:hAnsi="Arial"/>
          <w:sz w:val="16"/>
          <w:szCs w:val="16"/>
          <w:color w:val="auto"/>
        </w:rPr>
        <w:t xml:space="preserve"> mirror. During 2001, the Company announced a revolutionary new proprietary technology, called SmartBeam</w:t>
      </w:r>
      <w:r>
        <w:rPr>
          <w:rFonts w:ascii="Arial" w:cs="Arial" w:eastAsia="Arial" w:hAnsi="Arial"/>
          <w:sz w:val="13"/>
          <w:szCs w:val="13"/>
          <w:color w:val="auto"/>
        </w:rPr>
        <w:t>®</w:t>
      </w:r>
      <w:r>
        <w:rPr>
          <w:rFonts w:ascii="Arial" w:cs="Arial" w:eastAsia="Arial" w:hAnsi="Arial"/>
          <w:sz w:val="16"/>
          <w:szCs w:val="16"/>
          <w:color w:val="auto"/>
        </w:rPr>
        <w:t>, that uses a custom, active-pixel, CMOS (complementary metal oxide semiconductor) sensor, and maximizes a driver’s forward vision by significantly improving utilization of the vehicle’s highbeam headlamps during nighttime driving. During 2004,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its proprietary intelligent high-beam headlamp control feature. The Company is currently shipping auto-dimming mirrors with SmartBeam</w:t>
      </w:r>
      <w:r>
        <w:rPr>
          <w:rFonts w:ascii="Arial" w:cs="Arial" w:eastAsia="Arial" w:hAnsi="Arial"/>
          <w:sz w:val="13"/>
          <w:szCs w:val="13"/>
          <w:color w:val="auto"/>
        </w:rPr>
        <w:t>®</w:t>
      </w:r>
      <w:r>
        <w:rPr>
          <w:rFonts w:ascii="Arial" w:cs="Arial" w:eastAsia="Arial" w:hAnsi="Arial"/>
          <w:sz w:val="16"/>
          <w:szCs w:val="16"/>
          <w:color w:val="auto"/>
        </w:rPr>
        <w:t xml:space="preserve"> to General Motors, Chrysler, BMW, Audi, Opel/Vauxhall and Toyota for 20 models.</w:t>
      </w:r>
    </w:p>
    <w:p>
      <w:pPr>
        <w:spacing w:after="0" w:line="129" w:lineRule="exact"/>
        <w:rPr>
          <w:sz w:val="20"/>
          <w:szCs w:val="20"/>
          <w:color w:val="auto"/>
        </w:rPr>
      </w:pPr>
    </w:p>
    <w:p>
      <w:pPr>
        <w:ind w:right="679" w:firstLine="747"/>
        <w:spacing w:after="0" w:line="272" w:lineRule="auto"/>
        <w:rPr>
          <w:sz w:val="20"/>
          <w:szCs w:val="20"/>
          <w:color w:val="auto"/>
        </w:rPr>
      </w:pPr>
      <w:r>
        <w:rPr>
          <w:rFonts w:ascii="Arial" w:cs="Arial" w:eastAsia="Arial" w:hAnsi="Arial"/>
          <w:sz w:val="17"/>
          <w:szCs w:val="17"/>
          <w:color w:val="auto"/>
        </w:rPr>
        <w:t>During 2006, the Company announced development programs with several automakers for its RCD Mirror that consists of a proprietary liquid crystal display (LCD) device that shows a panoramic video view of objects behind the vehicle in real time. When the vehicle is put in “reverse,” the display illuminates and automatically appears through the rearview mirror’s reflective surface to give a high resolution, bright colored image. The image is generated by a camera or cameras placed in a protected area at the rear of the vehicle. When the vehicle is put in “drive,” the display in the mirror automatically disappears. The ability to automatically have the display appear through the auto-dimming mirror’s surface is made possible by utilizing proprietary “transflective” coatings developed the Company.</w:t>
      </w:r>
    </w:p>
    <w:p>
      <w:pPr>
        <w:spacing w:after="0" w:line="137" w:lineRule="exact"/>
        <w:rPr>
          <w:sz w:val="20"/>
          <w:szCs w:val="20"/>
          <w:color w:val="auto"/>
        </w:rPr>
      </w:pPr>
    </w:p>
    <w:p>
      <w:pPr>
        <w:ind w:right="599" w:firstLine="747"/>
        <w:spacing w:after="0" w:line="257" w:lineRule="auto"/>
        <w:rPr>
          <w:sz w:val="20"/>
          <w:szCs w:val="20"/>
          <w:color w:val="auto"/>
        </w:rPr>
      </w:pPr>
      <w:r>
        <w:rPr>
          <w:rFonts w:ascii="Arial" w:cs="Arial" w:eastAsia="Arial" w:hAnsi="Arial"/>
          <w:sz w:val="18"/>
          <w:szCs w:val="18"/>
          <w:color w:val="auto"/>
        </w:rPr>
        <w:t>In addition, the Company has developed its own compass technology, which can be sold as a system with the compass heading displayed in the interior auto-dimming mirror. The Gentex compass technology is called Z-Nav</w:t>
      </w:r>
      <w:r>
        <w:rPr>
          <w:rFonts w:ascii="Arial" w:cs="Arial" w:eastAsia="Arial" w:hAnsi="Arial"/>
          <w:sz w:val="15"/>
          <w:szCs w:val="15"/>
          <w:color w:val="auto"/>
        </w:rPr>
        <w:t>®</w:t>
      </w:r>
      <w:r>
        <w:rPr>
          <w:rFonts w:ascii="Arial" w:cs="Arial" w:eastAsia="Arial" w:hAnsi="Arial"/>
          <w:sz w:val="18"/>
          <w:szCs w:val="18"/>
          <w:color w:val="auto"/>
        </w:rPr>
        <w:t>, as it features a proprietary, digital, tri-axis sensor (transducer) and software. The tri-axis design is similar to compasses used in highly scientific apparatus such as aerospace applications, and can be mounted on any fixed or pivotal location in the vehicle, including inside the mirror housing.</w:t>
      </w:r>
    </w:p>
    <w:p>
      <w:pPr>
        <w:spacing w:after="0" w:line="161" w:lineRule="exact"/>
        <w:rPr>
          <w:sz w:val="20"/>
          <w:szCs w:val="20"/>
          <w:color w:val="auto"/>
        </w:rPr>
      </w:pPr>
    </w:p>
    <w:p>
      <w:pPr>
        <w:ind w:right="579" w:firstLine="747"/>
        <w:spacing w:after="0" w:line="264" w:lineRule="auto"/>
        <w:rPr>
          <w:sz w:val="20"/>
          <w:szCs w:val="20"/>
          <w:color w:val="auto"/>
        </w:rPr>
      </w:pPr>
      <w:r>
        <w:rPr>
          <w:rFonts w:ascii="Arial" w:cs="Arial" w:eastAsia="Arial" w:hAnsi="Arial"/>
          <w:sz w:val="18"/>
          <w:szCs w:val="18"/>
          <w:color w:val="auto"/>
        </w:rPr>
        <w:t>The Company also developed an ALS (Active Light Sensor) technology as a cost-effective, improved-performance, intelligent CMOS light sensor to control the dimming of its rearview mirrors, and the Company began making volume shipments of mirrors incorporating ALS in 2002.</w:t>
      </w:r>
    </w:p>
    <w:p>
      <w:pPr>
        <w:spacing w:after="0" w:line="141" w:lineRule="exact"/>
        <w:rPr>
          <w:sz w:val="20"/>
          <w:szCs w:val="20"/>
          <w:color w:val="auto"/>
        </w:rPr>
      </w:pPr>
    </w:p>
    <w:p>
      <w:pPr>
        <w:ind w:right="599" w:firstLine="747"/>
        <w:spacing w:after="0" w:line="276" w:lineRule="auto"/>
        <w:rPr>
          <w:sz w:val="20"/>
          <w:szCs w:val="20"/>
          <w:color w:val="auto"/>
        </w:rPr>
      </w:pPr>
      <w:r>
        <w:rPr>
          <w:rFonts w:ascii="Arial" w:cs="Arial" w:eastAsia="Arial" w:hAnsi="Arial"/>
          <w:sz w:val="17"/>
          <w:szCs w:val="17"/>
          <w:color w:val="auto"/>
        </w:rPr>
        <w:t>During 2001, the Company developed a new microphone designed specifically for use in the automotive environment for telematics applications. The first volume Gentex microphone application was part of DaimlerChrysler’s “U-Connect</w:t>
      </w:r>
      <w:r>
        <w:rPr>
          <w:rFonts w:ascii="Arial" w:cs="Arial" w:eastAsia="Arial" w:hAnsi="Arial"/>
          <w:sz w:val="14"/>
          <w:szCs w:val="14"/>
          <w:color w:val="auto"/>
        </w:rPr>
        <w:t>®</w:t>
      </w:r>
      <w:r>
        <w:rPr>
          <w:rFonts w:ascii="Arial" w:cs="Arial" w:eastAsia="Arial" w:hAnsi="Arial"/>
          <w:sz w:val="17"/>
          <w:szCs w:val="17"/>
          <w:color w:val="auto"/>
        </w:rPr>
        <w:t>” telematics system, beginning in 2003. During 2006, the Company’s proprietary integrated hands-free microphone was available as part of an optional navigation package at Ford. Also, the Company is separately shipping its proprietary microphone units that are being incorporated into prismatic interior mirrors at a customer’s request.</w:t>
      </w:r>
    </w:p>
    <w:p>
      <w:pPr>
        <w:spacing w:after="0" w:line="132" w:lineRule="exact"/>
        <w:rPr>
          <w:sz w:val="20"/>
          <w:szCs w:val="20"/>
          <w:color w:val="auto"/>
        </w:rPr>
      </w:pPr>
    </w:p>
    <w:p>
      <w:pPr>
        <w:ind w:right="819" w:firstLine="747"/>
        <w:spacing w:after="0" w:line="276" w:lineRule="auto"/>
        <w:rPr>
          <w:sz w:val="20"/>
          <w:szCs w:val="20"/>
          <w:color w:val="auto"/>
        </w:rPr>
      </w:pPr>
      <w:r>
        <w:rPr>
          <w:rFonts w:ascii="Arial" w:cs="Arial" w:eastAsia="Arial" w:hAnsi="Arial"/>
          <w:sz w:val="17"/>
          <w:szCs w:val="17"/>
          <w:color w:val="auto"/>
        </w:rPr>
        <w:t>Of particular importance to the Company has been the development of its electrochromic technology for use in complete three-mirror systems. In these systems, both the driver- and passenger-side exterior auto-dimming mirrors are controlled by the sensors and electronic circuitry in the interior rearview mirror, and the interior and both exterior mirrors dim simultaneously. The Company’s engineering, research, and development expenses are set forth as a separate line item in the Consolidated Statement of Income of the Company’s Consolidated Financial Statements filed in this report.</w:t>
      </w:r>
    </w:p>
    <w:p>
      <w:pPr>
        <w:spacing w:after="0" w:line="200" w:lineRule="exact"/>
        <w:rPr>
          <w:sz w:val="20"/>
          <w:szCs w:val="20"/>
          <w:color w:val="auto"/>
        </w:rPr>
      </w:pPr>
    </w:p>
    <w:p>
      <w:pPr>
        <w:spacing w:after="0" w:line="33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0" w:name="page11"/>
    <w:bookmarkEnd w:id="10"/>
    <w:p>
      <w:pPr>
        <w:ind w:right="599" w:firstLine="747"/>
        <w:spacing w:after="0" w:line="287" w:lineRule="auto"/>
        <w:rPr>
          <w:sz w:val="20"/>
          <w:szCs w:val="20"/>
          <w:color w:val="auto"/>
        </w:rPr>
      </w:pPr>
      <w:r>
        <w:rPr>
          <w:rFonts w:ascii="Arial" w:cs="Arial" w:eastAsia="Arial" w:hAnsi="Arial"/>
          <w:sz w:val="16"/>
          <w:szCs w:val="16"/>
          <w:i w:val="1"/>
          <w:iCs w:val="1"/>
          <w:u w:val="single" w:color="auto"/>
          <w:color w:val="auto"/>
        </w:rPr>
        <w:t>Markets and Marketing</w:t>
      </w:r>
      <w:r>
        <w:rPr>
          <w:rFonts w:ascii="Arial" w:cs="Arial" w:eastAsia="Arial" w:hAnsi="Arial"/>
          <w:sz w:val="16"/>
          <w:szCs w:val="16"/>
          <w:color w:val="auto"/>
        </w:rPr>
        <w:t>. In North America, the Company markets its products primarily through a direct sales force.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generally supplies auto-dimming mirrors to its customers worldwide under annual blanket purchase orders. The Company currently supplies auto-dimming mirrors to General Motors Corporation, Daimler AG (formerly DaimlerChrysler AG) and Chrysler LLC under long-term agreements, entered into in the ordinary course of business. During 2005, the Company negotiated an extension to its long-term agreement for inside mirrors with General Motors in the ordinary course of the Company’s business. Under the extension, Gentex was sourced virtually all of the interior auto-dimming rearview mirror programs for GM and its worldwide affiliates through August 2009, except for two low-volume models that had previously been awarded to a Gentex competitor under a lifetime contract. The new business included the GMT360 program (which is the mid-size truck/SUV platform that previously did not offer auto-dimming mirrors). During 2008, the Company negotiated another extension to the existing agreement, through August 1, 2012, in the ordinary course of the Company’s business. The Company also negotiated a price reduction for the GM OnStar</w:t>
      </w:r>
      <w:r>
        <w:rPr>
          <w:rFonts w:ascii="Arial" w:cs="Arial" w:eastAsia="Arial" w:hAnsi="Arial"/>
          <w:sz w:val="13"/>
          <w:szCs w:val="13"/>
          <w:color w:val="auto"/>
        </w:rPr>
        <w:t>®</w:t>
      </w:r>
      <w:r>
        <w:rPr>
          <w:rFonts w:ascii="Arial" w:cs="Arial" w:eastAsia="Arial" w:hAnsi="Arial"/>
          <w:sz w:val="16"/>
          <w:szCs w:val="16"/>
          <w:color w:val="auto"/>
        </w:rPr>
        <w:t xml:space="preserve"> feature in its auto-dimming mirrors, effective January 1, 2005, in connection with GM’s stated plan to make their OnStar system standard across their vehicle models over the next several years.</w:t>
      </w:r>
    </w:p>
    <w:p>
      <w:pPr>
        <w:spacing w:after="0" w:line="142" w:lineRule="exact"/>
        <w:rPr>
          <w:sz w:val="20"/>
          <w:szCs w:val="20"/>
          <w:color w:val="auto"/>
        </w:rPr>
      </w:pPr>
    </w:p>
    <w:p>
      <w:pPr>
        <w:ind w:right="579" w:firstLine="747"/>
        <w:spacing w:after="0" w:line="253" w:lineRule="auto"/>
        <w:rPr>
          <w:sz w:val="20"/>
          <w:szCs w:val="20"/>
          <w:color w:val="auto"/>
        </w:rPr>
      </w:pPr>
      <w:r>
        <w:rPr>
          <w:rFonts w:ascii="Arial" w:cs="Arial" w:eastAsia="Arial" w:hAnsi="Arial"/>
          <w:sz w:val="18"/>
          <w:szCs w:val="18"/>
          <w:color w:val="auto"/>
        </w:rPr>
        <w:t>The Company has a long-term agreement with Daimler AG (formerly DaimlerChrysler AG) entered into in the ordinary course of the Company’s business. Under the agreement, the Company will be sourced virtually all interior and exterior auto-dimming mirror business at Mercedes and Chrysler through December 2009. The Company’s exterior auto-dimming mirror sub-assemblies are supplied by means of sales to exterior mirror suppliers. During 2007, the Company negotiated an extension to its global supply agreement with Chrysler LLC in the ordinary course of the Company’s business. Under the extension, the Company will be sourced virtually all Chrysler interior auto-dimming rearview mirrors through 2015. From publicly available information, the Company does not believe that the Daimler sale of the Chrysler unit will significantly impact the Company’s current business with Chrysler or Mercedes in the near term, but there may be other information of which the Company is not aware.</w:t>
      </w:r>
    </w:p>
    <w:p>
      <w:pPr>
        <w:spacing w:after="0" w:line="157" w:lineRule="exact"/>
        <w:rPr>
          <w:sz w:val="20"/>
          <w:szCs w:val="20"/>
          <w:color w:val="auto"/>
        </w:rPr>
      </w:pPr>
    </w:p>
    <w:p>
      <w:pPr>
        <w:ind w:right="679" w:firstLine="747"/>
        <w:spacing w:after="0" w:line="259" w:lineRule="auto"/>
        <w:rPr>
          <w:sz w:val="20"/>
          <w:szCs w:val="20"/>
          <w:color w:val="auto"/>
        </w:rPr>
      </w:pPr>
      <w:r>
        <w:rPr>
          <w:rFonts w:ascii="Arial" w:cs="Arial" w:eastAsia="Arial" w:hAnsi="Arial"/>
          <w:sz w:val="18"/>
          <w:szCs w:val="18"/>
          <w:color w:val="auto"/>
        </w:rPr>
        <w:t>The Company previously negotiated a multi-sourcing agreement with Ford Motor Company in the ordinary course of the Company’s business. Under the agreement, the Company was sourced all existing interior auto-dimming rearview mirror programs as well as a number of new interior auto-dimming rearview mirror programs during the agreement term which ended on December 31, 2008.</w:t>
      </w:r>
    </w:p>
    <w:p>
      <w:pPr>
        <w:spacing w:after="0" w:line="146" w:lineRule="exact"/>
        <w:rPr>
          <w:sz w:val="20"/>
          <w:szCs w:val="20"/>
          <w:color w:val="auto"/>
        </w:rPr>
      </w:pPr>
    </w:p>
    <w:p>
      <w:pPr>
        <w:ind w:right="699" w:firstLine="747"/>
        <w:spacing w:after="0" w:line="290" w:lineRule="auto"/>
        <w:rPr>
          <w:sz w:val="20"/>
          <w:szCs w:val="20"/>
          <w:color w:val="auto"/>
        </w:rPr>
      </w:pPr>
      <w:r>
        <w:rPr>
          <w:rFonts w:ascii="Arial" w:cs="Arial" w:eastAsia="Arial" w:hAnsi="Arial"/>
          <w:sz w:val="16"/>
          <w:szCs w:val="16"/>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During 2003, the Company established a satellite office in Munich, Germany, and during 2005, the Company established a satellite office in Sweden. The Company’s marketing efforts in Europe are conducted through Gentex GmbH, Gentex Mirrors, Ltd., and Gentex France SAS. The Company is currently supplying mirrors for Audi, BMW, Bentley, Citroen, Fiat, Ford of Europe, Jaguar, Land Rover, Mercedes-Benz, Opel, Maserati, Peugeot, Porsche, Rolls Royce, SEAT, Skoda, Volkswagen and Volvo in Europe.</w:t>
      </w:r>
    </w:p>
    <w:p>
      <w:pPr>
        <w:spacing w:after="0" w:line="139" w:lineRule="exact"/>
        <w:rPr>
          <w:sz w:val="20"/>
          <w:szCs w:val="20"/>
          <w:color w:val="auto"/>
        </w:rPr>
      </w:pPr>
    </w:p>
    <w:p>
      <w:pPr>
        <w:ind w:right="599" w:firstLine="747"/>
        <w:spacing w:after="0" w:line="297" w:lineRule="auto"/>
        <w:rPr>
          <w:sz w:val="20"/>
          <w:szCs w:val="20"/>
          <w:color w:val="auto"/>
        </w:rPr>
      </w:pPr>
      <w:r>
        <w:rPr>
          <w:rFonts w:ascii="Arial" w:cs="Arial" w:eastAsia="Arial" w:hAnsi="Arial"/>
          <w:sz w:val="16"/>
          <w:szCs w:val="16"/>
          <w:color w:val="auto"/>
        </w:rPr>
        <w:t>In 1991, the Company began shipping electrochromic mirror assemblies for Nissan Motor Co., Ltd. under a reciprocal distribution agreement with Ichikoh Industries, Ltd. (Ichikoh), a major Japanese supplier of automotive products. Under this agreement, Ichikoh marketed the Company’s automatic mirrors to certain Japanese automakers and their subsidiaries with manufacturing facilities in Asia. The arrangement involved very limited technology transfer by the Company and did not include the Company’s proprietary electrochromic gel formulation. The agreement was terminated by mutual agreement in 2001.</w:t>
      </w:r>
    </w:p>
    <w:p>
      <w:pPr>
        <w:spacing w:after="0" w:line="118" w:lineRule="exact"/>
        <w:rPr>
          <w:sz w:val="20"/>
          <w:szCs w:val="20"/>
          <w:color w:val="auto"/>
        </w:rPr>
      </w:pPr>
    </w:p>
    <w:p>
      <w:pPr>
        <w:ind w:right="579" w:firstLine="747"/>
        <w:spacing w:after="0" w:line="269" w:lineRule="auto"/>
        <w:rPr>
          <w:sz w:val="20"/>
          <w:szCs w:val="20"/>
          <w:color w:val="auto"/>
        </w:rPr>
      </w:pPr>
      <w:r>
        <w:rPr>
          <w:rFonts w:ascii="Arial" w:cs="Arial" w:eastAsia="Arial" w:hAnsi="Arial"/>
          <w:sz w:val="17"/>
          <w:szCs w:val="17"/>
          <w:color w:val="auto"/>
        </w:rPr>
        <w:t>During 1993, the Company hired a sales agent to market auto-dimming mirrors to other Japanese automakers beyond Nissan. Subsequently in 1998, the Company established Gentex Japan, Inc., as a sales and engineering office in Nagoya, Japan, to expand its sales and engineering support in Japan. In 2000, the Company signed an agreement with Murakami Corporation, a major Japanese mirror manufacturer, to cooperate in expanding sales of automatic-dimming mirrors using the Gentex electrochromic technology. During 2006, the agreement with Murakami Corporation was terminated and replaced with a Memorandum of Understanding. During 2007, the Company signed a new supplier agreement with Murakami Corporation in the ordinary course of the Company’s business. During 2002, the Company established Gentex Technologies Korea Co., Ltd. as a sales and engineering office in Seoul, Korea. During 2004, the Company established a satellite office in Yokohama, Japan. During 2005, the Company opened a sales and engineering office near Shanghai, China. The Company is currently supplying mirrors for Daewoo/Ssangyong, Chrysler, Ford, GM, Honda, Hyundai, Infiniti, Kia Motors, Lexus, Mazda, Mitsubishi, Nissan, Toyota and Volkswagen/Audi in Asia.</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 w:name="page12"/>
    <w:bookmarkEnd w:id="11"/>
    <w:p>
      <w:pPr>
        <w:ind w:left="740"/>
        <w:spacing w:after="0"/>
        <w:rPr>
          <w:sz w:val="20"/>
          <w:szCs w:val="20"/>
          <w:color w:val="auto"/>
        </w:rPr>
      </w:pPr>
      <w:r>
        <w:rPr>
          <w:rFonts w:ascii="Arial" w:cs="Arial" w:eastAsia="Arial" w:hAnsi="Arial"/>
          <w:sz w:val="16"/>
          <w:szCs w:val="16"/>
          <w:color w:val="auto"/>
        </w:rPr>
        <w:t>The Company’s auto-dimming mirror unit shipment mix by region has significantly changed over the past nine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breakdown of unit shipment mix by region in 2008 vs. 1999 calendar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1999</w:t>
            </w:r>
          </w:p>
        </w:tc>
        <w:tc>
          <w:tcPr>
            <w:tcW w:w="180" w:type="dxa"/>
            <w:vAlign w:val="bottom"/>
          </w:tcPr>
          <w:p>
            <w:pPr>
              <w:spacing w:after="0"/>
              <w:rPr>
                <w:sz w:val="20"/>
                <w:szCs w:val="20"/>
                <w:color w:val="auto"/>
              </w:rPr>
            </w:pPr>
          </w:p>
        </w:tc>
      </w:tr>
      <w:tr>
        <w:trPr>
          <w:trHeight w:val="210"/>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Domestic</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432"/>
        </w:trPr>
        <w:tc>
          <w:tcPr>
            <w:tcW w:w="6760" w:type="dxa"/>
            <w:vAlign w:val="bottom"/>
          </w:tcPr>
          <w:p>
            <w:pPr>
              <w:spacing w:after="0"/>
              <w:rPr>
                <w:sz w:val="20"/>
                <w:szCs w:val="20"/>
                <w:color w:val="auto"/>
              </w:rPr>
            </w:pPr>
            <w:r>
              <w:rPr>
                <w:rFonts w:ascii="Arial" w:cs="Arial" w:eastAsia="Arial" w:hAnsi="Arial"/>
                <w:sz w:val="18"/>
                <w:szCs w:val="18"/>
                <w:b w:val="1"/>
                <w:bCs w:val="1"/>
                <w:color w:val="auto"/>
              </w:rPr>
              <w:t>Transplants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67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North America</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432"/>
        </w:trPr>
        <w:tc>
          <w:tcPr>
            <w:tcW w:w="6760" w:type="dxa"/>
            <w:vAlign w:val="bottom"/>
          </w:tcPr>
          <w:p>
            <w:pPr>
              <w:spacing w:after="0"/>
              <w:rPr>
                <w:sz w:val="20"/>
                <w:szCs w:val="20"/>
                <w:color w:val="auto"/>
              </w:rPr>
            </w:pPr>
            <w:r>
              <w:rPr>
                <w:rFonts w:ascii="Arial" w:cs="Arial" w:eastAsia="Arial" w:hAnsi="Arial"/>
                <w:sz w:val="18"/>
                <w:szCs w:val="18"/>
                <w:b w:val="1"/>
                <w:bCs w:val="1"/>
                <w:color w:val="auto"/>
              </w:rPr>
              <w:t>Europe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6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Asia-Pacific</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0"/>
        </w:trPr>
        <w:tc>
          <w:tcPr>
            <w:tcW w:w="6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67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6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Revenues by geographic area are disclosed in footnote 8 of the Consolidated Financial Statements.</w:t>
      </w:r>
    </w:p>
    <w:p>
      <w:pPr>
        <w:spacing w:after="0" w:line="185" w:lineRule="exact"/>
        <w:rPr>
          <w:sz w:val="20"/>
          <w:szCs w:val="20"/>
          <w:color w:val="auto"/>
        </w:rPr>
      </w:pPr>
    </w:p>
    <w:p>
      <w:pPr>
        <w:ind w:right="559" w:firstLine="747"/>
        <w:spacing w:after="0" w:line="291" w:lineRule="auto"/>
        <w:rPr>
          <w:sz w:val="20"/>
          <w:szCs w:val="20"/>
          <w:color w:val="auto"/>
        </w:rPr>
      </w:pPr>
      <w:r>
        <w:rPr>
          <w:rFonts w:ascii="Arial" w:cs="Arial" w:eastAsia="Arial" w:hAnsi="Arial"/>
          <w:sz w:val="16"/>
          <w:szCs w:val="16"/>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auto-dimming mirrors will be offered as standard equipment, in higher option rate packages, and on more models as consumer awareness of the safety and comfort feature becomes more well-known and acceptance grows.</w:t>
      </w:r>
    </w:p>
    <w:p>
      <w:pPr>
        <w:spacing w:after="0" w:line="127" w:lineRule="exact"/>
        <w:rPr>
          <w:sz w:val="20"/>
          <w:szCs w:val="20"/>
          <w:color w:val="auto"/>
        </w:rPr>
      </w:pPr>
    </w:p>
    <w:p>
      <w:pPr>
        <w:ind w:right="699" w:firstLine="747"/>
        <w:spacing w:after="0" w:line="257" w:lineRule="auto"/>
        <w:rPr>
          <w:sz w:val="20"/>
          <w:szCs w:val="20"/>
          <w:color w:val="auto"/>
        </w:rPr>
      </w:pPr>
      <w:r>
        <w:rPr>
          <w:rFonts w:ascii="Arial" w:cs="Arial" w:eastAsia="Arial" w:hAnsi="Arial"/>
          <w:sz w:val="18"/>
          <w:szCs w:val="18"/>
          <w:color w:val="auto"/>
        </w:rPr>
        <w:t>Since 1998, Gentex Corporation has contracted with MITO Corporation to sell several of its most popular automatic-dimming mirrors directly to consumers in the automotive aftermarket; in addition, the Company currently sells some auto-dimming mirrors to automotive distributors. In 2008, the Company announced that its RCD Mirror is available through MITO Corporation as well. It is management’s belief that these sales have limited potential until the Company achieves a significantly higher penetration of the original equipment manufacturing market.</w:t>
      </w:r>
    </w:p>
    <w:p>
      <w:pPr>
        <w:spacing w:after="0" w:line="161" w:lineRule="exact"/>
        <w:rPr>
          <w:sz w:val="20"/>
          <w:szCs w:val="20"/>
          <w:color w:val="auto"/>
        </w:rPr>
      </w:pPr>
    </w:p>
    <w:p>
      <w:pPr>
        <w:ind w:right="599" w:firstLine="747"/>
        <w:spacing w:after="0" w:line="273"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color w:val="auto"/>
        </w:rPr>
        <w:t>. Gentex is the leading producer of auto-dimming rearview mirrors in the world and currently is the</w:t>
      </w:r>
      <w:r>
        <w:rPr>
          <w:rFonts w:ascii="Arial" w:cs="Arial" w:eastAsia="Arial" w:hAnsi="Arial"/>
          <w:sz w:val="17"/>
          <w:szCs w:val="17"/>
          <w:i w:val="1"/>
          <w:iCs w:val="1"/>
          <w:color w:val="auto"/>
        </w:rPr>
        <w:t xml:space="preserve"> </w:t>
      </w:r>
      <w:r>
        <w:rPr>
          <w:rFonts w:ascii="Arial" w:cs="Arial" w:eastAsia="Arial" w:hAnsi="Arial"/>
          <w:sz w:val="17"/>
          <w:szCs w:val="17"/>
          <w:color w:val="auto"/>
        </w:rPr>
        <w:t>dominant supplier to the automotive industry with an approximate 83% market share worldwide in 2008 and 2007. While the Company believes it will retain a dominant position, one other U.S. manufacturer (Magna Mirrors) is competing for sales to domestic and foreign vehicle manufacturers and is supplying a number of domestic and foreign vehicle models with its hybrid or solid polymer matrix versions of electrochromic mirrors. In addition, two Japanese manufacturers are currently supplying a few vehicle models in Japan with solid-state electrochromic mirrors.</w:t>
      </w:r>
    </w:p>
    <w:p>
      <w:pPr>
        <w:spacing w:after="0" w:line="138" w:lineRule="exact"/>
        <w:rPr>
          <w:sz w:val="20"/>
          <w:szCs w:val="20"/>
          <w:color w:val="auto"/>
        </w:rPr>
      </w:pPr>
    </w:p>
    <w:p>
      <w:pPr>
        <w:ind w:right="579" w:firstLine="747"/>
        <w:spacing w:after="0" w:line="264" w:lineRule="auto"/>
        <w:rPr>
          <w:sz w:val="20"/>
          <w:szCs w:val="20"/>
          <w:color w:val="auto"/>
        </w:rPr>
      </w:pPr>
      <w:r>
        <w:rPr>
          <w:rFonts w:ascii="Arial" w:cs="Arial" w:eastAsia="Arial" w:hAnsi="Arial"/>
          <w:sz w:val="18"/>
          <w:szCs w:val="18"/>
          <w:color w:val="auto"/>
        </w:rPr>
        <w:t>On October 1, 2002, Magna International acquired Donnelly Corporation, which was the Company’s major competitor for sales of automatic-dimming rearview mirrors to domestic and foreign vehicle manufacturers and their mirror suppliers. The Company also sells certain automatic-dimming rearview mirror sub-assemblies to Magna.</w:t>
      </w:r>
    </w:p>
    <w:p>
      <w:pPr>
        <w:spacing w:after="0" w:line="141" w:lineRule="exact"/>
        <w:rPr>
          <w:sz w:val="20"/>
          <w:szCs w:val="20"/>
          <w:color w:val="auto"/>
        </w:rPr>
      </w:pPr>
    </w:p>
    <w:p>
      <w:pPr>
        <w:ind w:right="559" w:firstLine="747"/>
        <w:spacing w:after="0" w:line="257" w:lineRule="auto"/>
        <w:rPr>
          <w:sz w:val="20"/>
          <w:szCs w:val="20"/>
          <w:color w:val="auto"/>
        </w:rPr>
      </w:pPr>
      <w:r>
        <w:rPr>
          <w:rFonts w:ascii="Arial" w:cs="Arial" w:eastAsia="Arial" w:hAnsi="Arial"/>
          <w:sz w:val="18"/>
          <w:szCs w:val="18"/>
          <w:color w:val="auto"/>
        </w:rPr>
        <w:t>The Company believes its electrochromic automatic mirrors offer significant performance advantages over competing products. However, Gentex recognizes that Magna Mirrors, a competitor and wholly-owned subsidiary of Magna International, is considerably larger than the Company and may present a more formidable competitive threat in the future. To date, the Company is not aware of any significant impact of Magna’s acquisition of Donnelly upon the Company; however, any ultimate significant impact has not yet been determined.</w:t>
      </w:r>
    </w:p>
    <w:p>
      <w:pPr>
        <w:spacing w:after="0" w:line="161" w:lineRule="exact"/>
        <w:rPr>
          <w:sz w:val="20"/>
          <w:szCs w:val="20"/>
          <w:color w:val="auto"/>
        </w:rPr>
      </w:pPr>
    </w:p>
    <w:p>
      <w:pPr>
        <w:ind w:right="579" w:firstLine="747"/>
        <w:spacing w:after="0" w:line="257" w:lineRule="auto"/>
        <w:rPr>
          <w:sz w:val="20"/>
          <w:szCs w:val="20"/>
          <w:color w:val="auto"/>
        </w:rPr>
      </w:pPr>
      <w:r>
        <w:rPr>
          <w:rFonts w:ascii="Arial" w:cs="Arial" w:eastAsia="Arial" w:hAnsi="Arial"/>
          <w:sz w:val="18"/>
          <w:szCs w:val="18"/>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the Company believes that each of these technologies have inherent cost or performance limitations.</w:t>
      </w:r>
    </w:p>
    <w:p>
      <w:pPr>
        <w:spacing w:after="0" w:line="200" w:lineRule="exact"/>
        <w:rPr>
          <w:sz w:val="20"/>
          <w:szCs w:val="20"/>
          <w:color w:val="auto"/>
        </w:rPr>
      </w:pPr>
    </w:p>
    <w:p>
      <w:pPr>
        <w:spacing w:after="0" w:line="33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Fire Protection Products</w:t>
      </w:r>
    </w:p>
    <w:p>
      <w:pPr>
        <w:spacing w:after="0" w:line="202" w:lineRule="exact"/>
        <w:rPr>
          <w:sz w:val="20"/>
          <w:szCs w:val="20"/>
          <w:color w:val="auto"/>
        </w:rPr>
      </w:pPr>
    </w:p>
    <w:p>
      <w:pPr>
        <w:ind w:right="619" w:firstLine="747"/>
        <w:spacing w:after="0" w:line="269" w:lineRule="auto"/>
        <w:rPr>
          <w:sz w:val="20"/>
          <w:szCs w:val="20"/>
          <w:color w:val="auto"/>
        </w:rPr>
      </w:pPr>
      <w:r>
        <w:rPr>
          <w:rFonts w:ascii="Arial" w:cs="Arial" w:eastAsia="Arial" w:hAnsi="Arial"/>
          <w:sz w:val="17"/>
          <w:szCs w:val="17"/>
          <w:color w:val="auto"/>
        </w:rPr>
        <w:t>The Company manufactures approximately 60 different models of smoke alarms and smoke detectors, combined with over 150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over a dozen major cities, over a dozen states, as well as regional and national building and fire alarm codes.</w:t>
      </w:r>
    </w:p>
    <w:p>
      <w:pPr>
        <w:spacing w:after="0" w:line="142" w:lineRule="exact"/>
        <w:rPr>
          <w:sz w:val="20"/>
          <w:szCs w:val="20"/>
          <w:color w:val="auto"/>
        </w:rPr>
      </w:pPr>
    </w:p>
    <w:p>
      <w:pPr>
        <w:ind w:right="659" w:firstLine="747"/>
        <w:spacing w:after="0" w:line="255" w:lineRule="auto"/>
        <w:rPr>
          <w:sz w:val="20"/>
          <w:szCs w:val="20"/>
          <w:color w:val="auto"/>
        </w:rPr>
      </w:pPr>
      <w:r>
        <w:rPr>
          <w:rFonts w:ascii="Arial" w:cs="Arial" w:eastAsia="Arial" w:hAnsi="Arial"/>
          <w:sz w:val="18"/>
          <w:szCs w:val="18"/>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149" w:lineRule="exact"/>
        <w:rPr>
          <w:sz w:val="20"/>
          <w:szCs w:val="20"/>
          <w:color w:val="auto"/>
        </w:rPr>
      </w:pPr>
    </w:p>
    <w:p>
      <w:pPr>
        <w:ind w:right="579" w:firstLine="747"/>
        <w:spacing w:after="0" w:line="286" w:lineRule="auto"/>
        <w:rPr>
          <w:sz w:val="20"/>
          <w:szCs w:val="20"/>
          <w:color w:val="auto"/>
        </w:rPr>
      </w:pPr>
      <w:r>
        <w:rPr>
          <w:rFonts w:ascii="Arial" w:cs="Arial" w:eastAsia="Arial" w:hAnsi="Arial"/>
          <w:sz w:val="17"/>
          <w:szCs w:val="17"/>
          <w:color w:val="auto"/>
        </w:rPr>
        <w:t>In 2005, the Company received Underwriters Laboratory (UL) listing on a new series of commercial residential smoke alarms. The Company feels this new product will fit well into new markets and customers. This series of smoke alarms consists of four models and will be electrically powered or electrically powered with battery back-up.</w:t>
      </w:r>
    </w:p>
    <w:p>
      <w:pPr>
        <w:spacing w:after="0" w:line="139" w:lineRule="exact"/>
        <w:rPr>
          <w:sz w:val="20"/>
          <w:szCs w:val="20"/>
          <w:color w:val="auto"/>
        </w:rPr>
      </w:pPr>
    </w:p>
    <w:p>
      <w:pPr>
        <w:ind w:right="859" w:firstLine="747"/>
        <w:spacing w:after="0" w:line="277" w:lineRule="auto"/>
        <w:rPr>
          <w:sz w:val="20"/>
          <w:szCs w:val="20"/>
          <w:color w:val="auto"/>
        </w:rPr>
      </w:pPr>
      <w:r>
        <w:rPr>
          <w:rFonts w:ascii="Arial" w:cs="Arial" w:eastAsia="Arial" w:hAnsi="Arial"/>
          <w:sz w:val="18"/>
          <w:szCs w:val="18"/>
          <w:color w:val="auto"/>
        </w:rPr>
        <w:t>Also in 2005, the Company received UL listing for a new line of speaker strobes for commercial occupancies. This speaker series will meet the requirements found on the national codes.</w:t>
      </w:r>
    </w:p>
    <w:p>
      <w:pPr>
        <w:spacing w:after="0" w:line="130" w:lineRule="exact"/>
        <w:rPr>
          <w:sz w:val="20"/>
          <w:szCs w:val="20"/>
          <w:color w:val="auto"/>
        </w:rPr>
      </w:pPr>
    </w:p>
    <w:p>
      <w:pPr>
        <w:ind w:right="739" w:firstLine="747"/>
        <w:spacing w:after="0" w:line="297" w:lineRule="auto"/>
        <w:rPr>
          <w:sz w:val="20"/>
          <w:szCs w:val="20"/>
          <w:color w:val="auto"/>
        </w:rPr>
      </w:pPr>
      <w:r>
        <w:rPr>
          <w:rFonts w:ascii="Arial" w:cs="Arial" w:eastAsia="Arial" w:hAnsi="Arial"/>
          <w:sz w:val="16"/>
          <w:szCs w:val="16"/>
          <w:i w:val="1"/>
          <w:iCs w:val="1"/>
          <w:u w:val="single" w:color="auto"/>
          <w:color w:val="auto"/>
        </w:rPr>
        <w:t>Markets and Marketing</w:t>
      </w:r>
      <w:r>
        <w:rPr>
          <w:rFonts w:ascii="Arial" w:cs="Arial" w:eastAsia="Arial" w:hAnsi="Arial"/>
          <w:sz w:val="16"/>
          <w:szCs w:val="16"/>
          <w:color w:val="auto"/>
        </w:rPr>
        <w:t>. The Company’s fire protection products are sold directly to fire protection and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distributors under the Company’s brand name, to electrical wholesale houses, and to original equipment manufacturers of fire protection systems under both the Company’s brand name and private labels. The fire protection and security industries have experienced a significant number of mergers and consolidations during the past few years. The Company markets its fire protection products globally through regional sales managers and manufacturer representative organizations.</w:t>
      </w:r>
    </w:p>
    <w:p>
      <w:pPr>
        <w:spacing w:after="0" w:line="118" w:lineRule="exact"/>
        <w:rPr>
          <w:sz w:val="20"/>
          <w:szCs w:val="20"/>
          <w:color w:val="auto"/>
        </w:rPr>
      </w:pPr>
    </w:p>
    <w:p>
      <w:pPr>
        <w:ind w:right="679" w:firstLine="747"/>
        <w:spacing w:after="0" w:line="272"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color w:val="auto"/>
        </w:rPr>
        <w:t>. The fire protection products industry is highly competitive in terms of both the smoke detectors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Dimmable Aircraft Windows</w:t>
      </w:r>
    </w:p>
    <w:p>
      <w:pPr>
        <w:spacing w:after="0" w:line="189" w:lineRule="exact"/>
        <w:rPr>
          <w:sz w:val="20"/>
          <w:szCs w:val="20"/>
          <w:color w:val="auto"/>
        </w:rPr>
      </w:pPr>
    </w:p>
    <w:p>
      <w:pPr>
        <w:ind w:right="559" w:firstLine="747"/>
        <w:spacing w:after="0" w:line="270" w:lineRule="auto"/>
        <w:rPr>
          <w:sz w:val="20"/>
          <w:szCs w:val="20"/>
          <w:color w:val="auto"/>
        </w:rPr>
      </w:pPr>
      <w:r>
        <w:rPr>
          <w:rFonts w:ascii="Arial" w:cs="Arial" w:eastAsia="Arial" w:hAnsi="Arial"/>
          <w:sz w:val="17"/>
          <w:szCs w:val="17"/>
          <w:color w:val="auto"/>
        </w:rPr>
        <w:t>During 2005, the Company reached an agreement with PPG Aerospace to work together to provide variably dimmable windows for the passenger compartment on the new Boeing 787 Dreamliner series of aircraft. Gentex will ship about 100 windows for the passenger compartment of each 787. The Company believes that the commercially viable market for variably dimmable windows is currently limited to the aerospace industry. The Company began shipping parts for test planes in mid 2007. Boeing, based on the latest information available, now expects the first delivery of the 787 Dreamliner Series of aircraft to occur in early 2010. Delays were due to the impact of the machinists’ strike and fastener replacement work. The Company anticipates that it will begin to deliver our windows to the production line in 2009. During 2008, the Company and PPG Aerospace announced that they will work together to supply dimmable windows to Hawker Beechcraft Corporation for the passenger cabin windows of the 2010 Beechcraft King Air 350i airplane.</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3" w:name="page14"/>
    <w:bookmarkEnd w:id="13"/>
    <w:p>
      <w:pPr>
        <w:ind w:right="759" w:firstLine="747"/>
        <w:spacing w:after="0" w:line="273" w:lineRule="auto"/>
        <w:rPr>
          <w:sz w:val="20"/>
          <w:szCs w:val="20"/>
          <w:color w:val="auto"/>
        </w:rPr>
      </w:pPr>
      <w:r>
        <w:rPr>
          <w:rFonts w:ascii="Arial" w:cs="Arial" w:eastAsia="Arial" w:hAnsi="Arial"/>
          <w:sz w:val="17"/>
          <w:szCs w:val="17"/>
          <w:color w:val="auto"/>
        </w:rPr>
        <w:t>The Company’s success with electrochromic technology provides potential opportunities for other commercial applications, which the Company expects to explore in the future when and as the Company feels it is in its best interests to do so. Examples of possible applications of electrochromic technology include windows for the automotive, architectural and aerospace markets. Progress in adapting electrochromic technology to the specialized requirements of the window market continued in 2008. However, we believe that a commercial architectural window product will still require several years of additional engineering and intellectual property development work.</w:t>
      </w:r>
    </w:p>
    <w:p>
      <w:pPr>
        <w:spacing w:after="0" w:line="151" w:lineRule="exact"/>
        <w:rPr>
          <w:sz w:val="20"/>
          <w:szCs w:val="20"/>
          <w:color w:val="auto"/>
        </w:rPr>
      </w:pPr>
    </w:p>
    <w:p>
      <w:pPr>
        <w:ind w:right="1479" w:firstLine="747"/>
        <w:spacing w:after="0" w:line="277" w:lineRule="auto"/>
        <w:rPr>
          <w:sz w:val="20"/>
          <w:szCs w:val="20"/>
          <w:color w:val="auto"/>
        </w:rPr>
      </w:pPr>
      <w:r>
        <w:rPr>
          <w:rFonts w:ascii="Arial" w:cs="Arial" w:eastAsia="Arial" w:hAnsi="Arial"/>
          <w:sz w:val="18"/>
          <w:szCs w:val="18"/>
          <w:i w:val="1"/>
          <w:iCs w:val="1"/>
          <w:u w:val="single" w:color="auto"/>
          <w:color w:val="auto"/>
        </w:rPr>
        <w:t>Markets and Marketing</w:t>
      </w:r>
      <w:r>
        <w:rPr>
          <w:rFonts w:ascii="Arial" w:cs="Arial" w:eastAsia="Arial" w:hAnsi="Arial"/>
          <w:sz w:val="18"/>
          <w:szCs w:val="18"/>
          <w:color w:val="auto"/>
        </w:rPr>
        <w:t>. The Company jointly markets and sells its variable dimmable windows to aircraft</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with PPG Aerospace.</w:t>
      </w:r>
    </w:p>
    <w:p>
      <w:pPr>
        <w:spacing w:after="0" w:line="130" w:lineRule="exact"/>
        <w:rPr>
          <w:sz w:val="20"/>
          <w:szCs w:val="20"/>
          <w:color w:val="auto"/>
        </w:rPr>
      </w:pPr>
    </w:p>
    <w:p>
      <w:pPr>
        <w:ind w:right="659" w:firstLine="747"/>
        <w:spacing w:after="0" w:line="264" w:lineRule="auto"/>
        <w:rPr>
          <w:sz w:val="20"/>
          <w:szCs w:val="20"/>
          <w:color w:val="auto"/>
        </w:rPr>
      </w:pPr>
      <w:r>
        <w:rPr>
          <w:rFonts w:ascii="Arial" w:cs="Arial" w:eastAsia="Arial" w:hAnsi="Arial"/>
          <w:sz w:val="18"/>
          <w:szCs w:val="18"/>
          <w:i w:val="1"/>
          <w:iCs w:val="1"/>
          <w:u w:val="single" w:color="auto"/>
          <w:color w:val="auto"/>
        </w:rPr>
        <w:t>Competition</w:t>
      </w:r>
      <w:r>
        <w:rPr>
          <w:rFonts w:ascii="Arial" w:cs="Arial" w:eastAsia="Arial" w:hAnsi="Arial"/>
          <w:sz w:val="18"/>
          <w:szCs w:val="18"/>
          <w:color w:val="auto"/>
        </w:rPr>
        <w:t>. The Company’s variable dimmable aircraft windows are the first commercialized product for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installation in the aircraft industry. Other manufacturers are attempting to develop competing products utilizing other technology in the aircraft industry for aftermarket or original equipment installation.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and Patents</w:t>
      </w:r>
    </w:p>
    <w:p>
      <w:pPr>
        <w:spacing w:after="0" w:line="202" w:lineRule="exact"/>
        <w:rPr>
          <w:sz w:val="20"/>
          <w:szCs w:val="20"/>
          <w:color w:val="auto"/>
        </w:rPr>
      </w:pPr>
    </w:p>
    <w:p>
      <w:pPr>
        <w:ind w:right="579" w:firstLine="747"/>
        <w:spacing w:after="0" w:line="302" w:lineRule="auto"/>
        <w:rPr>
          <w:sz w:val="20"/>
          <w:szCs w:val="20"/>
          <w:color w:val="auto"/>
        </w:rPr>
      </w:pPr>
      <w:r>
        <w:rPr>
          <w:rFonts w:ascii="Arial" w:cs="Arial" w:eastAsia="Arial" w:hAnsi="Arial"/>
          <w:sz w:val="16"/>
          <w:szCs w:val="16"/>
          <w:color w:val="auto"/>
        </w:rPr>
        <w:t>The Company owns 19 U.S. trademarks and 306 U.S. patents, 303 of which relate to electrochromic technology, automotive rearview mirrors, microphones, displays and/or sensor technology. These patents expire between 2009 and 2027. The Company believes that these patents provide the Company a significant competitive advantage in the automotive rearview mirror market; however, none of these patents individually is required for the success of the Company’s products.</w:t>
      </w:r>
    </w:p>
    <w:p>
      <w:pPr>
        <w:spacing w:after="0" w:line="114" w:lineRule="exact"/>
        <w:rPr>
          <w:sz w:val="20"/>
          <w:szCs w:val="20"/>
          <w:color w:val="auto"/>
        </w:rPr>
      </w:pPr>
    </w:p>
    <w:p>
      <w:pPr>
        <w:ind w:right="599" w:firstLine="747"/>
        <w:spacing w:after="0" w:line="259" w:lineRule="auto"/>
        <w:rPr>
          <w:sz w:val="20"/>
          <w:szCs w:val="20"/>
          <w:color w:val="auto"/>
        </w:rPr>
      </w:pPr>
      <w:r>
        <w:rPr>
          <w:rFonts w:ascii="Arial" w:cs="Arial" w:eastAsia="Arial" w:hAnsi="Arial"/>
          <w:sz w:val="18"/>
          <w:szCs w:val="18"/>
          <w:color w:val="auto"/>
        </w:rPr>
        <w:t>The Company also owns 44 foreign trademarks and 171 foreign patents, 166 of which relate to electrochromic technology, automotive rearview mirrors, microphones, displays and /or sensor technology. These patents expire at various times between 2009 and 2026. The Company believes that the competitive advantage derived in the relevant foreign markets for these patents is comparable to that experienced in the U.S. market.</w:t>
      </w:r>
    </w:p>
    <w:p>
      <w:pPr>
        <w:spacing w:after="0" w:line="146" w:lineRule="exact"/>
        <w:rPr>
          <w:sz w:val="20"/>
          <w:szCs w:val="20"/>
          <w:color w:val="auto"/>
        </w:rPr>
      </w:pPr>
    </w:p>
    <w:p>
      <w:pPr>
        <w:ind w:right="559" w:firstLine="747"/>
        <w:spacing w:after="0" w:line="277" w:lineRule="auto"/>
        <w:rPr>
          <w:sz w:val="20"/>
          <w:szCs w:val="20"/>
          <w:color w:val="auto"/>
        </w:rPr>
      </w:pPr>
      <w:r>
        <w:rPr>
          <w:rFonts w:ascii="Arial" w:cs="Arial" w:eastAsia="Arial" w:hAnsi="Arial"/>
          <w:sz w:val="18"/>
          <w:szCs w:val="18"/>
          <w:color w:val="auto"/>
        </w:rPr>
        <w:t>The Company owns 11 U.S. patents and 2 foreign patents that relate to the Company’s fire protection products, and the Company believes that the competitive advantage provided by these patents is relatively small.</w:t>
      </w:r>
    </w:p>
    <w:p>
      <w:pPr>
        <w:spacing w:after="0" w:line="143" w:lineRule="exact"/>
        <w:rPr>
          <w:sz w:val="20"/>
          <w:szCs w:val="20"/>
          <w:color w:val="auto"/>
        </w:rPr>
      </w:pPr>
    </w:p>
    <w:p>
      <w:pPr>
        <w:jc w:val="both"/>
        <w:ind w:right="1159" w:firstLine="747"/>
        <w:spacing w:after="0" w:line="342" w:lineRule="auto"/>
        <w:rPr>
          <w:sz w:val="20"/>
          <w:szCs w:val="20"/>
          <w:color w:val="auto"/>
        </w:rPr>
      </w:pPr>
      <w:r>
        <w:rPr>
          <w:rFonts w:ascii="Arial" w:cs="Arial" w:eastAsia="Arial" w:hAnsi="Arial"/>
          <w:sz w:val="16"/>
          <w:szCs w:val="16"/>
          <w:color w:val="auto"/>
        </w:rPr>
        <w:t>The Company’s remaining 13 U.S. patents owned by the Company relate to the Company’s variable dimmable windows product, and the Company believes that the competitive advantage provided by these patents is relatively small.</w:t>
      </w:r>
    </w:p>
    <w:p>
      <w:pPr>
        <w:spacing w:after="0" w:line="83" w:lineRule="exact"/>
        <w:rPr>
          <w:sz w:val="20"/>
          <w:szCs w:val="20"/>
          <w:color w:val="auto"/>
        </w:rPr>
      </w:pPr>
    </w:p>
    <w:p>
      <w:pPr>
        <w:ind w:right="559" w:firstLine="747"/>
        <w:spacing w:after="0" w:line="312" w:lineRule="auto"/>
        <w:rPr>
          <w:sz w:val="20"/>
          <w:szCs w:val="20"/>
          <w:color w:val="auto"/>
        </w:rPr>
      </w:pPr>
      <w:r>
        <w:rPr>
          <w:rFonts w:ascii="Arial" w:cs="Arial" w:eastAsia="Arial" w:hAnsi="Arial"/>
          <w:sz w:val="16"/>
          <w:szCs w:val="16"/>
          <w:color w:val="auto"/>
        </w:rPr>
        <w:t>The Company also has in process 141 U.S. patent applications, 325 foreign patent applications, and 19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2" w:lineRule="exact"/>
        <w:rPr>
          <w:sz w:val="20"/>
          <w:szCs w:val="20"/>
          <w:color w:val="auto"/>
        </w:rPr>
      </w:pPr>
    </w:p>
    <w:p>
      <w:pPr>
        <w:ind w:right="699" w:firstLine="747"/>
        <w:spacing w:after="0" w:line="291" w:lineRule="auto"/>
        <w:rPr>
          <w:sz w:val="20"/>
          <w:szCs w:val="20"/>
          <w:color w:val="auto"/>
        </w:rPr>
      </w:pPr>
      <w:r>
        <w:rPr>
          <w:rFonts w:ascii="Arial" w:cs="Arial" w:eastAsia="Arial" w:hAnsi="Arial"/>
          <w:sz w:val="16"/>
          <w:szCs w:val="16"/>
          <w:color w:val="auto"/>
        </w:rPr>
        <w:t>The Company considers itself to be engaged in the manufacture and sale of automatic-dimming rearview mirrors and non automatic-dimming rearview mirrors for the automotive industry, fire protection products for the commercial building industry and variable dimmable windows for the aircraft industry. The Company has several important customers within the automotive industry, five of which each account for 10% or more of the Company’s annual sales (includes direct sales to OEM customer and sales through their Tier 1 suppliers): Daimler AG, General Motors Corporation, Toyota Motor Corporation, Volkswagen, and BMW. The loss of any of these customers could have a material adverse effect on the Company. The Company’s backlog of unshipped orders was $114,086,978 and $174,523,802 at February 1, 2009, and 2008, respectively.</w:t>
      </w:r>
    </w:p>
    <w:p>
      <w:pPr>
        <w:spacing w:after="0" w:line="127" w:lineRule="exact"/>
        <w:rPr>
          <w:sz w:val="20"/>
          <w:szCs w:val="20"/>
          <w:color w:val="auto"/>
        </w:rPr>
      </w:pPr>
    </w:p>
    <w:p>
      <w:pPr>
        <w:ind w:right="619" w:firstLine="747"/>
        <w:spacing w:after="0" w:line="264" w:lineRule="auto"/>
        <w:rPr>
          <w:sz w:val="20"/>
          <w:szCs w:val="20"/>
          <w:color w:val="auto"/>
        </w:rPr>
      </w:pPr>
      <w:r>
        <w:rPr>
          <w:rFonts w:ascii="Arial" w:cs="Arial" w:eastAsia="Arial" w:hAnsi="Arial"/>
          <w:sz w:val="18"/>
          <w:szCs w:val="18"/>
          <w:color w:val="auto"/>
        </w:rPr>
        <w:t>At February 1, 2009, the Company had 2,279 full-time employees. None of the Company’s employees are represented by a labor union or other collective bargaining representative. The Company believes that its relations with its employees are good.</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 Financial Information About Geographic Areas.</w:t>
      </w:r>
    </w:p>
    <w:p>
      <w:pPr>
        <w:spacing w:after="0" w:line="202" w:lineRule="exact"/>
        <w:rPr>
          <w:sz w:val="20"/>
          <w:szCs w:val="20"/>
          <w:color w:val="auto"/>
        </w:rPr>
      </w:pPr>
    </w:p>
    <w:p>
      <w:pPr>
        <w:ind w:right="959" w:firstLine="747"/>
        <w:spacing w:after="0" w:line="277" w:lineRule="auto"/>
        <w:rPr>
          <w:sz w:val="20"/>
          <w:szCs w:val="20"/>
          <w:color w:val="auto"/>
        </w:rPr>
      </w:pPr>
      <w:r>
        <w:rPr>
          <w:rFonts w:ascii="Arial" w:cs="Arial" w:eastAsia="Arial" w:hAnsi="Arial"/>
          <w:sz w:val="18"/>
          <w:szCs w:val="18"/>
          <w:color w:val="auto"/>
        </w:rPr>
        <w:t>See “Markets and Marketing” in Narrative Description of Business (Item 1(c)) and footnote 8 to the Consolidated Financial Statements for certain information regarding geographic areas.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Available Information.</w:t>
      </w:r>
    </w:p>
    <w:p>
      <w:pPr>
        <w:spacing w:after="0" w:line="189" w:lineRule="exact"/>
        <w:rPr>
          <w:sz w:val="20"/>
          <w:szCs w:val="20"/>
          <w:color w:val="auto"/>
        </w:rPr>
      </w:pPr>
    </w:p>
    <w:p>
      <w:pPr>
        <w:ind w:right="579" w:firstLine="747"/>
        <w:spacing w:after="0" w:line="297" w:lineRule="auto"/>
        <w:rPr>
          <w:sz w:val="20"/>
          <w:szCs w:val="20"/>
          <w:color w:val="auto"/>
        </w:rPr>
      </w:pPr>
      <w:r>
        <w:rPr>
          <w:rFonts w:ascii="Arial" w:cs="Arial" w:eastAsia="Arial" w:hAnsi="Arial"/>
          <w:sz w:val="16"/>
          <w:szCs w:val="16"/>
          <w:color w:val="auto"/>
        </w:rPr>
        <w:t>The Company’s annual report on Form 10-K, quarterly reports on Form 10-Q, current reports on Form 8-K, and all amendments to those reports, will be made available, free of charge, through the Investor Information section of the Company’s Internet website (</w:t>
      </w:r>
      <w:r>
        <w:rPr>
          <w:rFonts w:ascii="Arial" w:cs="Arial" w:eastAsia="Arial" w:hAnsi="Arial"/>
          <w:sz w:val="16"/>
          <w:szCs w:val="16"/>
          <w:u w:val="single" w:color="auto"/>
          <w:color w:val="auto"/>
        </w:rPr>
        <w:t>http://www.gentex.com</w:t>
      </w:r>
      <w:r>
        <w:rPr>
          <w:rFonts w:ascii="Arial" w:cs="Arial" w:eastAsia="Arial" w:hAnsi="Arial"/>
          <w:sz w:val="16"/>
          <w:szCs w:val="16"/>
          <w:color w:val="auto"/>
        </w:rPr>
        <w:t>) as soon as practicable after such material is electronically filed with or furnished to the Securities and Exchange Commission. The SEC maintains an internet website (</w:t>
      </w:r>
      <w:r>
        <w:rPr>
          <w:rFonts w:ascii="Arial" w:cs="Arial" w:eastAsia="Arial" w:hAnsi="Arial"/>
          <w:sz w:val="16"/>
          <w:szCs w:val="16"/>
          <w:u w:val="single" w:color="auto"/>
          <w:color w:val="auto"/>
        </w:rPr>
        <w:t>http://www.sec.gov</w:t>
      </w:r>
      <w:r>
        <w:rPr>
          <w:rFonts w:ascii="Arial" w:cs="Arial" w:eastAsia="Arial" w:hAnsi="Arial"/>
          <w:sz w:val="16"/>
          <w:szCs w:val="16"/>
          <w:color w:val="auto"/>
        </w:rPr>
        <w:t>) that contains reports, proxy and information statements, and other information regarding issues that a company files electronically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559" w:firstLine="747"/>
        <w:spacing w:after="0" w:line="285" w:lineRule="auto"/>
        <w:rPr>
          <w:sz w:val="20"/>
          <w:szCs w:val="20"/>
          <w:color w:val="auto"/>
        </w:rPr>
      </w:pPr>
      <w:r>
        <w:rPr>
          <w:rFonts w:ascii="Arial" w:cs="Arial" w:eastAsia="Arial" w:hAnsi="Arial"/>
          <w:sz w:val="16"/>
          <w:szCs w:val="16"/>
          <w:i w:val="1"/>
          <w:iCs w:val="1"/>
          <w:u w:val="single" w:color="auto"/>
          <w:color w:val="auto"/>
        </w:rPr>
        <w:t>Safe Harbor for Forward-Looking Statements</w:t>
      </w:r>
      <w:r>
        <w:rPr>
          <w:rFonts w:ascii="Arial" w:cs="Arial" w:eastAsia="Arial" w:hAnsi="Arial"/>
          <w:sz w:val="16"/>
          <w:szCs w:val="16"/>
          <w:color w:val="auto"/>
        </w:rPr>
        <w:t>. This Annual Report on Form 10-K contains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27A of the Securities Act of 1933, as amended, and Section 21E of the Securities Exchange Act, as amended, that are based on management’s belief, assumptions, current expectations, estimates and projections about the global automotive industry, the economy, the impact of stock option expense, the ability to control and leverage fixed manufacturing overhead costs, unit shipment and revenue growth rates, the ability to control E,R&amp;D and S,G&amp;A expenses, gross margins and the Company itself. Words like “anticipates,” “believes,” “confident,” “estimates,” “expects,” “forecast,” “hopes”, “likely,” “plans,” “projects,” and “should,” and variations of such words and similar expressions identify forward-looking statements. These statements do not guarantee future performance and involve certain risks, uncertainties, and assumptions that are difficult to predict with regard to timing, expense, likelihood and degree of occurrence. These risks include, without limitation, employment and general economic conditions, worldwide automotive production, the maintenance of the Company’s market share, the ability to achieve purchasing cost reductions, competitive pricing pressures, currency fluctuations, interest rates, equity prices, the financial strength/stability of the Company’s customers (including their Tier 1 suppliers), supply chain disruptions, potential sale of OEM business segments or suppliers, potential customer (including their Tier 1 suppliers) bankruptcies, the mix of products purchased by customers, the ability to continue to make product innovations, the success of certain newer products (e.g. SmartBeam</w:t>
      </w:r>
      <w:r>
        <w:rPr>
          <w:rFonts w:ascii="Arial" w:cs="Arial" w:eastAsia="Arial" w:hAnsi="Arial"/>
          <w:sz w:val="13"/>
          <w:szCs w:val="13"/>
          <w:color w:val="auto"/>
        </w:rPr>
        <w:t>®</w:t>
      </w:r>
      <w:r>
        <w:rPr>
          <w:rFonts w:ascii="Arial" w:cs="Arial" w:eastAsia="Arial" w:hAnsi="Arial"/>
          <w:sz w:val="16"/>
          <w:szCs w:val="16"/>
          <w:color w:val="auto"/>
        </w:rPr>
        <w:t xml:space="preserve"> and Rear Camera Display Mirror), and other risks identified in the Company’s other filings with the Securities and Exchange Commission. Therefore actual results and outcomes may materially differ from what is expressed or forecasted. Furthermore, the Company undertakes no obligation to update, amend, or clarify forward-looking statements, whether as a result of new information, future events, or otherwise.</w:t>
      </w:r>
    </w:p>
    <w:p>
      <w:pPr>
        <w:spacing w:after="0" w:line="132" w:lineRule="exact"/>
        <w:rPr>
          <w:sz w:val="20"/>
          <w:szCs w:val="20"/>
          <w:color w:val="auto"/>
        </w:rPr>
      </w:pPr>
    </w:p>
    <w:p>
      <w:pPr>
        <w:ind w:right="759" w:firstLine="747"/>
        <w:spacing w:after="0" w:line="277" w:lineRule="auto"/>
        <w:rPr>
          <w:sz w:val="20"/>
          <w:szCs w:val="20"/>
          <w:color w:val="auto"/>
        </w:rPr>
      </w:pPr>
      <w:r>
        <w:rPr>
          <w:rFonts w:ascii="Arial" w:cs="Arial" w:eastAsia="Arial" w:hAnsi="Arial"/>
          <w:sz w:val="18"/>
          <w:szCs w:val="18"/>
          <w:color w:val="auto"/>
        </w:rPr>
        <w:t>The following risk factors, together with all other information provided in this Annual Report on Form 10-K, should be carefully considered.</w:t>
      </w:r>
    </w:p>
    <w:p>
      <w:pPr>
        <w:spacing w:after="0" w:line="143" w:lineRule="exact"/>
        <w:rPr>
          <w:sz w:val="20"/>
          <w:szCs w:val="20"/>
          <w:color w:val="auto"/>
        </w:rPr>
      </w:pPr>
    </w:p>
    <w:p>
      <w:pPr>
        <w:ind w:right="679" w:firstLine="747"/>
        <w:spacing w:after="0" w:line="286" w:lineRule="auto"/>
        <w:rPr>
          <w:sz w:val="20"/>
          <w:szCs w:val="20"/>
          <w:color w:val="auto"/>
        </w:rPr>
      </w:pPr>
      <w:r>
        <w:rPr>
          <w:rFonts w:ascii="Arial" w:cs="Arial" w:eastAsia="Arial" w:hAnsi="Arial"/>
          <w:sz w:val="16"/>
          <w:szCs w:val="16"/>
          <w:i w:val="1"/>
          <w:iCs w:val="1"/>
          <w:u w:val="single" w:color="auto"/>
          <w:color w:val="auto"/>
        </w:rPr>
        <w:t>Automotive Industry</w:t>
      </w:r>
      <w:r>
        <w:rPr>
          <w:rFonts w:ascii="Arial" w:cs="Arial" w:eastAsia="Arial" w:hAnsi="Arial"/>
          <w:sz w:val="16"/>
          <w:szCs w:val="16"/>
          <w:color w:val="auto"/>
        </w:rPr>
        <w:t>. 96% of our net sales are to customers within the automotive industry. The current state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automotive industry has been well publicized, including the federal government’s loans to certain OEM’s (which require certain conditions be met). While the auto industry has always been cyclical and highly impacted by levels of economic activity, the current environment (global recession, credit crisis, decline in consumer confidence) is unprecedented and is causing increased financial and production stresses evidenced by continuing pricing pressures, lower production levels, consumer preference shift to smaller vehicles due to fuel costs where we have a lower penetration rate and lower content per vehicle, overcapacity, customer and supplier bankruptcies, and commodity material cost increases. If our automotive customers (including their Tier 1 suppliers) experience bankruptcies, work stoppages, strikes, etc., it could disrupt our shipments to these customers, which could adversely affect our sales, margins, profitability and, as a result, our share price. More than ever before, automakers have been experiencing increased volatility and uncertainty in executing planned new programs which have, in some cases, resulted in cancellation or delays of new vehicle platforms, package reconfigurations and inaccurate volume forecasts. This increased volatility and uncertainty has made it more difficult for us to forecast future sales, effectively manage costs and utilize capital, engineering, research and development, and human resource investments.</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5" w:name="page16"/>
    <w:bookmarkEnd w:id="15"/>
    <w:p>
      <w:pPr>
        <w:ind w:right="599" w:firstLine="747"/>
        <w:spacing w:after="0" w:line="254" w:lineRule="auto"/>
        <w:rPr>
          <w:sz w:val="20"/>
          <w:szCs w:val="20"/>
          <w:color w:val="auto"/>
        </w:rPr>
      </w:pPr>
      <w:r>
        <w:rPr>
          <w:rFonts w:ascii="Arial" w:cs="Arial" w:eastAsia="Arial" w:hAnsi="Arial"/>
          <w:sz w:val="18"/>
          <w:szCs w:val="18"/>
          <w:i w:val="1"/>
          <w:iCs w:val="1"/>
          <w:u w:val="single" w:color="auto"/>
          <w:color w:val="auto"/>
        </w:rPr>
        <w:t>Key Customers</w:t>
      </w:r>
      <w:r>
        <w:rPr>
          <w:rFonts w:ascii="Arial" w:cs="Arial" w:eastAsia="Arial" w:hAnsi="Arial"/>
          <w:sz w:val="18"/>
          <w:szCs w:val="18"/>
          <w:color w:val="auto"/>
        </w:rPr>
        <w:t>. We have several large customers, including five customers which each account for 10% or more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net sales (includes direct sales to OEM customers and sales through their Tier 1 suppliers): Daimler AG, General Motors Corporation, Toyota Motor Corporation, Volkswagen/Audi and BMW. The loss of all or a substantial portion of the sales to, or decreases in production by, any of these customers (or certain other significant customers) would have a material adverse effect on our sales, margins, profitability and, as a result, our share price. Effective October 1, 2003, General Motors Corporation began including a 30-day escape clause into its contracts in the event its suppliers are not competitive on pricing. Effective January 1, 2004, Ford Motor Company began imposing new contract terms, including the right to terminate a supplier contract for any or no reason.</w:t>
      </w:r>
    </w:p>
    <w:p>
      <w:pPr>
        <w:spacing w:after="0" w:line="165" w:lineRule="exact"/>
        <w:rPr>
          <w:sz w:val="20"/>
          <w:szCs w:val="20"/>
          <w:color w:val="auto"/>
        </w:rPr>
      </w:pPr>
    </w:p>
    <w:p>
      <w:pPr>
        <w:ind w:right="619" w:firstLine="747"/>
        <w:spacing w:after="0" w:line="290" w:lineRule="auto"/>
        <w:rPr>
          <w:sz w:val="20"/>
          <w:szCs w:val="20"/>
          <w:color w:val="auto"/>
        </w:rPr>
      </w:pPr>
      <w:r>
        <w:rPr>
          <w:rFonts w:ascii="Arial" w:cs="Arial" w:eastAsia="Arial" w:hAnsi="Arial"/>
          <w:sz w:val="16"/>
          <w:szCs w:val="16"/>
          <w:i w:val="1"/>
          <w:iCs w:val="1"/>
          <w:u w:val="single" w:color="auto"/>
          <w:color w:val="auto"/>
        </w:rPr>
        <w:t>Pricing Pressures</w:t>
      </w:r>
      <w:r>
        <w:rPr>
          <w:rFonts w:ascii="Arial" w:cs="Arial" w:eastAsia="Arial" w:hAnsi="Arial"/>
          <w:sz w:val="16"/>
          <w:szCs w:val="16"/>
          <w:color w:val="auto"/>
        </w:rPr>
        <w:t>. In addition to price reductions over the life of our long-term agreements, we continue to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pricing pressures from our automotive customers and competitors, which have affected, and which will continue to affect our margins to the extent that we are unable to offset the price reductions with productivity and manufacturing yield improvements, engineering and purchasing cost reductions, and increases in unit sales volume, all of which continue to be a challenge in the current automotive production environment. In addition, financial pressures at certain automakers are resulting in increased cost reduction efforts by them, including requests for additional price reductions, decontenting certain features from vehicles, customer market testing of future business, dual sourcing initiatives and warranty cost-sharing programs, any of which could adversely impact our sales growth, margins, profitability and, as a result, our share price.</w:t>
      </w:r>
    </w:p>
    <w:p>
      <w:pPr>
        <w:spacing w:after="0" w:line="126" w:lineRule="exact"/>
        <w:rPr>
          <w:sz w:val="20"/>
          <w:szCs w:val="20"/>
          <w:color w:val="auto"/>
        </w:rPr>
      </w:pPr>
    </w:p>
    <w:p>
      <w:pPr>
        <w:ind w:right="699" w:firstLine="747"/>
        <w:spacing w:after="0" w:line="273" w:lineRule="auto"/>
        <w:rPr>
          <w:sz w:val="20"/>
          <w:szCs w:val="20"/>
          <w:color w:val="auto"/>
        </w:rPr>
      </w:pPr>
      <w:r>
        <w:rPr>
          <w:rFonts w:ascii="Arial" w:cs="Arial" w:eastAsia="Arial" w:hAnsi="Arial"/>
          <w:sz w:val="17"/>
          <w:szCs w:val="17"/>
          <w:i w:val="1"/>
          <w:iCs w:val="1"/>
          <w:u w:val="single" w:color="auto"/>
          <w:color w:val="auto"/>
        </w:rPr>
        <w:t>Credit Risk</w:t>
      </w:r>
      <w:r>
        <w:rPr>
          <w:rFonts w:ascii="Arial" w:cs="Arial" w:eastAsia="Arial" w:hAnsi="Arial"/>
          <w:sz w:val="17"/>
          <w:szCs w:val="17"/>
          <w:color w:val="auto"/>
        </w:rPr>
        <w:t>. In light of the well publicized financial stresses within the worldwide automotive industry,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automakers and tier one mirror customers are considering bankruptcy and/or the sale of business segments. Should one or more of our larger customers (including sales through their Tier 1 suppliers) sell their business or declare bankruptcy, it could adversely affect the collection of receivables, our sales, margins, profitability and, as a result, our share price. The current uncertain economic environment continues to cause increased financial pressures and production stresses on our customers, which could impact timely customer payments and ultimately the collectibility of receivables.</w:t>
      </w:r>
    </w:p>
    <w:p>
      <w:pPr>
        <w:spacing w:after="0" w:line="138" w:lineRule="exact"/>
        <w:rPr>
          <w:sz w:val="20"/>
          <w:szCs w:val="20"/>
          <w:color w:val="auto"/>
        </w:rPr>
      </w:pPr>
    </w:p>
    <w:p>
      <w:pPr>
        <w:ind w:right="659" w:firstLine="747"/>
        <w:spacing w:after="0" w:line="312" w:lineRule="auto"/>
        <w:rPr>
          <w:sz w:val="20"/>
          <w:szCs w:val="20"/>
          <w:color w:val="auto"/>
        </w:rPr>
      </w:pPr>
      <w:r>
        <w:rPr>
          <w:rFonts w:ascii="Arial" w:cs="Arial" w:eastAsia="Arial" w:hAnsi="Arial"/>
          <w:sz w:val="16"/>
          <w:szCs w:val="16"/>
          <w:i w:val="1"/>
          <w:iCs w:val="1"/>
          <w:u w:val="single" w:color="auto"/>
          <w:color w:val="auto"/>
        </w:rPr>
        <w:t>Supply Chain Disruptions</w:t>
      </w:r>
      <w:r>
        <w:rPr>
          <w:rFonts w:ascii="Arial" w:cs="Arial" w:eastAsia="Arial" w:hAnsi="Arial"/>
          <w:sz w:val="16"/>
          <w:szCs w:val="16"/>
          <w:color w:val="auto"/>
        </w:rPr>
        <w:t>. Due to the just-in-time supply chains within the automotive industry, a disruption in a</w:t>
      </w:r>
      <w:r>
        <w:rPr>
          <w:rFonts w:ascii="Arial" w:cs="Arial" w:eastAsia="Arial" w:hAnsi="Arial"/>
          <w:sz w:val="16"/>
          <w:szCs w:val="16"/>
          <w:i w:val="1"/>
          <w:iCs w:val="1"/>
          <w:color w:val="auto"/>
        </w:rPr>
        <w:t xml:space="preserve"> </w:t>
      </w:r>
      <w:r>
        <w:rPr>
          <w:rFonts w:ascii="Arial" w:cs="Arial" w:eastAsia="Arial" w:hAnsi="Arial"/>
          <w:sz w:val="16"/>
          <w:szCs w:val="16"/>
          <w:color w:val="auto"/>
        </w:rPr>
        <w:t>supply chain caused by an unrelated supplier due to bankruptcy, work stoppages, strikes, etc. could disrupt our shipments to one or more automaker customers, which could adversely affect our sales, margins, profitability and, as a result, our share price.</w:t>
      </w:r>
    </w:p>
    <w:p>
      <w:pPr>
        <w:spacing w:after="0" w:line="120" w:lineRule="exact"/>
        <w:rPr>
          <w:sz w:val="20"/>
          <w:szCs w:val="20"/>
          <w:color w:val="auto"/>
        </w:rPr>
      </w:pPr>
    </w:p>
    <w:p>
      <w:pPr>
        <w:ind w:right="699" w:firstLine="747"/>
        <w:spacing w:after="0" w:line="286" w:lineRule="auto"/>
        <w:rPr>
          <w:sz w:val="20"/>
          <w:szCs w:val="20"/>
          <w:color w:val="auto"/>
        </w:rPr>
      </w:pPr>
      <w:r>
        <w:rPr>
          <w:rFonts w:ascii="Arial" w:cs="Arial" w:eastAsia="Arial" w:hAnsi="Arial"/>
          <w:sz w:val="17"/>
          <w:szCs w:val="17"/>
          <w:i w:val="1"/>
          <w:iCs w:val="1"/>
          <w:u w:val="single" w:color="auto"/>
          <w:color w:val="auto"/>
        </w:rPr>
        <w:t>Competition</w:t>
      </w:r>
      <w:r>
        <w:rPr>
          <w:rFonts w:ascii="Arial" w:cs="Arial" w:eastAsia="Arial" w:hAnsi="Arial"/>
          <w:sz w:val="17"/>
          <w:szCs w:val="17"/>
          <w:color w:val="auto"/>
        </w:rPr>
        <w:t>. We recognize that Magna Mirrors, our main competitor and a wholly-owned subsidiary of Magna</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is considerably larger than our Company and may present a more formidable competitive threat in the future. Our future growth and success will depend on the ability to compete in our highly competitive markets.</w:t>
      </w:r>
    </w:p>
    <w:p>
      <w:pPr>
        <w:spacing w:after="0" w:line="125" w:lineRule="exact"/>
        <w:rPr>
          <w:sz w:val="20"/>
          <w:szCs w:val="20"/>
          <w:color w:val="auto"/>
        </w:rPr>
      </w:pPr>
    </w:p>
    <w:p>
      <w:pPr>
        <w:ind w:right="859" w:firstLine="747"/>
        <w:spacing w:after="0" w:line="259" w:lineRule="auto"/>
        <w:rPr>
          <w:sz w:val="20"/>
          <w:szCs w:val="20"/>
          <w:color w:val="auto"/>
        </w:rPr>
      </w:pPr>
      <w:r>
        <w:rPr>
          <w:rFonts w:ascii="Arial" w:cs="Arial" w:eastAsia="Arial" w:hAnsi="Arial"/>
          <w:sz w:val="18"/>
          <w:szCs w:val="18"/>
          <w:i w:val="1"/>
          <w:iCs w:val="1"/>
          <w:u w:val="single" w:color="auto"/>
          <w:color w:val="auto"/>
        </w:rPr>
        <w:t>New Technology and Product Development</w:t>
      </w:r>
      <w:r>
        <w:rPr>
          <w:rFonts w:ascii="Arial" w:cs="Arial" w:eastAsia="Arial" w:hAnsi="Arial"/>
          <w:sz w:val="18"/>
          <w:szCs w:val="18"/>
          <w:color w:val="auto"/>
        </w:rPr>
        <w:t>. We continue to invest a significant portion of our annual sales in</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projects as set forth in our Consolidated Statement of Income of our Consolidated Financial Statements filed with this report. Should these efforts ultimately prove unsuccessful, our sales, net income and, as a result, our share price will be adversely affected.</w:t>
      </w:r>
    </w:p>
    <w:p>
      <w:pPr>
        <w:spacing w:after="0" w:line="146" w:lineRule="exact"/>
        <w:rPr>
          <w:sz w:val="20"/>
          <w:szCs w:val="20"/>
          <w:color w:val="auto"/>
        </w:rPr>
      </w:pPr>
    </w:p>
    <w:p>
      <w:pPr>
        <w:ind w:right="599" w:firstLine="747"/>
        <w:spacing w:after="0" w:line="264" w:lineRule="auto"/>
        <w:rPr>
          <w:sz w:val="20"/>
          <w:szCs w:val="20"/>
          <w:color w:val="auto"/>
        </w:rPr>
      </w:pPr>
      <w:r>
        <w:rPr>
          <w:rFonts w:ascii="Arial" w:cs="Arial" w:eastAsia="Arial" w:hAnsi="Arial"/>
          <w:sz w:val="18"/>
          <w:szCs w:val="18"/>
          <w:i w:val="1"/>
          <w:iCs w:val="1"/>
          <w:u w:val="single" w:color="auto"/>
          <w:color w:val="auto"/>
        </w:rPr>
        <w:t>Intellectual Property</w:t>
      </w:r>
      <w:r>
        <w:rPr>
          <w:rFonts w:ascii="Arial" w:cs="Arial" w:eastAsia="Arial" w:hAnsi="Arial"/>
          <w:sz w:val="18"/>
          <w:szCs w:val="18"/>
          <w:color w:val="auto"/>
        </w:rPr>
        <w:t>. We believe that our patents and trade secrets provide us with a significant competitive advantage</w:t>
      </w:r>
      <w:r>
        <w:rPr>
          <w:rFonts w:ascii="Arial" w:cs="Arial" w:eastAsia="Arial" w:hAnsi="Arial"/>
          <w:sz w:val="18"/>
          <w:szCs w:val="18"/>
          <w:i w:val="1"/>
          <w:iCs w:val="1"/>
          <w:color w:val="auto"/>
        </w:rPr>
        <w:t xml:space="preserve"> </w:t>
      </w:r>
      <w:r>
        <w:rPr>
          <w:rFonts w:ascii="Arial" w:cs="Arial" w:eastAsia="Arial" w:hAnsi="Arial"/>
          <w:sz w:val="18"/>
          <w:szCs w:val="18"/>
          <w:color w:val="auto"/>
        </w:rPr>
        <w:t>in automotive rearview mirrors. The loss of any significant combination of patents and trade secrets could adversely affect our sales, margins, profitability and, as a result, share price.</w:t>
      </w:r>
    </w:p>
    <w:p>
      <w:pPr>
        <w:spacing w:after="0" w:line="154" w:lineRule="exact"/>
        <w:rPr>
          <w:sz w:val="20"/>
          <w:szCs w:val="20"/>
          <w:color w:val="auto"/>
        </w:rPr>
      </w:pPr>
    </w:p>
    <w:p>
      <w:pPr>
        <w:ind w:right="659" w:firstLine="747"/>
        <w:spacing w:after="0" w:line="273" w:lineRule="auto"/>
        <w:rPr>
          <w:sz w:val="20"/>
          <w:szCs w:val="20"/>
          <w:color w:val="auto"/>
        </w:rPr>
      </w:pPr>
      <w:r>
        <w:rPr>
          <w:rFonts w:ascii="Arial" w:cs="Arial" w:eastAsia="Arial" w:hAnsi="Arial"/>
          <w:sz w:val="17"/>
          <w:szCs w:val="17"/>
          <w:i w:val="1"/>
          <w:iCs w:val="1"/>
          <w:u w:val="single" w:color="auto"/>
          <w:color w:val="auto"/>
        </w:rPr>
        <w:t>Intellectual Property Litigation and Infringement Claims</w:t>
      </w:r>
      <w:r>
        <w:rPr>
          <w:rFonts w:ascii="Arial" w:cs="Arial" w:eastAsia="Arial" w:hAnsi="Arial"/>
          <w:sz w:val="17"/>
          <w:szCs w:val="17"/>
          <w:color w:val="auto"/>
        </w:rPr>
        <w:t>. A successful claim of patent or other intellectual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infringement against us could affect our profitability and growth. If someone claims that our products infringed their intellectual property rights, any resulting litigation could be costly and time consuming and would divert the attention of management and key personnel from other business issues. The complexity of the technology involved in our business and the uncertainty of intellectual property litigation increases these risks. Any of these adverse consequences could potentially have an effect on our business, financial condition and results of operations.</w:t>
      </w: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6" w:name="page17"/>
    <w:bookmarkEnd w:id="16"/>
    <w:p>
      <w:pPr>
        <w:ind w:right="619" w:firstLine="747"/>
        <w:spacing w:after="0" w:line="297" w:lineRule="auto"/>
        <w:rPr>
          <w:sz w:val="20"/>
          <w:szCs w:val="20"/>
          <w:color w:val="auto"/>
        </w:rPr>
      </w:pPr>
      <w:r>
        <w:rPr>
          <w:rFonts w:ascii="Arial" w:cs="Arial" w:eastAsia="Arial" w:hAnsi="Arial"/>
          <w:sz w:val="16"/>
          <w:szCs w:val="16"/>
          <w:i w:val="1"/>
          <w:iCs w:val="1"/>
          <w:u w:val="single" w:color="auto"/>
          <w:color w:val="auto"/>
        </w:rPr>
        <w:t>Business Disruptions</w:t>
      </w:r>
      <w:r>
        <w:rPr>
          <w:rFonts w:ascii="Arial" w:cs="Arial" w:eastAsia="Arial" w:hAnsi="Arial"/>
          <w:sz w:val="16"/>
          <w:szCs w:val="16"/>
          <w:color w:val="auto"/>
        </w:rPr>
        <w:t>. Manufacturing of our proprietary products employing electro-optic technology are performed at</w:t>
      </w:r>
      <w:r>
        <w:rPr>
          <w:rFonts w:ascii="Arial" w:cs="Arial" w:eastAsia="Arial" w:hAnsi="Arial"/>
          <w:sz w:val="16"/>
          <w:szCs w:val="16"/>
          <w:i w:val="1"/>
          <w:iCs w:val="1"/>
          <w:color w:val="auto"/>
        </w:rPr>
        <w:t xml:space="preserve"> </w:t>
      </w:r>
      <w:r>
        <w:rPr>
          <w:rFonts w:ascii="Arial" w:cs="Arial" w:eastAsia="Arial" w:hAnsi="Arial"/>
          <w:sz w:val="16"/>
          <w:szCs w:val="16"/>
          <w:color w:val="auto"/>
        </w:rPr>
        <w:t>our five manufacturing facilities in Zeeland, Michigan. Should a catastrophic event occur, our ability to manufacture product, complete existing orders and provide other services would be severely impacted for an undetermined period of time. We have purchased business interruption insurance to address some of these potential costs. Our inability to conduct normal business operations for a period of time may have an adverse impact on our business, financial condition, and results of operations.</w:t>
      </w:r>
    </w:p>
    <w:p>
      <w:pPr>
        <w:spacing w:after="0" w:line="131" w:lineRule="exact"/>
        <w:rPr>
          <w:sz w:val="20"/>
          <w:szCs w:val="20"/>
          <w:color w:val="auto"/>
        </w:rPr>
      </w:pPr>
    </w:p>
    <w:p>
      <w:pPr>
        <w:ind w:right="819" w:firstLine="747"/>
        <w:spacing w:after="0" w:line="277" w:lineRule="auto"/>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color w:val="auto"/>
        </w:rPr>
        <w:t>. Other issues and uncertainties which could adversely impact our sales, margins, profitability and, as a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our share price include:</w:t>
      </w:r>
    </w:p>
    <w:p>
      <w:pPr>
        <w:spacing w:after="0" w:line="130" w:lineRule="exact"/>
        <w:rPr>
          <w:sz w:val="20"/>
          <w:szCs w:val="20"/>
          <w:color w:val="auto"/>
        </w:rPr>
      </w:pPr>
    </w:p>
    <w:p>
      <w:pPr>
        <w:ind w:left="700" w:right="619" w:hanging="343"/>
        <w:spacing w:after="0" w:line="255"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Company has evaluated and is planning to implement a new Enterprise Resource Planning (ERP) System in 2009. While we believe that all necessary system development processes, testing procedures and user training that is planned will be adequate and completed prior to final implementation, there is no guarantee that all system components will function as intended at the date of implementation/conversion. Unanticipated failure(s) could cause delays in our ability to produce or ship its products, process transactions, or otherwise conduct business in its markets, resulting in material financial risk.</w:t>
      </w:r>
    </w:p>
    <w:p>
      <w:pPr>
        <w:spacing w:after="0" w:line="125" w:lineRule="exact"/>
        <w:rPr>
          <w:rFonts w:ascii="Arial" w:cs="Arial" w:eastAsia="Arial" w:hAnsi="Arial"/>
          <w:sz w:val="18"/>
          <w:szCs w:val="18"/>
          <w:b w:val="1"/>
          <w:bCs w:val="1"/>
          <w:color w:val="auto"/>
        </w:rPr>
      </w:pPr>
    </w:p>
    <w:p>
      <w:pPr>
        <w:ind w:left="700" w:right="559" w:hanging="343"/>
        <w:spacing w:after="0" w:line="264"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Economic conditions have deteriorated in many of the regions in which we do business. Continued adverse worldwide economic conditions, currency exchange rates, war or significant terrorist acts, could each affect worldwide automotive sales and production levels.</w:t>
      </w:r>
    </w:p>
    <w:p>
      <w:pPr>
        <w:spacing w:after="0" w:line="113" w:lineRule="exact"/>
        <w:rPr>
          <w:rFonts w:ascii="Arial" w:cs="Arial" w:eastAsia="Arial" w:hAnsi="Arial"/>
          <w:sz w:val="18"/>
          <w:szCs w:val="18"/>
          <w:b w:val="1"/>
          <w:bCs w:val="1"/>
          <w:color w:val="auto"/>
        </w:rPr>
      </w:pPr>
    </w:p>
    <w:p>
      <w:pPr>
        <w:ind w:left="700" w:right="759" w:hanging="343"/>
        <w:spacing w:after="0" w:line="277"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the commodity prices of the materials used in our products. We continue to experience some pressure for select raw material cost increases.</w:t>
      </w:r>
    </w:p>
    <w:p>
      <w:pPr>
        <w:spacing w:after="0" w:line="102" w:lineRule="exact"/>
        <w:rPr>
          <w:rFonts w:ascii="Arial" w:cs="Arial" w:eastAsia="Arial" w:hAnsi="Arial"/>
          <w:sz w:val="18"/>
          <w:szCs w:val="18"/>
          <w:b w:val="1"/>
          <w:bCs w:val="1"/>
          <w:color w:val="auto"/>
        </w:rPr>
      </w:pPr>
    </w:p>
    <w:p>
      <w:pPr>
        <w:ind w:left="700" w:hanging="343"/>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Manufacturing yield issues may negatively impact our margins and profitability.</w:t>
      </w:r>
    </w:p>
    <w:p>
      <w:pPr>
        <w:spacing w:after="0" w:line="157" w:lineRule="exact"/>
        <w:rPr>
          <w:rFonts w:ascii="Arial" w:cs="Arial" w:eastAsia="Arial" w:hAnsi="Arial"/>
          <w:sz w:val="18"/>
          <w:szCs w:val="18"/>
          <w:b w:val="1"/>
          <w:bCs w:val="1"/>
          <w:color w:val="auto"/>
        </w:rPr>
      </w:pPr>
    </w:p>
    <w:p>
      <w:pPr>
        <w:ind w:left="700" w:right="759" w:hanging="343"/>
        <w:spacing w:after="0" w:line="312" w:lineRule="auto"/>
        <w:tabs>
          <w:tab w:leader="none" w:pos="7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Our ability to attract or retain key employees to operate our manufacturing facilities and to staff our corporate office. We are dependent on the services of our management team. Losing key members of our management team could adversely affect our operations. We do not maintain key man life insurance on any of our officers or directors.</w:t>
      </w:r>
    </w:p>
    <w:p>
      <w:pPr>
        <w:spacing w:after="0" w:line="79" w:lineRule="exact"/>
        <w:rPr>
          <w:rFonts w:ascii="Arial" w:cs="Arial" w:eastAsia="Arial" w:hAnsi="Arial"/>
          <w:sz w:val="16"/>
          <w:szCs w:val="16"/>
          <w:b w:val="1"/>
          <w:bCs w:val="1"/>
          <w:color w:val="auto"/>
        </w:rPr>
      </w:pPr>
    </w:p>
    <w:p>
      <w:pPr>
        <w:ind w:left="700" w:right="559" w:hanging="343"/>
        <w:spacing w:after="0" w:line="264"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Uncertain equity markets could negatively impact our financial performance due to an increase in realized losses on the sale of equity investments and/or recognized losses due to an other-than–temporary impairment adjustment on available-for-sale securities (mark to market adjustment).</w:t>
      </w:r>
    </w:p>
    <w:p>
      <w:pPr>
        <w:spacing w:after="0" w:line="113" w:lineRule="exact"/>
        <w:rPr>
          <w:rFonts w:ascii="Arial" w:cs="Arial" w:eastAsia="Arial" w:hAnsi="Arial"/>
          <w:sz w:val="18"/>
          <w:szCs w:val="18"/>
          <w:b w:val="1"/>
          <w:bCs w:val="1"/>
          <w:color w:val="auto"/>
        </w:rPr>
      </w:pPr>
    </w:p>
    <w:p>
      <w:pPr>
        <w:ind w:left="700" w:right="1139" w:hanging="343"/>
        <w:spacing w:after="0" w:line="277"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successfully design and execute strategic and operating plans, including continuing to obtain new business.</w:t>
      </w:r>
    </w:p>
    <w:p>
      <w:pPr>
        <w:spacing w:after="0" w:line="130" w:lineRule="exact"/>
        <w:rPr>
          <w:sz w:val="20"/>
          <w:szCs w:val="20"/>
          <w:color w:val="auto"/>
        </w:rPr>
      </w:pPr>
    </w:p>
    <w:p>
      <w:pPr>
        <w:ind w:right="599" w:firstLine="747"/>
        <w:spacing w:after="0" w:line="271" w:lineRule="auto"/>
        <w:rPr>
          <w:sz w:val="20"/>
          <w:szCs w:val="20"/>
          <w:color w:val="auto"/>
        </w:rPr>
      </w:pPr>
      <w:r>
        <w:rPr>
          <w:rFonts w:ascii="Arial" w:cs="Arial" w:eastAsia="Arial" w:hAnsi="Arial"/>
          <w:sz w:val="17"/>
          <w:szCs w:val="17"/>
          <w:i w:val="1"/>
          <w:iCs w:val="1"/>
          <w:u w:val="single" w:color="auto"/>
          <w:color w:val="auto"/>
        </w:rPr>
        <w:t>Antitakeover Provisions</w:t>
      </w:r>
      <w:r>
        <w:rPr>
          <w:rFonts w:ascii="Arial" w:cs="Arial" w:eastAsia="Arial" w:hAnsi="Arial"/>
          <w:sz w:val="17"/>
          <w:szCs w:val="17"/>
          <w:color w:val="auto"/>
        </w:rPr>
        <w:t>. Our articles of incorporation and bylaws, the laws of Michigan, and our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Rights Plan include provisions which are designed to provide our board of directors with time to consider whether a hostile takeover offer is in our best interest and the best interests of our shareholders. These provisions, however, could discourage potential acquisition proposals and could delay or prevent a change in control. The provisions also could diminish the opportunities for a holder of our common stock to participate in tender offers, including tender offers at a price above the then current price for our common stock. These provisions could also prevent transactions in which our shareholders might otherwise receive a premium for their shares over then current market prices, and may limit the ability of our shareholders to approve transactions that they may deem to be in their best interests.</w:t>
      </w:r>
    </w:p>
    <w:p>
      <w:pPr>
        <w:spacing w:after="0" w:line="152" w:lineRule="exact"/>
        <w:rPr>
          <w:sz w:val="20"/>
          <w:szCs w:val="20"/>
          <w:color w:val="auto"/>
        </w:rPr>
      </w:pPr>
    </w:p>
    <w:p>
      <w:pPr>
        <w:ind w:right="619" w:firstLine="747"/>
        <w:spacing w:after="0" w:line="277" w:lineRule="auto"/>
        <w:rPr>
          <w:sz w:val="20"/>
          <w:szCs w:val="20"/>
          <w:color w:val="auto"/>
        </w:rPr>
      </w:pPr>
      <w:r>
        <w:rPr>
          <w:rFonts w:ascii="Arial" w:cs="Arial" w:eastAsia="Arial" w:hAnsi="Arial"/>
          <w:sz w:val="18"/>
          <w:szCs w:val="18"/>
          <w:color w:val="auto"/>
        </w:rPr>
        <w:t>All of these provisions may have the effect of delaying or preventing a change in control at the company level without action by our shareholders, and therefore, could adversely affect the price of our common stock.</w:t>
      </w:r>
    </w:p>
    <w:p>
      <w:pPr>
        <w:spacing w:after="0" w:line="130" w:lineRule="exact"/>
        <w:rPr>
          <w:sz w:val="20"/>
          <w:szCs w:val="20"/>
          <w:color w:val="auto"/>
        </w:rPr>
      </w:pPr>
    </w:p>
    <w:p>
      <w:pPr>
        <w:ind w:left="740"/>
        <w:spacing w:after="0"/>
        <w:rPr>
          <w:sz w:val="20"/>
          <w:szCs w:val="20"/>
          <w:color w:val="auto"/>
        </w:rPr>
      </w:pPr>
      <w:r>
        <w:rPr>
          <w:rFonts w:ascii="Arial" w:cs="Arial" w:eastAsia="Arial" w:hAnsi="Arial"/>
          <w:sz w:val="17"/>
          <w:szCs w:val="17"/>
          <w:i w:val="1"/>
          <w:iCs w:val="1"/>
          <w:u w:val="single" w:color="auto"/>
          <w:color w:val="auto"/>
        </w:rPr>
        <w:t>Fluctuations in Market Price</w:t>
      </w:r>
      <w:r>
        <w:rPr>
          <w:rFonts w:ascii="Arial" w:cs="Arial" w:eastAsia="Arial" w:hAnsi="Arial"/>
          <w:sz w:val="17"/>
          <w:szCs w:val="17"/>
          <w:color w:val="auto"/>
        </w:rPr>
        <w:t>. The market price for our common stock has fluctuated, ranging between $19.47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$6.50 during 2008. The overall market and the price of our common stock may continue to fluctuate. There may be a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on the market price for our common stock due to, among other things:</w:t>
      </w:r>
    </w:p>
    <w:p>
      <w:pPr>
        <w:spacing w:after="0" w:line="170" w:lineRule="exact"/>
        <w:rPr>
          <w:sz w:val="20"/>
          <w:szCs w:val="20"/>
          <w:color w:val="auto"/>
        </w:rPr>
      </w:pPr>
    </w:p>
    <w:p>
      <w:pPr>
        <w:ind w:left="700" w:hanging="343"/>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variations in our anticipated or actual operating results or the results of our competitors;</w:t>
      </w:r>
    </w:p>
    <w:p>
      <w:pPr>
        <w:spacing w:after="0" w:line="157" w:lineRule="exact"/>
        <w:rPr>
          <w:rFonts w:ascii="Arial" w:cs="Arial" w:eastAsia="Arial" w:hAnsi="Arial"/>
          <w:sz w:val="18"/>
          <w:szCs w:val="18"/>
          <w:b w:val="1"/>
          <w:bCs w:val="1"/>
          <w:color w:val="auto"/>
        </w:rPr>
      </w:pPr>
    </w:p>
    <w:p>
      <w:pPr>
        <w:ind w:left="700" w:right="699" w:hanging="343"/>
        <w:spacing w:after="0" w:line="277" w:lineRule="auto"/>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investors’ or analysts’ perceptions of the risks and conditions of our business and in particular our primary industry;</w:t>
      </w:r>
    </w:p>
    <w:p>
      <w:pPr>
        <w:spacing w:after="0" w:line="102" w:lineRule="exact"/>
        <w:rPr>
          <w:rFonts w:ascii="Arial" w:cs="Arial" w:eastAsia="Arial" w:hAnsi="Arial"/>
          <w:sz w:val="18"/>
          <w:szCs w:val="18"/>
          <w:b w:val="1"/>
          <w:bCs w:val="1"/>
          <w:color w:val="auto"/>
        </w:rPr>
      </w:pPr>
    </w:p>
    <w:p>
      <w:pPr>
        <w:ind w:left="700" w:hanging="343"/>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size of the public float of our common stock;</w:t>
      </w:r>
    </w:p>
    <w:p>
      <w:pPr>
        <w:spacing w:after="0" w:line="157" w:lineRule="exact"/>
        <w:rPr>
          <w:rFonts w:ascii="Arial" w:cs="Arial" w:eastAsia="Arial" w:hAnsi="Arial"/>
          <w:sz w:val="18"/>
          <w:szCs w:val="18"/>
          <w:b w:val="1"/>
          <w:bCs w:val="1"/>
          <w:color w:val="auto"/>
        </w:rPr>
      </w:pPr>
    </w:p>
    <w:p>
      <w:pPr>
        <w:ind w:left="700" w:hanging="343"/>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market conditions, including the industry in which we operate, and</w:t>
      </w:r>
    </w:p>
    <w:p>
      <w:pPr>
        <w:spacing w:after="0" w:line="157" w:lineRule="exact"/>
        <w:rPr>
          <w:rFonts w:ascii="Arial" w:cs="Arial" w:eastAsia="Arial" w:hAnsi="Arial"/>
          <w:sz w:val="18"/>
          <w:szCs w:val="18"/>
          <w:b w:val="1"/>
          <w:bCs w:val="1"/>
          <w:color w:val="auto"/>
        </w:rPr>
      </w:pPr>
    </w:p>
    <w:p>
      <w:pPr>
        <w:ind w:left="700" w:hanging="343"/>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general economic conditions.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879" w:firstLine="747"/>
        <w:spacing w:after="0" w:line="259" w:lineRule="auto"/>
        <w:rPr>
          <w:sz w:val="20"/>
          <w:szCs w:val="20"/>
          <w:color w:val="auto"/>
        </w:rPr>
      </w:pPr>
      <w:r>
        <w:rPr>
          <w:rFonts w:ascii="Arial" w:cs="Arial" w:eastAsia="Arial" w:hAnsi="Arial"/>
          <w:sz w:val="18"/>
          <w:szCs w:val="18"/>
          <w:color w:val="auto"/>
        </w:rPr>
        <w:t>The Company operates out of five office/manufacturing facilities in Zeeland, Michigan, approximately 25 miles southwest of Grand Rapids, in addition to overseas offices discussed elsewhere herein (see Part 1, Item 1). The office and production facility for the Fire Protection Products Group is a 25,000-square-foot, one-story building leased by the Company since 1978 from related parties (see Part III, Item 13, of this report).</w:t>
      </w:r>
    </w:p>
    <w:p>
      <w:pPr>
        <w:spacing w:after="0" w:line="146" w:lineRule="exact"/>
        <w:rPr>
          <w:sz w:val="20"/>
          <w:szCs w:val="20"/>
          <w:color w:val="auto"/>
        </w:rPr>
      </w:pPr>
    </w:p>
    <w:p>
      <w:pPr>
        <w:ind w:right="579" w:firstLine="747"/>
        <w:spacing w:after="0" w:line="257" w:lineRule="auto"/>
        <w:rPr>
          <w:sz w:val="20"/>
          <w:szCs w:val="20"/>
          <w:color w:val="auto"/>
        </w:rPr>
      </w:pPr>
      <w:r>
        <w:rPr>
          <w:rFonts w:ascii="Arial" w:cs="Arial" w:eastAsia="Arial" w:hAnsi="Arial"/>
          <w:sz w:val="18"/>
          <w:szCs w:val="18"/>
          <w:color w:val="auto"/>
        </w:rPr>
        <w:t>The corporate office and production facility for the Company’s Automotive Products Group is a modern, two-story, 150,000-square-foot building of steel and masonry construction situated on a 40-acre site in a well-kept industrial park. A second 128,000-square-foot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148" w:lineRule="exact"/>
        <w:rPr>
          <w:sz w:val="20"/>
          <w:szCs w:val="20"/>
          <w:color w:val="auto"/>
        </w:rPr>
      </w:pPr>
    </w:p>
    <w:p>
      <w:pPr>
        <w:ind w:right="559" w:firstLine="747"/>
        <w:spacing w:after="0" w:line="255" w:lineRule="auto"/>
        <w:rPr>
          <w:sz w:val="20"/>
          <w:szCs w:val="20"/>
          <w:color w:val="auto"/>
        </w:rPr>
      </w:pPr>
      <w:r>
        <w:rPr>
          <w:rFonts w:ascii="Arial" w:cs="Arial" w:eastAsia="Arial" w:hAnsi="Arial"/>
          <w:sz w:val="18"/>
          <w:szCs w:val="18"/>
          <w:color w:val="auto"/>
        </w:rPr>
        <w:t>In November 2002, the Company announced plans to expand its manufacturing operations in Zeeland, Michigan, with the construction of a fourth 150,000-square foot automotive mirror manufacturing facility. During 2003, the Company also announced plans for a new 200,000-square foot technical office facility linking the fourth manufacturing facility with its existing corporate office and production facility. The Company completed the construction of its fourth automotive manufacturing facility and the new technical center in 2006 at a total cost of approximately $38 million, which was funded from its cash and cash equivalents on hand during 2004-2006.</w:t>
      </w:r>
    </w:p>
    <w:p>
      <w:pPr>
        <w:spacing w:after="0" w:line="166" w:lineRule="exact"/>
        <w:rPr>
          <w:sz w:val="20"/>
          <w:szCs w:val="20"/>
          <w:color w:val="auto"/>
        </w:rPr>
      </w:pPr>
    </w:p>
    <w:p>
      <w:pPr>
        <w:ind w:right="659" w:firstLine="747"/>
        <w:spacing w:after="0" w:line="277" w:lineRule="auto"/>
        <w:rPr>
          <w:sz w:val="20"/>
          <w:szCs w:val="20"/>
          <w:color w:val="auto"/>
        </w:rPr>
      </w:pPr>
      <w:r>
        <w:rPr>
          <w:rFonts w:ascii="Arial" w:cs="Arial" w:eastAsia="Arial" w:hAnsi="Arial"/>
          <w:sz w:val="18"/>
          <w:szCs w:val="18"/>
          <w:color w:val="auto"/>
        </w:rPr>
        <w:t>The Company also constructed a 40,000 square-foot office, distribution and light manufacturing facility in Erlenbach, Germany, at a cost of approximately $5 million, which was completed at the end of 2003.</w:t>
      </w:r>
    </w:p>
    <w:p>
      <w:pPr>
        <w:spacing w:after="0" w:line="130" w:lineRule="exact"/>
        <w:rPr>
          <w:sz w:val="20"/>
          <w:szCs w:val="20"/>
          <w:color w:val="auto"/>
        </w:rPr>
      </w:pPr>
    </w:p>
    <w:p>
      <w:pPr>
        <w:ind w:right="819" w:firstLine="747"/>
        <w:spacing w:after="0" w:line="277" w:lineRule="auto"/>
        <w:rPr>
          <w:sz w:val="20"/>
          <w:szCs w:val="20"/>
          <w:color w:val="auto"/>
        </w:rPr>
      </w:pPr>
      <w:r>
        <w:rPr>
          <w:rFonts w:ascii="Arial" w:cs="Arial" w:eastAsia="Arial" w:hAnsi="Arial"/>
          <w:sz w:val="18"/>
          <w:szCs w:val="18"/>
          <w:color w:val="auto"/>
        </w:rPr>
        <w:t>During 2006, the Company purchased a 25,000 square foot office, distribution and light manufacturing facility near Shanghai, China, at a cost of approximately $750,000.</w:t>
      </w:r>
    </w:p>
    <w:p>
      <w:pPr>
        <w:spacing w:after="0" w:line="130" w:lineRule="exact"/>
        <w:rPr>
          <w:sz w:val="20"/>
          <w:szCs w:val="20"/>
          <w:color w:val="auto"/>
        </w:rPr>
      </w:pPr>
    </w:p>
    <w:p>
      <w:pPr>
        <w:ind w:right="859" w:firstLine="747"/>
        <w:spacing w:after="0" w:line="259" w:lineRule="auto"/>
        <w:rPr>
          <w:sz w:val="20"/>
          <w:szCs w:val="20"/>
          <w:color w:val="auto"/>
        </w:rPr>
      </w:pPr>
      <w:r>
        <w:rPr>
          <w:rFonts w:ascii="Arial" w:cs="Arial" w:eastAsia="Arial" w:hAnsi="Arial"/>
          <w:sz w:val="18"/>
          <w:szCs w:val="18"/>
          <w:color w:val="auto"/>
        </w:rPr>
        <w:t>In January 2007, the Company announced plans to expand its automotive exterior mirror manufacturing facility in Zeeland, Michigan, with the construction of a 60,000 square-foot building addition. The Company completed the building addition to its automotive exterior mirror manufacturing facility in January 2008 at a cost of approximately $6 million, which was funded from cash and cash equivalents on hand.</w:t>
      </w:r>
    </w:p>
    <w:p>
      <w:pPr>
        <w:spacing w:after="0" w:line="160" w:lineRule="exact"/>
        <w:rPr>
          <w:sz w:val="20"/>
          <w:szCs w:val="20"/>
          <w:color w:val="auto"/>
        </w:rPr>
      </w:pPr>
    </w:p>
    <w:p>
      <w:pPr>
        <w:ind w:right="579" w:firstLine="747"/>
        <w:spacing w:after="0" w:line="259" w:lineRule="auto"/>
        <w:rPr>
          <w:sz w:val="20"/>
          <w:szCs w:val="20"/>
          <w:color w:val="auto"/>
        </w:rPr>
      </w:pPr>
      <w:r>
        <w:rPr>
          <w:rFonts w:ascii="Arial" w:cs="Arial" w:eastAsia="Arial" w:hAnsi="Arial"/>
          <w:sz w:val="18"/>
          <w:szCs w:val="18"/>
          <w:color w:val="auto"/>
        </w:rPr>
        <w:t>The Company’s three automotive interior mirror manufacturing facilities currently have an estimated building capacity to manufacture approximately 20 million mirror units annually, based on the current product mix. The Company evaluates equipment capacity on an annual basis and adds equipment as needed. In 2008, the Company shipped approximately 10,505,000 interior auto-dimming mirrors.</w:t>
      </w:r>
    </w:p>
    <w:p>
      <w:pPr>
        <w:spacing w:after="0" w:line="146" w:lineRule="exact"/>
        <w:rPr>
          <w:sz w:val="20"/>
          <w:szCs w:val="20"/>
          <w:color w:val="auto"/>
        </w:rPr>
      </w:pPr>
    </w:p>
    <w:p>
      <w:pPr>
        <w:ind w:right="919" w:firstLine="747"/>
        <w:spacing w:after="0" w:line="259" w:lineRule="auto"/>
        <w:rPr>
          <w:sz w:val="20"/>
          <w:szCs w:val="20"/>
          <w:color w:val="auto"/>
        </w:rPr>
      </w:pPr>
      <w:r>
        <w:rPr>
          <w:rFonts w:ascii="Arial" w:cs="Arial" w:eastAsia="Arial" w:hAnsi="Arial"/>
          <w:sz w:val="18"/>
          <w:szCs w:val="18"/>
          <w:color w:val="auto"/>
        </w:rPr>
        <w:t>The Company’s expanded automotive exterior mirror manufacturing facility has an estimated building capacity to manufacture approximately 9 million units annually, based on the current product mix. The Company evaluates equipment capacity on an annual basis and adds equipment as needed. In 2008, the Company shipped approximately 3,884,000 exterior auto-dimming mirrors.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right="819" w:firstLine="747"/>
        <w:spacing w:after="0" w:line="297" w:lineRule="auto"/>
        <w:rPr>
          <w:sz w:val="20"/>
          <w:szCs w:val="20"/>
          <w:color w:val="auto"/>
        </w:rPr>
      </w:pPr>
      <w:r>
        <w:rPr>
          <w:rFonts w:ascii="Arial" w:cs="Arial" w:eastAsia="Arial" w:hAnsi="Arial"/>
          <w:sz w:val="16"/>
          <w:szCs w:val="16"/>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189" w:lineRule="exact"/>
        <w:rPr>
          <w:sz w:val="20"/>
          <w:szCs w:val="20"/>
          <w:color w:val="auto"/>
        </w:rPr>
      </w:pPr>
    </w:p>
    <w:p>
      <w:pPr>
        <w:ind w:right="1139" w:firstLine="747"/>
        <w:spacing w:after="0" w:line="308" w:lineRule="auto"/>
        <w:rPr>
          <w:sz w:val="20"/>
          <w:szCs w:val="20"/>
          <w:color w:val="auto"/>
        </w:rPr>
      </w:pPr>
      <w:r>
        <w:rPr>
          <w:rFonts w:ascii="Arial" w:cs="Arial" w:eastAsia="Arial" w:hAnsi="Arial"/>
          <w:sz w:val="17"/>
          <w:szCs w:val="17"/>
          <w:color w:val="auto"/>
        </w:rPr>
        <w:t>The following table lists the names, ages, and positions of all of the Company’s executive officers. Officers are generally elected at the first meeting of the Board of Directors following the annual meeting of shareholders.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AGE</w:t>
            </w:r>
          </w:p>
        </w:tc>
        <w:tc>
          <w:tcPr>
            <w:tcW w:w="4280" w:type="dxa"/>
            <w:vAlign w:val="bottom"/>
          </w:tcPr>
          <w:p>
            <w:pPr>
              <w:ind w:left="1720"/>
              <w:spacing w:after="0"/>
              <w:rPr>
                <w:sz w:val="20"/>
                <w:szCs w:val="20"/>
                <w:color w:val="auto"/>
              </w:rPr>
            </w:pPr>
            <w:r>
              <w:rPr>
                <w:rFonts w:ascii="Arial" w:cs="Arial" w:eastAsia="Arial" w:hAnsi="Arial"/>
                <w:sz w:val="18"/>
                <w:szCs w:val="18"/>
                <w:color w:val="auto"/>
              </w:rPr>
              <w:t>POSITION</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5"/>
              </w:rPr>
              <w:t>POSITION HELD SINCE</w:t>
            </w:r>
          </w:p>
        </w:tc>
      </w:tr>
      <w:tr>
        <w:trPr>
          <w:trHeight w:val="20"/>
        </w:trPr>
        <w:tc>
          <w:tcPr>
            <w:tcW w:w="2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1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Fred Bauer</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May 1986</w:t>
            </w: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rPr>
              <w:t>Enoch Jen</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428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January 2007</w:t>
            </w:r>
          </w:p>
        </w:tc>
      </w:t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Mark Newton</w:t>
            </w:r>
          </w:p>
        </w:tc>
        <w:tc>
          <w:tcPr>
            <w:tcW w:w="84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49</w:t>
            </w: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 Electrical Engineering &amp;</w:t>
            </w:r>
          </w:p>
        </w:tc>
        <w:tc>
          <w:tcPr>
            <w:tcW w:w="1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June 2008</w:t>
            </w:r>
          </w:p>
        </w:tc>
      </w:tr>
      <w:tr>
        <w:trPr>
          <w:trHeight w:val="230"/>
        </w:trPr>
        <w:tc>
          <w:tcPr>
            <w:tcW w:w="2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Purchasing</w:t>
            </w:r>
          </w:p>
        </w:tc>
        <w:tc>
          <w:tcPr>
            <w:tcW w:w="1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432"/>
        </w:trPr>
        <w:tc>
          <w:tcPr>
            <w:tcW w:w="2120" w:type="dxa"/>
            <w:vAlign w:val="bottom"/>
          </w:tcPr>
          <w:p>
            <w:pPr>
              <w:spacing w:after="0"/>
              <w:rPr>
                <w:sz w:val="20"/>
                <w:szCs w:val="20"/>
                <w:color w:val="auto"/>
              </w:rPr>
            </w:pPr>
            <w:r>
              <w:rPr>
                <w:rFonts w:ascii="Arial" w:cs="Arial" w:eastAsia="Arial" w:hAnsi="Arial"/>
                <w:sz w:val="18"/>
                <w:szCs w:val="18"/>
                <w:color w:val="auto"/>
              </w:rPr>
              <w:t>Dennis Alexejun</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4280" w:type="dxa"/>
            <w:vAlign w:val="bottom"/>
          </w:tcPr>
          <w:p>
            <w:pPr>
              <w:spacing w:after="0"/>
              <w:rPr>
                <w:sz w:val="20"/>
                <w:szCs w:val="20"/>
                <w:color w:val="auto"/>
              </w:rPr>
            </w:pPr>
            <w:r>
              <w:rPr>
                <w:rFonts w:ascii="Arial" w:cs="Arial" w:eastAsia="Arial" w:hAnsi="Arial"/>
                <w:sz w:val="18"/>
                <w:szCs w:val="18"/>
                <w:color w:val="auto"/>
                <w:w w:val="99"/>
              </w:rPr>
              <w:t>Vice President, North American Automotive Marketing</w:t>
            </w:r>
          </w:p>
        </w:tc>
        <w:tc>
          <w:tcPr>
            <w:tcW w:w="1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September 1998</w:t>
            </w:r>
          </w:p>
        </w:tc>
      </w:t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Steve Dykman</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Finance and Treasurer</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January 2007</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There are no family relationships among the officers listed in the preceding table.</w:t>
      </w:r>
    </w:p>
    <w:p>
      <w:pPr>
        <w:spacing w:after="0" w:line="185" w:lineRule="exact"/>
        <w:rPr>
          <w:sz w:val="20"/>
          <w:szCs w:val="20"/>
          <w:color w:val="auto"/>
        </w:rPr>
      </w:pPr>
    </w:p>
    <w:p>
      <w:pPr>
        <w:ind w:right="659" w:firstLine="747"/>
        <w:spacing w:after="0" w:line="277" w:lineRule="auto"/>
        <w:rPr>
          <w:sz w:val="20"/>
          <w:szCs w:val="20"/>
          <w:color w:val="auto"/>
        </w:rPr>
      </w:pPr>
      <w:r>
        <w:rPr>
          <w:rFonts w:ascii="Arial" w:cs="Arial" w:eastAsia="Arial" w:hAnsi="Arial"/>
          <w:sz w:val="18"/>
          <w:szCs w:val="18"/>
          <w:color w:val="auto"/>
        </w:rPr>
        <w:t>Except for the executive officers discussed below, all other executive officers have held their current position with the Company for more than five years.</w:t>
      </w:r>
    </w:p>
    <w:p>
      <w:pPr>
        <w:spacing w:after="0" w:line="143" w:lineRule="exact"/>
        <w:rPr>
          <w:sz w:val="20"/>
          <w:szCs w:val="20"/>
          <w:color w:val="auto"/>
        </w:rPr>
      </w:pPr>
    </w:p>
    <w:p>
      <w:pPr>
        <w:ind w:right="839" w:firstLine="747"/>
        <w:spacing w:after="0" w:line="277" w:lineRule="auto"/>
        <w:rPr>
          <w:sz w:val="20"/>
          <w:szCs w:val="20"/>
          <w:color w:val="auto"/>
        </w:rPr>
      </w:pPr>
      <w:r>
        <w:rPr>
          <w:rFonts w:ascii="Arial" w:cs="Arial" w:eastAsia="Arial" w:hAnsi="Arial"/>
          <w:sz w:val="18"/>
          <w:szCs w:val="18"/>
          <w:color w:val="auto"/>
        </w:rPr>
        <w:t>Enoch Jen had previously served as Senior Vice President and Chief Financial Officer since April 2006 and as Vice President, Finance of the Company since February 1991.</w:t>
      </w:r>
    </w:p>
    <w:p>
      <w:pPr>
        <w:spacing w:after="0" w:line="130" w:lineRule="exact"/>
        <w:rPr>
          <w:sz w:val="20"/>
          <w:szCs w:val="20"/>
          <w:color w:val="auto"/>
        </w:rPr>
      </w:pPr>
    </w:p>
    <w:p>
      <w:pPr>
        <w:ind w:right="559" w:firstLine="747"/>
        <w:spacing w:after="0" w:line="279" w:lineRule="auto"/>
        <w:rPr>
          <w:sz w:val="20"/>
          <w:szCs w:val="20"/>
          <w:color w:val="auto"/>
        </w:rPr>
      </w:pPr>
      <w:r>
        <w:rPr>
          <w:rFonts w:ascii="Arial" w:cs="Arial" w:eastAsia="Arial" w:hAnsi="Arial"/>
          <w:sz w:val="17"/>
          <w:szCs w:val="17"/>
          <w:color w:val="auto"/>
        </w:rPr>
        <w:t>Mark Newton had previously served as Vice President, Purchasing and Advanced Technology since July 2007, as Vice President Purchasing and Photonics since July 2006, as Photonics Engineering Manager since July 2005 and joined the Company as Advanced Lighting Developer in August 2004. Prior to that time, Mr. Newton served as Vice President of Unity Microelectronics, Inc. since 2000. Mr. Newton became an executive officer of the Company on January 1, 2008.</w:t>
      </w:r>
    </w:p>
    <w:p>
      <w:pPr>
        <w:spacing w:after="0" w:line="131" w:lineRule="exact"/>
        <w:rPr>
          <w:sz w:val="20"/>
          <w:szCs w:val="20"/>
          <w:color w:val="auto"/>
        </w:rPr>
      </w:pPr>
    </w:p>
    <w:p>
      <w:pPr>
        <w:ind w:right="959" w:firstLine="747"/>
        <w:spacing w:after="0" w:line="264" w:lineRule="auto"/>
        <w:rPr>
          <w:sz w:val="20"/>
          <w:szCs w:val="20"/>
          <w:color w:val="auto"/>
        </w:rPr>
      </w:pPr>
      <w:r>
        <w:rPr>
          <w:rFonts w:ascii="Arial" w:cs="Arial" w:eastAsia="Arial" w:hAnsi="Arial"/>
          <w:sz w:val="18"/>
          <w:szCs w:val="18"/>
          <w:color w:val="auto"/>
        </w:rPr>
        <w:t>Steve Dykman had previously served as Treasurer and Director of Accounting and Finance of the Company since November 2002, as Controller of the Company since April 1995 and joined the Company as Finance and Tax Manager in November 1993.</w:t>
      </w:r>
    </w:p>
    <w:p>
      <w:pPr>
        <w:spacing w:after="0" w:line="200" w:lineRule="exact"/>
        <w:rPr>
          <w:sz w:val="20"/>
          <w:szCs w:val="20"/>
          <w:color w:val="auto"/>
        </w:rPr>
      </w:pPr>
    </w:p>
    <w:p>
      <w:pPr>
        <w:spacing w:after="0" w:line="34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9" w:name="page20"/>
    <w:bookmarkEnd w:id="19"/>
    <w:p>
      <w:pPr>
        <w:ind w:left="434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1139"/>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25" w:lineRule="exact"/>
        <w:rPr>
          <w:sz w:val="20"/>
          <w:szCs w:val="20"/>
          <w:color w:val="auto"/>
        </w:rPr>
      </w:pPr>
    </w:p>
    <w:p>
      <w:pPr>
        <w:ind w:right="639" w:firstLine="739"/>
        <w:spacing w:after="0" w:line="312" w:lineRule="auto"/>
        <w:tabs>
          <w:tab w:leader="none" w:pos="98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common stock trades on The Nasdaq Global Select Market</w:t>
      </w:r>
      <w:r>
        <w:rPr>
          <w:rFonts w:ascii="Arial" w:cs="Arial" w:eastAsia="Arial" w:hAnsi="Arial"/>
          <w:sz w:val="13"/>
          <w:szCs w:val="13"/>
          <w:color w:val="auto"/>
        </w:rPr>
        <w:t>®</w:t>
      </w:r>
      <w:r>
        <w:rPr>
          <w:rFonts w:ascii="Arial" w:cs="Arial" w:eastAsia="Arial" w:hAnsi="Arial"/>
          <w:sz w:val="16"/>
          <w:szCs w:val="16"/>
          <w:color w:val="auto"/>
        </w:rPr>
        <w:t>. As of February 10, 2009, there were 2,439 record-holders of the Company’s common stock. Ranges of high and low sale prices of the Company’s common stock reported through The Nasdaq Global Select Market for the past two fiscal years appear in the following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w:t>
            </w:r>
          </w:p>
        </w:tc>
        <w:tc>
          <w:tcPr>
            <w:tcW w:w="4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QUARTER</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HIGH</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LOW</w:t>
            </w:r>
          </w:p>
        </w:tc>
        <w:tc>
          <w:tcPr>
            <w:tcW w:w="80" w:type="dxa"/>
            <w:vAlign w:val="bottom"/>
          </w:tcPr>
          <w:p>
            <w:pPr>
              <w:spacing w:after="0"/>
              <w:rPr>
                <w:sz w:val="20"/>
                <w:szCs w:val="20"/>
                <w:color w:val="auto"/>
              </w:rPr>
            </w:pPr>
          </w:p>
        </w:tc>
      </w:tr>
      <w:tr>
        <w:trPr>
          <w:trHeight w:val="210"/>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First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w:t>
            </w:r>
          </w:p>
        </w:tc>
      </w:tr>
      <w:tr>
        <w:trPr>
          <w:trHeight w:val="432"/>
        </w:trPr>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16.23</w:t>
            </w:r>
          </w:p>
        </w:tc>
      </w:tr>
      <w:tr>
        <w:trPr>
          <w:trHeight w:val="216"/>
        </w:trPr>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18.78</w:t>
            </w:r>
          </w:p>
        </w:tc>
      </w:tr>
      <w:tr>
        <w:trPr>
          <w:trHeight w:val="432"/>
        </w:trPr>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Fourth</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22.60</w:t>
            </w:r>
          </w:p>
        </w:tc>
        <w:tc>
          <w:tcPr>
            <w:tcW w:w="1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16.99</w:t>
            </w:r>
          </w:p>
        </w:tc>
      </w:tr>
      <w:tr>
        <w:trPr>
          <w:trHeight w:val="216"/>
        </w:trPr>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First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w:t>
            </w:r>
          </w:p>
        </w:tc>
      </w:tr>
      <w:tr>
        <w:trPr>
          <w:trHeight w:val="432"/>
        </w:trPr>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Second</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19.47</w:t>
            </w:r>
          </w:p>
        </w:tc>
        <w:tc>
          <w:tcPr>
            <w:tcW w:w="1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14.40</w:t>
            </w:r>
          </w:p>
        </w:tc>
      </w:tr>
      <w:tr>
        <w:trPr>
          <w:trHeight w:val="216"/>
        </w:trPr>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13.27</w:t>
            </w:r>
          </w:p>
        </w:tc>
      </w:tr>
      <w:tr>
        <w:trPr>
          <w:trHeight w:val="432"/>
        </w:trPr>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Fourth</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r>
      <w:tr>
        <w:trPr>
          <w:trHeight w:val="392"/>
        </w:trPr>
        <w:tc>
          <w:tcPr>
            <w:tcW w:w="620" w:type="dxa"/>
            <w:vAlign w:val="bottom"/>
          </w:tcPr>
          <w:p>
            <w:pPr>
              <w:spacing w:after="0"/>
              <w:rPr>
                <w:sz w:val="24"/>
                <w:szCs w:val="24"/>
                <w:color w:val="auto"/>
              </w:rPr>
            </w:pPr>
          </w:p>
        </w:tc>
        <w:tc>
          <w:tcPr>
            <w:tcW w:w="6120" w:type="dxa"/>
            <w:vAlign w:val="bottom"/>
            <w:gridSpan w:val="3"/>
          </w:tcPr>
          <w:p>
            <w:pPr>
              <w:ind w:left="120"/>
              <w:spacing w:after="0"/>
              <w:rPr>
                <w:sz w:val="20"/>
                <w:szCs w:val="20"/>
                <w:color w:val="auto"/>
              </w:rPr>
            </w:pPr>
            <w:r>
              <w:rPr>
                <w:rFonts w:ascii="Arial" w:cs="Arial" w:eastAsia="Arial" w:hAnsi="Arial"/>
                <w:sz w:val="18"/>
                <w:szCs w:val="18"/>
                <w:color w:val="auto"/>
                <w:w w:val="97"/>
              </w:rPr>
              <w:t>See item 13 of Part III with respect to “Equity Compensation Plan Summary.”</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75" w:lineRule="exact"/>
        <w:rPr>
          <w:sz w:val="20"/>
          <w:szCs w:val="20"/>
          <w:color w:val="auto"/>
        </w:rPr>
      </w:pPr>
    </w:p>
    <w:p>
      <w:pPr>
        <w:ind w:right="579" w:firstLine="747"/>
        <w:spacing w:after="0" w:line="259" w:lineRule="auto"/>
        <w:rPr>
          <w:sz w:val="20"/>
          <w:szCs w:val="20"/>
          <w:color w:val="auto"/>
        </w:rPr>
      </w:pPr>
      <w:r>
        <w:rPr>
          <w:rFonts w:ascii="Arial" w:cs="Arial" w:eastAsia="Arial" w:hAnsi="Arial"/>
          <w:sz w:val="18"/>
          <w:szCs w:val="18"/>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2003, and reinvestment of dividends in all cases.</w:t>
      </w:r>
    </w:p>
    <w:p>
      <w:pPr>
        <w:spacing w:after="0" w:line="200" w:lineRule="exact"/>
        <w:rPr>
          <w:sz w:val="20"/>
          <w:szCs w:val="20"/>
          <w:color w:val="auto"/>
        </w:rPr>
      </w:pPr>
    </w:p>
    <w:p>
      <w:pPr>
        <w:spacing w:after="0" w:line="33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380365</wp:posOffset>
            </wp:positionH>
            <wp:positionV relativeFrom="page">
              <wp:posOffset>603250</wp:posOffset>
            </wp:positionV>
            <wp:extent cx="5900420" cy="23583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90042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59" w:firstLine="747"/>
        <w:spacing w:after="0" w:line="269" w:lineRule="auto"/>
        <w:rPr>
          <w:sz w:val="20"/>
          <w:szCs w:val="20"/>
          <w:color w:val="auto"/>
        </w:rPr>
      </w:pPr>
      <w:r>
        <w:rPr>
          <w:rFonts w:ascii="Arial" w:cs="Arial" w:eastAsia="Arial" w:hAnsi="Arial"/>
          <w:sz w:val="17"/>
          <w:szCs w:val="17"/>
          <w:color w:val="auto"/>
        </w:rPr>
        <w:t>In August 2003, the Company announced a change in the Company’s cash dividend policy and declared an initial quarterly cash dividend of $0.075 per share payable in October 2003. In August 2004, the Company’s Board of Directors approved an increase on the quarterly dividend rate of $0.085 per share. In August 2005, the Company’s Board of Directors approved a continuing resolution to pay a quarterly dividend of $0.09 per share until the Board takes other action with respect to the payment of dividends. In August 2006, the Company’s Board of Directors approved a continuing resolution to pay a quarterly dividend at an increased rate of $0.095 per share until the Board takes other action with respect to the payment of dividends. In August 2007, the Company’s Board of Directors approved a continuing resolution to pay a quarterly dividend at an increased rate of $0.105 per share until the Board takes other action with respect to the payment of dividends. In August 2008, the Company’s Board of Directors approved a continuing resolution to pay a quarterly dividend at an increased rate of $0.11 per share until the Board takes other action with respect to the payment of dividends. Based on current U.S. income tax laws, the Company intends to continue to pay a quarterly cash dividend and will consider future dividend rate adjustments based on the Company’s profitability, cash flow, liquidity and other business factors.</w:t>
      </w:r>
    </w:p>
    <w:p>
      <w:pPr>
        <w:spacing w:after="0" w:line="139" w:lineRule="exact"/>
        <w:rPr>
          <w:sz w:val="20"/>
          <w:szCs w:val="20"/>
          <w:color w:val="auto"/>
        </w:rPr>
      </w:pPr>
    </w:p>
    <w:p>
      <w:pPr>
        <w:ind w:left="1000" w:hanging="261"/>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4" w:lineRule="exact"/>
        <w:rPr>
          <w:rFonts w:ascii="Arial" w:cs="Arial" w:eastAsia="Arial" w:hAnsi="Arial"/>
          <w:sz w:val="18"/>
          <w:szCs w:val="18"/>
          <w:color w:val="auto"/>
        </w:rPr>
      </w:pPr>
    </w:p>
    <w:p>
      <w:pPr>
        <w:ind w:right="559" w:firstLine="739"/>
        <w:spacing w:after="0" w:line="268" w:lineRule="auto"/>
        <w:tabs>
          <w:tab w:leader="none" w:pos="991"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October 8, 2002, the Company announced a share repurchase plan, under which it may purchase up to 8,000,000 shares (post-split) based on a number of factors, including market and business conditions, the market price of the Company’s common stock, anti-dilutive effect on earnings, available cash and other factors that the Company deems appropriate. This share repurchase plan does not have an expiration date. During the quarter ended March 31, 2003, the Company repurchased 830,000 shares (post-split) at a cost of approximately $10,247,000. On July 20, 2005, the Company announced that it had raised the price at which the Company may repurchase shares under the existing plan. During the quarter ended September 30, 2005, the Company repurchased approximately 1,496,000 shares at a cost of approximately $25,215,000. On May 16, 2006, the Company announced that the Company’s Board of Directors had authorized the repurchase of an additional 8,000,000 shares under the plan. On August 14, 2006, the Company announced that the Company’s Board of Directors had authorized the repurchase of an additional 8,000,000 shares under the plan. During 2006, the Company repurchased approximately 15,206,000 shares at a cost of approximately $226,851,000. During 2007, the Company repurchased approximately 448,000 shares at a cost of approximately $7,328,000. On February 22, 2008, the Company announced that the Company’s Board of Directors had authorized the repurchase of an additional 4,000,000 shares under the plan. During 2008, the Company repurchased approximately 8,049,000 shares at a cost of approximately $111,260,000. Approximately 1,972,000 shares remain authorized to be repurchased under the plan.</w:t>
      </w: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4560" w:hanging="95"/>
        <w:spacing w:after="0"/>
        <w:tabs>
          <w:tab w:leader="none" w:pos="4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21" w:name="page22"/>
    <w:bookmarkEnd w:id="21"/>
    <w:p>
      <w:pPr>
        <w:ind w:left="1080"/>
        <w:spacing w:after="0"/>
        <w:rPr>
          <w:sz w:val="20"/>
          <w:szCs w:val="20"/>
          <w:color w:val="auto"/>
        </w:rPr>
      </w:pPr>
      <w:r>
        <w:rPr>
          <w:rFonts w:ascii="Arial" w:cs="Arial" w:eastAsia="Arial" w:hAnsi="Arial"/>
          <w:sz w:val="18"/>
          <w:szCs w:val="18"/>
          <w:color w:val="auto"/>
        </w:rPr>
        <w:t>The following is a summary of share repurchase activity during 2008:</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Total Number of</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Maximum Number</w:t>
            </w:r>
          </w:p>
        </w:tc>
      </w:t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Total Number</w:t>
            </w:r>
          </w:p>
        </w:tc>
        <w:tc>
          <w:tcPr>
            <w:tcW w:w="1280" w:type="dxa"/>
            <w:vAlign w:val="bottom"/>
            <w:gridSpan w:val="3"/>
          </w:tcPr>
          <w:p>
            <w:pPr>
              <w:spacing w:after="0"/>
              <w:rPr>
                <w:sz w:val="20"/>
                <w:szCs w:val="20"/>
                <w:color w:val="auto"/>
              </w:rPr>
            </w:pPr>
            <w:r>
              <w:rPr>
                <w:rFonts w:ascii="Arial" w:cs="Arial" w:eastAsia="Arial" w:hAnsi="Arial"/>
                <w:sz w:val="18"/>
                <w:szCs w:val="18"/>
                <w:color w:val="auto"/>
              </w:rPr>
              <w:t>Average Price</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Shares Purchased As of</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Shares That May Yet</w:t>
            </w:r>
          </w:p>
        </w:tc>
      </w:t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Of Shares</w:t>
            </w:r>
          </w:p>
        </w:tc>
        <w:tc>
          <w:tcPr>
            <w:tcW w:w="14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Paid Per</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Part of a Publicly</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Be Purchased Under</w:t>
            </w:r>
          </w:p>
        </w:tc>
      </w:tr>
      <w:tr>
        <w:trPr>
          <w:trHeight w:val="230"/>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3"/>
              </w:rPr>
              <w:t>Share</w:t>
            </w:r>
          </w:p>
        </w:tc>
        <w:tc>
          <w:tcPr>
            <w:tcW w:w="28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Announced Plan *</w:t>
            </w:r>
          </w:p>
        </w:tc>
        <w:tc>
          <w:tcPr>
            <w:tcW w:w="300" w:type="dxa"/>
            <w:vAlign w:val="bottom"/>
          </w:tcPr>
          <w:p>
            <w:pPr>
              <w:spacing w:after="0"/>
              <w:rPr>
                <w:sz w:val="20"/>
                <w:szCs w:val="20"/>
                <w:color w:val="auto"/>
              </w:rPr>
            </w:pPr>
          </w:p>
        </w:tc>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the Plan *</w:t>
            </w:r>
          </w:p>
        </w:tc>
        <w:tc>
          <w:tcPr>
            <w:tcW w:w="80" w:type="dxa"/>
            <w:vAlign w:val="bottom"/>
          </w:tcPr>
          <w:p>
            <w:pPr>
              <w:spacing w:after="0"/>
              <w:rPr>
                <w:sz w:val="20"/>
                <w:szCs w:val="20"/>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January 2008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84,700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15.69</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84,700</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5,935,847</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February 2008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1,326,313</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15.62</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1,326,313</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8,609,534</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March 2008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789,739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15.92</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789,739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7,819,795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April 2008</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7,819,795</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May 2008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7,819,795</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June 2008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1,203,560</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15.82</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1,203,560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6,616,235</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July 2008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550,015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15.44</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550,015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6,066,220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August 2008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1,481,346</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15.71</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1,481,346</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4,584,874</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September 2008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487,792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16.26</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487,792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4,097,082</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October 2008</w:t>
            </w: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675,021</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675,021</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3,422,061</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November 2008</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1,450,232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8.28</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1,450,232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1,971,829</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December 2008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1,971,829</w:t>
            </w: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8,048,718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13.82</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8,048,718</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680" w:right="1940" w:hanging="348"/>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above paragraph for data on which plan was announced, the total number of shares approved for repurchase under the plan, and the expiration date (if any) of the plan.</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quarterly share repurchase activity under the plan to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Total Number of</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Shares Purchased</w:t>
            </w:r>
          </w:p>
        </w:tc>
        <w:tc>
          <w:tcPr>
            <w:tcW w:w="2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Cost of</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Quarter Ended</w:t>
            </w:r>
          </w:p>
        </w:tc>
        <w:tc>
          <w:tcPr>
            <w:tcW w:w="3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(Post-Split)</w:t>
            </w:r>
          </w:p>
        </w:tc>
        <w:tc>
          <w:tcPr>
            <w:tcW w:w="34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89"/>
              </w:rPr>
              <w:t>Shares Purchased</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March 31, 2003</w:t>
            </w:r>
          </w:p>
        </w:tc>
        <w:tc>
          <w:tcPr>
            <w:tcW w:w="3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10,246,810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September 30, 2005</w:t>
            </w:r>
          </w:p>
        </w:tc>
        <w:tc>
          <w:tcPr>
            <w:tcW w:w="5020" w:type="dxa"/>
            <w:vAlign w:val="bottom"/>
            <w:gridSpan w:val="4"/>
          </w:tcPr>
          <w:p>
            <w:pPr>
              <w:jc w:val="right"/>
              <w:ind w:right="340"/>
              <w:spacing w:after="0"/>
              <w:rPr>
                <w:sz w:val="20"/>
                <w:szCs w:val="20"/>
                <w:color w:val="auto"/>
              </w:rPr>
            </w:pPr>
            <w:r>
              <w:rPr>
                <w:rFonts w:ascii="Arial" w:cs="Arial" w:eastAsia="Arial" w:hAnsi="Arial"/>
                <w:sz w:val="18"/>
                <w:szCs w:val="18"/>
                <w:color w:val="auto"/>
              </w:rPr>
              <w:t>1,496,059</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25,214,573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5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2,803,548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47,145,310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June 30, 2006</w:t>
            </w:r>
          </w:p>
        </w:tc>
        <w:tc>
          <w:tcPr>
            <w:tcW w:w="5020" w:type="dxa"/>
            <w:vAlign w:val="bottom"/>
            <w:gridSpan w:val="4"/>
          </w:tcPr>
          <w:p>
            <w:pPr>
              <w:jc w:val="right"/>
              <w:ind w:right="340"/>
              <w:spacing w:after="0"/>
              <w:rPr>
                <w:sz w:val="20"/>
                <w:szCs w:val="20"/>
                <w:color w:val="auto"/>
              </w:rPr>
            </w:pPr>
            <w:r>
              <w:rPr>
                <w:rFonts w:ascii="Arial" w:cs="Arial" w:eastAsia="Arial" w:hAnsi="Arial"/>
                <w:sz w:val="18"/>
                <w:szCs w:val="18"/>
                <w:color w:val="auto"/>
              </w:rPr>
              <w:t>7,201,081</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104,604,414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5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3,968,171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55,614,102</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December 31, 2006</w:t>
            </w:r>
          </w:p>
        </w:tc>
        <w:tc>
          <w:tcPr>
            <w:tcW w:w="5020" w:type="dxa"/>
            <w:vAlign w:val="bottom"/>
            <w:gridSpan w:val="4"/>
          </w:tcPr>
          <w:p>
            <w:pPr>
              <w:jc w:val="right"/>
              <w:ind w:right="340"/>
              <w:spacing w:after="0"/>
              <w:rPr>
                <w:sz w:val="20"/>
                <w:szCs w:val="20"/>
                <w:color w:val="auto"/>
              </w:rPr>
            </w:pPr>
            <w:r>
              <w:rPr>
                <w:rFonts w:ascii="Arial" w:cs="Arial" w:eastAsia="Arial" w:hAnsi="Arial"/>
                <w:sz w:val="18"/>
                <w:szCs w:val="18"/>
                <w:color w:val="auto"/>
              </w:rPr>
              <w:t>1,232,884</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19,487,427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5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447,710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7,328,015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March 31, 2008</w:t>
            </w:r>
          </w:p>
        </w:tc>
        <w:tc>
          <w:tcPr>
            <w:tcW w:w="5020" w:type="dxa"/>
            <w:vAlign w:val="bottom"/>
            <w:gridSpan w:val="4"/>
          </w:tcPr>
          <w:p>
            <w:pPr>
              <w:jc w:val="right"/>
              <w:ind w:right="340"/>
              <w:spacing w:after="0"/>
              <w:rPr>
                <w:sz w:val="20"/>
                <w:szCs w:val="20"/>
                <w:color w:val="auto"/>
              </w:rPr>
            </w:pPr>
            <w:r>
              <w:rPr>
                <w:rFonts w:ascii="Arial" w:cs="Arial" w:eastAsia="Arial" w:hAnsi="Arial"/>
                <w:sz w:val="18"/>
                <w:szCs w:val="18"/>
                <w:color w:val="auto"/>
              </w:rPr>
              <w:t>2,200,752</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34,619,490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5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1,203,560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19,043,775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September 30, 2008</w:t>
            </w:r>
          </w:p>
        </w:tc>
        <w:tc>
          <w:tcPr>
            <w:tcW w:w="5020" w:type="dxa"/>
            <w:vAlign w:val="bottom"/>
            <w:gridSpan w:val="4"/>
          </w:tcPr>
          <w:p>
            <w:pPr>
              <w:jc w:val="right"/>
              <w:ind w:right="340"/>
              <w:spacing w:after="0"/>
              <w:rPr>
                <w:sz w:val="20"/>
                <w:szCs w:val="20"/>
                <w:color w:val="auto"/>
              </w:rPr>
            </w:pPr>
            <w:r>
              <w:rPr>
                <w:rFonts w:ascii="Arial" w:cs="Arial" w:eastAsia="Arial" w:hAnsi="Arial"/>
                <w:sz w:val="18"/>
                <w:szCs w:val="18"/>
                <w:color w:val="auto"/>
              </w:rPr>
              <w:t>2,519,153</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39,689,410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50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2,125,253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17,907,128</w:t>
            </w:r>
          </w:p>
        </w:tc>
        <w:tc>
          <w:tcPr>
            <w:tcW w:w="176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26,028,171</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380,900,454</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782"/>
        </w:trPr>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160" w:type="dxa"/>
            <w:vAlign w:val="bottom"/>
          </w:tcPr>
          <w:p>
            <w:pPr>
              <w:jc w:val="right"/>
              <w:ind w:right="1170"/>
              <w:spacing w:after="0"/>
              <w:rPr>
                <w:sz w:val="20"/>
                <w:szCs w:val="20"/>
                <w:color w:val="auto"/>
              </w:rPr>
            </w:pPr>
            <w:r>
              <w:rPr>
                <w:rFonts w:ascii="Arial" w:cs="Arial" w:eastAsia="Arial" w:hAnsi="Arial"/>
                <w:sz w:val="18"/>
                <w:szCs w:val="18"/>
                <w:color w:val="auto"/>
              </w:rPr>
              <w:t>- 20 -</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tbl>
      <w:tblPr>
        <w:tblLayout w:type="fixed"/>
        <w:tblInd w:w="8"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8"/>
                <w:szCs w:val="18"/>
                <w:color w:val="auto"/>
                <w:w w:val="95"/>
              </w:rPr>
              <w:t>(in thousands, except per share data)</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3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8"/>
                <w:szCs w:val="18"/>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653,933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572,267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536,484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505,666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62,088</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122,130</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108,761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109,528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112,657</w:t>
            </w:r>
          </w:p>
        </w:tc>
      </w:tr>
      <w:tr>
        <w:trPr>
          <w:trHeight w:val="27"/>
        </w:trPr>
        <w:tc>
          <w:tcPr>
            <w:tcW w:w="3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0.72</w:t>
            </w: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Cash Dividends Declared per</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0.40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0.37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0.35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0.32</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763,103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898,023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785,028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922,646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856,859</w:t>
            </w: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Long-Term Debt Outstanding at Year</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080" w:type="dxa"/>
            <w:vAlign w:val="bottom"/>
          </w:tcPr>
          <w:p>
            <w:pPr>
              <w:ind w:left="200"/>
              <w:spacing w:after="0"/>
              <w:rPr>
                <w:sz w:val="20"/>
                <w:szCs w:val="20"/>
                <w:color w:val="auto"/>
              </w:rPr>
            </w:pPr>
            <w:r>
              <w:rPr>
                <w:rFonts w:ascii="Arial" w:cs="Arial" w:eastAsia="Arial" w:hAnsi="Arial"/>
                <w:sz w:val="18"/>
                <w:szCs w:val="18"/>
                <w:color w:val="auto"/>
              </w:rPr>
              <w:t>End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8" w:hanging="348"/>
        <w:spacing w:after="0"/>
        <w:tabs>
          <w:tab w:leader="none" w:pos="3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for 2-for-1 stock split in May 2005.</w:t>
      </w:r>
    </w:p>
    <w:p>
      <w:pPr>
        <w:spacing w:after="0" w:line="198" w:lineRule="exact"/>
        <w:rPr>
          <w:sz w:val="20"/>
          <w:szCs w:val="20"/>
          <w:color w:val="auto"/>
        </w:rPr>
      </w:pPr>
    </w:p>
    <w:p>
      <w:pPr>
        <w:ind w:left="8" w:right="739" w:firstLine="747"/>
        <w:spacing w:after="0" w:line="255" w:lineRule="auto"/>
        <w:rPr>
          <w:sz w:val="20"/>
          <w:szCs w:val="20"/>
          <w:color w:val="auto"/>
        </w:rPr>
      </w:pPr>
      <w:r>
        <w:rPr>
          <w:rFonts w:ascii="Arial" w:cs="Arial" w:eastAsia="Arial" w:hAnsi="Arial"/>
          <w:sz w:val="18"/>
          <w:szCs w:val="18"/>
          <w:color w:val="auto"/>
        </w:rPr>
        <w:t>Effective January 1, 2006, the Company adopted Statement of Financial Accounting Standards No. 123 (revised), “Share-Based Payment” [SFAS 123(R)] utilizing the modified prospective approach. Prior to the adoption of SFAS 123(R), we accounted for stock option grants under the recognition and measurement principles of APB Opinion No. 25 (Accounting for Stock Issued to Employees) and related interpretations, and accordingly, recognized no compensation expense for stock option grants in net income. Therefore, net income and earnings per share amounts reflect the impact of stock option compensation expense beginning in 2006.</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2" w:lineRule="exact"/>
        <w:rPr>
          <w:sz w:val="20"/>
          <w:szCs w:val="20"/>
          <w:color w:val="auto"/>
        </w:rPr>
      </w:pPr>
    </w:p>
    <w:p>
      <w:pPr>
        <w:jc w:val="both"/>
        <w:ind w:left="8" w:right="679" w:firstLine="747"/>
        <w:spacing w:after="0" w:line="264" w:lineRule="auto"/>
        <w:rPr>
          <w:sz w:val="20"/>
          <w:szCs w:val="20"/>
          <w:color w:val="auto"/>
        </w:rPr>
      </w:pPr>
      <w:r>
        <w:rPr>
          <w:rFonts w:ascii="Arial" w:cs="Arial" w:eastAsia="Arial" w:hAnsi="Arial"/>
          <w:sz w:val="18"/>
          <w:szCs w:val="18"/>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181"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gridSpan w:val="4"/>
          </w:tcPr>
          <w:p>
            <w:pPr>
              <w:jc w:val="center"/>
              <w:ind w:right="160"/>
              <w:spacing w:after="0"/>
              <w:rPr>
                <w:sz w:val="20"/>
                <w:szCs w:val="20"/>
                <w:color w:val="auto"/>
              </w:rPr>
            </w:pPr>
            <w:r>
              <w:rPr>
                <w:rFonts w:ascii="Arial" w:cs="Arial" w:eastAsia="Arial" w:hAnsi="Arial"/>
                <w:sz w:val="18"/>
                <w:szCs w:val="18"/>
                <w:color w:val="auto"/>
                <w:w w:val="88"/>
              </w:rPr>
              <w:t>Percentage of Net Sales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60" w:type="dxa"/>
            <w:vAlign w:val="bottom"/>
            <w:gridSpan w:val="4"/>
          </w:tcPr>
          <w:p>
            <w:pPr>
              <w:jc w:val="right"/>
              <w:ind w:right="62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09"/>
        </w:trPr>
        <w:tc>
          <w:tcPr>
            <w:tcW w:w="2900" w:type="dxa"/>
            <w:vAlign w:val="bottom"/>
          </w:tcPr>
          <w:p>
            <w:pPr>
              <w:spacing w:after="0"/>
              <w:rPr>
                <w:sz w:val="18"/>
                <w:szCs w:val="18"/>
                <w:color w:val="auto"/>
              </w:rPr>
            </w:pPr>
          </w:p>
        </w:tc>
        <w:tc>
          <w:tcPr>
            <w:tcW w:w="2820" w:type="dxa"/>
            <w:vAlign w:val="bottom"/>
            <w:tcBorders>
              <w:top w:val="single" w:sz="8" w:color="auto"/>
            </w:tcBorders>
            <w:gridSpan w:val="5"/>
            <w:vMerge w:val="restart"/>
          </w:tcPr>
          <w:p>
            <w:pPr>
              <w:jc w:val="center"/>
              <w:ind w:left="650"/>
              <w:spacing w:after="0"/>
              <w:rPr>
                <w:sz w:val="20"/>
                <w:szCs w:val="20"/>
                <w:color w:val="auto"/>
              </w:rPr>
            </w:pPr>
            <w:r>
              <w:rPr>
                <w:rFonts w:ascii="Arial" w:cs="Arial" w:eastAsia="Arial" w:hAnsi="Arial"/>
                <w:sz w:val="18"/>
                <w:szCs w:val="18"/>
                <w:color w:val="auto"/>
                <w:w w:val="88"/>
              </w:rPr>
              <w:t>Year Ended December 31,</w:t>
            </w: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00" w:type="dxa"/>
            <w:vAlign w:val="bottom"/>
          </w:tcPr>
          <w:p>
            <w:pPr>
              <w:spacing w:after="0"/>
              <w:rPr>
                <w:sz w:val="18"/>
                <w:szCs w:val="18"/>
                <w:color w:val="auto"/>
              </w:rPr>
            </w:pPr>
          </w:p>
        </w:tc>
        <w:tc>
          <w:tcPr>
            <w:tcW w:w="2820" w:type="dxa"/>
            <w:vAlign w:val="bottom"/>
            <w:tcBorders>
              <w:bottom w:val="single" w:sz="8" w:color="auto"/>
            </w:tcBorders>
            <w:gridSpan w:val="5"/>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to</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to</w:t>
            </w: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42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8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Cost of Goods Sold</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67.4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65.2</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65.2</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3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32.6</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34.8</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Engineering, Research and</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Development</w:t>
            </w:r>
          </w:p>
        </w:tc>
        <w:tc>
          <w:tcPr>
            <w:tcW w:w="13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8.3</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400"/>
              <w:spacing w:after="0"/>
              <w:rPr>
                <w:sz w:val="20"/>
                <w:szCs w:val="20"/>
                <w:color w:val="auto"/>
              </w:rPr>
            </w:pPr>
            <w:r>
              <w:rPr>
                <w:rFonts w:ascii="Arial" w:cs="Arial" w:eastAsia="Arial" w:hAnsi="Arial"/>
                <w:sz w:val="18"/>
                <w:szCs w:val="18"/>
                <w:color w:val="auto"/>
              </w:rPr>
              <w:t>Administrative</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6.8</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20.2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Judgment</w:t>
            </w:r>
          </w:p>
        </w:tc>
        <w:tc>
          <w:tcPr>
            <w:tcW w:w="13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9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17.5</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Other Income/(Expense)</w:t>
            </w:r>
          </w:p>
        </w:tc>
        <w:tc>
          <w:tcPr>
            <w:tcW w:w="1340" w:type="dxa"/>
            <w:vAlign w:val="bottom"/>
            <w:gridSpan w:val="2"/>
          </w:tcPr>
          <w:p>
            <w:pPr>
              <w:jc w:val="right"/>
              <w:ind w:right="290"/>
              <w:spacing w:after="0"/>
              <w:rPr>
                <w:sz w:val="20"/>
                <w:szCs w:val="20"/>
                <w:color w:val="auto"/>
              </w:rPr>
            </w:pPr>
            <w:r>
              <w:rPr>
                <w:rFonts w:ascii="Arial" w:cs="Arial" w:eastAsia="Arial" w:hAnsi="Arial"/>
                <w:sz w:val="18"/>
                <w:szCs w:val="18"/>
                <w:color w:val="auto"/>
              </w:rPr>
              <w:t>(2.7)</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(140.6)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2"/>
        </w:trPr>
        <w:tc>
          <w:tcPr>
            <w:tcW w:w="2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Before Provision for</w:t>
            </w: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3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14.8</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27.8</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gridSpan w:val="2"/>
          </w:tcPr>
          <w:p>
            <w:pPr>
              <w:jc w:val="right"/>
              <w:ind w:right="350"/>
              <w:spacing w:after="0"/>
              <w:rPr>
                <w:sz w:val="20"/>
                <w:szCs w:val="20"/>
                <w:color w:val="auto"/>
              </w:rPr>
            </w:pPr>
            <w:r>
              <w:rPr>
                <w:rFonts w:ascii="Arial" w:cs="Arial" w:eastAsia="Arial" w:hAnsi="Arial"/>
                <w:sz w:val="18"/>
                <w:szCs w:val="18"/>
                <w:color w:val="auto"/>
              </w:rPr>
              <w:t>4.8</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(47.7)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Results of Operations: 2008 to 2007</w:t>
      </w:r>
    </w:p>
    <w:p>
      <w:pPr>
        <w:spacing w:after="0" w:line="189" w:lineRule="exact"/>
        <w:rPr>
          <w:sz w:val="20"/>
          <w:szCs w:val="20"/>
          <w:color w:val="auto"/>
        </w:rPr>
      </w:pPr>
    </w:p>
    <w:p>
      <w:pPr>
        <w:ind w:left="8" w:right="579" w:firstLine="373"/>
        <w:spacing w:after="0" w:line="254"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net sales decreased by $30,133,000, or 5% compared to the prior year. Automotive net sales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5% on a 5% decrease in auto-dimming mirror shipments, from 15,221,000 to 14,389,000 units, primarily reflecting decreased unit shipments of auto-dimming mirrors to the traditional Big Three automakers, partially offset by increased unit shipments to European and Asian automakers. North American auto-dimming unit shipments decreased by 19%, primarily as a result of significantly lower light vehicle production at the traditional Big Three automakers. Overseas mirror unit shipments increased by 5% during 2008 due to increased penetration of interior and exterior auto-dimming mirrors at certain European and Asian automakers. Net sales of the Company’s fire protection products decreased 7%, primarily due to a weak commercial construction market.</w:t>
      </w:r>
    </w:p>
    <w:p>
      <w:pPr>
        <w:spacing w:after="0" w:line="200" w:lineRule="exact"/>
        <w:rPr>
          <w:sz w:val="20"/>
          <w:szCs w:val="20"/>
          <w:color w:val="auto"/>
        </w:rPr>
      </w:pPr>
    </w:p>
    <w:p>
      <w:pPr>
        <w:spacing w:after="0" w:line="357"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099" w:gutter="0" w:footer="0" w:header="0"/>
        </w:sectPr>
      </w:pPr>
    </w:p>
    <w:bookmarkStart w:id="23" w:name="page24"/>
    <w:bookmarkEnd w:id="23"/>
    <w:p>
      <w:pPr>
        <w:ind w:right="579" w:firstLine="373"/>
        <w:spacing w:after="0" w:line="259"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from 65% to 67%, primarily reflecting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annual automotive customer price reductions and the inability to leverage the Company’s fixed overhead costs, partially offset by purchasing cost reductions and foreign exchange rates. Each factor is estimated to have impacted cost of goods sold by approximately 1-2%.</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i w:val="1"/>
          <w:iCs w:val="1"/>
          <w:u w:val="single" w:color="auto"/>
          <w:color w:val="auto"/>
        </w:rPr>
        <w:t>Operating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research and development expenses increased approximately $1,174,000, but remained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8% of net sales. Excluding litigation expenses of $104,000 and the litigation judgment accrual reversal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$335,000 in 2008, and excluding litigation expenses of approximately $4,788,000 in 2007, E, R &amp; D expenses increased 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over year, primarily due to additional staffing for new electronic product development, including SmartBeam, Rear Camera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Display and telematics, and new vehicle programs.</w:t>
      </w:r>
    </w:p>
    <w:p>
      <w:pPr>
        <w:spacing w:after="0" w:line="170" w:lineRule="exact"/>
        <w:rPr>
          <w:sz w:val="20"/>
          <w:szCs w:val="20"/>
          <w:color w:val="auto"/>
        </w:rPr>
      </w:pPr>
    </w:p>
    <w:p>
      <w:pPr>
        <w:jc w:val="both"/>
        <w:ind w:right="639" w:firstLine="373"/>
        <w:spacing w:after="0" w:line="297" w:lineRule="auto"/>
        <w:rPr>
          <w:sz w:val="20"/>
          <w:szCs w:val="20"/>
          <w:color w:val="auto"/>
        </w:rPr>
      </w:pPr>
      <w:r>
        <w:rPr>
          <w:rFonts w:ascii="Arial" w:cs="Arial" w:eastAsia="Arial" w:hAnsi="Arial"/>
          <w:sz w:val="16"/>
          <w:szCs w:val="16"/>
          <w:color w:val="auto"/>
        </w:rPr>
        <w:t>Selling, general and administrative expenses increased 20% and approximately $7,144,000, and increased from 5% to 7% of net sales. Excluding an increase in the allowance for doubtful accounts of $3,800,000 in the fourth quarter of 2008, S, G &amp; A expenses increased by 10% year over year, primarily reflecting the continued expansion of the Company’s overseas sales offices to support the Company’s current and future overseas sales growth. The increase in the allowance for doubtful accounts related to certain financially distressed Tier 1 automotive customers with balances considered uncollectible as of December 31, 2008.</w:t>
      </w:r>
    </w:p>
    <w:p>
      <w:pPr>
        <w:spacing w:after="0" w:line="118" w:lineRule="exact"/>
        <w:rPr>
          <w:sz w:val="20"/>
          <w:szCs w:val="20"/>
          <w:color w:val="auto"/>
        </w:rPr>
      </w:pPr>
    </w:p>
    <w:p>
      <w:pPr>
        <w:ind w:right="599" w:firstLine="373"/>
        <w:spacing w:after="0" w:line="297" w:lineRule="auto"/>
        <w:rPr>
          <w:sz w:val="20"/>
          <w:szCs w:val="20"/>
          <w:color w:val="auto"/>
        </w:rPr>
      </w:pPr>
      <w:r>
        <w:rPr>
          <w:rFonts w:ascii="Arial" w:cs="Arial" w:eastAsia="Arial" w:hAnsi="Arial"/>
          <w:sz w:val="16"/>
          <w:szCs w:val="16"/>
          <w:color w:val="auto"/>
        </w:rPr>
        <w:t>Litigation judgment expense of $2,885,000 during 2007 related to the Company’s litigation with K.W. Muth and Muth Mirror Systems LLC (“Muth”) relating to exterior mirrors with turn signal indicators. On February 15, 2008, the Company entered into a Settlement And Release And Covenants Not To Sue (“Agreement”) with Muth whereby the parties agreed to settle the Court’s judgment against Gentex for damages at a reduced amount of $2,550,000. The adjustment to the original judgment for damages was reflected in our financial results as an adjustment to E, R &amp; D expense in 2008 (see above for more details).</w:t>
      </w:r>
    </w:p>
    <w:p>
      <w:pPr>
        <w:spacing w:after="0" w:line="131" w:lineRule="exact"/>
        <w:rPr>
          <w:sz w:val="20"/>
          <w:szCs w:val="20"/>
          <w:color w:val="auto"/>
        </w:rPr>
      </w:pPr>
    </w:p>
    <w:p>
      <w:pPr>
        <w:ind w:right="1019" w:firstLine="373"/>
        <w:spacing w:after="0" w:line="264" w:lineRule="auto"/>
        <w:rPr>
          <w:sz w:val="20"/>
          <w:szCs w:val="20"/>
          <w:color w:val="auto"/>
        </w:rPr>
      </w:pPr>
      <w:r>
        <w:rPr>
          <w:rFonts w:ascii="Arial" w:cs="Arial" w:eastAsia="Arial" w:hAnsi="Arial"/>
          <w:sz w:val="18"/>
          <w:szCs w:val="18"/>
          <w:i w:val="1"/>
          <w:iCs w:val="1"/>
          <w:u w:val="single" w:color="auto"/>
          <w:color w:val="auto"/>
        </w:rPr>
        <w:t>Other Income/(Expense).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decreased $12,177,000 in 2008, primarily due to lower interest rates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year-end mutual fund distribution income. Lower year-end mutual fund distribution income accounted for approximately $5.4 million of the year-over-year decrease.</w:t>
      </w:r>
    </w:p>
    <w:p>
      <w:pPr>
        <w:spacing w:after="0" w:line="141" w:lineRule="exact"/>
        <w:rPr>
          <w:sz w:val="20"/>
          <w:szCs w:val="20"/>
          <w:color w:val="auto"/>
        </w:rPr>
      </w:pPr>
    </w:p>
    <w:p>
      <w:pPr>
        <w:ind w:right="1259" w:firstLine="373"/>
        <w:spacing w:after="0" w:line="342" w:lineRule="auto"/>
        <w:rPr>
          <w:sz w:val="20"/>
          <w:szCs w:val="20"/>
          <w:color w:val="auto"/>
        </w:rPr>
      </w:pPr>
      <w:r>
        <w:rPr>
          <w:rFonts w:ascii="Arial" w:cs="Arial" w:eastAsia="Arial" w:hAnsi="Arial"/>
          <w:sz w:val="16"/>
          <w:szCs w:val="16"/>
          <w:color w:val="auto"/>
        </w:rPr>
        <w:t>A non-cash charge for other-than-temporary impairment losses on available-for-sale securities of $17,910,000 was recognized in 2008 due to unrealized losses on equity investments (refer to investment footnote for additional details).</w:t>
      </w:r>
    </w:p>
    <w:p>
      <w:pPr>
        <w:spacing w:after="0" w:line="83" w:lineRule="exact"/>
        <w:rPr>
          <w:sz w:val="20"/>
          <w:szCs w:val="20"/>
          <w:color w:val="auto"/>
        </w:rPr>
      </w:pPr>
    </w:p>
    <w:p>
      <w:pPr>
        <w:ind w:right="1199" w:firstLine="373"/>
        <w:spacing w:after="0" w:line="277" w:lineRule="auto"/>
        <w:rPr>
          <w:sz w:val="20"/>
          <w:szCs w:val="20"/>
          <w:color w:val="auto"/>
        </w:rPr>
      </w:pPr>
      <w:r>
        <w:rPr>
          <w:rFonts w:ascii="Arial" w:cs="Arial" w:eastAsia="Arial" w:hAnsi="Arial"/>
          <w:sz w:val="18"/>
          <w:szCs w:val="18"/>
          <w:color w:val="auto"/>
        </w:rPr>
        <w:t>Other-net decreased $27,454,000 in 2008, primarily due to realized losses on the sale of equity investments in 2008 compared to realized gains on the sale of equity investments in 2007.</w:t>
      </w:r>
    </w:p>
    <w:p>
      <w:pPr>
        <w:spacing w:after="0" w:line="143" w:lineRule="exact"/>
        <w:rPr>
          <w:sz w:val="20"/>
          <w:szCs w:val="20"/>
          <w:color w:val="auto"/>
        </w:rPr>
      </w:pPr>
    </w:p>
    <w:p>
      <w:pPr>
        <w:ind w:right="1319" w:firstLine="373"/>
        <w:spacing w:after="0" w:line="277"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 for federal income taxes varied from the statutory rate in 2008 primarily due to the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deduction and tax exempt interest income.</w:t>
      </w:r>
    </w:p>
    <w:p>
      <w:pPr>
        <w:spacing w:after="0" w:line="130" w:lineRule="exact"/>
        <w:rPr>
          <w:sz w:val="20"/>
          <w:szCs w:val="20"/>
          <w:color w:val="auto"/>
        </w:rPr>
      </w:pPr>
    </w:p>
    <w:p>
      <w:pPr>
        <w:ind w:right="1019" w:firstLine="373"/>
        <w:spacing w:after="0" w:line="277"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decreased by $60,042,000, or 49% year over year, primarily due to the decrease in total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(expense) and the reduced operating margin.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2007 to 2006</w:t>
      </w:r>
    </w:p>
    <w:p>
      <w:pPr>
        <w:spacing w:after="0" w:line="202" w:lineRule="exact"/>
        <w:rPr>
          <w:sz w:val="20"/>
          <w:szCs w:val="20"/>
          <w:color w:val="auto"/>
        </w:rPr>
      </w:pPr>
    </w:p>
    <w:p>
      <w:pPr>
        <w:ind w:right="599" w:firstLine="373"/>
        <w:spacing w:after="0" w:line="291"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net sales increased by $81,666,000, or 14% compared to the prior year. Automotive net sales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15% on a 13% increase in auto-dimming mirror shipments, from 13,427,000 to 15,221,000 units, primarily reflecting increased penetration of interior auto-dimming mirrors with additional electronic content. North American mirror unit shipments increased by 10%, despite a 2% decline in North American automotive industry production levels, primarily due to increased penetration of interior auto-dimming mirrors for certain Big Three automakers as well as Asian transplant automakers. Overseas mirror unit shipments increased by 16% during 2007 due to increased penetration of interior and exterior auto-dimming mirrors at certain European and Asian automakers. Net sales of the Company’s fire protection products were flat.</w:t>
      </w:r>
    </w:p>
    <w:p>
      <w:pPr>
        <w:spacing w:after="0" w:line="127" w:lineRule="exact"/>
        <w:rPr>
          <w:sz w:val="20"/>
          <w:szCs w:val="20"/>
          <w:color w:val="auto"/>
        </w:rPr>
      </w:pPr>
    </w:p>
    <w:p>
      <w:pPr>
        <w:ind w:right="619" w:firstLine="373"/>
        <w:spacing w:after="0" w:line="259"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remained at 65.2% primarily reflecting purchasing cost</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reductions, the higher sales level leveraged over the fixed overhead costs and improved manufacturing yields, offset by annual and other automotive customer price reductions. Each factor is estimated to have impacted cost of goods sold by approximately 1-2%.</w:t>
      </w: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4" w:name="page25"/>
    <w:bookmarkEnd w:id="24"/>
    <w:p>
      <w:pPr>
        <w:ind w:right="639" w:firstLine="373"/>
        <w:spacing w:after="0" w:line="279" w:lineRule="auto"/>
        <w:rPr>
          <w:sz w:val="20"/>
          <w:szCs w:val="20"/>
          <w:color w:val="auto"/>
        </w:rPr>
      </w:pPr>
      <w:r>
        <w:rPr>
          <w:rFonts w:ascii="Arial" w:cs="Arial" w:eastAsia="Arial" w:hAnsi="Arial"/>
          <w:sz w:val="17"/>
          <w:szCs w:val="17"/>
          <w:i w:val="1"/>
          <w:iCs w:val="1"/>
          <w:u w:val="single" w:color="auto"/>
          <w:color w:val="auto"/>
        </w:rPr>
        <w:t>Operating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research and development expenses increased approximately $8,941,000, and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from 7% to 8% of net sales. Excluding Muth litigation expense of $4,788,000 and $1,008,000 in 2007 and 2006, respectively, E, R &amp; D expenses increased 13% year over year, primarily due to additional staffing for new electronic product development, including SmartBeam, Rear Camera Display and telematics, and new vehicle programs.</w:t>
      </w:r>
    </w:p>
    <w:p>
      <w:pPr>
        <w:spacing w:after="0" w:line="144" w:lineRule="exact"/>
        <w:rPr>
          <w:sz w:val="20"/>
          <w:szCs w:val="20"/>
          <w:color w:val="auto"/>
        </w:rPr>
      </w:pPr>
    </w:p>
    <w:p>
      <w:pPr>
        <w:jc w:val="both"/>
        <w:ind w:right="699" w:firstLine="373"/>
        <w:spacing w:after="0" w:line="312" w:lineRule="auto"/>
        <w:rPr>
          <w:sz w:val="20"/>
          <w:szCs w:val="20"/>
          <w:color w:val="auto"/>
        </w:rPr>
      </w:pPr>
      <w:r>
        <w:rPr>
          <w:rFonts w:ascii="Arial" w:cs="Arial" w:eastAsia="Arial" w:hAnsi="Arial"/>
          <w:sz w:val="16"/>
          <w:szCs w:val="16"/>
          <w:color w:val="auto"/>
        </w:rPr>
        <w:t>Selling, general and administrative expenses increased approximately $4,398,000, but remained at 5% of net sales. S, G &amp; A expenses increased by 14%, primarily reflecting the continued expansion of the Company’s overseas sales offices to support the Company’s current and future overseas sales growth, partially offset by a reduction in non-income based state taxes.</w:t>
      </w:r>
    </w:p>
    <w:p>
      <w:pPr>
        <w:spacing w:after="0" w:line="106" w:lineRule="exact"/>
        <w:rPr>
          <w:sz w:val="20"/>
          <w:szCs w:val="20"/>
          <w:color w:val="auto"/>
        </w:rPr>
      </w:pPr>
    </w:p>
    <w:p>
      <w:pPr>
        <w:ind w:right="659" w:firstLine="373"/>
        <w:spacing w:after="0" w:line="289" w:lineRule="auto"/>
        <w:rPr>
          <w:sz w:val="20"/>
          <w:szCs w:val="20"/>
          <w:color w:val="auto"/>
        </w:rPr>
      </w:pPr>
      <w:r>
        <w:rPr>
          <w:rFonts w:ascii="Arial" w:cs="Arial" w:eastAsia="Arial" w:hAnsi="Arial"/>
          <w:sz w:val="16"/>
          <w:szCs w:val="16"/>
          <w:color w:val="auto"/>
        </w:rPr>
        <w:t>Litigation judgment expense of $2,885,000 during 2007 related to the Company’s litigation with K.W. Muth and Muth Mirror Systems LLC (“Muth”) relating to exterior mirrors with turn signal indicators. The turn signal feature in exterior mirrors currently represents approximately one percent of our revenues, and the litigation does not involve core Gentex technology. The trial in Wisconsin related to this case occurred during July 2007 and the Court issued its written ruling in December 2007. The Court found that Muth’s U.S. patent No. 6,005,724 is invalid and unenforceable, and that Gentex’s Razor Turn Signal Mirror does not infringe that patent. The Court also denied all but one of Muth’s other motions with prejudice, including its motion for an injunction, and its claims for tortuous interference with its business relationships. The sole point of liability for Gentex was that the Court found that Gentex breached one provision of the alliance agreement it has with Muth, and entered a judgment against Gentex, on January 24, 2008, granting Muth damages in the amount of $2,885,000.</w:t>
      </w:r>
    </w:p>
    <w:p>
      <w:pPr>
        <w:spacing w:after="0" w:line="126" w:lineRule="exact"/>
        <w:rPr>
          <w:sz w:val="20"/>
          <w:szCs w:val="20"/>
          <w:color w:val="auto"/>
        </w:rPr>
      </w:pPr>
    </w:p>
    <w:p>
      <w:pPr>
        <w:ind w:right="559" w:firstLine="373"/>
        <w:spacing w:after="0" w:line="291" w:lineRule="auto"/>
        <w:rPr>
          <w:sz w:val="20"/>
          <w:szCs w:val="20"/>
          <w:color w:val="auto"/>
        </w:rPr>
      </w:pPr>
      <w:r>
        <w:rPr>
          <w:rFonts w:ascii="Arial" w:cs="Arial" w:eastAsia="Arial" w:hAnsi="Arial"/>
          <w:sz w:val="16"/>
          <w:szCs w:val="16"/>
          <w:color w:val="auto"/>
        </w:rPr>
        <w:t>On February 15, 2008, the Company entered into a Settlement And Release And Covenants Not To Sue (“Agreement”) with Muth whereby the parties agreed to settle the Court’s judgment against Gentex for damages at a reduced amount of $2,550,000. In addition, under the Agreement the parties each agreed to: grant the other party a ten-year covenant not to sue for each Company’s core business, to release each other from all claims that occurred in the past, and not appeal the Court’s rulings. This Agreement is subject to Bankruptcy Court approval. The adjustment to the original judgment for damages (the amount of which is set forth in the preceding paragraph) will be reflected in our financial results after the Court approves the Agreement. Due to the immaterial nature of the reduced judgment for damages, the financial statement footnotes do not address this change.</w:t>
      </w:r>
    </w:p>
    <w:p>
      <w:pPr>
        <w:spacing w:after="0" w:line="140" w:lineRule="exact"/>
        <w:rPr>
          <w:sz w:val="20"/>
          <w:szCs w:val="20"/>
          <w:color w:val="auto"/>
        </w:rPr>
      </w:pPr>
    </w:p>
    <w:p>
      <w:pPr>
        <w:ind w:right="899" w:firstLine="373"/>
        <w:spacing w:after="0" w:line="264" w:lineRule="auto"/>
        <w:rPr>
          <w:sz w:val="20"/>
          <w:szCs w:val="20"/>
          <w:color w:val="auto"/>
        </w:rPr>
      </w:pPr>
      <w:r>
        <w:rPr>
          <w:rFonts w:ascii="Arial" w:cs="Arial" w:eastAsia="Arial" w:hAnsi="Arial"/>
          <w:sz w:val="18"/>
          <w:szCs w:val="18"/>
          <w:i w:val="1"/>
          <w:iCs w:val="1"/>
          <w:u w:val="single" w:color="auto"/>
          <w:color w:val="auto"/>
        </w:rPr>
        <w:t>Other Income – Net.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increased $1,773,000 in 2007, primarily due to increased year-end mutual fund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income. Other income increased $6,624,000 in 2007, primarily due to realized gains on the sale of equity investments.</w:t>
      </w:r>
    </w:p>
    <w:p>
      <w:pPr>
        <w:spacing w:after="0" w:line="141" w:lineRule="exact"/>
        <w:rPr>
          <w:sz w:val="20"/>
          <w:szCs w:val="20"/>
          <w:color w:val="auto"/>
        </w:rPr>
      </w:pPr>
    </w:p>
    <w:p>
      <w:pPr>
        <w:ind w:right="1319" w:firstLine="373"/>
        <w:spacing w:after="0" w:line="277" w:lineRule="auto"/>
        <w:rPr>
          <w:sz w:val="20"/>
          <w:szCs w:val="20"/>
          <w:color w:val="auto"/>
        </w:rPr>
      </w:pPr>
      <w:r>
        <w:rPr>
          <w:rFonts w:ascii="Arial" w:cs="Arial" w:eastAsia="Arial" w:hAnsi="Arial"/>
          <w:sz w:val="18"/>
          <w:szCs w:val="18"/>
          <w:i w:val="1"/>
          <w:iCs w:val="1"/>
          <w:u w:val="single" w:color="auto"/>
          <w:color w:val="auto"/>
        </w:rPr>
        <w:t>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 for federal income taxes varied from the statutory rate in 2007 primarily due to the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deduction and stock option expense tax benefit.</w:t>
      </w:r>
    </w:p>
    <w:p>
      <w:pPr>
        <w:spacing w:after="0" w:line="130" w:lineRule="exact"/>
        <w:rPr>
          <w:sz w:val="20"/>
          <w:szCs w:val="20"/>
          <w:color w:val="auto"/>
        </w:rPr>
      </w:pPr>
    </w:p>
    <w:p>
      <w:pPr>
        <w:ind w:right="659" w:firstLine="373"/>
        <w:spacing w:after="0" w:line="277"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increased by $13,369,000, or 12% year over year, primarily due to increased sales and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other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89" w:lineRule="exact"/>
        <w:rPr>
          <w:sz w:val="20"/>
          <w:szCs w:val="20"/>
          <w:color w:val="auto"/>
        </w:rPr>
      </w:pPr>
    </w:p>
    <w:p>
      <w:pPr>
        <w:ind w:right="559" w:firstLine="747"/>
        <w:spacing w:after="0" w:line="277" w:lineRule="auto"/>
        <w:rPr>
          <w:sz w:val="20"/>
          <w:szCs w:val="20"/>
          <w:color w:val="auto"/>
        </w:rPr>
      </w:pPr>
      <w:r>
        <w:rPr>
          <w:rFonts w:ascii="Arial" w:cs="Arial" w:eastAsia="Arial" w:hAnsi="Arial"/>
          <w:sz w:val="18"/>
          <w:szCs w:val="18"/>
          <w:color w:val="auto"/>
        </w:rPr>
        <w:t>The Company’s financial condition throughout the periods presented has remained very strong, in spite of deteriorating general economic conditions and conditions in our primary industry.</w:t>
      </w:r>
    </w:p>
    <w:p>
      <w:pPr>
        <w:spacing w:after="0" w:line="130" w:lineRule="exact"/>
        <w:rPr>
          <w:sz w:val="20"/>
          <w:szCs w:val="20"/>
          <w:color w:val="auto"/>
        </w:rPr>
      </w:pPr>
    </w:p>
    <w:p>
      <w:pPr>
        <w:ind w:right="719" w:firstLine="747"/>
        <w:spacing w:after="0" w:line="277" w:lineRule="auto"/>
        <w:rPr>
          <w:sz w:val="20"/>
          <w:szCs w:val="20"/>
          <w:color w:val="auto"/>
        </w:rPr>
      </w:pPr>
      <w:r>
        <w:rPr>
          <w:rFonts w:ascii="Arial" w:cs="Arial" w:eastAsia="Arial" w:hAnsi="Arial"/>
          <w:sz w:val="18"/>
          <w:szCs w:val="18"/>
          <w:color w:val="auto"/>
        </w:rPr>
        <w:t>The Company’s current ratio increased from 7.7 as of December 31, 2007, to 9.2 as of December 31, 2008, primarily as a result of the decrease in accounts payable and accrued liabilities.</w:t>
      </w:r>
    </w:p>
    <w:p>
      <w:pPr>
        <w:spacing w:after="0" w:line="143" w:lineRule="exact"/>
        <w:rPr>
          <w:sz w:val="20"/>
          <w:szCs w:val="20"/>
          <w:color w:val="auto"/>
        </w:rPr>
      </w:pPr>
    </w:p>
    <w:p>
      <w:pPr>
        <w:ind w:right="719" w:firstLine="747"/>
        <w:spacing w:after="0" w:line="271" w:lineRule="auto"/>
        <w:rPr>
          <w:sz w:val="20"/>
          <w:szCs w:val="20"/>
          <w:color w:val="auto"/>
        </w:rPr>
      </w:pPr>
      <w:r>
        <w:rPr>
          <w:rFonts w:ascii="Arial" w:cs="Arial" w:eastAsia="Arial" w:hAnsi="Arial"/>
          <w:sz w:val="17"/>
          <w:szCs w:val="17"/>
          <w:color w:val="auto"/>
        </w:rPr>
        <w:t>Cash flow from operating activities for the year ended December 31, 2008, decreased $28,088,000 to $120,632,000, compared to $148,721,000 for the same period last year, primarily due to decreased net income, accounts payable and accrued liabilities, partially offset by a decrease in accounts receivable and changes in non-cash items. Capital expenditures for the year ended December 31, 2008, decreased to $45,524,000, compared to $54,524,000 for the same period last year, primarily due to the completion of the new building expansion to its automotive exterior mirror manufacturing facility in January 2008 and reduced production equipment purchases during 2008 given current market conditions. The Company currently anticipates capital expenditures of approximately $30-35 million for equipment during 2009, to be financed from existing cash and/or cash equivalents on hand.</w:t>
      </w: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5" w:name="page26"/>
    <w:bookmarkEnd w:id="25"/>
    <w:p>
      <w:pPr>
        <w:ind w:right="579" w:firstLine="747"/>
        <w:spacing w:after="0" w:line="342" w:lineRule="auto"/>
        <w:rPr>
          <w:sz w:val="20"/>
          <w:szCs w:val="20"/>
          <w:color w:val="auto"/>
        </w:rPr>
      </w:pPr>
      <w:r>
        <w:rPr>
          <w:rFonts w:ascii="Arial" w:cs="Arial" w:eastAsia="Arial" w:hAnsi="Arial"/>
          <w:sz w:val="16"/>
          <w:szCs w:val="16"/>
          <w:color w:val="auto"/>
        </w:rPr>
        <w:t>Cash and cash equivalents as of December 31, 2008, decreased approximately $23,411,000 compared to December 31, 2007, primarily due to share repurchases and cash dividends paid, partially offset by cash flow from operations.</w:t>
      </w:r>
    </w:p>
    <w:p>
      <w:pPr>
        <w:spacing w:after="0" w:line="97" w:lineRule="exact"/>
        <w:rPr>
          <w:sz w:val="20"/>
          <w:szCs w:val="20"/>
          <w:color w:val="auto"/>
        </w:rPr>
      </w:pPr>
    </w:p>
    <w:p>
      <w:pPr>
        <w:ind w:right="559" w:firstLine="747"/>
        <w:spacing w:after="0" w:line="259" w:lineRule="auto"/>
        <w:rPr>
          <w:sz w:val="20"/>
          <w:szCs w:val="20"/>
          <w:color w:val="auto"/>
        </w:rPr>
      </w:pPr>
      <w:r>
        <w:rPr>
          <w:rFonts w:ascii="Arial" w:cs="Arial" w:eastAsia="Arial" w:hAnsi="Arial"/>
          <w:sz w:val="18"/>
          <w:szCs w:val="18"/>
          <w:color w:val="auto"/>
        </w:rPr>
        <w:t>Accounts receivable as of December 31, 2008, decreased approximately $19,653,000 compared to December 31, 2007, primarily due to lower sales levels. The current uncertain economic environment continues to cause increased financial pressures and production stresses on our customers, which could impact timely customer payments and ultimately the collectibility of receivables.</w:t>
      </w:r>
    </w:p>
    <w:p>
      <w:pPr>
        <w:spacing w:after="0" w:line="146" w:lineRule="exact"/>
        <w:rPr>
          <w:sz w:val="20"/>
          <w:szCs w:val="20"/>
          <w:color w:val="auto"/>
        </w:rPr>
      </w:pPr>
    </w:p>
    <w:p>
      <w:pPr>
        <w:ind w:right="779" w:firstLine="747"/>
        <w:spacing w:after="0" w:line="264" w:lineRule="auto"/>
        <w:rPr>
          <w:sz w:val="20"/>
          <w:szCs w:val="20"/>
          <w:color w:val="auto"/>
        </w:rPr>
      </w:pPr>
      <w:r>
        <w:rPr>
          <w:rFonts w:ascii="Arial" w:cs="Arial" w:eastAsia="Arial" w:hAnsi="Arial"/>
          <w:sz w:val="18"/>
          <w:szCs w:val="18"/>
          <w:color w:val="auto"/>
        </w:rPr>
        <w:t>Inventories as of December 31, 2008, increased approximately $6,944,000 compared to December 31, 2007. The increase was primarily due to longer lead times on certain electronic components in conjunction with last-minute order release reductions by our customers.</w:t>
      </w:r>
    </w:p>
    <w:p>
      <w:pPr>
        <w:spacing w:after="0" w:line="141" w:lineRule="exact"/>
        <w:rPr>
          <w:sz w:val="20"/>
          <w:szCs w:val="20"/>
          <w:color w:val="auto"/>
        </w:rPr>
      </w:pPr>
    </w:p>
    <w:p>
      <w:pPr>
        <w:ind w:right="559" w:firstLine="747"/>
        <w:spacing w:after="0" w:line="259" w:lineRule="auto"/>
        <w:rPr>
          <w:sz w:val="20"/>
          <w:szCs w:val="20"/>
          <w:color w:val="auto"/>
        </w:rPr>
      </w:pPr>
      <w:r>
        <w:rPr>
          <w:rFonts w:ascii="Arial" w:cs="Arial" w:eastAsia="Arial" w:hAnsi="Arial"/>
          <w:sz w:val="18"/>
          <w:szCs w:val="18"/>
          <w:color w:val="auto"/>
        </w:rPr>
        <w:t>Prepaid expenses and other current assets as of December 31, 2008, increased approximately $15,871,000 compared to December 31, 2007, primarily due to an increase in refundable income taxes. The increase in refundable income taxes was primarily due to the computation method for estimated federal income tax payments and refundable income taxes relating to capital loss carry backs on equity investment realized losses.</w:t>
      </w:r>
    </w:p>
    <w:p>
      <w:pPr>
        <w:spacing w:after="0" w:line="160" w:lineRule="exact"/>
        <w:rPr>
          <w:sz w:val="20"/>
          <w:szCs w:val="20"/>
          <w:color w:val="auto"/>
        </w:rPr>
      </w:pPr>
    </w:p>
    <w:p>
      <w:pPr>
        <w:ind w:right="799" w:firstLine="747"/>
        <w:spacing w:after="0" w:line="264" w:lineRule="auto"/>
        <w:rPr>
          <w:sz w:val="20"/>
          <w:szCs w:val="20"/>
          <w:color w:val="auto"/>
        </w:rPr>
      </w:pPr>
      <w:r>
        <w:rPr>
          <w:rFonts w:ascii="Arial" w:cs="Arial" w:eastAsia="Arial" w:hAnsi="Arial"/>
          <w:sz w:val="18"/>
          <w:szCs w:val="18"/>
          <w:color w:val="auto"/>
        </w:rPr>
        <w:t>Long-term investments as of December 31, 2008, decreased approximately $74,035,000 compared to December 31, 2007. The decrease was primarily due to a decrease in unrealized gains in equity investments and impairment losses on available-for-sale securities given current market conditions.</w:t>
      </w:r>
    </w:p>
    <w:p>
      <w:pPr>
        <w:spacing w:after="0" w:line="141" w:lineRule="exact"/>
        <w:rPr>
          <w:sz w:val="20"/>
          <w:szCs w:val="20"/>
          <w:color w:val="auto"/>
        </w:rPr>
      </w:pPr>
    </w:p>
    <w:p>
      <w:pPr>
        <w:ind w:right="739" w:firstLine="747"/>
        <w:spacing w:after="0" w:line="277" w:lineRule="auto"/>
        <w:rPr>
          <w:sz w:val="20"/>
          <w:szCs w:val="20"/>
          <w:color w:val="auto"/>
        </w:rPr>
      </w:pPr>
      <w:r>
        <w:rPr>
          <w:rFonts w:ascii="Arial" w:cs="Arial" w:eastAsia="Arial" w:hAnsi="Arial"/>
          <w:sz w:val="18"/>
          <w:szCs w:val="18"/>
          <w:color w:val="auto"/>
        </w:rPr>
        <w:t>Accounts payable as of December 31, 2008, decreased approximately $10,825,000 compared to December 31, 2007, primarily due to decreased production levels and capital spending.</w:t>
      </w:r>
    </w:p>
    <w:p>
      <w:pPr>
        <w:spacing w:after="0" w:line="130" w:lineRule="exact"/>
        <w:rPr>
          <w:sz w:val="20"/>
          <w:szCs w:val="20"/>
          <w:color w:val="auto"/>
        </w:rPr>
      </w:pPr>
    </w:p>
    <w:p>
      <w:pPr>
        <w:jc w:val="both"/>
        <w:ind w:right="679" w:firstLine="747"/>
        <w:spacing w:after="0" w:line="259" w:lineRule="auto"/>
        <w:rPr>
          <w:sz w:val="20"/>
          <w:szCs w:val="20"/>
          <w:color w:val="auto"/>
        </w:rPr>
      </w:pPr>
      <w:r>
        <w:rPr>
          <w:rFonts w:ascii="Arial" w:cs="Arial" w:eastAsia="Arial" w:hAnsi="Arial"/>
          <w:sz w:val="18"/>
          <w:szCs w:val="18"/>
          <w:color w:val="auto"/>
        </w:rPr>
        <w:t>Accrued liabilities as of December 31, 2008, decreased approximately $8,065,000 compared to December 31, 2007. The decrease was primarily due a decrease in accrued royalties, accrued income taxes (see “prepaid expenses and other current assets” above for additional details), and an accrued liability for litigation judgment in calendar year 2007 (see discussion under “Results of Operations – 2007 to 2006”).</w:t>
      </w:r>
    </w:p>
    <w:p>
      <w:pPr>
        <w:spacing w:after="0" w:line="160" w:lineRule="exact"/>
        <w:rPr>
          <w:sz w:val="20"/>
          <w:szCs w:val="20"/>
          <w:color w:val="auto"/>
        </w:rPr>
      </w:pPr>
    </w:p>
    <w:p>
      <w:pPr>
        <w:ind w:right="819" w:firstLine="747"/>
        <w:spacing w:after="0" w:line="277" w:lineRule="auto"/>
        <w:rPr>
          <w:sz w:val="20"/>
          <w:szCs w:val="20"/>
          <w:color w:val="auto"/>
        </w:rPr>
      </w:pPr>
      <w:r>
        <w:rPr>
          <w:rFonts w:ascii="Arial" w:cs="Arial" w:eastAsia="Arial" w:hAnsi="Arial"/>
          <w:sz w:val="18"/>
          <w:szCs w:val="18"/>
          <w:color w:val="auto"/>
        </w:rPr>
        <w:t>The increase in plant and equipment as of December 31, 2008, compared to December 31, 2007, is primarily due to new manufacturing equipment.</w:t>
      </w:r>
    </w:p>
    <w:p>
      <w:pPr>
        <w:spacing w:after="0" w:line="130" w:lineRule="exact"/>
        <w:rPr>
          <w:sz w:val="20"/>
          <w:szCs w:val="20"/>
          <w:color w:val="auto"/>
        </w:rPr>
      </w:pPr>
    </w:p>
    <w:p>
      <w:pPr>
        <w:ind w:right="699" w:firstLine="747"/>
        <w:spacing w:after="0" w:line="312" w:lineRule="auto"/>
        <w:rPr>
          <w:sz w:val="20"/>
          <w:szCs w:val="20"/>
          <w:color w:val="auto"/>
        </w:rPr>
      </w:pPr>
      <w:r>
        <w:rPr>
          <w:rFonts w:ascii="Arial" w:cs="Arial" w:eastAsia="Arial" w:hAnsi="Arial"/>
          <w:sz w:val="16"/>
          <w:szCs w:val="16"/>
          <w:color w:val="auto"/>
        </w:rPr>
        <w:t>Management considers the Company’s working capital of approximately $407,680,000 and long-term investments of approximately $81,349,000 at December 31, 2008, together with internally generated cash flow and an unsecured $5,000,000 line of credit from a bank, to be sufficient to cover anticipated cash needs for the next year and for the foreseeable future.</w:t>
      </w:r>
    </w:p>
    <w:p>
      <w:pPr>
        <w:spacing w:after="0" w:line="106" w:lineRule="exact"/>
        <w:rPr>
          <w:sz w:val="20"/>
          <w:szCs w:val="20"/>
          <w:color w:val="auto"/>
        </w:rPr>
      </w:pPr>
    </w:p>
    <w:p>
      <w:pPr>
        <w:ind w:right="559" w:firstLine="747"/>
        <w:spacing w:after="0" w:line="290" w:lineRule="auto"/>
        <w:rPr>
          <w:sz w:val="20"/>
          <w:szCs w:val="20"/>
          <w:color w:val="auto"/>
        </w:rPr>
      </w:pPr>
      <w:r>
        <w:rPr>
          <w:rFonts w:ascii="Arial" w:cs="Arial" w:eastAsia="Arial" w:hAnsi="Arial"/>
          <w:sz w:val="16"/>
          <w:szCs w:val="16"/>
          <w:color w:val="auto"/>
        </w:rPr>
        <w:t>On October 8, 2002, the Company announced a share repurchase plan, under which it may purchase up to 8,000,000 shares (post-split) based on a number of factors, including market and business conditions, the market price of the Company’s common stock, anti-dilutive effect on earnings, available cash and other factors that the Company deems appropriate. On July 20, 2005, the Company announced that it had raised the price at which the Company may repurchase shares under the existing plan. On May 16, 2006, the Company announced that the Company’s Board of Directors had authorized the repurchase of an additional 8,000,000 shares under the plan. On August 14, 2006, the Company announced that the Company’s Board of Directors had authorized the repurchase of an additional 8,000,000 shares under the plan. On February 22, 2008, the Company announced that the Company’s Board of Directors had authorized the repurchase of an additional 4,000,000 shares under the plan.</w:t>
      </w:r>
    </w:p>
    <w:p>
      <w:pPr>
        <w:spacing w:after="0" w:line="1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is a summary of quarterly share repurchase activity under the plan to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Total Number of</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color w:val="auto"/>
                <w:w w:val="85"/>
              </w:rPr>
              <w:t>Shares Purchased</w:t>
            </w:r>
          </w:p>
        </w:tc>
        <w:tc>
          <w:tcPr>
            <w:tcW w:w="2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Cost of</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Quarter Ended</w:t>
            </w:r>
          </w:p>
        </w:tc>
        <w:tc>
          <w:tcPr>
            <w:tcW w:w="2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(Post-Split)</w:t>
            </w:r>
          </w:p>
        </w:tc>
        <w:tc>
          <w:tcPr>
            <w:tcW w:w="340" w:type="dxa"/>
            <w:vAlign w:val="bottom"/>
            <w:gridSpan w:val="2"/>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89"/>
              </w:rPr>
              <w:t>Shares Purchased</w:t>
            </w:r>
          </w:p>
        </w:tc>
      </w:tr>
      <w:tr>
        <w:trPr>
          <w:trHeight w:val="20"/>
        </w:trPr>
        <w:tc>
          <w:tcPr>
            <w:tcW w:w="6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March 31, 2003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10,246,810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September 30, 2005</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1,496,059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25,214,573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2,803,548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47,145,310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June 30, 2006</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7,201,081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104,604,414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2006</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3,968,171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55,614,102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December 31, 2006</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1,232,884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19,487,427</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March 31, 2007</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447,710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7,328,015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March 31, 2008</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2,200,752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34,619,490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June 30, 2008</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1,203,560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19,043,775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September 30, 2008</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2,519,153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39,689,410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2,125,253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17,907,128</w:t>
            </w:r>
          </w:p>
        </w:tc>
      </w:tr>
      <w:tr>
        <w:trPr>
          <w:trHeight w:val="223"/>
        </w:trPr>
        <w:tc>
          <w:tcPr>
            <w:tcW w:w="6120" w:type="dxa"/>
            <w:vAlign w:val="bottom"/>
          </w:tcPr>
          <w:p>
            <w:pPr>
              <w:ind w:left="2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26,028,171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380,900,454</w:t>
            </w:r>
          </w:p>
        </w:tc>
        <w:tc>
          <w:tcPr>
            <w:tcW w:w="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1,971,829 shares remain authorized to be repurchased under the plan as of December 31, 2008.</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018"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Inflation, Changing Prices and Other</w:t>
      </w:r>
    </w:p>
    <w:p>
      <w:pPr>
        <w:spacing w:after="0" w:line="202" w:lineRule="exact"/>
        <w:rPr>
          <w:sz w:val="20"/>
          <w:szCs w:val="20"/>
          <w:color w:val="auto"/>
        </w:rPr>
      </w:pPr>
    </w:p>
    <w:p>
      <w:pPr>
        <w:ind w:right="559" w:firstLine="747"/>
        <w:spacing w:after="0" w:line="271" w:lineRule="auto"/>
        <w:rPr>
          <w:sz w:val="20"/>
          <w:szCs w:val="20"/>
          <w:color w:val="auto"/>
        </w:rPr>
      </w:pPr>
      <w:r>
        <w:rPr>
          <w:rFonts w:ascii="Arial" w:cs="Arial" w:eastAsia="Arial" w:hAnsi="Arial"/>
          <w:sz w:val="17"/>
          <w:szCs w:val="17"/>
          <w:color w:val="auto"/>
        </w:rPr>
        <w:t>The Company generally supplies auto-dimming mirrors to its customers worldwide under annual blanket purchase orders. During 2005, the Company negotiated an extension to its long-term agreement with General Motors (GM) in the ordinary course of the Company’s business. Under the extension, the Company was sourced virtually all the interior auto-dimming rearview mirrors programs for GM and its worldwide affiliates through August 2009, except for two low-volume models that had previously been awarded to a competitor under a lifetime contract. The new business also included the GMT360 program, which is the mid-size truck/SUV platform that previously did not offer auto-dimming mirrors. The GM programs were transferred to the Company by the 2007 model year. During 2008, the Company negotiated another extension to the existing agreement, through August 1, 2012, in the ordinary course of the Company’s business.</w:t>
      </w:r>
    </w:p>
    <w:p>
      <w:pPr>
        <w:spacing w:after="0" w:line="138" w:lineRule="exact"/>
        <w:rPr>
          <w:sz w:val="20"/>
          <w:szCs w:val="20"/>
          <w:color w:val="auto"/>
        </w:rPr>
      </w:pPr>
    </w:p>
    <w:p>
      <w:pPr>
        <w:ind w:right="679" w:firstLine="747"/>
        <w:spacing w:after="0" w:line="253" w:lineRule="auto"/>
        <w:rPr>
          <w:sz w:val="20"/>
          <w:szCs w:val="20"/>
          <w:color w:val="auto"/>
        </w:rPr>
      </w:pPr>
      <w:r>
        <w:rPr>
          <w:rFonts w:ascii="Arial" w:cs="Arial" w:eastAsia="Arial" w:hAnsi="Arial"/>
          <w:sz w:val="18"/>
          <w:szCs w:val="18"/>
          <w:color w:val="auto"/>
        </w:rPr>
        <w:t>The Company has a long-term agreement with Daimler AG (formerly DaimlerChrysler AG) in the ordinary course of the Company’s business. Under the agreement, the Company will be sourced virtually all interior and exterior auto-dimming mirror business at Mercedes and Chrysler through December 2009. The Company’s exterior auto-dimming mirror sub-assemblies are supplied by means of sales to exterior mirror suppliers. During 2007, the Company negotiated an extension to its global supply agreement with Chrysler LLC in the ordinary course of the Company’s business. Under the extension, the Company will be sourced virtually all Chrysler interior auto-dimming rearview mirrors through 2015. From publicly available information, the Company does not believe that the Daimler sale of the Chrysler unit will significantly impact the Company’s current business with Chrysler or Mercedes in the near term, but there may be other information of which the Company is not aware.</w:t>
      </w:r>
    </w:p>
    <w:p>
      <w:pPr>
        <w:spacing w:after="0" w:line="157" w:lineRule="exact"/>
        <w:rPr>
          <w:sz w:val="20"/>
          <w:szCs w:val="20"/>
          <w:color w:val="auto"/>
        </w:rPr>
      </w:pPr>
    </w:p>
    <w:p>
      <w:pPr>
        <w:ind w:right="759" w:firstLine="747"/>
        <w:spacing w:after="0" w:line="259" w:lineRule="auto"/>
        <w:rPr>
          <w:sz w:val="20"/>
          <w:szCs w:val="20"/>
          <w:color w:val="auto"/>
        </w:rPr>
      </w:pPr>
      <w:r>
        <w:rPr>
          <w:rFonts w:ascii="Arial" w:cs="Arial" w:eastAsia="Arial" w:hAnsi="Arial"/>
          <w:sz w:val="18"/>
          <w:szCs w:val="18"/>
          <w:color w:val="auto"/>
        </w:rPr>
        <w:t>The Company negotiated a multi-sourcing agreement with Ford Motor Company in the ordinary course of the Company’s business. Under the agreement, the Company was sourced all existing interior auto-dimming rearview mirror programs as well as a number of new interior auto-dimming rearview mirror programs during the agreement term which ended on December 31, 2008.</w:t>
      </w:r>
    </w:p>
    <w:p>
      <w:pPr>
        <w:spacing w:after="0" w:line="160" w:lineRule="exact"/>
        <w:rPr>
          <w:sz w:val="20"/>
          <w:szCs w:val="20"/>
          <w:color w:val="auto"/>
        </w:rPr>
      </w:pPr>
    </w:p>
    <w:p>
      <w:pPr>
        <w:ind w:right="599" w:firstLine="747"/>
        <w:spacing w:after="0" w:line="279" w:lineRule="auto"/>
        <w:rPr>
          <w:sz w:val="20"/>
          <w:szCs w:val="20"/>
          <w:color w:val="auto"/>
        </w:rPr>
      </w:pPr>
      <w:r>
        <w:rPr>
          <w:rFonts w:ascii="Arial" w:cs="Arial" w:eastAsia="Arial" w:hAnsi="Arial"/>
          <w:sz w:val="17"/>
          <w:szCs w:val="17"/>
          <w:color w:val="auto"/>
        </w:rPr>
        <w:t>In response to the weakness in the automotive market, the Company eliminated its entire contract workforce, which was followed by the elimination of a third shift near the end of the third quarter of 2008. In addition, the Company offered voluntary layoffs, had a partial plant shutdown the week of the Thanksgiving holiday and had extended plant shutdowns over the Christmas and New Year holidays in response to similar plant shutdowns by its automotive customers.</w:t>
      </w:r>
    </w:p>
    <w:p>
      <w:pPr>
        <w:spacing w:after="0" w:line="131" w:lineRule="exact"/>
        <w:rPr>
          <w:sz w:val="20"/>
          <w:szCs w:val="20"/>
          <w:color w:val="auto"/>
        </w:rPr>
      </w:pPr>
    </w:p>
    <w:p>
      <w:pPr>
        <w:ind w:right="579" w:firstLine="747"/>
        <w:spacing w:after="0" w:line="273" w:lineRule="auto"/>
        <w:rPr>
          <w:sz w:val="20"/>
          <w:szCs w:val="20"/>
          <w:color w:val="auto"/>
        </w:rPr>
      </w:pPr>
      <w:r>
        <w:rPr>
          <w:rFonts w:ascii="Arial" w:cs="Arial" w:eastAsia="Arial" w:hAnsi="Arial"/>
          <w:sz w:val="17"/>
          <w:szCs w:val="17"/>
          <w:color w:val="auto"/>
        </w:rPr>
        <w:t>As automotive production schedules continued to decline, the Company permanently laid off approximately 290 hourly and 70 salaried workers in December 2008, which reduced overhead and operating expenses, bringing them to a level that is more in line with currently expected sales/production levels in the automotive and fire protection industries. The salaried workforce reductions will reduce overhead and operating expenses by approximately $5.5 — 6 million on an annualized basis. Approximately half of the expense reductions will impact the Company’s overhead expenses, and the other half will impact the Company’s operating expenses, primarily in the engineering, research &amp; development areas.</w:t>
      </w: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7" w:name="page28"/>
    <w:bookmarkEnd w:id="27"/>
    <w:p>
      <w:pPr>
        <w:ind w:right="599" w:firstLine="747"/>
        <w:spacing w:after="0" w:line="269" w:lineRule="auto"/>
        <w:rPr>
          <w:sz w:val="20"/>
          <w:szCs w:val="20"/>
          <w:color w:val="auto"/>
        </w:rPr>
      </w:pPr>
      <w:r>
        <w:rPr>
          <w:rFonts w:ascii="Arial" w:cs="Arial" w:eastAsia="Arial" w:hAnsi="Arial"/>
          <w:sz w:val="17"/>
          <w:szCs w:val="17"/>
          <w:color w:val="auto"/>
        </w:rPr>
        <w:t>The Company currently estimates that top line revenue will decline approximately 40% in the first quarter of 2009 compared with the same period in 2008 based on our current forecast for light vehicle production levels and product mix. These estimates are based on light vehicle production forecasts in the regions to which the Company ships product, as well as the estimated option rates for its mirrors on prospective vehicle models and anticipated product mix. Uncertainties, including vehicle production levels, extended automotive plant shutdowns, sales rates in North America, Europe and Asia, and the impact of potential automotive customer (including their Tier 1 suppliers) bankruptcies, work stoppages, strikes, etc., which could disrupt our shipments to these customers making forecasting difficult. Due to significant uncertainties with global vehicle production volumes, it is an extremely difficult environment to forecast, and as a result, the Company is not providing revenue estimates beyond the first quarter of 2009 at this time. The Company also estimates that engineering, research and development expenses are currently expected to be slightly down for the first quarter of 2009 compared with the same period in 2008. In addition, the Company estimates that selling, general and administrative expenses are currently expected to be flat for the first quarter of 2009 compared with the same period in 2008.</w:t>
      </w:r>
    </w:p>
    <w:p>
      <w:pPr>
        <w:spacing w:after="0" w:line="153" w:lineRule="exact"/>
        <w:rPr>
          <w:sz w:val="20"/>
          <w:szCs w:val="20"/>
          <w:color w:val="auto"/>
        </w:rPr>
      </w:pPr>
    </w:p>
    <w:p>
      <w:pPr>
        <w:ind w:right="1139" w:firstLine="747"/>
        <w:spacing w:after="0" w:line="291" w:lineRule="auto"/>
        <w:rPr>
          <w:sz w:val="20"/>
          <w:szCs w:val="20"/>
          <w:color w:val="auto"/>
        </w:rPr>
      </w:pPr>
      <w:r>
        <w:rPr>
          <w:rFonts w:ascii="Arial" w:cs="Arial" w:eastAsia="Arial" w:hAnsi="Arial"/>
          <w:sz w:val="16"/>
          <w:szCs w:val="16"/>
          <w:color w:val="auto"/>
        </w:rPr>
        <w:t>The Company utilizes the light vehicle production forecasting services of CSM Worldwide, and CSM’s current forecasts for light vehicle production for the first quarter of 2009 are approximately 2.0 million units for North America,</w:t>
      </w:r>
    </w:p>
    <w:p>
      <w:pPr>
        <w:ind w:right="719"/>
        <w:spacing w:after="0" w:line="290" w:lineRule="auto"/>
        <w:rPr>
          <w:sz w:val="20"/>
          <w:szCs w:val="20"/>
          <w:color w:val="auto"/>
        </w:rPr>
      </w:pPr>
      <w:r>
        <w:rPr>
          <w:rFonts w:ascii="Arial" w:cs="Arial" w:eastAsia="Arial" w:hAnsi="Arial"/>
          <w:sz w:val="17"/>
          <w:szCs w:val="17"/>
          <w:color w:val="auto"/>
        </w:rPr>
        <w:t>3.8 million for Europe and 2.8 million for Japan and Korea. Current forecasts for light vehicle production for calendar 2009 are approximately 10.0 million units for North America, 17.4 million for Europe and 12.0 million for Japan and Korea.</w:t>
      </w:r>
    </w:p>
    <w:p>
      <w:pPr>
        <w:spacing w:after="0" w:line="121" w:lineRule="exact"/>
        <w:rPr>
          <w:sz w:val="20"/>
          <w:szCs w:val="20"/>
          <w:color w:val="auto"/>
        </w:rPr>
      </w:pPr>
    </w:p>
    <w:p>
      <w:pPr>
        <w:ind w:right="1099" w:firstLine="747"/>
        <w:spacing w:after="0" w:line="27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Risk Disclosure</w:t>
      </w:r>
    </w:p>
    <w:p>
      <w:pPr>
        <w:spacing w:after="0" w:line="202" w:lineRule="exact"/>
        <w:rPr>
          <w:sz w:val="20"/>
          <w:szCs w:val="20"/>
          <w:color w:val="auto"/>
        </w:rPr>
      </w:pPr>
    </w:p>
    <w:p>
      <w:pPr>
        <w:ind w:right="739" w:firstLine="747"/>
        <w:spacing w:after="0" w:line="277"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interest rate risk and equity price risk.</w:t>
      </w:r>
    </w:p>
    <w:p>
      <w:pPr>
        <w:spacing w:after="0" w:line="130" w:lineRule="exact"/>
        <w:rPr>
          <w:sz w:val="20"/>
          <w:szCs w:val="20"/>
          <w:color w:val="auto"/>
        </w:rPr>
      </w:pPr>
    </w:p>
    <w:p>
      <w:pPr>
        <w:ind w:right="639" w:firstLine="747"/>
        <w:spacing w:after="0" w:line="312" w:lineRule="auto"/>
        <w:rPr>
          <w:sz w:val="20"/>
          <w:szCs w:val="20"/>
          <w:color w:val="auto"/>
        </w:rPr>
      </w:pPr>
      <w:r>
        <w:rPr>
          <w:rFonts w:ascii="Arial" w:cs="Arial" w:eastAsia="Arial" w:hAnsi="Arial"/>
          <w:sz w:val="16"/>
          <w:szCs w:val="16"/>
          <w:color w:val="auto"/>
        </w:rPr>
        <w:t>The Company has some assets, liabilities and operations outside the United States, including a Euro denominated account, which currently are not significant. Because the Company sells its automotive mirrors throughout the world, it could be significantly affected by weak economic conditions in foreign markets that could reduce demand for its products.</w:t>
      </w:r>
    </w:p>
    <w:p>
      <w:pPr>
        <w:spacing w:after="0" w:line="106" w:lineRule="exact"/>
        <w:rPr>
          <w:sz w:val="20"/>
          <w:szCs w:val="20"/>
          <w:color w:val="auto"/>
        </w:rPr>
      </w:pPr>
    </w:p>
    <w:p>
      <w:pPr>
        <w:ind w:right="679" w:firstLine="747"/>
        <w:spacing w:after="0" w:line="259" w:lineRule="auto"/>
        <w:rPr>
          <w:sz w:val="20"/>
          <w:szCs w:val="20"/>
          <w:color w:val="auto"/>
        </w:rPr>
      </w:pPr>
      <w:r>
        <w:rPr>
          <w:rFonts w:ascii="Arial" w:cs="Arial" w:eastAsia="Arial" w:hAnsi="Arial"/>
          <w:sz w:val="18"/>
          <w:szCs w:val="18"/>
          <w:color w:val="auto"/>
        </w:rPr>
        <w:t>Most of the Company’s non-U.S. sales are invoiced and paid in U.S. dollars; during 2008, approximately 13% of the Company’s net sales were invoiced and paid in European euros (compared to 15% for 2007). The Company currently expects that approximately 9% of the Company’s net sales in 2009 will be invoiced and paid in European euros. The Company does not currently engage in hedging activities.</w:t>
      </w:r>
    </w:p>
    <w:p>
      <w:pPr>
        <w:spacing w:after="0" w:line="160" w:lineRule="exact"/>
        <w:rPr>
          <w:sz w:val="20"/>
          <w:szCs w:val="20"/>
          <w:color w:val="auto"/>
        </w:rPr>
      </w:pPr>
    </w:p>
    <w:p>
      <w:pPr>
        <w:ind w:right="1039" w:firstLine="747"/>
        <w:spacing w:after="0" w:line="264" w:lineRule="auto"/>
        <w:rPr>
          <w:sz w:val="20"/>
          <w:szCs w:val="20"/>
          <w:color w:val="auto"/>
        </w:rPr>
      </w:pPr>
      <w:r>
        <w:rPr>
          <w:rFonts w:ascii="Arial" w:cs="Arial" w:eastAsia="Arial" w:hAnsi="Arial"/>
          <w:sz w:val="18"/>
          <w:szCs w:val="18"/>
          <w:color w:val="auto"/>
        </w:rPr>
        <w:t>The Company manages interest rate risk and default risk in its fixed-income investment portfolio by investing in shorter-term maturities and investment grade issues. The Company’s fixed-income investments’ maturities at fair value (000,000), and average interest rates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5"/>
          </w:tcPr>
          <w:p>
            <w:pPr>
              <w:jc w:val="right"/>
              <w:ind w:right="620"/>
              <w:spacing w:after="0"/>
              <w:rPr>
                <w:sz w:val="20"/>
                <w:szCs w:val="20"/>
                <w:color w:val="auto"/>
              </w:rPr>
            </w:pPr>
            <w:r>
              <w:rPr>
                <w:rFonts w:ascii="Arial" w:cs="Arial" w:eastAsia="Arial" w:hAnsi="Arial"/>
                <w:sz w:val="18"/>
                <w:szCs w:val="18"/>
                <w:color w:val="auto"/>
              </w:rPr>
              <w:t>Total Balance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vMerge w:val="restart"/>
          </w:tcPr>
          <w:p>
            <w:pPr>
              <w:jc w:val="right"/>
              <w:ind w:right="110"/>
              <w:spacing w:after="0"/>
              <w:rPr>
                <w:sz w:val="20"/>
                <w:szCs w:val="20"/>
                <w:color w:val="auto"/>
              </w:rPr>
            </w:pPr>
            <w:r>
              <w:rPr>
                <w:rFonts w:ascii="Arial" w:cs="Arial" w:eastAsia="Arial" w:hAnsi="Arial"/>
                <w:sz w:val="18"/>
                <w:szCs w:val="18"/>
                <w:color w:val="auto"/>
                <w:w w:val="94"/>
              </w:rPr>
              <w:t>2009</w:t>
            </w:r>
          </w:p>
        </w:tc>
        <w:tc>
          <w:tcPr>
            <w:tcW w:w="4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2010</w:t>
            </w:r>
          </w:p>
        </w:tc>
        <w:tc>
          <w:tcPr>
            <w:tcW w:w="340" w:type="dxa"/>
            <w:vAlign w:val="bottom"/>
          </w:tcPr>
          <w:p>
            <w:pPr>
              <w:spacing w:after="0"/>
              <w:rPr>
                <w:sz w:val="20"/>
                <w:szCs w:val="20"/>
                <w:color w:val="auto"/>
              </w:rPr>
            </w:pP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20"/>
                <w:szCs w:val="20"/>
                <w:color w:val="auto"/>
              </w:rPr>
            </w:pPr>
          </w:p>
        </w:tc>
        <w:tc>
          <w:tcPr>
            <w:tcW w:w="740" w:type="dxa"/>
            <w:vAlign w:val="bottom"/>
            <w:vMerge w:val="restart"/>
          </w:tcPr>
          <w:p>
            <w:pPr>
              <w:ind w:left="20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420"/>
              <w:spacing w:after="0"/>
              <w:rPr>
                <w:sz w:val="20"/>
                <w:szCs w:val="20"/>
                <w:color w:val="auto"/>
              </w:rPr>
            </w:pPr>
            <w:r>
              <w:rPr>
                <w:rFonts w:ascii="Arial" w:cs="Arial" w:eastAsia="Arial" w:hAnsi="Arial"/>
                <w:sz w:val="18"/>
                <w:szCs w:val="18"/>
                <w:color w:val="auto"/>
                <w:w w:val="95"/>
              </w:rPr>
              <w:t>as of 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2008</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Interest Rate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Government Agency</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Average Interest Rate</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Municipal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Interest Rate*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Average Interest Rate</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Interest Rate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820" w:type="dxa"/>
            <w:vAlign w:val="bottom"/>
          </w:tcPr>
          <w:p>
            <w:pPr>
              <w:ind w:left="200"/>
              <w:spacing w:after="0"/>
              <w:rPr>
                <w:sz w:val="20"/>
                <w:szCs w:val="20"/>
                <w:color w:val="auto"/>
              </w:rPr>
            </w:pPr>
            <w:r>
              <w:rPr>
                <w:rFonts w:ascii="Arial" w:cs="Arial" w:eastAsia="Arial" w:hAnsi="Arial"/>
                <w:sz w:val="18"/>
                <w:szCs w:val="18"/>
                <w:color w:val="auto"/>
              </w:rPr>
              <w:t>Average Interest Rate</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After-tax</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28" w:name="page29"/>
    <w:bookmarkEnd w:id="28"/>
    <w:p>
      <w:pPr>
        <w:ind w:left="8" w:right="939" w:firstLine="747"/>
        <w:spacing w:after="0" w:line="277" w:lineRule="auto"/>
        <w:rPr>
          <w:sz w:val="20"/>
          <w:szCs w:val="20"/>
          <w:color w:val="auto"/>
        </w:rPr>
      </w:pPr>
      <w:r>
        <w:rPr>
          <w:rFonts w:ascii="Arial" w:cs="Arial" w:eastAsia="Arial" w:hAnsi="Arial"/>
          <w:sz w:val="18"/>
          <w:szCs w:val="18"/>
          <w:color w:val="auto"/>
        </w:rPr>
        <w:t>Most of the Company’s equity investments are managed by a number of outside equity fund managers who invest primarily in large capitalization companies trading on the U.S. stock markets.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Contractual Obligations and Other Commitments</w:t>
      </w:r>
    </w:p>
    <w:p>
      <w:pPr>
        <w:spacing w:after="0" w:line="189" w:lineRule="exact"/>
        <w:rPr>
          <w:sz w:val="20"/>
          <w:szCs w:val="20"/>
          <w:color w:val="auto"/>
        </w:rPr>
      </w:pPr>
    </w:p>
    <w:p>
      <w:pPr>
        <w:ind w:left="748"/>
        <w:spacing w:after="0"/>
        <w:rPr>
          <w:sz w:val="20"/>
          <w:szCs w:val="20"/>
          <w:color w:val="auto"/>
        </w:rPr>
      </w:pPr>
      <w:r>
        <w:rPr>
          <w:rFonts w:ascii="Arial" w:cs="Arial" w:eastAsia="Arial" w:hAnsi="Arial"/>
          <w:sz w:val="16"/>
          <w:szCs w:val="16"/>
          <w:color w:val="auto"/>
        </w:rPr>
        <w:t>The Company had the following contractual obligations and other commitments (000,000) as of December 31, 2008:</w:t>
      </w:r>
    </w:p>
    <w:p>
      <w:pPr>
        <w:spacing w:after="0" w:line="248"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1540" w:type="dxa"/>
            <w:vAlign w:val="bottom"/>
            <w:gridSpan w:val="3"/>
          </w:tcPr>
          <w:p>
            <w:pPr>
              <w:spacing w:after="0"/>
              <w:rPr>
                <w:sz w:val="20"/>
                <w:szCs w:val="20"/>
                <w:color w:val="auto"/>
              </w:rPr>
            </w:pPr>
            <w:r>
              <w:rPr>
                <w:rFonts w:ascii="Arial" w:cs="Arial" w:eastAsia="Arial" w:hAnsi="Arial"/>
                <w:sz w:val="18"/>
                <w:szCs w:val="18"/>
                <w:color w:val="auto"/>
              </w:rPr>
              <w:t>Less than 1 Year</w:t>
            </w:r>
          </w:p>
        </w:tc>
        <w:tc>
          <w:tcPr>
            <w:tcW w:w="1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1-3 Years</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After 3 Years</w:t>
            </w:r>
          </w:p>
        </w:tc>
      </w:tr>
      <w:tr>
        <w:trPr>
          <w:trHeight w:val="210"/>
        </w:trPr>
        <w:tc>
          <w:tcPr>
            <w:tcW w:w="4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Dividends payable</w:t>
            </w:r>
          </w:p>
        </w:tc>
        <w:tc>
          <w:tcPr>
            <w:tcW w:w="18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4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8" w:hanging="348"/>
        <w:spacing w:after="0"/>
        <w:tabs>
          <w:tab w:leader="none" w:pos="348"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for inventory parts and capital equipment.</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02" w:lineRule="exact"/>
        <w:rPr>
          <w:sz w:val="20"/>
          <w:szCs w:val="20"/>
          <w:color w:val="auto"/>
        </w:rPr>
      </w:pPr>
    </w:p>
    <w:p>
      <w:pPr>
        <w:ind w:left="8" w:right="779" w:firstLine="747"/>
        <w:spacing w:after="0" w:line="312"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106" w:lineRule="exact"/>
        <w:rPr>
          <w:sz w:val="20"/>
          <w:szCs w:val="20"/>
          <w:color w:val="auto"/>
        </w:rPr>
      </w:pPr>
    </w:p>
    <w:p>
      <w:pPr>
        <w:ind w:left="8" w:right="639" w:firstLine="373"/>
        <w:spacing w:after="0" w:line="257" w:lineRule="auto"/>
        <w:rPr>
          <w:sz w:val="20"/>
          <w:szCs w:val="20"/>
          <w:color w:val="auto"/>
        </w:rPr>
      </w:pPr>
      <w:r>
        <w:rPr>
          <w:rFonts w:ascii="Arial" w:cs="Arial" w:eastAsia="Arial" w:hAnsi="Arial"/>
          <w:sz w:val="18"/>
          <w:szCs w:val="18"/>
          <w:i w:val="1"/>
          <w:iCs w:val="1"/>
          <w:u w:val="single" w:color="auto"/>
          <w:color w:val="auto"/>
        </w:rPr>
        <w:t>Revenue Recognition</w:t>
      </w:r>
      <w:r>
        <w:rPr>
          <w:rFonts w:ascii="Arial" w:cs="Arial" w:eastAsia="Arial" w:hAnsi="Arial"/>
          <w:sz w:val="18"/>
          <w:szCs w:val="18"/>
          <w:color w:val="auto"/>
        </w:rPr>
        <w:t>. The Company recognizes revenue in accordance with SEC Staff Accounting Bulletin No. 104,</w:t>
      </w:r>
      <w:r>
        <w:rPr>
          <w:rFonts w:ascii="Arial" w:cs="Arial" w:eastAsia="Arial" w:hAnsi="Arial"/>
          <w:sz w:val="18"/>
          <w:szCs w:val="18"/>
          <w:i w:val="1"/>
          <w:iCs w:val="1"/>
          <w:color w:val="auto"/>
        </w:rPr>
        <w:t xml:space="preserve"> Revenue Recognition in Financial Statements</w:t>
      </w:r>
      <w:r>
        <w:rPr>
          <w:rFonts w:ascii="Arial" w:cs="Arial" w:eastAsia="Arial" w:hAnsi="Arial"/>
          <w:sz w:val="18"/>
          <w:szCs w:val="18"/>
          <w:color w:val="auto"/>
        </w:rPr>
        <w:t>, as amended. Accordingly, revenue is recognized based on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purchase order that 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148" w:lineRule="exact"/>
        <w:rPr>
          <w:sz w:val="20"/>
          <w:szCs w:val="20"/>
          <w:color w:val="auto"/>
        </w:rPr>
      </w:pPr>
    </w:p>
    <w:p>
      <w:pPr>
        <w:ind w:left="8" w:right="839" w:firstLine="373"/>
        <w:spacing w:after="0" w:line="264" w:lineRule="auto"/>
        <w:rPr>
          <w:sz w:val="20"/>
          <w:szCs w:val="20"/>
          <w:color w:val="auto"/>
        </w:rPr>
      </w:pPr>
      <w:r>
        <w:rPr>
          <w:rFonts w:ascii="Arial" w:cs="Arial" w:eastAsia="Arial" w:hAnsi="Arial"/>
          <w:sz w:val="18"/>
          <w:szCs w:val="18"/>
          <w:i w:val="1"/>
          <w:iCs w:val="1"/>
          <w:u w:val="single" w:color="auto"/>
          <w:color w:val="auto"/>
        </w:rPr>
        <w:t>Accounts Receivable</w:t>
      </w:r>
      <w:r>
        <w:rPr>
          <w:rFonts w:ascii="Arial" w:cs="Arial" w:eastAsia="Arial" w:hAnsi="Arial"/>
          <w:sz w:val="18"/>
          <w:szCs w:val="18"/>
          <w:color w:val="auto"/>
        </w:rPr>
        <w:t>. The Company estimates its allowances related to receivables on historical credit and collections</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and the specific identification of other potential problems, including the economic climate. Actual collections can differ, requiring adjustments to the allowances.</w:t>
      </w:r>
    </w:p>
    <w:p>
      <w:pPr>
        <w:spacing w:after="0" w:line="154" w:lineRule="exact"/>
        <w:rPr>
          <w:sz w:val="20"/>
          <w:szCs w:val="20"/>
          <w:color w:val="auto"/>
        </w:rPr>
      </w:pPr>
    </w:p>
    <w:p>
      <w:pPr>
        <w:ind w:left="8" w:right="659" w:firstLine="373"/>
        <w:spacing w:after="0" w:line="312" w:lineRule="auto"/>
        <w:rPr>
          <w:sz w:val="20"/>
          <w:szCs w:val="20"/>
          <w:color w:val="auto"/>
        </w:rPr>
      </w:pPr>
      <w:r>
        <w:rPr>
          <w:rFonts w:ascii="Arial" w:cs="Arial" w:eastAsia="Arial" w:hAnsi="Arial"/>
          <w:sz w:val="16"/>
          <w:szCs w:val="16"/>
          <w:i w:val="1"/>
          <w:iCs w:val="1"/>
          <w:u w:val="single" w:color="auto"/>
          <w:color w:val="auto"/>
        </w:rPr>
        <w:t>Inventories</w:t>
      </w:r>
      <w:r>
        <w:rPr>
          <w:rFonts w:ascii="Arial" w:cs="Arial" w:eastAsia="Arial" w:hAnsi="Arial"/>
          <w:sz w:val="16"/>
          <w:szCs w:val="16"/>
          <w:color w:val="auto"/>
        </w:rPr>
        <w:t>. Estimated inventory allowances for slow-moving and obsolete inventories are based on current assessments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future demands, market conditions and related management initiatives. If market conditions or customer requirements change and are less favorable than those projected by management, inventory allowances are adjusted accordingly.</w:t>
      </w:r>
    </w:p>
    <w:p>
      <w:pPr>
        <w:spacing w:after="0" w:line="106" w:lineRule="exact"/>
        <w:rPr>
          <w:sz w:val="20"/>
          <w:szCs w:val="20"/>
          <w:color w:val="auto"/>
        </w:rPr>
      </w:pPr>
    </w:p>
    <w:p>
      <w:pPr>
        <w:ind w:left="8" w:right="579" w:firstLine="373"/>
        <w:spacing w:after="0" w:line="271" w:lineRule="auto"/>
        <w:rPr>
          <w:sz w:val="20"/>
          <w:szCs w:val="20"/>
          <w:color w:val="auto"/>
        </w:rPr>
      </w:pPr>
      <w:r>
        <w:rPr>
          <w:rFonts w:ascii="Arial" w:cs="Arial" w:eastAsia="Arial" w:hAnsi="Arial"/>
          <w:sz w:val="17"/>
          <w:szCs w:val="17"/>
          <w:i w:val="1"/>
          <w:iCs w:val="1"/>
          <w:u w:val="single" w:color="auto"/>
          <w:color w:val="auto"/>
        </w:rPr>
        <w:t>Investments</w:t>
      </w:r>
      <w:r>
        <w:rPr>
          <w:rFonts w:ascii="Arial" w:cs="Arial" w:eastAsia="Arial" w:hAnsi="Arial"/>
          <w:sz w:val="17"/>
          <w:szCs w:val="17"/>
          <w:color w:val="auto"/>
        </w:rPr>
        <w:t>. The Company’s investment committee regularly reviews its fixed income and equity investment portfolio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our intent and ability to hold the investment. Management also considers the type of security, related industry, sector performance, as well as published investment ratings and analyst reports to evaluate its portfolio. Once a decline in fair value is determined to be other-than-temporary, an impairment charge is recorded and a new cost basis in the investment is established. If market, industry, and/or investee conditions continue to deteriorate, the Company may incur future impairments.</w:t>
      </w:r>
    </w:p>
    <w:p>
      <w:pPr>
        <w:spacing w:after="0" w:line="138" w:lineRule="exact"/>
        <w:rPr>
          <w:sz w:val="20"/>
          <w:szCs w:val="20"/>
          <w:color w:val="auto"/>
        </w:rPr>
      </w:pPr>
    </w:p>
    <w:p>
      <w:pPr>
        <w:ind w:left="8" w:right="779" w:firstLine="373"/>
        <w:spacing w:after="0" w:line="257" w:lineRule="auto"/>
        <w:rPr>
          <w:sz w:val="20"/>
          <w:szCs w:val="20"/>
          <w:color w:val="auto"/>
        </w:rPr>
      </w:pPr>
      <w:r>
        <w:rPr>
          <w:rFonts w:ascii="Arial" w:cs="Arial" w:eastAsia="Arial" w:hAnsi="Arial"/>
          <w:sz w:val="18"/>
          <w:szCs w:val="18"/>
          <w:i w:val="1"/>
          <w:iCs w:val="1"/>
          <w:u w:val="single" w:color="auto"/>
          <w:color w:val="auto"/>
        </w:rPr>
        <w:t>Self Insurance</w:t>
      </w:r>
      <w:r>
        <w:rPr>
          <w:rFonts w:ascii="Arial" w:cs="Arial" w:eastAsia="Arial" w:hAnsi="Arial"/>
          <w:sz w:val="18"/>
          <w:szCs w:val="18"/>
          <w:color w:val="auto"/>
        </w:rPr>
        <w:t>. The Company is self-insured for health and workers’ compensation benefits up to certain stop-loss limits.</w:t>
      </w:r>
      <w:r>
        <w:rPr>
          <w:rFonts w:ascii="Arial" w:cs="Arial" w:eastAsia="Arial" w:hAnsi="Arial"/>
          <w:sz w:val="18"/>
          <w:szCs w:val="18"/>
          <w:i w:val="1"/>
          <w:iCs w:val="1"/>
          <w:color w:val="auto"/>
        </w:rPr>
        <w:t xml:space="preserve"> </w:t>
      </w:r>
      <w:r>
        <w:rPr>
          <w:rFonts w:ascii="Arial" w:cs="Arial" w:eastAsia="Arial" w:hAnsi="Arial"/>
          <w:sz w:val="18"/>
          <w:szCs w:val="18"/>
          <w:color w:val="auto"/>
        </w:rPr>
        <w:t>Such costs are accrued based on known claims and an estimate of incurred, but not reported (IBNR) claims. IBNR claims are estimated using historical lag information and other data provided by claims administrators. This estimation process is subjective, and to the extent that future actual results differ from original estimates, adjustments to recorded accruals may be necessary.</w:t>
      </w:r>
    </w:p>
    <w:p>
      <w:pPr>
        <w:spacing w:after="0" w:line="200" w:lineRule="exact"/>
        <w:rPr>
          <w:sz w:val="20"/>
          <w:szCs w:val="20"/>
          <w:color w:val="auto"/>
        </w:rPr>
      </w:pPr>
    </w:p>
    <w:p>
      <w:pPr>
        <w:spacing w:after="0" w:line="35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29" w:name="page30"/>
    <w:bookmarkEnd w:id="29"/>
    <w:p>
      <w:pPr>
        <w:ind w:left="8" w:right="639" w:firstLine="373"/>
        <w:spacing w:after="0" w:line="285"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color w:val="auto"/>
        </w:rPr>
        <w:t>. Effective January 1, 2006, the Company accounts for stock-based compensation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fair value recognition provisions of SFAS No. 123(R). The Company utilizes the Black-Scholes model, which requires the input of subjective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w:t>
      </w:r>
    </w:p>
    <w:p>
      <w:pPr>
        <w:spacing w:after="0" w:line="2" w:lineRule="exact"/>
        <w:rPr>
          <w:sz w:val="20"/>
          <w:szCs w:val="20"/>
          <w:color w:val="auto"/>
        </w:rPr>
      </w:pPr>
    </w:p>
    <w:p>
      <w:pPr>
        <w:ind w:left="8" w:right="939" w:hanging="8"/>
        <w:spacing w:after="0" w:line="323" w:lineRule="auto"/>
        <w:tabs>
          <w:tab w:leader="none" w:pos="2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expected dividends. Changes in the subjective assumptions can materially affect the estimate of fair value of stock-based compensation and consequently, the related amounts recognized on the consolidated condensed statements of operations.</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7. A. Quantitative and Qualitative Disclosures About Market Risk.</w:t>
      </w:r>
    </w:p>
    <w:p>
      <w:pPr>
        <w:spacing w:after="0" w:line="18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Market Risk Disclosure</w:t>
      </w:r>
      <w:r>
        <w:rPr>
          <w:rFonts w:ascii="Arial" w:cs="Arial" w:eastAsia="Arial" w:hAnsi="Arial"/>
          <w:sz w:val="18"/>
          <w:szCs w:val="18"/>
          <w:color w:val="auto"/>
        </w:rPr>
        <w:t>” in Management’s Discussion and Analysis (Item 7).</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2" w:lineRule="exact"/>
        <w:rPr>
          <w:sz w:val="20"/>
          <w:szCs w:val="20"/>
          <w:color w:val="auto"/>
        </w:rPr>
      </w:pPr>
    </w:p>
    <w:p>
      <w:pPr>
        <w:ind w:left="8" w:right="919" w:firstLine="747"/>
        <w:spacing w:after="0" w:line="277" w:lineRule="auto"/>
        <w:rPr>
          <w:sz w:val="20"/>
          <w:szCs w:val="20"/>
          <w:color w:val="auto"/>
        </w:rPr>
      </w:pPr>
      <w:r>
        <w:rPr>
          <w:rFonts w:ascii="Arial" w:cs="Arial" w:eastAsia="Arial" w:hAnsi="Arial"/>
          <w:sz w:val="18"/>
          <w:szCs w:val="18"/>
          <w:color w:val="auto"/>
        </w:rPr>
        <w:t>The following financial statements and reports of independent registered public accounting firm are filed with this report as pages 33 through 51 following the signature page:</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198" w:lineRule="exact"/>
        <w:rPr>
          <w:sz w:val="20"/>
          <w:szCs w:val="20"/>
          <w:color w:val="auto"/>
        </w:rPr>
      </w:pPr>
    </w:p>
    <w:p>
      <w:pPr>
        <w:ind w:left="368"/>
        <w:spacing w:after="0"/>
        <w:rPr>
          <w:sz w:val="20"/>
          <w:szCs w:val="20"/>
          <w:color w:val="auto"/>
        </w:rPr>
      </w:pPr>
      <w:r>
        <w:rPr>
          <w:rFonts w:ascii="Arial" w:cs="Arial" w:eastAsia="Arial" w:hAnsi="Arial"/>
          <w:sz w:val="18"/>
          <w:szCs w:val="18"/>
          <w:color w:val="auto"/>
        </w:rPr>
        <w:t>Consolidated Balance Sheets as of December 31, 2008 and 2007</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Consolidated Statements of Income for the years ended December 31, 2008, 2007 and 2006</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Consolidated Statements of Shareholders’ Investment for the years ended December 31, 2008, 2007 and 2006</w:t>
      </w:r>
    </w:p>
    <w:p>
      <w:pPr>
        <w:spacing w:after="0" w:line="198" w:lineRule="exact"/>
        <w:rPr>
          <w:sz w:val="20"/>
          <w:szCs w:val="20"/>
          <w:color w:val="auto"/>
        </w:rPr>
      </w:pPr>
    </w:p>
    <w:p>
      <w:pPr>
        <w:ind w:left="368"/>
        <w:spacing w:after="0"/>
        <w:rPr>
          <w:sz w:val="20"/>
          <w:szCs w:val="20"/>
          <w:color w:val="auto"/>
        </w:rPr>
      </w:pPr>
      <w:r>
        <w:rPr>
          <w:rFonts w:ascii="Arial" w:cs="Arial" w:eastAsia="Arial" w:hAnsi="Arial"/>
          <w:sz w:val="18"/>
          <w:szCs w:val="18"/>
          <w:color w:val="auto"/>
        </w:rPr>
        <w:t>Consolidated Statements of Cash Flows for the years ended December 31, 2008, 2007 and 2006</w:t>
      </w:r>
    </w:p>
    <w:p>
      <w:pPr>
        <w:spacing w:after="0" w:line="22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Selected quarterly financial data for the past two years appears in the following table:</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9"/>
          </w:tcPr>
          <w:p>
            <w:pPr>
              <w:jc w:val="center"/>
              <w:ind w:left="450"/>
              <w:spacing w:after="0"/>
              <w:rPr>
                <w:sz w:val="20"/>
                <w:szCs w:val="20"/>
                <w:color w:val="auto"/>
              </w:rPr>
            </w:pPr>
            <w:r>
              <w:rPr>
                <w:rFonts w:ascii="Arial" w:cs="Arial" w:eastAsia="Arial" w:hAnsi="Arial"/>
                <w:sz w:val="18"/>
                <w:szCs w:val="18"/>
                <w:color w:val="auto"/>
                <w:w w:val="91"/>
              </w:rPr>
              <w:t>Quarterly Results of Operations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11"/>
          </w:tcPr>
          <w:p>
            <w:pPr>
              <w:jc w:val="center"/>
              <w:ind w:right="360"/>
              <w:spacing w:after="0"/>
              <w:rPr>
                <w:sz w:val="20"/>
                <w:szCs w:val="20"/>
                <w:color w:val="auto"/>
              </w:rPr>
            </w:pPr>
            <w:r>
              <w:rPr>
                <w:rFonts w:ascii="Arial" w:cs="Arial" w:eastAsia="Arial" w:hAnsi="Arial"/>
                <w:sz w:val="18"/>
                <w:szCs w:val="18"/>
                <w:color w:val="auto"/>
                <w:w w:val="88"/>
              </w:rPr>
              <w:t>(in thousands, except per share data)</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5"/>
              <w:spacing w:after="0"/>
              <w:rPr>
                <w:sz w:val="20"/>
                <w:szCs w:val="20"/>
                <w:color w:val="auto"/>
              </w:rPr>
            </w:pPr>
            <w:r>
              <w:rPr>
                <w:rFonts w:ascii="Arial" w:cs="Arial" w:eastAsia="Arial" w:hAnsi="Arial"/>
                <w:sz w:val="18"/>
                <w:szCs w:val="18"/>
                <w:color w:val="auto"/>
              </w:rPr>
              <w:t>First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5"/>
          </w:tcPr>
          <w:p>
            <w:pPr>
              <w:jc w:val="right"/>
              <w:ind w:right="86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Third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Fourth</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2008</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2007</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2007</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2007</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2008</w:t>
            </w: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2007</w:t>
            </w:r>
          </w:p>
        </w:tc>
        <w:tc>
          <w:tcPr>
            <w:tcW w:w="8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177,970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157,206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170,492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163,480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153,057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162,525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122,281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170,723</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62,647</w:t>
            </w: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54,579</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59,080</w:t>
            </w: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57,697</w:t>
            </w: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46,697</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57,002</w:t>
            </w:r>
          </w:p>
        </w:tc>
        <w:tc>
          <w:tcPr>
            <w:tcW w:w="10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34,703</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58,420</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39,987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9,765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33,724</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30,448</w:t>
            </w:r>
          </w:p>
        </w:tc>
        <w:tc>
          <w:tcPr>
            <w:tcW w:w="1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29,498</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26,858</w:t>
            </w:r>
          </w:p>
        </w:tc>
        <w:tc>
          <w:tcPr>
            <w:tcW w:w="10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30,956</w:t>
            </w:r>
          </w:p>
        </w:tc>
        <w:tc>
          <w:tcPr>
            <w:tcW w:w="8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15,147</w:t>
            </w:r>
          </w:p>
        </w:tc>
        <w:tc>
          <w:tcPr>
            <w:tcW w:w="10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29,826</w:t>
            </w: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(10,365)</w:t>
            </w:r>
          </w:p>
        </w:tc>
        <w:tc>
          <w:tcPr>
            <w:tcW w:w="10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31,850</w:t>
            </w: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338"/>
        </w:trPr>
        <w:tc>
          <w:tcPr>
            <w:tcW w:w="1720" w:type="dxa"/>
            <w:vAlign w:val="bottom"/>
          </w:tcPr>
          <w:p>
            <w:pPr>
              <w:spacing w:after="0"/>
              <w:rPr>
                <w:sz w:val="20"/>
                <w:szCs w:val="20"/>
                <w:color w:val="auto"/>
              </w:rPr>
            </w:pPr>
            <w:r>
              <w:rPr>
                <w:rFonts w:ascii="Arial" w:cs="Arial" w:eastAsia="Arial" w:hAnsi="Arial"/>
                <w:sz w:val="18"/>
                <w:szCs w:val="18"/>
                <w:color w:val="auto"/>
              </w:rPr>
              <w:t>*   Diluted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748"/>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89" w:lineRule="exact"/>
        <w:rPr>
          <w:sz w:val="20"/>
          <w:szCs w:val="20"/>
          <w:color w:val="auto"/>
        </w:rPr>
      </w:pPr>
    </w:p>
    <w:p>
      <w:pPr>
        <w:ind w:right="639" w:firstLine="747"/>
        <w:spacing w:after="0" w:line="270" w:lineRule="auto"/>
        <w:rPr>
          <w:sz w:val="20"/>
          <w:szCs w:val="20"/>
          <w:color w:val="auto"/>
        </w:rPr>
      </w:pPr>
      <w:r>
        <w:rPr>
          <w:rFonts w:ascii="Arial" w:cs="Arial" w:eastAsia="Arial" w:hAnsi="Arial"/>
          <w:sz w:val="17"/>
          <w:szCs w:val="17"/>
          <w:color w:val="auto"/>
        </w:rPr>
        <w:t>As of December 31, 2008, an evaluation was performed under the supervision and with the participation of the Company’s management, including the CEO and CFO, of the effectiveness of the design and operation of the Company’s disclosure controls and procedures [(as defined in Exchange Act Rules 13a – 15(e) and 15d – 15(e)]. Based on that evaluation, the Company’s management, including the CEO and CFO, concluded that the Company’s disclosure controls and procedures were adequate and effective as of December 31, 2008, to ensure that material information relating to the Company would be made known to them by others within the Company, particularly during the period in which this Form 10-K was being prepared. During the period covered by this annual report, there have been no changes in the Company’s internal controls over financial reporting that have materially affected or are likely to materially affect the Company’s internal controls over financial reporting. There have been no significant changes in the Company’s internal controls or in other factors that could significantly affect internal controls subsequent to December 31, 2008.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02" w:lineRule="exact"/>
        <w:rPr>
          <w:sz w:val="20"/>
          <w:szCs w:val="20"/>
          <w:color w:val="auto"/>
        </w:rPr>
      </w:pPr>
    </w:p>
    <w:p>
      <w:pPr>
        <w:ind w:right="579" w:firstLine="747"/>
        <w:spacing w:after="0" w:line="270"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our management concluded that our internal control over financial reporting was effective as of December 31, 2008. The effectiveness of the Company’s internal control over financial reporting as of December 31, 2008, has been audited by Ernst &amp; Young LLP, an independent registered public accounting firm, as stated in their report, which is included on page 34 hereof.</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1" w:name="page32"/>
    <w:bookmarkEnd w:id="31"/>
    <w:p>
      <w:pPr>
        <w:ind w:left="430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599" w:firstLine="747"/>
        <w:spacing w:after="0" w:line="284" w:lineRule="auto"/>
        <w:rPr>
          <w:sz w:val="20"/>
          <w:szCs w:val="20"/>
          <w:color w:val="auto"/>
        </w:rPr>
      </w:pPr>
      <w:r>
        <w:rPr>
          <w:rFonts w:ascii="Arial" w:cs="Arial" w:eastAsia="Arial" w:hAnsi="Arial"/>
          <w:sz w:val="16"/>
          <w:szCs w:val="16"/>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2009 Annual Meeting of Shareholders and filed with the Commission within 120 days after the Company’s fiscal year end, December 31, 2008 (the “Proxy Statement”), is hereby incorporated herein by reference. No changes were made to the procedures by which shareholders may recommend nominees for the Board of Directors. Information concerning compliance with Section 16(a) of the Securities and Exchange Act of 1934 appearing under the caption</w:t>
      </w:r>
    </w:p>
    <w:p>
      <w:pPr>
        <w:spacing w:after="0" w:line="5" w:lineRule="exact"/>
        <w:rPr>
          <w:sz w:val="20"/>
          <w:szCs w:val="20"/>
          <w:color w:val="auto"/>
        </w:rPr>
      </w:pPr>
    </w:p>
    <w:p>
      <w:pPr>
        <w:ind w:right="619"/>
        <w:spacing w:after="0" w:line="253" w:lineRule="auto"/>
        <w:rPr>
          <w:sz w:val="20"/>
          <w:szCs w:val="20"/>
          <w:color w:val="auto"/>
        </w:rPr>
      </w:pPr>
      <w:r>
        <w:rPr>
          <w:rFonts w:ascii="Arial" w:cs="Arial" w:eastAsia="Arial" w:hAnsi="Arial"/>
          <w:sz w:val="18"/>
          <w:szCs w:val="18"/>
          <w:color w:val="auto"/>
        </w:rPr>
        <w:t>“Section 16(A) Beneficial Ownership Reporting Compliance” in the definitive Proxy Statement is hereby incorporated herein by reference. Information relating to the Company’s Audit Committee and concerning whether at least one member of the Audit Committee is an “audit committee financial expert” as that term is defined under Item 407 (d)(5) of Regulation S-K appearing under the caption “Corporate Governance — Audit Committee” in the definitive Proxy Statement is hereby incorporated by reference.</w:t>
      </w:r>
    </w:p>
    <w:p>
      <w:pPr>
        <w:spacing w:after="0" w:line="151" w:lineRule="exact"/>
        <w:rPr>
          <w:sz w:val="20"/>
          <w:szCs w:val="20"/>
          <w:color w:val="auto"/>
        </w:rPr>
      </w:pPr>
    </w:p>
    <w:p>
      <w:pPr>
        <w:ind w:right="599" w:firstLine="747"/>
        <w:spacing w:after="0" w:line="255"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jc w:val="both"/>
        <w:ind w:right="959" w:firstLine="747"/>
        <w:spacing w:after="0" w:line="279" w:lineRule="auto"/>
        <w:rPr>
          <w:sz w:val="20"/>
          <w:szCs w:val="20"/>
          <w:color w:val="auto"/>
        </w:rPr>
      </w:pPr>
      <w:r>
        <w:rPr>
          <w:rFonts w:ascii="Arial" w:cs="Arial" w:eastAsia="Arial" w:hAnsi="Arial"/>
          <w:sz w:val="17"/>
          <w:szCs w:val="17"/>
          <w:color w:val="auto"/>
        </w:rPr>
        <w:t>The information contained under the caption “Compensation Committee Report”, “Compensation Discussion and Analysis,” “Executive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4" w:lineRule="exact"/>
        <w:rPr>
          <w:sz w:val="20"/>
          <w:szCs w:val="20"/>
          <w:color w:val="auto"/>
        </w:rPr>
      </w:pPr>
    </w:p>
    <w:p>
      <w:pPr>
        <w:ind w:right="639" w:firstLine="747"/>
        <w:spacing w:after="0" w:line="259" w:lineRule="auto"/>
        <w:rPr>
          <w:sz w:val="20"/>
          <w:szCs w:val="20"/>
          <w:color w:val="auto"/>
        </w:rPr>
      </w:pPr>
      <w:r>
        <w:rPr>
          <w:rFonts w:ascii="Arial" w:cs="Arial" w:eastAsia="Arial" w:hAnsi="Arial"/>
          <w:sz w:val="18"/>
          <w:szCs w:val="18"/>
          <w:color w:val="auto"/>
        </w:rPr>
        <w:t>The information contained under the captions “Common Stock Ownership of Management”, “Common Stock Ownership of Certain Beneficial Owners”, and “Equity Compensation Plan Summary” contained in the definitive Proxy Statement is hereby incorporated herein by reference. There are no arrangements known to the registrant, the operation of which may at a subsequent date result in a change in control.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799" w:firstLine="747"/>
        <w:spacing w:after="0" w:line="264" w:lineRule="auto"/>
        <w:rPr>
          <w:sz w:val="20"/>
          <w:szCs w:val="20"/>
          <w:color w:val="auto"/>
        </w:rPr>
      </w:pPr>
      <w:r>
        <w:rPr>
          <w:rFonts w:ascii="Arial" w:cs="Arial" w:eastAsia="Arial" w:hAnsi="Arial"/>
          <w:sz w:val="18"/>
          <w:szCs w:val="18"/>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619" w:firstLine="747"/>
        <w:spacing w:after="0" w:line="276" w:lineRule="auto"/>
        <w:rPr>
          <w:sz w:val="20"/>
          <w:szCs w:val="20"/>
          <w:color w:val="auto"/>
        </w:rPr>
      </w:pPr>
      <w:r>
        <w:rPr>
          <w:rFonts w:ascii="Arial" w:cs="Arial" w:eastAsia="Arial" w:hAnsi="Arial"/>
          <w:sz w:val="17"/>
          <w:szCs w:val="17"/>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by reference.</w:t>
      </w: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Item 15. Exhibits, Financial Statement Schedules and Reports on Form 8-K.</w:t>
      </w:r>
    </w:p>
    <w:p>
      <w:pPr>
        <w:spacing w:after="0" w:line="214" w:lineRule="exact"/>
        <w:rPr>
          <w:sz w:val="20"/>
          <w:szCs w:val="20"/>
          <w:color w:val="auto"/>
        </w:rPr>
      </w:pPr>
    </w:p>
    <w:p>
      <w:pPr>
        <w:ind w:left="1080" w:hanging="345"/>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 Financial Statements. See Item 8.</w:t>
      </w:r>
    </w:p>
    <w:p>
      <w:pPr>
        <w:spacing w:after="0" w:line="184" w:lineRule="exact"/>
        <w:rPr>
          <w:rFonts w:ascii="Arial" w:cs="Arial" w:eastAsia="Arial" w:hAnsi="Arial"/>
          <w:sz w:val="18"/>
          <w:szCs w:val="18"/>
          <w:color w:val="auto"/>
        </w:rPr>
      </w:pPr>
    </w:p>
    <w:p>
      <w:pPr>
        <w:ind w:left="1460" w:hanging="360"/>
        <w:spacing w:after="0"/>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Financial Statements Schedules. None required or not applicable.</w:t>
      </w:r>
    </w:p>
    <w:p>
      <w:pPr>
        <w:spacing w:after="0" w:line="180" w:lineRule="exact"/>
        <w:rPr>
          <w:rFonts w:ascii="Arial" w:cs="Arial" w:eastAsia="Arial" w:hAnsi="Arial"/>
          <w:sz w:val="16"/>
          <w:szCs w:val="16"/>
          <w:color w:val="auto"/>
        </w:rPr>
      </w:pPr>
    </w:p>
    <w:p>
      <w:pPr>
        <w:ind w:left="1460" w:hanging="360"/>
        <w:spacing w:after="0"/>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Exhibits. See Exhibit Index located on page 52.</w:t>
      </w:r>
    </w:p>
    <w:p>
      <w:pPr>
        <w:spacing w:after="0" w:line="184" w:lineRule="exact"/>
        <w:rPr>
          <w:rFonts w:ascii="Arial" w:cs="Arial" w:eastAsia="Arial" w:hAnsi="Arial"/>
          <w:sz w:val="18"/>
          <w:szCs w:val="18"/>
          <w:color w:val="auto"/>
        </w:rPr>
      </w:pPr>
    </w:p>
    <w:p>
      <w:pPr>
        <w:ind w:left="1080" w:hanging="345"/>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157" w:lineRule="exact"/>
        <w:rPr>
          <w:rFonts w:ascii="Arial" w:cs="Arial" w:eastAsia="Arial" w:hAnsi="Arial"/>
          <w:sz w:val="18"/>
          <w:szCs w:val="18"/>
          <w:color w:val="auto"/>
        </w:rPr>
      </w:pPr>
    </w:p>
    <w:p>
      <w:pPr>
        <w:ind w:left="1080" w:hanging="345"/>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(a) above.</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560" w:hanging="95"/>
        <w:spacing w:after="0"/>
        <w:tabs>
          <w:tab w:leader="none" w:pos="45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3" w:name="page34"/>
    <w:bookmarkEnd w:id="33"/>
    <w:p>
      <w:pPr>
        <w:ind w:left="4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2080" w:firstLine="747"/>
        <w:spacing w:after="0" w:line="277"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tabs>
          <w:tab w:leader="none" w:pos="4620" w:val="left"/>
        </w:tabs>
        <w:rPr>
          <w:sz w:val="20"/>
          <w:szCs w:val="20"/>
          <w:color w:val="auto"/>
        </w:rPr>
      </w:pPr>
      <w:r>
        <w:rPr>
          <w:rFonts w:ascii="Arial" w:cs="Arial" w:eastAsia="Arial" w:hAnsi="Arial"/>
          <w:sz w:val="18"/>
          <w:szCs w:val="18"/>
          <w:color w:val="auto"/>
        </w:rPr>
        <w:t>Dated: February 19, 2009</w:t>
      </w:r>
      <w:r>
        <w:rPr>
          <w:sz w:val="20"/>
          <w:szCs w:val="20"/>
          <w:color w:val="auto"/>
        </w:rPr>
        <w:tab/>
      </w:r>
      <w:r>
        <w:rPr>
          <w:rFonts w:ascii="Arial" w:cs="Arial" w:eastAsia="Arial" w:hAnsi="Arial"/>
          <w:sz w:val="17"/>
          <w:szCs w:val="17"/>
          <w:color w:val="auto"/>
        </w:rPr>
        <w:t>GENTEX CORPORATION</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Fred Bauer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Fred Bauer, Chairman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-130810</wp:posOffset>
            </wp:positionV>
            <wp:extent cx="21183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Steven Dykman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Steven Dykman, Vice President-Finance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-130810</wp:posOffset>
            </wp:positionV>
            <wp:extent cx="21183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left="340" w:right="2020" w:firstLine="747"/>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this 19th day of February, 2009, by the following persons on behalf of the registrant and in the capacities indicated.</w:t>
      </w:r>
    </w:p>
    <w:p>
      <w:pPr>
        <w:spacing w:after="0" w:line="106" w:lineRule="exact"/>
        <w:rPr>
          <w:sz w:val="20"/>
          <w:szCs w:val="20"/>
          <w:color w:val="auto"/>
        </w:rPr>
      </w:pPr>
    </w:p>
    <w:p>
      <w:pPr>
        <w:ind w:left="340" w:right="1860" w:firstLine="747"/>
        <w:spacing w:after="0" w:line="286" w:lineRule="auto"/>
        <w:rPr>
          <w:sz w:val="20"/>
          <w:szCs w:val="20"/>
          <w:color w:val="auto"/>
        </w:rPr>
      </w:pPr>
      <w:r>
        <w:rPr>
          <w:rFonts w:ascii="Arial" w:cs="Arial" w:eastAsia="Arial" w:hAnsi="Arial"/>
          <w:sz w:val="17"/>
          <w:szCs w:val="17"/>
          <w:color w:val="auto"/>
        </w:rPr>
        <w:t>Each Director of the registrant whose signature appears below hereby appoints Enoch Jen and Steve Dykman, each of them individually, as his attorney-in-fact to sign in his name and on his behalf, and to file with the Commission any and all amendments to this report on Form 10-K to the same extent and with the same effect as if done personally.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 Bauer</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Fred Bauer</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Goode</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Gary Goode</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La Grand</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Kenneth La Grand</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Arlyn Lanting</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Arlyn Lanting</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Mulder</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John Mulder</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Rande Somma</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Rande Somma</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 Sotok</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Fred Sotok</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Wallace Tsuha</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Wallace Tsuha</w:t>
            </w:r>
          </w:p>
        </w:tc>
        <w:tc>
          <w:tcPr>
            <w:tcW w:w="6880" w:type="dxa"/>
            <w:vAlign w:val="bottom"/>
          </w:tcPr>
          <w:p>
            <w:pPr>
              <w:spacing w:after="0"/>
              <w:rPr>
                <w:sz w:val="19"/>
                <w:szCs w:val="19"/>
                <w:color w:val="auto"/>
              </w:rPr>
            </w:pPr>
          </w:p>
        </w:tc>
      </w:tr>
      <w:tr>
        <w:trPr>
          <w:trHeight w:val="431"/>
        </w:trPr>
        <w:tc>
          <w:tcPr>
            <w:tcW w:w="340" w:type="dxa"/>
            <w:vAlign w:val="bottom"/>
          </w:tcPr>
          <w:p>
            <w:pPr>
              <w:spacing w:after="0"/>
              <w:rPr>
                <w:sz w:val="24"/>
                <w:szCs w:val="24"/>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Wallace</w:t>
            </w:r>
          </w:p>
        </w:tc>
        <w:tc>
          <w:tcPr>
            <w:tcW w:w="6880" w:type="dxa"/>
            <w:vAlign w:val="bottom"/>
          </w:tcPr>
          <w:p>
            <w:pPr>
              <w:ind w:left="460"/>
              <w:spacing w:after="0"/>
              <w:rPr>
                <w:sz w:val="20"/>
                <w:szCs w:val="20"/>
                <w:color w:val="auto"/>
              </w:rPr>
            </w:pPr>
            <w:r>
              <w:rPr>
                <w:rFonts w:ascii="Arial" w:cs="Arial" w:eastAsia="Arial" w:hAnsi="Arial"/>
                <w:sz w:val="18"/>
                <w:szCs w:val="18"/>
                <w:color w:val="auto"/>
              </w:rPr>
              <w:t>Director</w:t>
            </w:r>
          </w:p>
        </w:tc>
      </w:tr>
      <w:tr>
        <w:trPr>
          <w:trHeight w:val="224"/>
        </w:trPr>
        <w:tc>
          <w:tcPr>
            <w:tcW w:w="3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James Wallace</w:t>
            </w:r>
          </w:p>
        </w:tc>
        <w:tc>
          <w:tcPr>
            <w:tcW w:w="6880" w:type="dxa"/>
            <w:vAlign w:val="bottom"/>
          </w:tcPr>
          <w:p>
            <w:pPr>
              <w:spacing w:after="0"/>
              <w:rPr>
                <w:sz w:val="19"/>
                <w:szCs w:val="19"/>
                <w:color w:val="auto"/>
              </w:rPr>
            </w:pPr>
          </w:p>
        </w:tc>
      </w:tr>
      <w:tr>
        <w:trPr>
          <w:trHeight w:val="796"/>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880" w:type="dxa"/>
            <w:vAlign w:val="bottom"/>
          </w:tcPr>
          <w:p>
            <w:pPr>
              <w:ind w:left="260"/>
              <w:spacing w:after="0"/>
              <w:rPr>
                <w:sz w:val="20"/>
                <w:szCs w:val="20"/>
                <w:color w:val="auto"/>
              </w:rPr>
            </w:pPr>
            <w:r>
              <w:rPr>
                <w:rFonts w:ascii="Arial" w:cs="Arial" w:eastAsia="Arial" w:hAnsi="Arial"/>
                <w:sz w:val="18"/>
                <w:szCs w:val="18"/>
                <w:color w:val="auto"/>
              </w:rPr>
              <w:t>- 32 -</w:t>
            </w:r>
          </w:p>
        </w:tc>
      </w:tr>
      <w:tr>
        <w:trPr>
          <w:trHeight w:val="226"/>
        </w:trPr>
        <w:tc>
          <w:tcPr>
            <w:tcW w:w="34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6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4" w:name="page35"/>
    <w:bookmarkEnd w:id="34"/>
    <w:p>
      <w:pPr>
        <w:ind w:left="2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Gentex Corporation:</w:t>
      </w:r>
    </w:p>
    <w:p>
      <w:pPr>
        <w:spacing w:after="0" w:line="185" w:lineRule="exact"/>
        <w:rPr>
          <w:sz w:val="20"/>
          <w:szCs w:val="20"/>
          <w:color w:val="auto"/>
        </w:rPr>
      </w:pPr>
    </w:p>
    <w:p>
      <w:pPr>
        <w:ind w:right="579"/>
        <w:spacing w:after="0" w:line="279" w:lineRule="auto"/>
        <w:rPr>
          <w:sz w:val="20"/>
          <w:szCs w:val="20"/>
          <w:color w:val="auto"/>
        </w:rPr>
      </w:pPr>
      <w:r>
        <w:rPr>
          <w:rFonts w:ascii="Arial" w:cs="Arial" w:eastAsia="Arial" w:hAnsi="Arial"/>
          <w:sz w:val="17"/>
          <w:szCs w:val="17"/>
          <w:color w:val="auto"/>
        </w:rPr>
        <w:t>We have audited the accompanying consolidated balance sheets of Gentex Corporation and subsidiaries as of December 31, 2008 and 2007, and the related consolidated statements of income, shareholders’ investment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131" w:lineRule="exact"/>
        <w:rPr>
          <w:sz w:val="20"/>
          <w:szCs w:val="20"/>
          <w:color w:val="auto"/>
        </w:rPr>
      </w:pPr>
    </w:p>
    <w:p>
      <w:pPr>
        <w:ind w:right="599"/>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63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Gentex Corporation and subsidiaries at December 31, 2008 and 2007, and the consolidated results of their operations and their cash flows for each of the three years in the period ended December 31, 2008, in conformity with U.S. generally accepted accounting principles.</w:t>
      </w:r>
    </w:p>
    <w:p>
      <w:pPr>
        <w:spacing w:after="0" w:line="146" w:lineRule="exact"/>
        <w:rPr>
          <w:sz w:val="20"/>
          <w:szCs w:val="20"/>
          <w:color w:val="auto"/>
        </w:rPr>
      </w:pPr>
    </w:p>
    <w:p>
      <w:pPr>
        <w:ind w:right="679"/>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Gentex Corporation’s internal control over financial reporting as of December 31, 2008, based on criteria established in Internal Control—Integrated Framework issued by the Committee of Sponsoring Organizations of the Treadway Commission and our report dated February 18, 2009 expressed an unqualified opinion thereon.</w:t>
      </w:r>
    </w:p>
    <w:p>
      <w:pPr>
        <w:spacing w:after="0" w:line="13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2009</w:t>
      </w:r>
    </w:p>
    <w:p>
      <w:pPr>
        <w:spacing w:after="0" w:line="200" w:lineRule="exact"/>
        <w:rPr>
          <w:sz w:val="20"/>
          <w:szCs w:val="20"/>
          <w:color w:val="auto"/>
        </w:rPr>
      </w:pPr>
    </w:p>
    <w:p>
      <w:pPr>
        <w:spacing w:after="0" w:line="3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35" w:name="page36"/>
    <w:bookmarkEnd w:id="35"/>
    <w:p>
      <w:pPr>
        <w:jc w:val="center"/>
        <w:ind w:right="551"/>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Board of Directors and Shareholders of Gentex Corporation:</w:t>
      </w:r>
    </w:p>
    <w:p>
      <w:pPr>
        <w:spacing w:after="0" w:line="185" w:lineRule="exact"/>
        <w:rPr>
          <w:sz w:val="20"/>
          <w:szCs w:val="20"/>
          <w:color w:val="auto"/>
        </w:rPr>
      </w:pPr>
    </w:p>
    <w:p>
      <w:pPr>
        <w:ind w:left="8" w:right="559"/>
        <w:spacing w:after="0" w:line="273" w:lineRule="auto"/>
        <w:rPr>
          <w:sz w:val="20"/>
          <w:szCs w:val="20"/>
          <w:color w:val="auto"/>
        </w:rPr>
      </w:pPr>
      <w:r>
        <w:rPr>
          <w:rFonts w:ascii="Arial" w:cs="Arial" w:eastAsia="Arial" w:hAnsi="Arial"/>
          <w:sz w:val="17"/>
          <w:szCs w:val="17"/>
          <w:color w:val="auto"/>
        </w:rPr>
        <w:t>We have audited Gentex Corporation’s internal control over financial reporting as of December 31, 2008, based on criteria established in Internal Control — Integrated Framework issued by the Committee of Sponsoring Organizations of the Treadway Commission (the COSO criteria). Gentex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38" w:lineRule="exact"/>
        <w:rPr>
          <w:sz w:val="20"/>
          <w:szCs w:val="20"/>
          <w:color w:val="auto"/>
        </w:rPr>
      </w:pPr>
    </w:p>
    <w:p>
      <w:pPr>
        <w:ind w:left="8" w:right="559"/>
        <w:spacing w:after="0" w:line="29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ind w:left="8" w:right="619"/>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8" w:right="699" w:hanging="8"/>
        <w:spacing w:after="0" w:line="270" w:lineRule="auto"/>
        <w:tabs>
          <w:tab w:leader="none" w:pos="263"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left="8" w:right="105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ind w:left="8" w:right="779"/>
        <w:spacing w:after="0" w:line="277" w:lineRule="auto"/>
        <w:rPr>
          <w:sz w:val="20"/>
          <w:szCs w:val="20"/>
          <w:color w:val="auto"/>
        </w:rPr>
      </w:pPr>
      <w:r>
        <w:rPr>
          <w:rFonts w:ascii="Arial" w:cs="Arial" w:eastAsia="Arial" w:hAnsi="Arial"/>
          <w:sz w:val="18"/>
          <w:szCs w:val="18"/>
          <w:color w:val="auto"/>
        </w:rPr>
        <w:t>In our opinion, Gentex Corporation maintained, in all material respects, effective internal control over financial reporting as of December 31, 2008, based on the COSO criteria.</w:t>
      </w:r>
    </w:p>
    <w:p>
      <w:pPr>
        <w:spacing w:after="0" w:line="143" w:lineRule="exact"/>
        <w:rPr>
          <w:sz w:val="20"/>
          <w:szCs w:val="20"/>
          <w:color w:val="auto"/>
        </w:rPr>
      </w:pPr>
    </w:p>
    <w:p>
      <w:pPr>
        <w:ind w:left="8" w:right="559"/>
        <w:spacing w:after="0" w:line="279" w:lineRule="auto"/>
        <w:rPr>
          <w:sz w:val="20"/>
          <w:szCs w:val="20"/>
          <w:color w:val="auto"/>
        </w:rPr>
      </w:pPr>
      <w:r>
        <w:rPr>
          <w:rFonts w:ascii="Arial" w:cs="Arial" w:eastAsia="Arial" w:hAnsi="Arial"/>
          <w:sz w:val="17"/>
          <w:szCs w:val="17"/>
          <w:color w:val="auto"/>
        </w:rPr>
        <w:t>We also have audited, in accordance with standards of the Public Company Accounting Oversight Board (United States), the consolidated balance sheets of Gentex Corporation as of December 31, 2008 and 2007, and the related consolidated statements of income, shareholders’ investment, and cash flows for each of the three years in the period ended December 31, 2008 of Gentex Corporation and our report dated February 18, 2009 expressed an unqualified opinion thereon.</w:t>
      </w:r>
    </w:p>
    <w:p>
      <w:pPr>
        <w:spacing w:after="0" w:line="131"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February 18, 2009</w:t>
      </w:r>
    </w:p>
    <w:p>
      <w:pPr>
        <w:spacing w:after="0" w:line="200" w:lineRule="exact"/>
        <w:rPr>
          <w:sz w:val="20"/>
          <w:szCs w:val="20"/>
          <w:color w:val="auto"/>
        </w:rPr>
      </w:pPr>
    </w:p>
    <w:p>
      <w:pPr>
        <w:spacing w:after="0" w:line="376"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660" w:type="dxa"/>
            <w:vAlign w:val="bottom"/>
            <w:gridSpan w:val="7"/>
          </w:tcPr>
          <w:p>
            <w:pPr>
              <w:jc w:val="center"/>
              <w:ind w:left="2570"/>
              <w:spacing w:after="0"/>
              <w:rPr>
                <w:sz w:val="20"/>
                <w:szCs w:val="20"/>
                <w:color w:val="auto"/>
              </w:rPr>
            </w:pPr>
            <w:r>
              <w:rPr>
                <w:rFonts w:ascii="Arial" w:cs="Arial" w:eastAsia="Arial" w:hAnsi="Arial"/>
                <w:sz w:val="18"/>
                <w:szCs w:val="18"/>
                <w:color w:val="auto"/>
                <w:w w:val="96"/>
              </w:rPr>
              <w:t>GENTEX CORPORATION AND SUBSIDIARIES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5"/>
        </w:trPr>
        <w:tc>
          <w:tcPr>
            <w:tcW w:w="28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34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6"/>
              </w:rPr>
              <w:t>CONSOLIDATED BALANCE SHEETS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20" w:type="dxa"/>
            <w:vAlign w:val="bottom"/>
            <w:gridSpan w:val="5"/>
          </w:tcPr>
          <w:p>
            <w:pPr>
              <w:jc w:val="center"/>
              <w:ind w:right="480"/>
              <w:spacing w:after="0"/>
              <w:rPr>
                <w:sz w:val="20"/>
                <w:szCs w:val="20"/>
                <w:color w:val="auto"/>
              </w:rPr>
            </w:pPr>
            <w:r>
              <w:rPr>
                <w:rFonts w:ascii="Arial" w:cs="Arial" w:eastAsia="Arial" w:hAnsi="Arial"/>
                <w:sz w:val="18"/>
                <w:szCs w:val="18"/>
                <w:color w:val="auto"/>
                <w:w w:val="93"/>
              </w:rPr>
              <w:t>AS OF DECEMBER 31, 2008 AND 2007</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r>
      <w:tr>
        <w:trPr>
          <w:trHeight w:val="210"/>
        </w:trPr>
        <w:tc>
          <w:tcPr>
            <w:tcW w:w="66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66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294,306,512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317,717,093</w:t>
            </w:r>
          </w:p>
        </w:tc>
      </w:tr>
      <w:tr>
        <w:trPr>
          <w:trHeight w:val="216"/>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29,177,273</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80,271,688</w:t>
            </w: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44,528,810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64,181,511</w:t>
            </w:r>
          </w:p>
        </w:tc>
      </w:tr>
      <w:tr>
        <w:trPr>
          <w:trHeight w:val="216"/>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54,993,855</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48,049,560</w:t>
            </w: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34,145,509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18,274,096</w:t>
            </w:r>
          </w:p>
        </w:tc>
      </w:tr>
      <w:tr>
        <w:trPr>
          <w:trHeight w:val="20"/>
        </w:trPr>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660" w:type="dxa"/>
            <w:vAlign w:val="bottom"/>
            <w:gridSpan w:val="7"/>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457,151,959</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528,493,948</w:t>
            </w:r>
          </w:p>
        </w:tc>
      </w:tr>
      <w:tr>
        <w:trPr>
          <w:trHeight w:val="216"/>
        </w:trPr>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PLANT AND EQUIPMENT: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Land, buildings and improvements</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111,240,060</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101,215,484</w:t>
            </w: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306,301,187</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260,619,845</w:t>
            </w:r>
          </w:p>
        </w:tc>
      </w:tr>
      <w:tr>
        <w:trPr>
          <w:trHeight w:val="216"/>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Construction-in-process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12,807,041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26,331,641</w:t>
            </w:r>
          </w:p>
        </w:tc>
      </w:tr>
      <w:tr>
        <w:trPr>
          <w:trHeight w:val="27"/>
        </w:trPr>
        <w:tc>
          <w:tcPr>
            <w:tcW w:w="2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430,348,288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388,166,970</w:t>
            </w:r>
          </w:p>
        </w:tc>
      </w:tr>
      <w:tr>
        <w:trPr>
          <w:trHeight w:val="432"/>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Less-Accumulated depreciation and amortization</w:t>
            </w:r>
          </w:p>
        </w:tc>
        <w:tc>
          <w:tcPr>
            <w:tcW w:w="12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(215,396,569)</w:t>
            </w:r>
          </w:p>
        </w:tc>
        <w:tc>
          <w:tcPr>
            <w:tcW w:w="1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(182,557,299)</w:t>
            </w:r>
          </w:p>
        </w:tc>
      </w:tr>
      <w:tr>
        <w:trPr>
          <w:trHeight w:val="223"/>
        </w:trPr>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214,951,719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205,609,671</w:t>
            </w:r>
          </w:p>
        </w:tc>
      </w:tr>
      <w:tr>
        <w:trPr>
          <w:trHeight w:val="432"/>
        </w:trPr>
        <w:tc>
          <w:tcPr>
            <w:tcW w:w="6660" w:type="dxa"/>
            <w:vAlign w:val="bottom"/>
            <w:gridSpan w:val="7"/>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81,348,942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155,384,009</w:t>
            </w:r>
          </w:p>
        </w:tc>
      </w:tr>
      <w:tr>
        <w:trPr>
          <w:trHeight w:val="216"/>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Patents and other assets,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9,650,760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8,535,052</w:t>
            </w:r>
          </w:p>
        </w:tc>
      </w:tr>
      <w:tr>
        <w:trPr>
          <w:trHeight w:val="27"/>
        </w:trPr>
        <w:tc>
          <w:tcPr>
            <w:tcW w:w="2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90,999,702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163,919,061</w:t>
            </w:r>
          </w:p>
        </w:tc>
      </w:tr>
      <w:tr>
        <w:trPr>
          <w:trHeight w:val="20"/>
        </w:trPr>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763,103,380</w:t>
            </w:r>
          </w:p>
        </w:tc>
        <w:tc>
          <w:tcPr>
            <w:tcW w:w="3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898,022,680</w:t>
            </w:r>
          </w:p>
        </w:tc>
      </w:tr>
      <w:tr>
        <w:trPr>
          <w:trHeight w:val="20"/>
        </w:trPr>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LIABILITIES AND SHAREHOLDERS’ INVESTMENT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660" w:type="dxa"/>
            <w:vAlign w:val="bottom"/>
            <w:gridSpan w:val="7"/>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19,706,159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30,531,649</w:t>
            </w:r>
          </w:p>
        </w:tc>
      </w:tr>
      <w:tr>
        <w:trPr>
          <w:trHeight w:val="216"/>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gridSpan w:val="7"/>
            <w:shd w:val="clear" w:color="auto" w:fill="CCEEFF"/>
          </w:tcPr>
          <w:p>
            <w:pPr>
              <w:ind w:left="400"/>
              <w:spacing w:after="0"/>
              <w:rPr>
                <w:sz w:val="20"/>
                <w:szCs w:val="20"/>
                <w:color w:val="auto"/>
              </w:rPr>
            </w:pPr>
            <w:r>
              <w:rPr>
                <w:rFonts w:ascii="Arial" w:cs="Arial" w:eastAsia="Arial" w:hAnsi="Arial"/>
                <w:sz w:val="18"/>
                <w:szCs w:val="18"/>
                <w:color w:val="auto"/>
              </w:rPr>
              <w:t>Salaries, wages and vacation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5,001,952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5,149,599</w:t>
            </w:r>
          </w:p>
        </w:tc>
      </w:tr>
      <w:tr>
        <w:trPr>
          <w:trHeight w:val="216"/>
        </w:trPr>
        <w:tc>
          <w:tcPr>
            <w:tcW w:w="6660" w:type="dxa"/>
            <w:vAlign w:val="bottom"/>
            <w:gridSpan w:val="7"/>
          </w:tcPr>
          <w:p>
            <w:pPr>
              <w:ind w:left="40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3,671,258</w:t>
            </w:r>
          </w:p>
        </w:tc>
      </w:tr>
      <w:tr>
        <w:trPr>
          <w:trHeight w:val="216"/>
        </w:trPr>
        <w:tc>
          <w:tcPr>
            <w:tcW w:w="6660" w:type="dxa"/>
            <w:vAlign w:val="bottom"/>
            <w:gridSpan w:val="7"/>
            <w:shd w:val="clear" w:color="auto" w:fill="CCEEFF"/>
          </w:tcPr>
          <w:p>
            <w:pPr>
              <w:ind w:left="400"/>
              <w:spacing w:after="0"/>
              <w:rPr>
                <w:sz w:val="20"/>
                <w:szCs w:val="20"/>
                <w:color w:val="auto"/>
              </w:rPr>
            </w:pPr>
            <w:r>
              <w:rPr>
                <w:rFonts w:ascii="Arial" w:cs="Arial" w:eastAsia="Arial" w:hAnsi="Arial"/>
                <w:sz w:val="18"/>
                <w:szCs w:val="18"/>
                <w:color w:val="auto"/>
              </w:rPr>
              <w:t>Royalties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1,722,138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5,685,468</w:t>
            </w:r>
          </w:p>
        </w:tc>
      </w:tr>
      <w:tr>
        <w:trPr>
          <w:trHeight w:val="216"/>
        </w:trPr>
        <w:tc>
          <w:tcPr>
            <w:tcW w:w="6660" w:type="dxa"/>
            <w:vAlign w:val="bottom"/>
            <w:gridSpan w:val="7"/>
          </w:tcPr>
          <w:p>
            <w:pPr>
              <w:ind w:left="40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15,139,685</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15,199,200</w:t>
            </w:r>
          </w:p>
        </w:tc>
      </w:tr>
      <w:tr>
        <w:trPr>
          <w:trHeight w:val="216"/>
        </w:trPr>
        <w:tc>
          <w:tcPr>
            <w:tcW w:w="6660" w:type="dxa"/>
            <w:vAlign w:val="bottom"/>
            <w:gridSpan w:val="7"/>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7,902,504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8,125,531</w:t>
            </w:r>
          </w:p>
        </w:tc>
      </w:tr>
      <w:tr>
        <w:trPr>
          <w:trHeight w:val="20"/>
        </w:trPr>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6660" w:type="dxa"/>
            <w:vAlign w:val="bottom"/>
            <w:gridSpan w:val="7"/>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49,472,438</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68,362,705</w:t>
            </w:r>
          </w:p>
        </w:tc>
      </w:tr>
      <w:tr>
        <w:trPr>
          <w:trHeight w:val="216"/>
        </w:trPr>
        <w:tc>
          <w:tcPr>
            <w:tcW w:w="2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15,034,620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22,847,779</w:t>
            </w:r>
          </w:p>
        </w:tc>
      </w:tr>
      <w:tr>
        <w:trPr>
          <w:trHeight w:val="432"/>
        </w:trPr>
        <w:tc>
          <w:tcPr>
            <w:tcW w:w="6660" w:type="dxa"/>
            <w:vAlign w:val="bottom"/>
            <w:gridSpan w:val="7"/>
          </w:tcPr>
          <w:p>
            <w:pPr>
              <w:spacing w:after="0"/>
              <w:rPr>
                <w:sz w:val="20"/>
                <w:szCs w:val="20"/>
                <w:color w:val="auto"/>
              </w:rPr>
            </w:pPr>
            <w:r>
              <w:rPr>
                <w:rFonts w:ascii="Arial" w:cs="Arial" w:eastAsia="Arial" w:hAnsi="Arial"/>
                <w:sz w:val="18"/>
                <w:szCs w:val="18"/>
                <w:color w:val="auto"/>
              </w:rPr>
              <w:t>SHAREHOLDERS’ INVESTMENT:</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660" w:type="dxa"/>
            <w:vAlign w:val="bottom"/>
            <w:gridSpan w:val="7"/>
            <w:shd w:val="clear" w:color="auto" w:fill="CCEEFF"/>
          </w:tcPr>
          <w:p>
            <w:pPr>
              <w:ind w:left="200"/>
              <w:spacing w:after="0" w:line="201" w:lineRule="exact"/>
              <w:rPr>
                <w:sz w:val="20"/>
                <w:szCs w:val="20"/>
                <w:color w:val="auto"/>
              </w:rPr>
            </w:pPr>
            <w:r>
              <w:rPr>
                <w:rFonts w:ascii="Arial" w:cs="Arial" w:eastAsia="Arial" w:hAnsi="Arial"/>
                <w:sz w:val="18"/>
                <w:szCs w:val="18"/>
                <w:color w:val="auto"/>
              </w:rPr>
              <w:t>Preferred stock, no par value, 5,000,000 shares authorized; none issued or</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60" w:type="dxa"/>
            <w:vAlign w:val="bottom"/>
            <w:gridSpan w:val="7"/>
            <w:shd w:val="clear" w:color="auto" w:fill="CCEEFF"/>
          </w:tcPr>
          <w:p>
            <w:pPr>
              <w:ind w:left="40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6660" w:type="dxa"/>
            <w:vAlign w:val="bottom"/>
            <w:gridSpan w:val="7"/>
          </w:tcPr>
          <w:p>
            <w:pPr>
              <w:ind w:left="200"/>
              <w:spacing w:after="0" w:line="201" w:lineRule="exact"/>
              <w:rPr>
                <w:sz w:val="20"/>
                <w:szCs w:val="20"/>
                <w:color w:val="auto"/>
              </w:rPr>
            </w:pPr>
            <w:r>
              <w:rPr>
                <w:rFonts w:ascii="Arial" w:cs="Arial" w:eastAsia="Arial" w:hAnsi="Arial"/>
                <w:sz w:val="18"/>
                <w:szCs w:val="18"/>
                <w:color w:val="auto"/>
              </w:rPr>
              <w:t>Common stock, par value $.06 per share; 200,000,000 shares authorized;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60" w:type="dxa"/>
            <w:vAlign w:val="bottom"/>
            <w:gridSpan w:val="7"/>
          </w:tcPr>
          <w:p>
            <w:pPr>
              <w:ind w:left="400"/>
              <w:spacing w:after="0"/>
              <w:rPr>
                <w:sz w:val="20"/>
                <w:szCs w:val="20"/>
                <w:color w:val="auto"/>
              </w:rPr>
            </w:pPr>
            <w:r>
              <w:rPr>
                <w:rFonts w:ascii="Arial" w:cs="Arial" w:eastAsia="Arial" w:hAnsi="Arial"/>
                <w:sz w:val="18"/>
                <w:szCs w:val="18"/>
                <w:color w:val="auto"/>
                <w:w w:val="93"/>
              </w:rPr>
              <w:t>137,633,502 shares issued and outstanding in 2008 and 144,754,288 shares issued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60" w:type="dxa"/>
            <w:vAlign w:val="bottom"/>
            <w:gridSpan w:val="7"/>
          </w:tcPr>
          <w:p>
            <w:pPr>
              <w:ind w:left="400"/>
              <w:spacing w:after="0"/>
              <w:rPr>
                <w:sz w:val="20"/>
                <w:szCs w:val="20"/>
                <w:color w:val="auto"/>
              </w:rPr>
            </w:pPr>
            <w:r>
              <w:rPr>
                <w:rFonts w:ascii="Arial" w:cs="Arial" w:eastAsia="Arial" w:hAnsi="Arial"/>
                <w:sz w:val="18"/>
                <w:szCs w:val="18"/>
                <w:color w:val="auto"/>
              </w:rPr>
              <w:t>and outstanding in 2007</w:t>
            </w: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8,258,010</w:t>
            </w:r>
          </w:p>
        </w:tc>
        <w:tc>
          <w:tcPr>
            <w:tcW w:w="1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8,685,257</w:t>
            </w: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253,821,363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245,502,960</w:t>
            </w:r>
          </w:p>
        </w:tc>
      </w:tr>
      <w:tr>
        <w:trPr>
          <w:trHeight w:val="216"/>
        </w:trPr>
        <w:tc>
          <w:tcPr>
            <w:tcW w:w="6660" w:type="dxa"/>
            <w:vAlign w:val="bottom"/>
            <w:gridSpan w:val="7"/>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434,975,514</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530,290,281</w:t>
            </w:r>
          </w:p>
        </w:tc>
      </w:tr>
      <w:tr>
        <w:trPr>
          <w:trHeight w:val="216"/>
        </w:trPr>
        <w:tc>
          <w:tcPr>
            <w:tcW w:w="666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gridSpan w:val="7"/>
          </w:tcPr>
          <w:p>
            <w:pPr>
              <w:ind w:left="400"/>
              <w:spacing w:after="0"/>
              <w:rPr>
                <w:sz w:val="20"/>
                <w:szCs w:val="20"/>
                <w:color w:val="auto"/>
              </w:rPr>
            </w:pPr>
            <w:r>
              <w:rPr>
                <w:rFonts w:ascii="Arial" w:cs="Arial" w:eastAsia="Arial" w:hAnsi="Arial"/>
                <w:sz w:val="18"/>
                <w:szCs w:val="18"/>
                <w:color w:val="auto"/>
              </w:rPr>
              <w:t>Unrealized gain on investments</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383,426</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19,527,380</w:t>
            </w:r>
          </w:p>
        </w:tc>
      </w:tr>
      <w:tr>
        <w:trPr>
          <w:trHeight w:val="216"/>
        </w:trPr>
        <w:tc>
          <w:tcPr>
            <w:tcW w:w="6660" w:type="dxa"/>
            <w:vAlign w:val="bottom"/>
            <w:gridSpan w:val="7"/>
            <w:shd w:val="clear" w:color="auto" w:fill="CCEEFF"/>
          </w:tcPr>
          <w:p>
            <w:pPr>
              <w:ind w:left="40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1,158,009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2,806,318</w:t>
            </w:r>
          </w:p>
        </w:tc>
      </w:tr>
      <w:tr>
        <w:trPr>
          <w:trHeight w:val="223"/>
        </w:trPr>
        <w:tc>
          <w:tcPr>
            <w:tcW w:w="6660" w:type="dxa"/>
            <w:vAlign w:val="bottom"/>
            <w:gridSpan w:val="7"/>
          </w:tcPr>
          <w:p>
            <w:pPr>
              <w:ind w:left="600"/>
              <w:spacing w:after="0"/>
              <w:rPr>
                <w:sz w:val="20"/>
                <w:szCs w:val="20"/>
                <w:color w:val="auto"/>
              </w:rPr>
            </w:pPr>
            <w:r>
              <w:rPr>
                <w:rFonts w:ascii="Arial" w:cs="Arial" w:eastAsia="Arial" w:hAnsi="Arial"/>
                <w:sz w:val="18"/>
                <w:szCs w:val="18"/>
                <w:color w:val="auto"/>
              </w:rPr>
              <w:t>Total shareholders’ investment</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698,596,322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806,812,196</w:t>
            </w:r>
          </w:p>
        </w:tc>
        <w:tc>
          <w:tcPr>
            <w:tcW w:w="100" w:type="dxa"/>
            <w:vAlign w:val="bottom"/>
          </w:tcPr>
          <w:p>
            <w:pPr>
              <w:spacing w:after="0"/>
              <w:rPr>
                <w:sz w:val="19"/>
                <w:szCs w:val="19"/>
                <w:color w:val="auto"/>
              </w:rPr>
            </w:pPr>
          </w:p>
        </w:tc>
      </w:tr>
      <w:tr>
        <w:trPr>
          <w:trHeight w:val="223"/>
        </w:trPr>
        <w:tc>
          <w:tcPr>
            <w:tcW w:w="2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763,103,380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898,022,680</w:t>
            </w:r>
          </w:p>
        </w:tc>
      </w:tr>
      <w:tr>
        <w:trPr>
          <w:trHeight w:val="20"/>
        </w:trPr>
        <w:tc>
          <w:tcPr>
            <w:tcW w:w="2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18" w:right="1440" w:bottom="59" w:gutter="0" w:footer="0" w:header="0"/>
        </w:sectPr>
      </w:pPr>
    </w:p>
    <w:bookmarkStart w:id="37" w:name="page38"/>
    <w:bookmarkEnd w:id="37"/>
    <w:p>
      <w:pPr>
        <w:jc w:val="center"/>
        <w:ind w:right="55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CONSOLIDATED STATEMENTS OF INCOME</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FOR THE YEARS ENDED DECEMBER 31, 2008, 2007 AND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623,799,822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653,933,236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572,267,073</w:t>
            </w: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420,672,934</w:t>
            </w:r>
          </w:p>
        </w:tc>
        <w:tc>
          <w:tcPr>
            <w:tcW w:w="8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426,236,241</w:t>
            </w: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373,163,484</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203,126,888</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227,696,995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199,103,589</w:t>
            </w: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Engineering, research and development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51,888,922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50,715,057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41,773,792</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42,425,050</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35,280,846</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30,882,821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judgment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2,885,329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94,313,972</w:t>
            </w:r>
          </w:p>
        </w:tc>
        <w:tc>
          <w:tcPr>
            <w:tcW w:w="8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88,881,232</w:t>
            </w: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72,656,613</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108,812,916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138,815,763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126,446,976</w:t>
            </w: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dividend income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13,600,326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25,777,667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24,004,833</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Impairment loss on available-for-sale securities</w:t>
            </w: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(17,909,901)</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(12,308,480)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15,145,338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8,521,789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(16,618,055)</w:t>
            </w:r>
          </w:p>
        </w:tc>
        <w:tc>
          <w:tcPr>
            <w:tcW w:w="8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40,923,005</w:t>
            </w: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32,526,622</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92,194,861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179,738,768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158,973,598</w:t>
            </w: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30,106,914</w:t>
            </w:r>
          </w:p>
        </w:tc>
        <w:tc>
          <w:tcPr>
            <w:tcW w:w="8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57,608,747</w:t>
            </w: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50,212,596</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62,087,947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122,130,021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108,761,002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8" w:name="page39"/>
    <w:bookmarkEnd w:id="38"/>
    <w:p>
      <w:pPr>
        <w:jc w:val="center"/>
        <w:ind w:right="559"/>
        <w:spacing w:after="0"/>
        <w:rPr>
          <w:sz w:val="20"/>
          <w:szCs w:val="20"/>
          <w:color w:val="auto"/>
        </w:rPr>
      </w:pPr>
      <w:r>
        <w:rPr>
          <w:rFonts w:ascii="Arial" w:cs="Arial" w:eastAsia="Arial" w:hAnsi="Arial"/>
          <w:sz w:val="18"/>
          <w:szCs w:val="18"/>
          <w:color w:val="auto"/>
        </w:rPr>
        <w:t>GENTEX CORPORATION AND SUBSIDIARIES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CONSOLIDATED STATEMENT OF SHAREHOLDERS’ INVESTMENT</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FOR THE YEARS ENDED DECEMBER 31, 2008, 2007 and 2006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3"/>
          </w:tcPr>
          <w:p>
            <w:pPr>
              <w:spacing w:after="0"/>
              <w:rPr>
                <w:sz w:val="20"/>
                <w:szCs w:val="20"/>
                <w:color w:val="auto"/>
              </w:rPr>
            </w:pPr>
            <w:r>
              <w:rPr>
                <w:rFonts w:ascii="Arial" w:cs="Arial" w:eastAsia="Arial" w:hAnsi="Arial"/>
                <w:sz w:val="11"/>
                <w:szCs w:val="11"/>
                <w:color w:val="auto"/>
              </w:rPr>
              <w:t>Accumulated Other</w:t>
            </w:r>
          </w:p>
        </w:tc>
        <w:tc>
          <w:tcPr>
            <w:tcW w:w="6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Total</w:t>
            </w: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9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w w:val="87"/>
              </w:rPr>
              <w:t>Common Stock</w:t>
            </w:r>
          </w:p>
        </w:tc>
        <w:tc>
          <w:tcPr>
            <w:tcW w:w="920" w:type="dxa"/>
            <w:vAlign w:val="bottom"/>
            <w:gridSpan w:val="3"/>
          </w:tcPr>
          <w:p>
            <w:pPr>
              <w:spacing w:after="0" w:line="122" w:lineRule="exact"/>
              <w:rPr>
                <w:sz w:val="20"/>
                <w:szCs w:val="20"/>
                <w:color w:val="auto"/>
              </w:rPr>
            </w:pPr>
            <w:r>
              <w:rPr>
                <w:rFonts w:ascii="Arial" w:cs="Arial" w:eastAsia="Arial" w:hAnsi="Arial"/>
                <w:sz w:val="11"/>
                <w:szCs w:val="11"/>
                <w:color w:val="auto"/>
              </w:rPr>
              <w:t>Common Stock</w:t>
            </w:r>
          </w:p>
        </w:tc>
        <w:tc>
          <w:tcPr>
            <w:tcW w:w="1040" w:type="dxa"/>
            <w:vAlign w:val="bottom"/>
            <w:gridSpan w:val="3"/>
          </w:tcPr>
          <w:p>
            <w:pPr>
              <w:spacing w:after="0" w:line="122" w:lineRule="exact"/>
              <w:rPr>
                <w:sz w:val="20"/>
                <w:szCs w:val="20"/>
                <w:color w:val="auto"/>
              </w:rPr>
            </w:pPr>
            <w:r>
              <w:rPr>
                <w:rFonts w:ascii="Arial" w:cs="Arial" w:eastAsia="Arial" w:hAnsi="Arial"/>
                <w:sz w:val="11"/>
                <w:szCs w:val="11"/>
                <w:color w:val="auto"/>
              </w:rPr>
              <w:t>Additional Paid-In</w:t>
            </w:r>
          </w:p>
        </w:tc>
        <w:tc>
          <w:tcPr>
            <w:tcW w:w="920" w:type="dxa"/>
            <w:vAlign w:val="bottom"/>
            <w:gridSpan w:val="3"/>
          </w:tcPr>
          <w:p>
            <w:pPr>
              <w:spacing w:after="0" w:line="122" w:lineRule="exact"/>
              <w:rPr>
                <w:sz w:val="20"/>
                <w:szCs w:val="20"/>
                <w:color w:val="auto"/>
              </w:rPr>
            </w:pPr>
            <w:r>
              <w:rPr>
                <w:rFonts w:ascii="Arial" w:cs="Arial" w:eastAsia="Arial" w:hAnsi="Arial"/>
                <w:sz w:val="11"/>
                <w:szCs w:val="11"/>
                <w:color w:val="auto"/>
              </w:rPr>
              <w:t>Comprehensive</w:t>
            </w:r>
          </w:p>
        </w:tc>
        <w:tc>
          <w:tcPr>
            <w:tcW w:w="80" w:type="dxa"/>
            <w:vAlign w:val="bottom"/>
          </w:tcPr>
          <w:p>
            <w:pPr>
              <w:spacing w:after="0"/>
              <w:rPr>
                <w:sz w:val="10"/>
                <w:szCs w:val="10"/>
                <w:color w:val="auto"/>
              </w:rPr>
            </w:pPr>
          </w:p>
        </w:tc>
        <w:tc>
          <w:tcPr>
            <w:tcW w:w="840" w:type="dxa"/>
            <w:vAlign w:val="bottom"/>
            <w:gridSpan w:val="2"/>
          </w:tcPr>
          <w:p>
            <w:pPr>
              <w:jc w:val="right"/>
              <w:ind w:right="400"/>
              <w:spacing w:after="0" w:line="122" w:lineRule="exact"/>
              <w:rPr>
                <w:sz w:val="20"/>
                <w:szCs w:val="20"/>
                <w:color w:val="auto"/>
              </w:rPr>
            </w:pPr>
            <w:r>
              <w:rPr>
                <w:rFonts w:ascii="Arial" w:cs="Arial" w:eastAsia="Arial" w:hAnsi="Arial"/>
                <w:sz w:val="11"/>
                <w:szCs w:val="11"/>
                <w:color w:val="auto"/>
                <w:w w:val="95"/>
              </w:rPr>
              <w:t>Retained</w:t>
            </w:r>
          </w:p>
        </w:tc>
        <w:tc>
          <w:tcPr>
            <w:tcW w:w="80" w:type="dxa"/>
            <w:vAlign w:val="bottom"/>
          </w:tcPr>
          <w:p>
            <w:pPr>
              <w:spacing w:after="0"/>
              <w:rPr>
                <w:sz w:val="10"/>
                <w:szCs w:val="10"/>
                <w:color w:val="auto"/>
              </w:rPr>
            </w:pPr>
          </w:p>
        </w:tc>
        <w:tc>
          <w:tcPr>
            <w:tcW w:w="780" w:type="dxa"/>
            <w:vAlign w:val="bottom"/>
            <w:gridSpan w:val="2"/>
          </w:tcPr>
          <w:p>
            <w:pPr>
              <w:jc w:val="right"/>
              <w:ind w:right="360"/>
              <w:spacing w:after="0" w:line="122" w:lineRule="exact"/>
              <w:rPr>
                <w:sz w:val="20"/>
                <w:szCs w:val="20"/>
                <w:color w:val="auto"/>
              </w:rPr>
            </w:pPr>
            <w:r>
              <w:rPr>
                <w:rFonts w:ascii="Arial" w:cs="Arial" w:eastAsia="Arial" w:hAnsi="Arial"/>
                <w:sz w:val="11"/>
                <w:szCs w:val="11"/>
                <w:color w:val="auto"/>
                <w:w w:val="93"/>
              </w:rPr>
              <w:t>Deferred</w:t>
            </w:r>
          </w:p>
        </w:tc>
        <w:tc>
          <w:tcPr>
            <w:tcW w:w="60" w:type="dxa"/>
            <w:vAlign w:val="bottom"/>
          </w:tcPr>
          <w:p>
            <w:pPr>
              <w:spacing w:after="0"/>
              <w:rPr>
                <w:sz w:val="10"/>
                <w:szCs w:val="10"/>
                <w:color w:val="auto"/>
              </w:rPr>
            </w:pPr>
          </w:p>
        </w:tc>
        <w:tc>
          <w:tcPr>
            <w:tcW w:w="1020" w:type="dxa"/>
            <w:vAlign w:val="bottom"/>
            <w:gridSpan w:val="2"/>
          </w:tcPr>
          <w:p>
            <w:pPr>
              <w:jc w:val="right"/>
              <w:ind w:right="320"/>
              <w:spacing w:after="0" w:line="122" w:lineRule="exact"/>
              <w:rPr>
                <w:sz w:val="20"/>
                <w:szCs w:val="20"/>
                <w:color w:val="auto"/>
              </w:rPr>
            </w:pPr>
            <w:r>
              <w:rPr>
                <w:rFonts w:ascii="Arial" w:cs="Arial" w:eastAsia="Arial" w:hAnsi="Arial"/>
                <w:sz w:val="11"/>
                <w:szCs w:val="11"/>
                <w:color w:val="auto"/>
                <w:w w:val="88"/>
              </w:rPr>
              <w:t>Comprehensive</w:t>
            </w:r>
          </w:p>
        </w:tc>
        <w:tc>
          <w:tcPr>
            <w:tcW w:w="720" w:type="dxa"/>
            <w:vAlign w:val="bottom"/>
            <w:gridSpan w:val="3"/>
          </w:tcPr>
          <w:p>
            <w:pPr>
              <w:jc w:val="center"/>
              <w:ind w:right="80"/>
              <w:spacing w:after="0" w:line="122" w:lineRule="exact"/>
              <w:rPr>
                <w:sz w:val="20"/>
                <w:szCs w:val="20"/>
                <w:color w:val="auto"/>
              </w:rPr>
            </w:pPr>
            <w:r>
              <w:rPr>
                <w:rFonts w:ascii="Arial" w:cs="Arial" w:eastAsia="Arial" w:hAnsi="Arial"/>
                <w:sz w:val="11"/>
                <w:szCs w:val="11"/>
                <w:color w:val="auto"/>
                <w:w w:val="88"/>
              </w:rPr>
              <w:t>Shareholders’</w:t>
            </w:r>
          </w:p>
        </w:tc>
        <w:tc>
          <w:tcPr>
            <w:tcW w:w="0" w:type="dxa"/>
            <w:vAlign w:val="bottom"/>
          </w:tcPr>
          <w:p>
            <w:pPr>
              <w:spacing w:after="0"/>
              <w:rPr>
                <w:sz w:val="1"/>
                <w:szCs w:val="1"/>
                <w:color w:val="auto"/>
              </w:rPr>
            </w:pPr>
          </w:p>
        </w:tc>
      </w:tr>
      <w:tr>
        <w:trPr>
          <w:trHeight w:val="131"/>
        </w:trPr>
        <w:tc>
          <w:tcPr>
            <w:tcW w:w="1940" w:type="dxa"/>
            <w:vAlign w:val="bottom"/>
          </w:tcPr>
          <w:p>
            <w:pPr>
              <w:spacing w:after="0"/>
              <w:rPr>
                <w:sz w:val="11"/>
                <w:szCs w:val="1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1"/>
                <w:szCs w:val="11"/>
                <w:color w:val="auto"/>
              </w:rPr>
              <w:t>Amount</w:t>
            </w:r>
          </w:p>
        </w:tc>
        <w:tc>
          <w:tcPr>
            <w:tcW w:w="140" w:type="dxa"/>
            <w:vAlign w:val="bottom"/>
          </w:tcPr>
          <w:p>
            <w:pPr>
              <w:spacing w:after="0"/>
              <w:rPr>
                <w:sz w:val="11"/>
                <w:szCs w:val="11"/>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1"/>
                <w:szCs w:val="11"/>
                <w:color w:val="auto"/>
              </w:rPr>
              <w:t>Capital</w:t>
            </w:r>
          </w:p>
        </w:tc>
        <w:tc>
          <w:tcPr>
            <w:tcW w:w="920" w:type="dxa"/>
            <w:vAlign w:val="bottom"/>
            <w:gridSpan w:val="3"/>
          </w:tcPr>
          <w:p>
            <w:pPr>
              <w:jc w:val="right"/>
              <w:ind w:right="260"/>
              <w:spacing w:after="0"/>
              <w:rPr>
                <w:sz w:val="20"/>
                <w:szCs w:val="20"/>
                <w:color w:val="auto"/>
              </w:rPr>
            </w:pPr>
            <w:r>
              <w:rPr>
                <w:rFonts w:ascii="Arial" w:cs="Arial" w:eastAsia="Arial" w:hAnsi="Arial"/>
                <w:sz w:val="11"/>
                <w:szCs w:val="11"/>
                <w:color w:val="auto"/>
                <w:w w:val="91"/>
              </w:rPr>
              <w:t>Income (Loss)</w:t>
            </w:r>
          </w:p>
        </w:tc>
        <w:tc>
          <w:tcPr>
            <w:tcW w:w="8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1"/>
                <w:szCs w:val="11"/>
                <w:color w:val="auto"/>
                <w:w w:val="96"/>
              </w:rPr>
              <w:t>Earnings</w:t>
            </w:r>
          </w:p>
        </w:tc>
        <w:tc>
          <w:tcPr>
            <w:tcW w:w="860" w:type="dxa"/>
            <w:vAlign w:val="bottom"/>
            <w:gridSpan w:val="3"/>
          </w:tcPr>
          <w:p>
            <w:pPr>
              <w:spacing w:after="0"/>
              <w:rPr>
                <w:sz w:val="20"/>
                <w:szCs w:val="20"/>
                <w:color w:val="auto"/>
              </w:rPr>
            </w:pPr>
            <w:r>
              <w:rPr>
                <w:rFonts w:ascii="Arial" w:cs="Arial" w:eastAsia="Arial" w:hAnsi="Arial"/>
                <w:sz w:val="11"/>
                <w:szCs w:val="11"/>
                <w:color w:val="auto"/>
              </w:rPr>
              <w:t>Compensation</w:t>
            </w:r>
          </w:p>
        </w:tc>
        <w:tc>
          <w:tcPr>
            <w:tcW w:w="60" w:type="dxa"/>
            <w:vAlign w:val="bottom"/>
          </w:tcPr>
          <w:p>
            <w:pPr>
              <w:spacing w:after="0"/>
              <w:rPr>
                <w:sz w:val="11"/>
                <w:szCs w:val="11"/>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color w:val="auto"/>
                <w:w w:val="91"/>
              </w:rPr>
              <w:t>Income (Loss)</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Investment</w:t>
            </w:r>
          </w:p>
        </w:tc>
        <w:tc>
          <w:tcPr>
            <w:tcW w:w="0" w:type="dxa"/>
            <w:vAlign w:val="bottom"/>
          </w:tcPr>
          <w:p>
            <w:pPr>
              <w:spacing w:after="0"/>
              <w:rPr>
                <w:sz w:val="1"/>
                <w:szCs w:val="1"/>
                <w:color w:val="auto"/>
              </w:rPr>
            </w:pPr>
          </w:p>
        </w:tc>
      </w:tr>
      <w:tr>
        <w:trPr>
          <w:trHeight w:val="115"/>
        </w:trPr>
        <w:tc>
          <w:tcPr>
            <w:tcW w:w="19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 AS OF DECEMBER 31,</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2005</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156,043,982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9,362,639</w:t>
            </w:r>
          </w:p>
        </w:tc>
        <w:tc>
          <w:tcPr>
            <w:tcW w:w="14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194,476,306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w w:val="91"/>
              </w:rPr>
              <w:t>623,301,775</w:t>
            </w:r>
          </w:p>
        </w:tc>
        <w:tc>
          <w:tcPr>
            <w:tcW w:w="80" w:type="dxa"/>
            <w:vAlign w:val="bottom"/>
            <w:shd w:val="clear" w:color="auto" w:fill="CCEEFF"/>
          </w:tcPr>
          <w:p>
            <w:pPr>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5"/>
              </w:rPr>
              <w:t>(4,847,659)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19,302,314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841,595,375</w:t>
            </w:r>
          </w:p>
        </w:tc>
        <w:tc>
          <w:tcPr>
            <w:tcW w:w="0" w:type="dxa"/>
            <w:vAlign w:val="bottom"/>
          </w:tcPr>
          <w:p>
            <w:pPr>
              <w:spacing w:after="0"/>
              <w:rPr>
                <w:sz w:val="1"/>
                <w:szCs w:val="1"/>
                <w:color w:val="auto"/>
              </w:rPr>
            </w:pPr>
          </w:p>
        </w:tc>
      </w:tr>
      <w:tr>
        <w:trPr>
          <w:trHeight w:val="233"/>
        </w:trPr>
        <w:tc>
          <w:tcPr>
            <w:tcW w:w="1940" w:type="dxa"/>
            <w:vAlign w:val="bottom"/>
          </w:tcPr>
          <w:p>
            <w:pPr>
              <w:spacing w:after="0"/>
              <w:rPr>
                <w:sz w:val="20"/>
                <w:szCs w:val="20"/>
                <w:color w:val="auto"/>
              </w:rPr>
            </w:pPr>
            <w:r>
              <w:rPr>
                <w:rFonts w:ascii="Arial" w:cs="Arial" w:eastAsia="Arial" w:hAnsi="Arial"/>
                <w:sz w:val="11"/>
                <w:szCs w:val="11"/>
                <w:color w:val="auto"/>
              </w:rPr>
              <w:t>Reclassification of Deferred</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Arial" w:cs="Arial" w:eastAsia="Arial" w:hAnsi="Arial"/>
                <w:sz w:val="11"/>
                <w:szCs w:val="11"/>
                <w:color w:val="auto"/>
              </w:rPr>
              <w:t>Compensation upon adopting</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200"/>
              <w:spacing w:after="0"/>
              <w:rPr>
                <w:sz w:val="20"/>
                <w:szCs w:val="20"/>
                <w:color w:val="auto"/>
              </w:rPr>
            </w:pPr>
            <w:r>
              <w:rPr>
                <w:rFonts w:ascii="Arial" w:cs="Arial" w:eastAsia="Arial" w:hAnsi="Arial"/>
                <w:sz w:val="11"/>
                <w:szCs w:val="11"/>
                <w:color w:val="auto"/>
              </w:rPr>
              <w:t>[SFAS123(R)]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(4,847,659)</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4,847,659</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common stock and the tax</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benefit of stock plan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1,637,883</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98,273</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18,854,905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18,953,178</w:t>
            </w:r>
          </w:p>
        </w:tc>
        <w:tc>
          <w:tcPr>
            <w:tcW w:w="0" w:type="dxa"/>
            <w:vAlign w:val="bottom"/>
          </w:tcPr>
          <w:p>
            <w:pPr>
              <w:spacing w:after="0"/>
              <w:rPr>
                <w:sz w:val="1"/>
                <w:szCs w:val="1"/>
                <w:color w:val="auto"/>
              </w:rPr>
            </w:pPr>
          </w:p>
        </w:tc>
      </w:tr>
      <w:tr>
        <w:trPr>
          <w:trHeight w:val="112"/>
        </w:trPr>
        <w:tc>
          <w:tcPr>
            <w:tcW w:w="1940" w:type="dxa"/>
            <w:vAlign w:val="bottom"/>
          </w:tcPr>
          <w:p>
            <w:pPr>
              <w:spacing w:after="0" w:line="112" w:lineRule="exact"/>
              <w:rPr>
                <w:sz w:val="20"/>
                <w:szCs w:val="20"/>
                <w:color w:val="auto"/>
              </w:rPr>
            </w:pPr>
            <w:r>
              <w:rPr>
                <w:rFonts w:ascii="Arial" w:cs="Arial" w:eastAsia="Arial" w:hAnsi="Arial"/>
                <w:sz w:val="11"/>
                <w:szCs w:val="11"/>
                <w:color w:val="auto"/>
              </w:rPr>
              <w:t>Stock-based compensation expense</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Arial" w:cs="Arial" w:eastAsia="Arial" w:hAnsi="Arial"/>
                <w:sz w:val="11"/>
                <w:szCs w:val="11"/>
                <w:color w:val="auto"/>
              </w:rPr>
              <w:t>related to stock options, employee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200"/>
              <w:spacing w:after="0"/>
              <w:rPr>
                <w:sz w:val="20"/>
                <w:szCs w:val="20"/>
                <w:color w:val="auto"/>
              </w:rPr>
            </w:pPr>
            <w:r>
              <w:rPr>
                <w:rFonts w:ascii="Arial" w:cs="Arial" w:eastAsia="Arial" w:hAnsi="Arial"/>
                <w:sz w:val="11"/>
                <w:szCs w:val="11"/>
                <w:color w:val="auto"/>
                <w:w w:val="96"/>
              </w:rPr>
              <w:t>stock purchases and restricted stock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8,481,871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8,481,871</w:t>
            </w: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Repurchases of common stock</w:t>
            </w:r>
          </w:p>
        </w:tc>
        <w:tc>
          <w:tcPr>
            <w:tcW w:w="9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(15,205,684)</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(912,341)</w:t>
            </w:r>
          </w:p>
        </w:tc>
        <w:tc>
          <w:tcPr>
            <w:tcW w:w="1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(20,063,935)</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w w:val="87"/>
              </w:rPr>
              <w:t>(205,874,977)</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w w:val="90"/>
              </w:rPr>
              <w:t>(226,851,253)</w:t>
            </w:r>
          </w:p>
        </w:tc>
        <w:tc>
          <w:tcPr>
            <w:tcW w:w="0" w:type="dxa"/>
            <w:vAlign w:val="bottom"/>
          </w:tcPr>
          <w:p>
            <w:pPr>
              <w:spacing w:after="0"/>
              <w:rPr>
                <w:sz w:val="1"/>
                <w:szCs w:val="1"/>
                <w:color w:val="auto"/>
              </w:rPr>
            </w:pPr>
          </w:p>
        </w:tc>
      </w:tr>
      <w:tr>
        <w:trPr>
          <w:trHeight w:val="136"/>
        </w:trPr>
        <w:tc>
          <w:tcPr>
            <w:tcW w:w="1940" w:type="dxa"/>
            <w:vAlign w:val="bottom"/>
          </w:tcPr>
          <w:p>
            <w:pPr>
              <w:spacing w:after="0"/>
              <w:rPr>
                <w:sz w:val="20"/>
                <w:szCs w:val="20"/>
                <w:color w:val="auto"/>
              </w:rPr>
            </w:pPr>
            <w:r>
              <w:rPr>
                <w:rFonts w:ascii="Arial" w:cs="Arial" w:eastAsia="Arial" w:hAnsi="Arial"/>
                <w:sz w:val="11"/>
                <w:szCs w:val="11"/>
                <w:color w:val="auto"/>
              </w:rPr>
              <w:t>Dividends declared ($.37 per share)</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w w:val="96"/>
              </w:rPr>
              <w:t>(53,995,400)</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w w:val="99"/>
              </w:rPr>
              <w:t>(53,995,400)</w:t>
            </w:r>
          </w:p>
        </w:tc>
        <w:tc>
          <w:tcPr>
            <w:tcW w:w="0" w:type="dxa"/>
            <w:vAlign w:val="bottom"/>
          </w:tcPr>
          <w:p>
            <w:pPr>
              <w:spacing w:after="0"/>
              <w:rPr>
                <w:sz w:val="1"/>
                <w:szCs w:val="1"/>
                <w:color w:val="auto"/>
              </w:rPr>
            </w:pPr>
          </w:p>
        </w:tc>
      </w:tr>
      <w:tr>
        <w:trPr>
          <w:trHeight w:val="201"/>
        </w:trPr>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Comprehensive income:</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w w:val="91"/>
              </w:rPr>
              <w:t>108,761,002</w:t>
            </w:r>
          </w:p>
        </w:tc>
        <w:tc>
          <w:tcPr>
            <w:tcW w:w="8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w w:val="91"/>
              </w:rPr>
              <w:t>108,761,002</w:t>
            </w:r>
          </w:p>
        </w:tc>
        <w:tc>
          <w:tcPr>
            <w:tcW w:w="8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4"/>
              </w:rPr>
              <w:t>108,761,002</w:t>
            </w: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97"/>
              </w:rPr>
              <w:t>Other comprehensive income (loss):</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400"/>
              <w:spacing w:after="0" w:line="112" w:lineRule="exact"/>
              <w:rPr>
                <w:sz w:val="20"/>
                <w:szCs w:val="20"/>
                <w:color w:val="auto"/>
              </w:rPr>
            </w:pPr>
            <w:r>
              <w:rPr>
                <w:rFonts w:ascii="Arial" w:cs="Arial" w:eastAsia="Arial" w:hAnsi="Arial"/>
                <w:sz w:val="11"/>
                <w:szCs w:val="11"/>
                <w:color w:val="auto"/>
              </w:rPr>
              <w:t>Foreign currency translation</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600"/>
              <w:spacing w:after="0"/>
              <w:rPr>
                <w:sz w:val="20"/>
                <w:szCs w:val="20"/>
                <w:color w:val="auto"/>
              </w:rPr>
            </w:pPr>
            <w:r>
              <w:rPr>
                <w:rFonts w:ascii="Arial" w:cs="Arial" w:eastAsia="Arial" w:hAnsi="Arial"/>
                <w:sz w:val="11"/>
                <w:szCs w:val="11"/>
                <w:color w:val="auto"/>
              </w:rPr>
              <w:t>adjustment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1,298,088</w:t>
            </w: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400"/>
              <w:spacing w:after="0" w:line="112" w:lineRule="exact"/>
              <w:rPr>
                <w:sz w:val="20"/>
                <w:szCs w:val="20"/>
                <w:color w:val="auto"/>
              </w:rPr>
            </w:pPr>
            <w:r>
              <w:rPr>
                <w:rFonts w:ascii="Arial" w:cs="Arial" w:eastAsia="Arial" w:hAnsi="Arial"/>
                <w:sz w:val="11"/>
                <w:szCs w:val="11"/>
                <w:color w:val="auto"/>
              </w:rPr>
              <w:t>Unrealized gain on</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ind w:left="600"/>
              <w:spacing w:after="0" w:line="122" w:lineRule="exact"/>
              <w:rPr>
                <w:sz w:val="20"/>
                <w:szCs w:val="20"/>
                <w:color w:val="auto"/>
              </w:rPr>
            </w:pPr>
            <w:r>
              <w:rPr>
                <w:rFonts w:ascii="Arial" w:cs="Arial" w:eastAsia="Arial" w:hAnsi="Arial"/>
                <w:sz w:val="11"/>
                <w:szCs w:val="11"/>
                <w:color w:val="auto"/>
              </w:rPr>
              <w:t>investments, net of tax of</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600"/>
              <w:spacing w:after="0"/>
              <w:rPr>
                <w:sz w:val="20"/>
                <w:szCs w:val="20"/>
                <w:color w:val="auto"/>
              </w:rPr>
            </w:pPr>
            <w:r>
              <w:rPr>
                <w:rFonts w:ascii="Arial" w:cs="Arial" w:eastAsia="Arial" w:hAnsi="Arial"/>
                <w:sz w:val="11"/>
                <w:szCs w:val="11"/>
                <w:color w:val="auto"/>
              </w:rPr>
              <w:t>$2,396,923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4,451,428</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1940" w:type="dxa"/>
            <w:vAlign w:val="bottom"/>
          </w:tcPr>
          <w:p>
            <w:pPr>
              <w:ind w:left="600"/>
              <w:spacing w:after="0" w:line="119" w:lineRule="exact"/>
              <w:rPr>
                <w:sz w:val="20"/>
                <w:szCs w:val="20"/>
                <w:color w:val="auto"/>
              </w:rPr>
            </w:pPr>
            <w:r>
              <w:rPr>
                <w:rFonts w:ascii="Arial" w:cs="Arial" w:eastAsia="Arial" w:hAnsi="Arial"/>
                <w:sz w:val="11"/>
                <w:szCs w:val="11"/>
                <w:color w:val="auto"/>
              </w:rPr>
              <w:t>Other comprehensive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40" w:type="dxa"/>
            <w:vAlign w:val="bottom"/>
          </w:tcPr>
          <w:p>
            <w:pPr>
              <w:ind w:left="800"/>
              <w:spacing w:after="0"/>
              <w:rPr>
                <w:sz w:val="20"/>
                <w:szCs w:val="20"/>
                <w:color w:val="auto"/>
              </w:rPr>
            </w:pPr>
            <w:r>
              <w:rPr>
                <w:rFonts w:ascii="Arial" w:cs="Arial" w:eastAsia="Arial" w:hAnsi="Arial"/>
                <w:sz w:val="11"/>
                <w:szCs w:val="11"/>
                <w:color w:val="auto"/>
              </w:rPr>
              <w:t>income</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5,749,516</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5,749,516</w:t>
            </w:r>
          </w:p>
        </w:tc>
        <w:tc>
          <w:tcPr>
            <w:tcW w:w="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5,749,516</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800"/>
              <w:spacing w:after="0" w:line="112" w:lineRule="exact"/>
              <w:rPr>
                <w:sz w:val="20"/>
                <w:szCs w:val="20"/>
                <w:color w:val="auto"/>
              </w:rPr>
            </w:pPr>
            <w:r>
              <w:rPr>
                <w:rFonts w:ascii="Arial" w:cs="Arial" w:eastAsia="Arial" w:hAnsi="Arial"/>
                <w:sz w:val="11"/>
                <w:szCs w:val="11"/>
                <w:color w:val="auto"/>
              </w:rPr>
              <w:t>Comprehensive</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91"/>
              </w:rPr>
              <w:t>114,510,518</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1"/>
                <w:szCs w:val="11"/>
                <w:color w:val="auto"/>
              </w:rPr>
              <w:t>BALANCE AS OF DECEMBER 31,</w:t>
            </w: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940" w:type="dxa"/>
            <w:vAlign w:val="bottom"/>
          </w:tcPr>
          <w:p>
            <w:pPr>
              <w:ind w:left="200"/>
              <w:spacing w:after="0"/>
              <w:rPr>
                <w:sz w:val="20"/>
                <w:szCs w:val="20"/>
                <w:color w:val="auto"/>
              </w:rPr>
            </w:pPr>
            <w:r>
              <w:rPr>
                <w:rFonts w:ascii="Arial" w:cs="Arial" w:eastAsia="Arial" w:hAnsi="Arial"/>
                <w:sz w:val="11"/>
                <w:szCs w:val="11"/>
                <w:color w:val="auto"/>
              </w:rPr>
              <w:t>2006</w:t>
            </w:r>
          </w:p>
        </w:tc>
        <w:tc>
          <w:tcPr>
            <w:tcW w:w="680" w:type="dxa"/>
            <w:vAlign w:val="bottom"/>
          </w:tcPr>
          <w:p>
            <w:pPr>
              <w:jc w:val="right"/>
              <w:spacing w:after="0"/>
              <w:rPr>
                <w:sz w:val="20"/>
                <w:szCs w:val="20"/>
                <w:color w:val="auto"/>
              </w:rPr>
            </w:pPr>
            <w:r>
              <w:rPr>
                <w:rFonts w:ascii="Arial" w:cs="Arial" w:eastAsia="Arial" w:hAnsi="Arial"/>
                <w:sz w:val="11"/>
                <w:szCs w:val="11"/>
                <w:color w:val="auto"/>
              </w:rPr>
              <w:t>142,476,181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8,548,571</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196,901,488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w w:val="91"/>
              </w:rPr>
              <w:t>472,192,400</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25,051,830</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702,694,289</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common stock and the tax</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benefit of stock plan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2,725,817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163,549</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39,925,919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40,089,468</w:t>
            </w:r>
          </w:p>
        </w:tc>
        <w:tc>
          <w:tcPr>
            <w:tcW w:w="0" w:type="dxa"/>
            <w:vAlign w:val="bottom"/>
          </w:tcPr>
          <w:p>
            <w:pPr>
              <w:spacing w:after="0"/>
              <w:rPr>
                <w:sz w:val="1"/>
                <w:szCs w:val="1"/>
                <w:color w:val="auto"/>
              </w:rPr>
            </w:pPr>
          </w:p>
        </w:tc>
      </w:tr>
      <w:tr>
        <w:trPr>
          <w:trHeight w:val="112"/>
        </w:trPr>
        <w:tc>
          <w:tcPr>
            <w:tcW w:w="1940" w:type="dxa"/>
            <w:vAlign w:val="bottom"/>
          </w:tcPr>
          <w:p>
            <w:pPr>
              <w:spacing w:after="0" w:line="112" w:lineRule="exact"/>
              <w:rPr>
                <w:sz w:val="20"/>
                <w:szCs w:val="20"/>
                <w:color w:val="auto"/>
              </w:rPr>
            </w:pPr>
            <w:r>
              <w:rPr>
                <w:rFonts w:ascii="Arial" w:cs="Arial" w:eastAsia="Arial" w:hAnsi="Arial"/>
                <w:sz w:val="11"/>
                <w:szCs w:val="11"/>
                <w:color w:val="auto"/>
              </w:rPr>
              <w:t>Stock-based compensation expense</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Arial" w:cs="Arial" w:eastAsia="Arial" w:hAnsi="Arial"/>
                <w:sz w:val="11"/>
                <w:szCs w:val="11"/>
                <w:color w:val="auto"/>
              </w:rPr>
              <w:t>related to stock options, employee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200"/>
              <w:spacing w:after="0"/>
              <w:rPr>
                <w:sz w:val="20"/>
                <w:szCs w:val="20"/>
                <w:color w:val="auto"/>
              </w:rPr>
            </w:pPr>
            <w:r>
              <w:rPr>
                <w:rFonts w:ascii="Arial" w:cs="Arial" w:eastAsia="Arial" w:hAnsi="Arial"/>
                <w:sz w:val="11"/>
                <w:szCs w:val="11"/>
                <w:color w:val="auto"/>
                <w:w w:val="96"/>
              </w:rPr>
              <w:t>stock purchases and restricted stock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9,293,394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9,293,394</w:t>
            </w: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Repurchases of common stock</w:t>
            </w:r>
          </w:p>
        </w:tc>
        <w:tc>
          <w:tcPr>
            <w:tcW w:w="9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(447,710)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(26,863)</w:t>
            </w:r>
          </w:p>
        </w:tc>
        <w:tc>
          <w:tcPr>
            <w:tcW w:w="1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(617,841)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(6,683,311)</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(7,328,015)</w:t>
            </w:r>
          </w:p>
        </w:tc>
        <w:tc>
          <w:tcPr>
            <w:tcW w:w="0" w:type="dxa"/>
            <w:vAlign w:val="bottom"/>
          </w:tcPr>
          <w:p>
            <w:pPr>
              <w:spacing w:after="0"/>
              <w:rPr>
                <w:sz w:val="1"/>
                <w:szCs w:val="1"/>
                <w:color w:val="auto"/>
              </w:rPr>
            </w:pPr>
          </w:p>
        </w:tc>
      </w:tr>
      <w:tr>
        <w:trPr>
          <w:trHeight w:val="136"/>
        </w:trPr>
        <w:tc>
          <w:tcPr>
            <w:tcW w:w="1940" w:type="dxa"/>
            <w:vAlign w:val="bottom"/>
          </w:tcPr>
          <w:p>
            <w:pPr>
              <w:spacing w:after="0"/>
              <w:rPr>
                <w:sz w:val="20"/>
                <w:szCs w:val="20"/>
                <w:color w:val="auto"/>
              </w:rPr>
            </w:pPr>
            <w:r>
              <w:rPr>
                <w:rFonts w:ascii="Arial" w:cs="Arial" w:eastAsia="Arial" w:hAnsi="Arial"/>
                <w:sz w:val="11"/>
                <w:szCs w:val="11"/>
                <w:color w:val="auto"/>
              </w:rPr>
              <w:t>Dividends declared ($.40 per share)</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w w:val="96"/>
              </w:rPr>
              <w:t>(57,348,829)</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w w:val="99"/>
              </w:rPr>
              <w:t>(57,348,829)</w:t>
            </w:r>
          </w:p>
        </w:tc>
        <w:tc>
          <w:tcPr>
            <w:tcW w:w="0" w:type="dxa"/>
            <w:vAlign w:val="bottom"/>
          </w:tcPr>
          <w:p>
            <w:pPr>
              <w:spacing w:after="0"/>
              <w:rPr>
                <w:sz w:val="1"/>
                <w:szCs w:val="1"/>
                <w:color w:val="auto"/>
              </w:rPr>
            </w:pPr>
          </w:p>
        </w:tc>
      </w:tr>
      <w:tr>
        <w:trPr>
          <w:trHeight w:val="107"/>
        </w:trPr>
        <w:tc>
          <w:tcPr>
            <w:tcW w:w="1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Comprehensive income:</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w w:val="91"/>
              </w:rPr>
              <w:t>122,130,021</w:t>
            </w:r>
          </w:p>
        </w:tc>
        <w:tc>
          <w:tcPr>
            <w:tcW w:w="8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w w:val="91"/>
              </w:rPr>
              <w:t>122,130,021</w:t>
            </w:r>
          </w:p>
        </w:tc>
        <w:tc>
          <w:tcPr>
            <w:tcW w:w="8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4"/>
              </w:rPr>
              <w:t>122,130,021</w:t>
            </w: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97"/>
              </w:rPr>
              <w:t>Other comprehensive income (loss):</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400"/>
              <w:spacing w:after="0" w:line="112" w:lineRule="exact"/>
              <w:rPr>
                <w:sz w:val="20"/>
                <w:szCs w:val="20"/>
                <w:color w:val="auto"/>
              </w:rPr>
            </w:pPr>
            <w:r>
              <w:rPr>
                <w:rFonts w:ascii="Arial" w:cs="Arial" w:eastAsia="Arial" w:hAnsi="Arial"/>
                <w:sz w:val="11"/>
                <w:szCs w:val="11"/>
                <w:color w:val="auto"/>
              </w:rPr>
              <w:t>Foreign currency translation</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600"/>
              <w:spacing w:after="0"/>
              <w:rPr>
                <w:sz w:val="20"/>
                <w:szCs w:val="20"/>
                <w:color w:val="auto"/>
              </w:rPr>
            </w:pPr>
            <w:r>
              <w:rPr>
                <w:rFonts w:ascii="Arial" w:cs="Arial" w:eastAsia="Arial" w:hAnsi="Arial"/>
                <w:sz w:val="11"/>
                <w:szCs w:val="11"/>
                <w:color w:val="auto"/>
              </w:rPr>
              <w:t>adjustment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1,001,276</w:t>
            </w: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400"/>
              <w:spacing w:after="0" w:line="112" w:lineRule="exact"/>
              <w:rPr>
                <w:sz w:val="20"/>
                <w:szCs w:val="20"/>
                <w:color w:val="auto"/>
              </w:rPr>
            </w:pPr>
            <w:r>
              <w:rPr>
                <w:rFonts w:ascii="Arial" w:cs="Arial" w:eastAsia="Arial" w:hAnsi="Arial"/>
                <w:sz w:val="11"/>
                <w:szCs w:val="11"/>
                <w:color w:val="auto"/>
              </w:rPr>
              <w:t>Unrealized gain (loss) on</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ind w:left="600"/>
              <w:spacing w:after="0" w:line="122" w:lineRule="exact"/>
              <w:rPr>
                <w:sz w:val="20"/>
                <w:szCs w:val="20"/>
                <w:color w:val="auto"/>
              </w:rPr>
            </w:pPr>
            <w:r>
              <w:rPr>
                <w:rFonts w:ascii="Arial" w:cs="Arial" w:eastAsia="Arial" w:hAnsi="Arial"/>
                <w:sz w:val="11"/>
                <w:szCs w:val="11"/>
                <w:color w:val="auto"/>
              </w:rPr>
              <w:t>investments, net of tax of</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600"/>
              <w:spacing w:after="0"/>
              <w:rPr>
                <w:sz w:val="20"/>
                <w:szCs w:val="20"/>
                <w:color w:val="auto"/>
              </w:rPr>
            </w:pPr>
            <w:r>
              <w:rPr>
                <w:rFonts w:ascii="Arial" w:cs="Arial" w:eastAsia="Arial" w:hAnsi="Arial"/>
                <w:sz w:val="11"/>
                <w:szCs w:val="11"/>
                <w:color w:val="auto"/>
              </w:rPr>
              <w:t>($2,002,756)</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(3,719,408)</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1940" w:type="dxa"/>
            <w:vAlign w:val="bottom"/>
          </w:tcPr>
          <w:p>
            <w:pPr>
              <w:ind w:left="600"/>
              <w:spacing w:after="0" w:line="119" w:lineRule="exact"/>
              <w:rPr>
                <w:sz w:val="20"/>
                <w:szCs w:val="20"/>
                <w:color w:val="auto"/>
              </w:rPr>
            </w:pPr>
            <w:r>
              <w:rPr>
                <w:rFonts w:ascii="Arial" w:cs="Arial" w:eastAsia="Arial" w:hAnsi="Arial"/>
                <w:sz w:val="11"/>
                <w:szCs w:val="11"/>
                <w:color w:val="auto"/>
              </w:rPr>
              <w:t>Other comprehensive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40" w:type="dxa"/>
            <w:vAlign w:val="bottom"/>
          </w:tcPr>
          <w:p>
            <w:pPr>
              <w:ind w:left="800"/>
              <w:spacing w:after="0"/>
              <w:rPr>
                <w:sz w:val="20"/>
                <w:szCs w:val="20"/>
                <w:color w:val="auto"/>
              </w:rPr>
            </w:pPr>
            <w:r>
              <w:rPr>
                <w:rFonts w:ascii="Arial" w:cs="Arial" w:eastAsia="Arial" w:hAnsi="Arial"/>
                <w:sz w:val="11"/>
                <w:szCs w:val="11"/>
                <w:color w:val="auto"/>
              </w:rPr>
              <w:t>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(2,718,132)</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(2,718,132)</w:t>
            </w:r>
          </w:p>
        </w:tc>
        <w:tc>
          <w:tcPr>
            <w:tcW w:w="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rPr>
              <w:t>(2,718,132)</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800"/>
              <w:spacing w:after="0" w:line="112" w:lineRule="exact"/>
              <w:rPr>
                <w:sz w:val="20"/>
                <w:szCs w:val="20"/>
                <w:color w:val="auto"/>
              </w:rPr>
            </w:pPr>
            <w:r>
              <w:rPr>
                <w:rFonts w:ascii="Arial" w:cs="Arial" w:eastAsia="Arial" w:hAnsi="Arial"/>
                <w:sz w:val="11"/>
                <w:szCs w:val="11"/>
                <w:color w:val="auto"/>
              </w:rPr>
              <w:t>Comprehensive</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w w:val="91"/>
              </w:rPr>
              <w:t>119,411,889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1"/>
                <w:szCs w:val="11"/>
                <w:color w:val="auto"/>
              </w:rPr>
              <w:t>BALANCE AS OF DECEMBER 31,</w:t>
            </w: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940" w:type="dxa"/>
            <w:vAlign w:val="bottom"/>
          </w:tcPr>
          <w:p>
            <w:pPr>
              <w:ind w:left="200"/>
              <w:spacing w:after="0"/>
              <w:rPr>
                <w:sz w:val="20"/>
                <w:szCs w:val="20"/>
                <w:color w:val="auto"/>
              </w:rPr>
            </w:pPr>
            <w:r>
              <w:rPr>
                <w:rFonts w:ascii="Arial" w:cs="Arial" w:eastAsia="Arial" w:hAnsi="Arial"/>
                <w:sz w:val="11"/>
                <w:szCs w:val="11"/>
                <w:color w:val="auto"/>
              </w:rPr>
              <w:t>2007</w:t>
            </w:r>
          </w:p>
        </w:tc>
        <w:tc>
          <w:tcPr>
            <w:tcW w:w="680" w:type="dxa"/>
            <w:vAlign w:val="bottom"/>
          </w:tcPr>
          <w:p>
            <w:pPr>
              <w:jc w:val="right"/>
              <w:spacing w:after="0"/>
              <w:rPr>
                <w:sz w:val="20"/>
                <w:szCs w:val="20"/>
                <w:color w:val="auto"/>
              </w:rPr>
            </w:pPr>
            <w:r>
              <w:rPr>
                <w:rFonts w:ascii="Arial" w:cs="Arial" w:eastAsia="Arial" w:hAnsi="Arial"/>
                <w:sz w:val="11"/>
                <w:szCs w:val="11"/>
                <w:color w:val="auto"/>
              </w:rPr>
              <w:t>144,754,288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8,685,257</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245,502,960</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w w:val="91"/>
              </w:rPr>
              <w:t>530,290,281</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22,333,698</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806,812,196</w:t>
            </w: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Issuance of common stock and the tax</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benefit of stock plan transactions</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927,932</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55,676</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11,759,832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11,815,508</w:t>
            </w:r>
          </w:p>
        </w:tc>
        <w:tc>
          <w:tcPr>
            <w:tcW w:w="0" w:type="dxa"/>
            <w:vAlign w:val="bottom"/>
          </w:tcPr>
          <w:p>
            <w:pPr>
              <w:spacing w:after="0"/>
              <w:rPr>
                <w:sz w:val="1"/>
                <w:szCs w:val="1"/>
                <w:color w:val="auto"/>
              </w:rPr>
            </w:pPr>
          </w:p>
        </w:tc>
      </w:tr>
      <w:tr>
        <w:trPr>
          <w:trHeight w:val="112"/>
        </w:trPr>
        <w:tc>
          <w:tcPr>
            <w:tcW w:w="1940" w:type="dxa"/>
            <w:vAlign w:val="bottom"/>
          </w:tcPr>
          <w:p>
            <w:pPr>
              <w:spacing w:after="0" w:line="112" w:lineRule="exact"/>
              <w:rPr>
                <w:sz w:val="20"/>
                <w:szCs w:val="20"/>
                <w:color w:val="auto"/>
              </w:rPr>
            </w:pPr>
            <w:r>
              <w:rPr>
                <w:rFonts w:ascii="Arial" w:cs="Arial" w:eastAsia="Arial" w:hAnsi="Arial"/>
                <w:sz w:val="11"/>
                <w:szCs w:val="11"/>
                <w:color w:val="auto"/>
              </w:rPr>
              <w:t>Stock-based compensation expense</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Arial" w:cs="Arial" w:eastAsia="Arial" w:hAnsi="Arial"/>
                <w:sz w:val="11"/>
                <w:szCs w:val="11"/>
                <w:color w:val="auto"/>
              </w:rPr>
              <w:t>related to stock options, employee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200"/>
              <w:spacing w:after="0"/>
              <w:rPr>
                <w:sz w:val="20"/>
                <w:szCs w:val="20"/>
                <w:color w:val="auto"/>
              </w:rPr>
            </w:pPr>
            <w:r>
              <w:rPr>
                <w:rFonts w:ascii="Arial" w:cs="Arial" w:eastAsia="Arial" w:hAnsi="Arial"/>
                <w:sz w:val="11"/>
                <w:szCs w:val="11"/>
                <w:color w:val="auto"/>
                <w:w w:val="96"/>
              </w:rPr>
              <w:t>stock purchases and restricted stock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10,217,484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10,217,484</w:t>
            </w: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Repurchases of common stock</w:t>
            </w:r>
          </w:p>
        </w:tc>
        <w:tc>
          <w:tcPr>
            <w:tcW w:w="9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(8,048,718)</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(482,923)</w:t>
            </w:r>
          </w:p>
        </w:tc>
        <w:tc>
          <w:tcPr>
            <w:tcW w:w="14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(13,658,913)</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w w:val="96"/>
              </w:rPr>
              <w:t>(97,117,967)</w:t>
            </w: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w w:val="90"/>
              </w:rPr>
              <w:t>(111,259,803)</w:t>
            </w:r>
          </w:p>
        </w:tc>
        <w:tc>
          <w:tcPr>
            <w:tcW w:w="0" w:type="dxa"/>
            <w:vAlign w:val="bottom"/>
          </w:tcPr>
          <w:p>
            <w:pPr>
              <w:spacing w:after="0"/>
              <w:rPr>
                <w:sz w:val="1"/>
                <w:szCs w:val="1"/>
                <w:color w:val="auto"/>
              </w:rPr>
            </w:pPr>
          </w:p>
        </w:tc>
      </w:tr>
      <w:tr>
        <w:trPr>
          <w:trHeight w:val="136"/>
        </w:trPr>
        <w:tc>
          <w:tcPr>
            <w:tcW w:w="1940" w:type="dxa"/>
            <w:vAlign w:val="bottom"/>
          </w:tcPr>
          <w:p>
            <w:pPr>
              <w:spacing w:after="0"/>
              <w:rPr>
                <w:sz w:val="20"/>
                <w:szCs w:val="20"/>
                <w:color w:val="auto"/>
              </w:rPr>
            </w:pPr>
            <w:r>
              <w:rPr>
                <w:rFonts w:ascii="Arial" w:cs="Arial" w:eastAsia="Arial" w:hAnsi="Arial"/>
                <w:sz w:val="11"/>
                <w:szCs w:val="11"/>
                <w:color w:val="auto"/>
              </w:rPr>
              <w:t>Dividends declared ($.43 per share)</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w w:val="96"/>
              </w:rPr>
              <w:t>(60,284,747)</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w w:val="99"/>
              </w:rPr>
              <w:t>(60,284,747)</w:t>
            </w:r>
          </w:p>
        </w:tc>
        <w:tc>
          <w:tcPr>
            <w:tcW w:w="0" w:type="dxa"/>
            <w:vAlign w:val="bottom"/>
          </w:tcPr>
          <w:p>
            <w:pPr>
              <w:spacing w:after="0"/>
              <w:rPr>
                <w:sz w:val="1"/>
                <w:szCs w:val="1"/>
                <w:color w:val="auto"/>
              </w:rPr>
            </w:pPr>
          </w:p>
        </w:tc>
      </w:tr>
      <w:tr>
        <w:trPr>
          <w:trHeight w:val="201"/>
        </w:trPr>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Comprehensive income:</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ind w:left="200"/>
              <w:spacing w:after="0" w:line="122" w:lineRule="exact"/>
              <w:rPr>
                <w:sz w:val="20"/>
                <w:szCs w:val="20"/>
                <w:color w:val="auto"/>
              </w:rPr>
            </w:pPr>
            <w:r>
              <w:rPr>
                <w:rFonts w:ascii="Arial" w:cs="Arial" w:eastAsia="Arial" w:hAnsi="Arial"/>
                <w:sz w:val="11"/>
                <w:szCs w:val="11"/>
                <w:color w:val="auto"/>
              </w:rPr>
              <w:t>Net income</w:t>
            </w:r>
          </w:p>
        </w:tc>
        <w:tc>
          <w:tcPr>
            <w:tcW w:w="9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90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62,087,947</w:t>
            </w:r>
          </w:p>
        </w:tc>
        <w:tc>
          <w:tcPr>
            <w:tcW w:w="80" w:type="dxa"/>
            <w:vAlign w:val="bottom"/>
          </w:tcPr>
          <w:p>
            <w:pPr>
              <w:spacing w:after="0"/>
              <w:rPr>
                <w:sz w:val="10"/>
                <w:szCs w:val="10"/>
                <w:color w:val="auto"/>
              </w:rPr>
            </w:pPr>
          </w:p>
        </w:tc>
        <w:tc>
          <w:tcPr>
            <w:tcW w:w="84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62,087,947</w:t>
            </w:r>
          </w:p>
        </w:tc>
        <w:tc>
          <w:tcPr>
            <w:tcW w:w="80" w:type="dxa"/>
            <w:vAlign w:val="bottom"/>
          </w:tcPr>
          <w:p>
            <w:pPr>
              <w:spacing w:after="0"/>
              <w:rPr>
                <w:sz w:val="10"/>
                <w:szCs w:val="10"/>
                <w:color w:val="auto"/>
              </w:rPr>
            </w:pPr>
          </w:p>
        </w:tc>
        <w:tc>
          <w:tcPr>
            <w:tcW w:w="7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62,087,947</w:t>
            </w: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w w:val="97"/>
              </w:rPr>
              <w:t>Other comprehensive income (loss):</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40" w:type="dxa"/>
            <w:vAlign w:val="bottom"/>
          </w:tcPr>
          <w:p>
            <w:pPr>
              <w:ind w:left="400"/>
              <w:spacing w:after="0" w:line="112" w:lineRule="exact"/>
              <w:rPr>
                <w:sz w:val="20"/>
                <w:szCs w:val="20"/>
                <w:color w:val="auto"/>
              </w:rPr>
            </w:pPr>
            <w:r>
              <w:rPr>
                <w:rFonts w:ascii="Arial" w:cs="Arial" w:eastAsia="Arial" w:hAnsi="Arial"/>
                <w:sz w:val="11"/>
                <w:szCs w:val="11"/>
                <w:color w:val="auto"/>
              </w:rPr>
              <w:t>Foreign currency translation</w:t>
            </w: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600"/>
              <w:spacing w:after="0"/>
              <w:rPr>
                <w:sz w:val="20"/>
                <w:szCs w:val="20"/>
                <w:color w:val="auto"/>
              </w:rPr>
            </w:pPr>
            <w:r>
              <w:rPr>
                <w:rFonts w:ascii="Arial" w:cs="Arial" w:eastAsia="Arial" w:hAnsi="Arial"/>
                <w:sz w:val="11"/>
                <w:szCs w:val="11"/>
                <w:color w:val="auto"/>
              </w:rPr>
              <w:t>adjustment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(1,648,309)</w:t>
            </w:r>
          </w:p>
        </w:tc>
        <w:tc>
          <w:tcPr>
            <w:tcW w:w="80" w:type="dxa"/>
            <w:vAlign w:val="bottom"/>
          </w:tcPr>
          <w:p>
            <w:pPr>
              <w:spacing w:after="0"/>
              <w:rPr>
                <w:sz w:val="11"/>
                <w:szCs w:val="1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400"/>
              <w:spacing w:after="0" w:line="112" w:lineRule="exact"/>
              <w:rPr>
                <w:sz w:val="20"/>
                <w:szCs w:val="20"/>
                <w:color w:val="auto"/>
              </w:rPr>
            </w:pPr>
            <w:r>
              <w:rPr>
                <w:rFonts w:ascii="Arial" w:cs="Arial" w:eastAsia="Arial" w:hAnsi="Arial"/>
                <w:sz w:val="11"/>
                <w:szCs w:val="11"/>
                <w:color w:val="auto"/>
              </w:rPr>
              <w:t>Unrealized gain (loss) on</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40" w:type="dxa"/>
            <w:vAlign w:val="bottom"/>
            <w:shd w:val="clear" w:color="auto" w:fill="CCEEFF"/>
          </w:tcPr>
          <w:p>
            <w:pPr>
              <w:ind w:left="600"/>
              <w:spacing w:after="0" w:line="122" w:lineRule="exact"/>
              <w:rPr>
                <w:sz w:val="20"/>
                <w:szCs w:val="20"/>
                <w:color w:val="auto"/>
              </w:rPr>
            </w:pPr>
            <w:r>
              <w:rPr>
                <w:rFonts w:ascii="Arial" w:cs="Arial" w:eastAsia="Arial" w:hAnsi="Arial"/>
                <w:sz w:val="11"/>
                <w:szCs w:val="11"/>
                <w:color w:val="auto"/>
              </w:rPr>
              <w:t>investments, net of tax of</w:t>
            </w:r>
          </w:p>
        </w:tc>
        <w:tc>
          <w:tcPr>
            <w:tcW w:w="6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600"/>
              <w:spacing w:after="0"/>
              <w:rPr>
                <w:sz w:val="20"/>
                <w:szCs w:val="20"/>
                <w:color w:val="auto"/>
              </w:rPr>
            </w:pPr>
            <w:r>
              <w:rPr>
                <w:rFonts w:ascii="Arial" w:cs="Arial" w:eastAsia="Arial" w:hAnsi="Arial"/>
                <w:sz w:val="11"/>
                <w:szCs w:val="11"/>
                <w:color w:val="auto"/>
              </w:rPr>
              <w:t>($10,308,288)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w w:val="96"/>
              </w:rPr>
              <w:t>(19,143,954)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1940" w:type="dxa"/>
            <w:vAlign w:val="bottom"/>
          </w:tcPr>
          <w:p>
            <w:pPr>
              <w:ind w:left="600"/>
              <w:spacing w:after="0" w:line="119" w:lineRule="exact"/>
              <w:rPr>
                <w:sz w:val="20"/>
                <w:szCs w:val="20"/>
                <w:color w:val="auto"/>
              </w:rPr>
            </w:pPr>
            <w:r>
              <w:rPr>
                <w:rFonts w:ascii="Arial" w:cs="Arial" w:eastAsia="Arial" w:hAnsi="Arial"/>
                <w:sz w:val="11"/>
                <w:szCs w:val="11"/>
                <w:color w:val="auto"/>
              </w:rPr>
              <w:t>Other comprehensive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940" w:type="dxa"/>
            <w:vAlign w:val="bottom"/>
          </w:tcPr>
          <w:p>
            <w:pPr>
              <w:ind w:left="800"/>
              <w:spacing w:after="0"/>
              <w:rPr>
                <w:sz w:val="20"/>
                <w:szCs w:val="20"/>
                <w:color w:val="auto"/>
              </w:rPr>
            </w:pPr>
            <w:r>
              <w:rPr>
                <w:rFonts w:ascii="Arial" w:cs="Arial" w:eastAsia="Arial" w:hAnsi="Arial"/>
                <w:sz w:val="11"/>
                <w:szCs w:val="11"/>
                <w:color w:val="auto"/>
              </w:rPr>
              <w:t>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w w:val="96"/>
              </w:rPr>
              <w:t>(20,792,263)</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(20,792,263)</w:t>
            </w:r>
          </w:p>
        </w:tc>
        <w:tc>
          <w:tcPr>
            <w:tcW w:w="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1"/>
                <w:szCs w:val="11"/>
                <w:color w:val="auto"/>
                <w:w w:val="99"/>
              </w:rPr>
              <w:t>(20,792,263)</w:t>
            </w:r>
          </w:p>
        </w:tc>
        <w:tc>
          <w:tcPr>
            <w:tcW w:w="0" w:type="dxa"/>
            <w:vAlign w:val="bottom"/>
          </w:tcPr>
          <w:p>
            <w:pPr>
              <w:spacing w:after="0"/>
              <w:rPr>
                <w:sz w:val="1"/>
                <w:szCs w:val="1"/>
                <w:color w:val="auto"/>
              </w:rPr>
            </w:pPr>
          </w:p>
        </w:tc>
      </w:tr>
      <w:tr>
        <w:trPr>
          <w:trHeight w:val="112"/>
        </w:trPr>
        <w:tc>
          <w:tcPr>
            <w:tcW w:w="1940" w:type="dxa"/>
            <w:vAlign w:val="bottom"/>
            <w:shd w:val="clear" w:color="auto" w:fill="CCEEFF"/>
          </w:tcPr>
          <w:p>
            <w:pPr>
              <w:ind w:left="800"/>
              <w:spacing w:after="0" w:line="112" w:lineRule="exact"/>
              <w:rPr>
                <w:sz w:val="20"/>
                <w:szCs w:val="20"/>
                <w:color w:val="auto"/>
              </w:rPr>
            </w:pPr>
            <w:r>
              <w:rPr>
                <w:rFonts w:ascii="Arial" w:cs="Arial" w:eastAsia="Arial" w:hAnsi="Arial"/>
                <w:sz w:val="11"/>
                <w:szCs w:val="11"/>
                <w:color w:val="auto"/>
              </w:rPr>
              <w:t>Comprehensive</w:t>
            </w:r>
          </w:p>
        </w:tc>
        <w:tc>
          <w:tcPr>
            <w:tcW w:w="6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40" w:type="dxa"/>
            <w:vAlign w:val="bottom"/>
            <w:shd w:val="clear" w:color="auto" w:fill="CCEEFF"/>
          </w:tcPr>
          <w:p>
            <w:pPr>
              <w:ind w:left="1000"/>
              <w:spacing w:after="0"/>
              <w:rPr>
                <w:sz w:val="20"/>
                <w:szCs w:val="20"/>
                <w:color w:val="auto"/>
              </w:rPr>
            </w:pPr>
            <w:r>
              <w:rPr>
                <w:rFonts w:ascii="Arial" w:cs="Arial" w:eastAsia="Arial" w:hAnsi="Arial"/>
                <w:sz w:val="11"/>
                <w:szCs w:val="11"/>
                <w:color w:val="auto"/>
              </w:rPr>
              <w:t>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41,295,684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1"/>
                <w:szCs w:val="11"/>
                <w:color w:val="auto"/>
              </w:rPr>
              <w:t>BALANCE AS OF DECEMBER 31,</w:t>
            </w:r>
          </w:p>
        </w:tc>
        <w:tc>
          <w:tcPr>
            <w:tcW w:w="6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9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1940" w:type="dxa"/>
            <w:vAlign w:val="bottom"/>
          </w:tcPr>
          <w:p>
            <w:pPr>
              <w:ind w:left="200"/>
              <w:spacing w:after="0"/>
              <w:rPr>
                <w:sz w:val="20"/>
                <w:szCs w:val="20"/>
                <w:color w:val="auto"/>
              </w:rPr>
            </w:pPr>
            <w:r>
              <w:rPr>
                <w:rFonts w:ascii="Arial" w:cs="Arial" w:eastAsia="Arial" w:hAnsi="Arial"/>
                <w:sz w:val="11"/>
                <w:szCs w:val="11"/>
                <w:color w:val="auto"/>
              </w:rPr>
              <w:t>2008</w:t>
            </w:r>
          </w:p>
        </w:tc>
        <w:tc>
          <w:tcPr>
            <w:tcW w:w="680" w:type="dxa"/>
            <w:vAlign w:val="bottom"/>
          </w:tcPr>
          <w:p>
            <w:pPr>
              <w:jc w:val="right"/>
              <w:spacing w:after="0"/>
              <w:rPr>
                <w:sz w:val="20"/>
                <w:szCs w:val="20"/>
                <w:color w:val="auto"/>
              </w:rPr>
            </w:pPr>
            <w:r>
              <w:rPr>
                <w:rFonts w:ascii="Arial" w:cs="Arial" w:eastAsia="Arial" w:hAnsi="Arial"/>
                <w:sz w:val="11"/>
                <w:szCs w:val="11"/>
                <w:color w:val="auto"/>
              </w:rPr>
              <w:t>137,633,502</w:t>
            </w:r>
          </w:p>
        </w:tc>
        <w:tc>
          <w:tcPr>
            <w:tcW w:w="24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8,258,010</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253,821,363</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w w:val="91"/>
              </w:rPr>
              <w:t>434,975,514</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1,541,435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698,596,322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9" w:name="page40"/>
    <w:bookmarkEnd w:id="39"/>
    <w:p>
      <w:pPr>
        <w:jc w:val="center"/>
        <w:ind w:right="142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u w:val="single" w:color="auto"/>
          <w:color w:val="auto"/>
        </w:rPr>
        <w:t>FOR THE YEARS ENDED DECEMBER 31, 2008, 2007 AND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62,087,947</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$ 122,130,021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$ 108,761,002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35,891,067</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32,435,258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27,762,710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700,102</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598,902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600"/>
              <w:spacing w:after="0"/>
              <w:rPr>
                <w:sz w:val="20"/>
                <w:szCs w:val="20"/>
                <w:color w:val="auto"/>
              </w:rPr>
            </w:pPr>
            <w:r>
              <w:rPr>
                <w:rFonts w:ascii="Arial" w:cs="Arial" w:eastAsia="Arial" w:hAnsi="Arial"/>
                <w:sz w:val="18"/>
                <w:szCs w:val="18"/>
                <w:color w:val="auto"/>
              </w:rPr>
              <w:t>Gain on sale of investments</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(12,730,583)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(17,126,885)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(11,041,851)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on sale of investments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25,998,726</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4,130,927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4,674,676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600"/>
              <w:spacing w:after="0"/>
              <w:rPr>
                <w:sz w:val="20"/>
                <w:szCs w:val="20"/>
                <w:color w:val="auto"/>
              </w:rPr>
            </w:pPr>
            <w:r>
              <w:rPr>
                <w:rFonts w:ascii="Arial" w:cs="Arial" w:eastAsia="Arial" w:hAnsi="Arial"/>
                <w:sz w:val="18"/>
                <w:szCs w:val="18"/>
                <w:color w:val="auto"/>
              </w:rPr>
              <w:t>Impairment loss on available-for-sale securities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17,909,901</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(842,961)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(2,926,921)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(1,754,219)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360" w:type="dxa"/>
            <w:vAlign w:val="bottom"/>
          </w:tcPr>
          <w:p>
            <w:pPr>
              <w:ind w:left="600"/>
              <w:spacing w:after="0" w:line="201" w:lineRule="exact"/>
              <w:rPr>
                <w:sz w:val="20"/>
                <w:szCs w:val="20"/>
                <w:color w:val="auto"/>
              </w:rPr>
            </w:pPr>
            <w:r>
              <w:rPr>
                <w:rFonts w:ascii="Arial" w:cs="Arial" w:eastAsia="Arial" w:hAnsi="Arial"/>
                <w:sz w:val="18"/>
                <w:szCs w:val="18"/>
                <w:color w:val="auto"/>
                <w:w w:val="94"/>
              </w:rPr>
              <w:t>Stock based compensation expense related to employee stock</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options,employee stock purchases and restricted stock</w:t>
            </w:r>
          </w:p>
        </w:tc>
        <w:tc>
          <w:tcPr>
            <w:tcW w:w="10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10,217,484</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9,293,394</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8,481,871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 from stock based compensation</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(62,647)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(338,648)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(235,410)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60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19,652,701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(5,844,115)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2,587,041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(6,944,295)</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755,838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(8,968,576)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(12,533,323)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(3,960,185)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1,071,317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(10,825,490)</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6,649,676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274,046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(7,886,409)</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2,923,367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(290,328)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6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120,632,220</w:t>
            </w: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148,720,629</w:t>
            </w: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131,440,151</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Activity in available-for-sale securities: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 proceeds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107,959,123</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67,900,543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60,550,849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Maturities and calls</w:t>
            </w: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108,810,000</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88,200,000</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64,240,000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(152,269,927)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(155,538,587)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(140,662,282)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Plant and equipment additions</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(45,524,466)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(54,524,322)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(48,193,083)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plant and equipment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11,002</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368,005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500,665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Decrease (increase) in other assets</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(3,183,770)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(86,912)</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308,855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(used for) investing activities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15,801,962</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(53,681,273)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(63,254,996)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from stock plan transactions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11,815,508</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40,089,468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18,953,178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(60,463,115)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(55,922,147)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(54,704,400)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(111,259,803)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(7,328,015)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(226,851,253)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Excess tax benefits from stock based compensation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62,647</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338,648</w:t>
            </w:r>
          </w:p>
        </w:tc>
        <w:tc>
          <w:tcPr>
            <w:tcW w:w="3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235,410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(159,844,763)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(22,822,046)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(262,367,065)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INCREASE(DECREASE) IN CASH AND CASH</w:t>
            </w: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(23,410,581)</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72,217,310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(194,181,910)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317,717,093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245,499,783</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439,681,693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294,306,512</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$ 317,717,093</w:t>
            </w:r>
          </w:p>
        </w:tc>
        <w:tc>
          <w:tcPr>
            <w:tcW w:w="3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$ 245,499,783</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60" w:type="dxa"/>
            <w:vAlign w:val="bottom"/>
            <w:vMerge w:val="restart"/>
          </w:tcPr>
          <w:p>
            <w:pPr>
              <w:ind w:left="4460"/>
              <w:spacing w:after="0"/>
              <w:rPr>
                <w:sz w:val="20"/>
                <w:szCs w:val="20"/>
                <w:color w:val="auto"/>
              </w:rPr>
            </w:pPr>
            <w:r>
              <w:rPr>
                <w:rFonts w:ascii="Arial" w:cs="Arial" w:eastAsia="Arial" w:hAnsi="Arial"/>
                <w:sz w:val="18"/>
                <w:szCs w:val="18"/>
                <w:color w:val="auto"/>
              </w:rPr>
              <w:t>- 38 -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 w:name="page41"/>
    <w:bookmarkEnd w:id="40"/>
    <w:p>
      <w:pPr>
        <w:jc w:val="center"/>
        <w:ind w:right="551"/>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ind w:left="2428"/>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85" w:lineRule="exact"/>
        <w:rPr>
          <w:sz w:val="20"/>
          <w:szCs w:val="20"/>
          <w:color w:val="auto"/>
        </w:rPr>
      </w:pPr>
    </w:p>
    <w:p>
      <w:pPr>
        <w:ind w:left="368" w:right="3719" w:hanging="368"/>
        <w:spacing w:after="0" w:line="4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w:t>
      </w:r>
      <w:r>
        <w:rPr>
          <w:rFonts w:ascii="Arial" w:cs="Arial" w:eastAsia="Arial" w:hAnsi="Arial"/>
          <w:sz w:val="18"/>
          <w:szCs w:val="18"/>
          <w:u w:val="single" w:color="auto"/>
          <w:color w:val="auto"/>
        </w:rPr>
        <w:t>The Company</w:t>
      </w:r>
    </w:p>
    <w:p>
      <w:pPr>
        <w:spacing w:after="0" w:line="2" w:lineRule="exact"/>
        <w:rPr>
          <w:sz w:val="20"/>
          <w:szCs w:val="20"/>
          <w:color w:val="auto"/>
        </w:rPr>
      </w:pPr>
    </w:p>
    <w:p>
      <w:pPr>
        <w:jc w:val="center"/>
        <w:ind w:right="251"/>
        <w:spacing w:after="0"/>
        <w:rPr>
          <w:sz w:val="20"/>
          <w:szCs w:val="20"/>
          <w:color w:val="auto"/>
        </w:rPr>
      </w:pPr>
      <w:r>
        <w:rPr>
          <w:rFonts w:ascii="Arial" w:cs="Arial" w:eastAsia="Arial" w:hAnsi="Arial"/>
          <w:sz w:val="16"/>
          <w:szCs w:val="16"/>
          <w:color w:val="auto"/>
        </w:rPr>
        <w:t>Gentex Corporation designs, develops, manufactures and markets proprietary electro-optical products: automatic-dimming</w:t>
      </w:r>
    </w:p>
    <w:p>
      <w:pPr>
        <w:spacing w:after="0" w:line="46" w:lineRule="exact"/>
        <w:rPr>
          <w:sz w:val="20"/>
          <w:szCs w:val="20"/>
          <w:color w:val="auto"/>
        </w:rPr>
      </w:pPr>
    </w:p>
    <w:p>
      <w:pPr>
        <w:ind w:left="748" w:right="619"/>
        <w:spacing w:after="0" w:line="253" w:lineRule="auto"/>
        <w:rPr>
          <w:sz w:val="20"/>
          <w:szCs w:val="20"/>
          <w:color w:val="auto"/>
        </w:rPr>
      </w:pPr>
      <w:r>
        <w:rPr>
          <w:rFonts w:ascii="Arial" w:cs="Arial" w:eastAsia="Arial" w:hAnsi="Arial"/>
          <w:sz w:val="18"/>
          <w:szCs w:val="18"/>
          <w:color w:val="auto"/>
        </w:rPr>
        <w:t>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 The Company does not require collateral or other security for trade accounts receivable.</w:t>
      </w:r>
    </w:p>
    <w:p>
      <w:pPr>
        <w:spacing w:after="0" w:line="151" w:lineRule="exact"/>
        <w:rPr>
          <w:sz w:val="20"/>
          <w:szCs w:val="20"/>
          <w:color w:val="auto"/>
        </w:rPr>
      </w:pPr>
    </w:p>
    <w:p>
      <w:pPr>
        <w:ind w:left="368"/>
        <w:spacing w:after="0"/>
        <w:rPr>
          <w:sz w:val="20"/>
          <w:szCs w:val="20"/>
          <w:color w:val="auto"/>
        </w:rPr>
      </w:pPr>
      <w:r>
        <w:rPr>
          <w:rFonts w:ascii="Arial" w:cs="Arial" w:eastAsia="Arial" w:hAnsi="Arial"/>
          <w:sz w:val="18"/>
          <w:szCs w:val="18"/>
          <w:color w:val="auto"/>
        </w:rPr>
        <w:t>Significant accounting policies of the Company not described elsewhere are as follows:</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Consolidation</w:t>
      </w:r>
    </w:p>
    <w:p>
      <w:pPr>
        <w:spacing w:after="0" w:line="198" w:lineRule="exact"/>
        <w:rPr>
          <w:sz w:val="20"/>
          <w:szCs w:val="20"/>
          <w:color w:val="auto"/>
        </w:rPr>
      </w:pPr>
    </w:p>
    <w:p>
      <w:pPr>
        <w:ind w:left="748" w:right="659" w:hanging="342"/>
        <w:spacing w:after="0" w:line="342" w:lineRule="auto"/>
        <w:rPr>
          <w:sz w:val="20"/>
          <w:szCs w:val="20"/>
          <w:color w:val="auto"/>
        </w:rPr>
      </w:pPr>
      <w:r>
        <w:rPr>
          <w:rFonts w:ascii="Arial" w:cs="Arial" w:eastAsia="Arial" w:hAnsi="Arial"/>
          <w:sz w:val="16"/>
          <w:szCs w:val="16"/>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83"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Cash Equivalents</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Cash equivalents consist of funds invested in bank accounts and money market funds that have daily liquidity.</w:t>
      </w:r>
    </w:p>
    <w:p>
      <w:pPr>
        <w:spacing w:after="0" w:line="198"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Allowance For Doubtful Accounts</w:t>
      </w:r>
    </w:p>
    <w:p>
      <w:pPr>
        <w:spacing w:after="0" w:line="185" w:lineRule="exact"/>
        <w:rPr>
          <w:sz w:val="20"/>
          <w:szCs w:val="20"/>
          <w:color w:val="auto"/>
        </w:rPr>
      </w:pPr>
    </w:p>
    <w:p>
      <w:pPr>
        <w:ind w:left="748" w:right="819" w:hanging="342"/>
        <w:spacing w:after="0" w:line="257" w:lineRule="auto"/>
        <w:rPr>
          <w:sz w:val="20"/>
          <w:szCs w:val="20"/>
          <w:color w:val="auto"/>
        </w:rPr>
      </w:pPr>
      <w:r>
        <w:rPr>
          <w:rFonts w:ascii="Arial" w:cs="Arial" w:eastAsia="Arial" w:hAnsi="Arial"/>
          <w:sz w:val="18"/>
          <w:szCs w:val="18"/>
          <w:color w:val="auto"/>
        </w:rPr>
        <w:t>The Company bases its allowances related to receivables on historical credit and collections experience, and the specific identification of other potential problems, including the economic climate. Actual collections can differ, requiring adjustments to the allowances. Individual accounts receivable balances are evaluated on a monthly basis, and those balances considered uncollectible are charged to the allowance. Collections of amounts previously written off are recorded as an increase to the allowance.</w:t>
      </w:r>
    </w:p>
    <w:p>
      <w:pPr>
        <w:spacing w:after="0" w:line="148" w:lineRule="exact"/>
        <w:rPr>
          <w:sz w:val="20"/>
          <w:szCs w:val="20"/>
          <w:color w:val="auto"/>
        </w:rPr>
      </w:pPr>
    </w:p>
    <w:p>
      <w:pPr>
        <w:ind w:left="368"/>
        <w:spacing w:after="0"/>
        <w:rPr>
          <w:sz w:val="20"/>
          <w:szCs w:val="20"/>
          <w:color w:val="auto"/>
        </w:rPr>
      </w:pPr>
      <w:r>
        <w:rPr>
          <w:rFonts w:ascii="Arial" w:cs="Arial" w:eastAsia="Arial" w:hAnsi="Arial"/>
          <w:sz w:val="18"/>
          <w:szCs w:val="18"/>
          <w:color w:val="auto"/>
        </w:rPr>
        <w:t>The following table presents the activity in the Company’s allowance for doubtful accounts:</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Additions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Charged to</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Deductions*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Beginning</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Costs and</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and Other</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Ending</w:t>
            </w:r>
          </w:p>
        </w:tc>
      </w:tr>
      <w:tr>
        <w:trPr>
          <w:trHeight w:val="230"/>
        </w:trPr>
        <w:tc>
          <w:tcPr>
            <w:tcW w:w="440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Balance</w:t>
            </w: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Expenses</w:t>
            </w: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Adjustments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Balance</w:t>
            </w: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2008:</w:t>
            </w:r>
          </w:p>
        </w:tc>
        <w:tc>
          <w:tcPr>
            <w:tcW w:w="9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  1,650,000</w:t>
            </w: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  4,058,722</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($8,722)</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  5,700,000</w:t>
            </w:r>
          </w:p>
        </w:tc>
      </w:tr>
    </w:tbl>
    <w:p>
      <w:pPr>
        <w:spacing w:after="0" w:line="93" w:lineRule="exact"/>
        <w:rPr>
          <w:sz w:val="20"/>
          <w:szCs w:val="20"/>
          <w:color w:val="auto"/>
        </w:rPr>
      </w:pPr>
    </w:p>
    <w:p>
      <w:pPr>
        <w:ind w:left="348" w:hanging="348"/>
        <w:spacing w:after="0"/>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excess of accounts written off over recoveries and other adjustments.</w:t>
      </w:r>
    </w:p>
    <w:p>
      <w:pPr>
        <w:spacing w:after="0" w:line="198"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Investments</w:t>
      </w:r>
    </w:p>
    <w:p>
      <w:pPr>
        <w:spacing w:after="0" w:line="185" w:lineRule="exact"/>
        <w:rPr>
          <w:sz w:val="20"/>
          <w:szCs w:val="20"/>
          <w:color w:val="auto"/>
        </w:rPr>
      </w:pPr>
    </w:p>
    <w:p>
      <w:pPr>
        <w:ind w:left="748" w:right="559" w:hanging="342"/>
        <w:spacing w:after="0" w:line="272" w:lineRule="auto"/>
        <w:rPr>
          <w:sz w:val="20"/>
          <w:szCs w:val="20"/>
          <w:color w:val="auto"/>
        </w:rPr>
      </w:pPr>
      <w:r>
        <w:rPr>
          <w:rFonts w:ascii="Arial" w:cs="Arial" w:eastAsia="Arial" w:hAnsi="Arial"/>
          <w:sz w:val="17"/>
          <w:szCs w:val="17"/>
          <w:color w:val="auto"/>
        </w:rPr>
        <w:t>In September 2006, the Financial Accounting Standards Board (FASB) issued Statement of Financial Accounting Standards (SFAS) No. 157, “Fair Value Measurements” (“SFAS No. 157”). This statement establishes a framework for measuring the fair value of assets and liabilities. This framework is intended to provide increased consistency in how fair value determinations are made under various existing accounting standards that permit, or in some cases require, estimates of fair market value. SFAS No. 157 also expands financial statement disclosure requirements about a company’s use of fair value measurements, including the effect of such measure on earnings. SFAS No. 157 was effective for fiscal years beginning after November 15, 2007.</w:t>
      </w:r>
    </w:p>
    <w:p>
      <w:pPr>
        <w:spacing w:after="0" w:line="200" w:lineRule="exact"/>
        <w:rPr>
          <w:sz w:val="20"/>
          <w:szCs w:val="20"/>
          <w:color w:val="auto"/>
        </w:rPr>
      </w:pPr>
    </w:p>
    <w:p>
      <w:pPr>
        <w:spacing w:after="0" w:line="343"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1" w:name="page42"/>
    <w:bookmarkEnd w:id="41"/>
    <w:p>
      <w:pPr>
        <w:jc w:val="center"/>
        <w:ind w:right="142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700" w:right="4020" w:hanging="368"/>
        <w:spacing w:after="0" w:line="461" w:lineRule="auto"/>
        <w:tabs>
          <w:tab w:leader="none" w:pos="6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continued </w:t>
      </w:r>
      <w:r>
        <w:rPr>
          <w:rFonts w:ascii="Arial" w:cs="Arial" w:eastAsia="Arial" w:hAnsi="Arial"/>
          <w:sz w:val="18"/>
          <w:szCs w:val="18"/>
          <w:u w:val="single" w:color="auto"/>
          <w:color w:val="auto"/>
        </w:rPr>
        <w:t>Investments, continued</w:t>
      </w:r>
    </w:p>
    <w:p>
      <w:pPr>
        <w:spacing w:after="0" w:line="2" w:lineRule="exact"/>
        <w:rPr>
          <w:sz w:val="20"/>
          <w:szCs w:val="20"/>
          <w:color w:val="auto"/>
        </w:rPr>
      </w:pPr>
    </w:p>
    <w:p>
      <w:pPr>
        <w:ind w:left="1080" w:right="1800" w:hanging="342"/>
        <w:spacing w:after="0" w:line="293" w:lineRule="auto"/>
        <w:rPr>
          <w:sz w:val="20"/>
          <w:szCs w:val="20"/>
          <w:color w:val="auto"/>
        </w:rPr>
      </w:pPr>
      <w:r>
        <w:rPr>
          <w:rFonts w:ascii="Arial" w:cs="Arial" w:eastAsia="Arial" w:hAnsi="Arial"/>
          <w:sz w:val="16"/>
          <w:szCs w:val="16"/>
          <w:color w:val="auto"/>
        </w:rPr>
        <w:t>The Company adopted the provisions of SFAS No. 157 related to its financial assets and liabilities in 2008, which did not have a material impact on the Company’s consolidated financial position, results of operations or cash flows. The Company’s investment securities are classified as available for sale and are stated at fair value based on quoted market prices. Adjustments to the fair value of investments are recorded as increases or decreases, net of income taxes, within accumulated other comprehensive income (loss) in shareholders’ investment (excluding other-than-temporary impairments). Assets or liabilities that have recurring measurements are shown below as of December 31, 2008:</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8"/>
          </w:tcPr>
          <w:p>
            <w:pPr>
              <w:jc w:val="right"/>
              <w:ind w:right="280"/>
              <w:spacing w:after="0"/>
              <w:rPr>
                <w:sz w:val="20"/>
                <w:szCs w:val="20"/>
                <w:color w:val="auto"/>
              </w:rPr>
            </w:pPr>
            <w:r>
              <w:rPr>
                <w:rFonts w:ascii="Arial" w:cs="Arial" w:eastAsia="Arial" w:hAnsi="Arial"/>
                <w:sz w:val="18"/>
                <w:szCs w:val="18"/>
                <w:color w:val="auto"/>
                <w:w w:val="91"/>
              </w:rPr>
              <w:t>Fair Value Measurements at Reporting Date Using</w:t>
            </w:r>
          </w:p>
        </w:tc>
      </w:tr>
      <w:tr>
        <w:trPr>
          <w:trHeight w:val="195"/>
        </w:trPr>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280"/>
              <w:spacing w:after="0" w:line="195" w:lineRule="exact"/>
              <w:rPr>
                <w:sz w:val="20"/>
                <w:szCs w:val="20"/>
                <w:color w:val="auto"/>
              </w:rPr>
            </w:pPr>
            <w:r>
              <w:rPr>
                <w:rFonts w:ascii="Arial" w:cs="Arial" w:eastAsia="Arial" w:hAnsi="Arial"/>
                <w:sz w:val="18"/>
                <w:szCs w:val="18"/>
                <w:color w:val="auto"/>
                <w:w w:val="90"/>
              </w:rPr>
              <w:t>Quoted Prices in</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Active Markets</w:t>
            </w:r>
          </w:p>
        </w:tc>
        <w:tc>
          <w:tcPr>
            <w:tcW w:w="16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Significant</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Significant</w:t>
            </w: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for Identical</w:t>
            </w:r>
          </w:p>
        </w:tc>
        <w:tc>
          <w:tcPr>
            <w:tcW w:w="15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Other Observable</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Unobservable</w:t>
            </w: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Total as of</w:t>
            </w:r>
          </w:p>
        </w:tc>
        <w:tc>
          <w:tcPr>
            <w:tcW w:w="1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Assets</w:t>
            </w:r>
          </w:p>
        </w:tc>
        <w:tc>
          <w:tcPr>
            <w:tcW w:w="16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Inputs</w:t>
            </w: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Description</w:t>
            </w:r>
          </w:p>
        </w:tc>
        <w:tc>
          <w:tcPr>
            <w:tcW w:w="2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auto"/>
              </w:rPr>
              <w:t>December 31, 2008</w:t>
            </w:r>
          </w:p>
        </w:tc>
        <w:tc>
          <w:tcPr>
            <w:tcW w:w="1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(Level 2)</w:t>
            </w:r>
          </w:p>
        </w:tc>
        <w:tc>
          <w:tcPr>
            <w:tcW w:w="10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(Level 3)</w:t>
            </w:r>
          </w:p>
        </w:tc>
      </w:tr>
      <w:tr>
        <w:trPr>
          <w:trHeight w:val="210"/>
        </w:trPr>
        <w:tc>
          <w:tcPr>
            <w:tcW w:w="3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294,306,512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294,306,512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29,177,273</w:t>
            </w:r>
          </w:p>
        </w:tc>
        <w:tc>
          <w:tcPr>
            <w:tcW w:w="12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22,177,273</w:t>
            </w: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81,348,942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81,348,942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404,832,727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397,832,727</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1080" w:right="2000" w:hanging="342"/>
        <w:spacing w:after="0" w:line="342" w:lineRule="auto"/>
        <w:rPr>
          <w:sz w:val="20"/>
          <w:szCs w:val="20"/>
          <w:color w:val="auto"/>
        </w:rPr>
      </w:pPr>
      <w:r>
        <w:rPr>
          <w:rFonts w:ascii="Arial" w:cs="Arial" w:eastAsia="Arial" w:hAnsi="Arial"/>
          <w:sz w:val="16"/>
          <w:szCs w:val="16"/>
          <w:color w:val="auto"/>
        </w:rPr>
        <w:t>The Company’s short-term investments primarily consist of Government Securities (Level 1) and Certificate of Deposits (Level 2). Long-term investments primarily consist of marketable equity securities and equity mutual funds.</w:t>
      </w:r>
    </w:p>
    <w:p>
      <w:pPr>
        <w:spacing w:after="0" w:line="8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December 31,</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2008 and 2007:</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60" w:type="dxa"/>
            <w:vAlign w:val="bottom"/>
            <w:vMerge w:val="restart"/>
          </w:tcPr>
          <w:p>
            <w:pPr>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auto"/>
              </w:rPr>
              <w:t>Cost</w:t>
            </w:r>
          </w:p>
        </w:tc>
        <w:tc>
          <w:tcPr>
            <w:tcW w:w="360" w:type="dxa"/>
            <w:vAlign w:val="bottom"/>
            <w:gridSpan w:val="2"/>
            <w:vMerge w:val="restart"/>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980"/>
              <w:spacing w:after="0"/>
              <w:rPr>
                <w:sz w:val="20"/>
                <w:szCs w:val="20"/>
                <w:color w:val="auto"/>
              </w:rPr>
            </w:pPr>
            <w:r>
              <w:rPr>
                <w:rFonts w:ascii="Arial" w:cs="Arial" w:eastAsia="Arial" w:hAnsi="Arial"/>
                <w:sz w:val="18"/>
                <w:szCs w:val="18"/>
                <w:color w:val="auto"/>
              </w:rPr>
              <w:t>Unrealized</w:t>
            </w:r>
          </w:p>
        </w:tc>
        <w:tc>
          <w:tcPr>
            <w:tcW w:w="100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Market Value</w:t>
            </w: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Gains</w:t>
            </w: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Losses</w:t>
            </w:r>
          </w:p>
        </w:tc>
        <w:tc>
          <w:tcPr>
            <w:tcW w:w="340" w:type="dxa"/>
            <w:vAlign w:val="bottom"/>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21,238,329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280,618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21,518,947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Fixed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658,326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658,326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81,039,674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4,605,386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(4,296,118)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81,348,942</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109,936,329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4,886,004</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(4,296,118</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110,526,215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Cost</w:t>
            </w:r>
          </w:p>
        </w:tc>
        <w:tc>
          <w:tcPr>
            <w:tcW w:w="36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Gains</w:t>
            </w: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Losses</w:t>
            </w:r>
          </w:p>
        </w:tc>
        <w:tc>
          <w:tcPr>
            <w:tcW w:w="340" w:type="dxa"/>
            <w:vAlign w:val="bottom"/>
          </w:tcPr>
          <w:p>
            <w:pPr>
              <w:spacing w:after="0"/>
              <w:rPr>
                <w:sz w:val="24"/>
                <w:szCs w:val="2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Market Value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7"/>
              </w:rPr>
              <w:t>28,973,865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28,994,266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w w:val="97"/>
              </w:rPr>
              <w:t>49,000,000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49,000,000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295,407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Other Fixed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1,982,015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1,982,015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125,358,799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32,983,925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(2,958,715)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155,384,009</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205,613,569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33,004,326</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(2,962,198</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235,655,697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Unrealized losses on investments as of December 31, 2008 (excluding other-than-temporary impairments),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Aggregate Unrealized Losses</w:t>
            </w:r>
          </w:p>
        </w:tc>
        <w:tc>
          <w:tcPr>
            <w:tcW w:w="1600" w:type="dxa"/>
            <w:vAlign w:val="bottom"/>
            <w:gridSpan w:val="3"/>
          </w:tcPr>
          <w:p>
            <w:pPr>
              <w:spacing w:after="0"/>
              <w:rPr>
                <w:sz w:val="20"/>
                <w:szCs w:val="20"/>
                <w:color w:val="auto"/>
              </w:rPr>
            </w:pPr>
            <w:r>
              <w:rPr>
                <w:rFonts w:ascii="Arial" w:cs="Arial" w:eastAsia="Arial" w:hAnsi="Arial"/>
                <w:sz w:val="18"/>
                <w:szCs w:val="18"/>
                <w:color w:val="auto"/>
                <w:w w:val="92"/>
              </w:rPr>
              <w:t>Aggregate Fair Value</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04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4,296,118</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30,101,557</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Greater than one year</w:t>
            </w:r>
          </w:p>
        </w:tc>
        <w:tc>
          <w:tcPr>
            <w:tcW w:w="2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00" w:type="dxa"/>
            <w:vAlign w:val="bottom"/>
          </w:tcPr>
          <w:p>
            <w:pPr>
              <w:jc w:val="right"/>
              <w:ind w:right="350"/>
              <w:spacing w:after="0"/>
              <w:rPr>
                <w:sz w:val="20"/>
                <w:szCs w:val="20"/>
                <w:color w:val="auto"/>
              </w:rPr>
            </w:pPr>
            <w:r>
              <w:rPr>
                <w:rFonts w:ascii="Arial" w:cs="Arial" w:eastAsia="Arial" w:hAnsi="Arial"/>
                <w:sz w:val="18"/>
                <w:szCs w:val="18"/>
                <w:color w:val="auto"/>
              </w:rPr>
              <w:t>- 40 -</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 w:name="page43"/>
    <w:bookmarkEnd w:id="42"/>
    <w:p>
      <w:pPr>
        <w:jc w:val="center"/>
        <w:ind w:right="551"/>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368" w:right="2819" w:hanging="368"/>
        <w:spacing w:after="0" w:line="461" w:lineRule="auto"/>
        <w:tabs>
          <w:tab w:leader="none" w:pos="3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continued </w:t>
      </w:r>
      <w:r>
        <w:rPr>
          <w:rFonts w:ascii="Arial" w:cs="Arial" w:eastAsia="Arial" w:hAnsi="Arial"/>
          <w:sz w:val="18"/>
          <w:szCs w:val="18"/>
          <w:u w:val="single" w:color="auto"/>
          <w:color w:val="auto"/>
        </w:rPr>
        <w:t>Investments, continued</w:t>
      </w:r>
    </w:p>
    <w:p>
      <w:pPr>
        <w:spacing w:after="0" w:line="2" w:lineRule="exact"/>
        <w:rPr>
          <w:sz w:val="20"/>
          <w:szCs w:val="20"/>
          <w:color w:val="auto"/>
        </w:rPr>
      </w:pPr>
    </w:p>
    <w:p>
      <w:pPr>
        <w:ind w:left="748" w:right="579" w:hanging="342"/>
        <w:spacing w:after="0" w:line="269" w:lineRule="auto"/>
        <w:rPr>
          <w:sz w:val="20"/>
          <w:szCs w:val="20"/>
          <w:color w:val="auto"/>
        </w:rPr>
      </w:pPr>
      <w:r>
        <w:rPr>
          <w:rFonts w:ascii="Arial" w:cs="Arial" w:eastAsia="Arial" w:hAnsi="Arial"/>
          <w:sz w:val="17"/>
          <w:szCs w:val="17"/>
          <w:color w:val="auto"/>
        </w:rPr>
        <w:t>SFAS No. 115, “Accounting for Certain Investments in Debt and Equity Securities”, as amended and interpreted, provides guidance on determining when an investment is other-than-temporarily impaired. The Company reviews its fixed income and equity investment portfolio for any 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our intent and ability to hold the investments. Management also considers the type of security, related industry, sector performance, as well as published investment ratings and analyst reports to evaluate its portfolio. Once a decline in fair value is determined to be other-than- temporary, an impairment charge is recorded and a new cost basis in the investment is established. If market, industry, and/or investee conditions deteriorate, the Company may incur future impairments. Management considered equity investment losses of $17,909,901 to be other-than-temporary at December 31, 2008; accordingly, the losses have been recognized in the consolidated statement of income for the year ended December 31, 2008.</w:t>
      </w:r>
    </w:p>
    <w:p>
      <w:pPr>
        <w:spacing w:after="0" w:line="139" w:lineRule="exact"/>
        <w:rPr>
          <w:sz w:val="20"/>
          <w:szCs w:val="20"/>
          <w:color w:val="auto"/>
        </w:rPr>
      </w:pPr>
    </w:p>
    <w:p>
      <w:pPr>
        <w:ind w:left="748" w:right="899" w:hanging="342"/>
        <w:spacing w:after="0" w:line="277" w:lineRule="auto"/>
        <w:rPr>
          <w:sz w:val="20"/>
          <w:szCs w:val="20"/>
          <w:color w:val="auto"/>
        </w:rPr>
      </w:pPr>
      <w:r>
        <w:rPr>
          <w:rFonts w:ascii="Arial" w:cs="Arial" w:eastAsia="Arial" w:hAnsi="Arial"/>
          <w:sz w:val="18"/>
          <w:szCs w:val="18"/>
          <w:color w:val="auto"/>
        </w:rPr>
        <w:t>The following table details the pro-forma effect on pre-tax net income of equity investment losses that were considered other-than-temporary at December 31, 2008:</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right"/>
              <w:ind w:right="570"/>
              <w:spacing w:after="0"/>
              <w:rPr>
                <w:sz w:val="20"/>
                <w:szCs w:val="20"/>
                <w:color w:val="auto"/>
              </w:rPr>
            </w:pPr>
            <w:r>
              <w:rPr>
                <w:rFonts w:ascii="Arial" w:cs="Arial" w:eastAsia="Arial" w:hAnsi="Arial"/>
                <w:sz w:val="18"/>
                <w:szCs w:val="18"/>
                <w:color w:val="auto"/>
              </w:rPr>
              <w:t>Incurred</w:t>
            </w:r>
          </w:p>
        </w:tc>
        <w:tc>
          <w:tcPr>
            <w:tcW w:w="1000" w:type="dxa"/>
            <w:vAlign w:val="bottom"/>
            <w:gridSpan w:val="4"/>
          </w:tcPr>
          <w:p>
            <w:pPr>
              <w:jc w:val="center"/>
              <w:ind w:right="80"/>
              <w:spacing w:after="0"/>
              <w:rPr>
                <w:sz w:val="20"/>
                <w:szCs w:val="20"/>
                <w:color w:val="auto"/>
              </w:rPr>
            </w:pPr>
            <w:r>
              <w:rPr>
                <w:rFonts w:ascii="Arial" w:cs="Arial" w:eastAsia="Arial" w:hAnsi="Arial"/>
                <w:sz w:val="18"/>
                <w:szCs w:val="18"/>
                <w:color w:val="auto"/>
                <w:w w:val="92"/>
              </w:rPr>
              <w:t>Unrealized</w:t>
            </w:r>
          </w:p>
        </w:tc>
      </w:tr>
      <w:tr>
        <w:trPr>
          <w:trHeight w:val="230"/>
        </w:trPr>
        <w:tc>
          <w:tcPr>
            <w:tcW w:w="398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Historical Cost</w:t>
            </w:r>
          </w:p>
        </w:tc>
        <w:tc>
          <w:tcPr>
            <w:tcW w:w="1340" w:type="dxa"/>
            <w:vAlign w:val="bottom"/>
            <w:gridSpan w:val="2"/>
          </w:tcPr>
          <w:p>
            <w:pPr>
              <w:spacing w:after="0"/>
              <w:rPr>
                <w:sz w:val="20"/>
                <w:szCs w:val="20"/>
                <w:color w:val="auto"/>
              </w:rPr>
            </w:pPr>
            <w:r>
              <w:rPr>
                <w:rFonts w:ascii="Arial" w:cs="Arial" w:eastAsia="Arial" w:hAnsi="Arial"/>
                <w:sz w:val="18"/>
                <w:szCs w:val="18"/>
                <w:color w:val="auto"/>
              </w:rPr>
              <w:t>Adjusted Cost</w:t>
            </w:r>
          </w:p>
        </w:tc>
        <w:tc>
          <w:tcPr>
            <w:tcW w:w="1580" w:type="dxa"/>
            <w:vAlign w:val="bottom"/>
            <w:gridSpan w:val="3"/>
          </w:tcPr>
          <w:p>
            <w:pPr>
              <w:jc w:val="right"/>
              <w:ind w:right="250"/>
              <w:spacing w:after="0"/>
              <w:rPr>
                <w:sz w:val="20"/>
                <w:szCs w:val="20"/>
                <w:color w:val="auto"/>
              </w:rPr>
            </w:pPr>
            <w:r>
              <w:rPr>
                <w:rFonts w:ascii="Arial" w:cs="Arial" w:eastAsia="Arial" w:hAnsi="Arial"/>
                <w:sz w:val="18"/>
                <w:szCs w:val="18"/>
                <w:color w:val="auto"/>
                <w:w w:val="88"/>
              </w:rPr>
              <w:t>Recognized Loss</w:t>
            </w:r>
          </w:p>
        </w:tc>
        <w:tc>
          <w:tcPr>
            <w:tcW w:w="100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Gain/(Loss)</w:t>
            </w:r>
          </w:p>
        </w:tc>
      </w:tr>
      <w:tr>
        <w:trPr>
          <w:trHeight w:val="210"/>
        </w:trPr>
        <w:tc>
          <w:tcPr>
            <w:tcW w:w="39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Other-Than-Temporary Equity Investment Losses</w:t>
            </w: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42,386,788</w:t>
            </w:r>
          </w:p>
        </w:tc>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$ 24,476,887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($17,909,901)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392"/>
        </w:trPr>
        <w:tc>
          <w:tcPr>
            <w:tcW w:w="8320" w:type="dxa"/>
            <w:vAlign w:val="bottom"/>
            <w:gridSpan w:val="8"/>
          </w:tcPr>
          <w:p>
            <w:pPr>
              <w:ind w:left="360"/>
              <w:spacing w:after="0"/>
              <w:rPr>
                <w:sz w:val="20"/>
                <w:szCs w:val="20"/>
                <w:color w:val="auto"/>
              </w:rPr>
            </w:pPr>
            <w:r>
              <w:rPr>
                <w:rFonts w:ascii="Arial" w:cs="Arial" w:eastAsia="Arial" w:hAnsi="Arial"/>
                <w:sz w:val="18"/>
                <w:szCs w:val="18"/>
                <w:color w:val="auto"/>
              </w:rPr>
              <w:t>Fixed income securities as of December 31, 2008, have contractual maturities as follows: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29,177,273</w:t>
            </w:r>
          </w:p>
        </w:tc>
        <w:tc>
          <w:tcPr>
            <w:tcW w:w="8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Due between one and five years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Due over five years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29,177,273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185" w:lineRule="exact"/>
        <w:rPr>
          <w:sz w:val="20"/>
          <w:szCs w:val="20"/>
          <w:color w:val="auto"/>
        </w:rPr>
      </w:pPr>
    </w:p>
    <w:p>
      <w:pPr>
        <w:ind w:left="748" w:right="579" w:hanging="342"/>
        <w:spacing w:after="0" w:line="264" w:lineRule="auto"/>
        <w:rPr>
          <w:sz w:val="20"/>
          <w:szCs w:val="20"/>
          <w:color w:val="auto"/>
        </w:rPr>
      </w:pPr>
      <w:r>
        <w:rPr>
          <w:rFonts w:ascii="Arial" w:cs="Arial" w:eastAsia="Arial" w:hAnsi="Arial"/>
          <w:sz w:val="18"/>
          <w:szCs w:val="18"/>
          <w:color w:val="auto"/>
        </w:rPr>
        <w:t>The Company’s financial instruments consist of cash and cash equivalents, investments, accounts receivable and accounts payable. The Company’s estimate of the fair values of these financial instruments approximates their carrying amounts at December 31, 2008 and 2007.</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Inventories</w:t>
      </w:r>
    </w:p>
    <w:p>
      <w:pPr>
        <w:spacing w:after="0" w:line="198" w:lineRule="exact"/>
        <w:rPr>
          <w:sz w:val="20"/>
          <w:szCs w:val="20"/>
          <w:color w:val="auto"/>
        </w:rPr>
      </w:pPr>
    </w:p>
    <w:p>
      <w:pPr>
        <w:ind w:left="748" w:right="1059" w:hanging="342"/>
        <w:spacing w:after="0" w:line="308" w:lineRule="auto"/>
        <w:rPr>
          <w:sz w:val="20"/>
          <w:szCs w:val="20"/>
          <w:color w:val="auto"/>
        </w:rPr>
      </w:pPr>
      <w:r>
        <w:rPr>
          <w:rFonts w:ascii="Arial" w:cs="Arial" w:eastAsia="Arial" w:hAnsi="Arial"/>
          <w:sz w:val="17"/>
          <w:szCs w:val="17"/>
          <w:color w:val="auto"/>
        </w:rPr>
        <w:t>Inventories include material, direct labor and manufacturing overhead and are valued at the lower of first-in, first-out (FIFO) cost or market. Inventories consisted of the following as of December 31, 2008 and 2007:</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36,164,930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31,098,379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6,787,891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4,555,058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12,041,034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12,396,123</w:t>
            </w:r>
          </w:p>
        </w:tc>
      </w:tr>
      <w:tr>
        <w:trPr>
          <w:trHeight w:val="223"/>
        </w:trPr>
        <w:tc>
          <w:tcPr>
            <w:tcW w:w="68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54,993,855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48,049,560</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68" w:right="1539"/>
        <w:spacing w:after="0" w:line="461" w:lineRule="auto"/>
        <w:rPr>
          <w:sz w:val="20"/>
          <w:szCs w:val="20"/>
          <w:color w:val="auto"/>
        </w:rPr>
      </w:pPr>
      <w:r>
        <w:rPr>
          <w:rFonts w:ascii="Arial" w:cs="Arial" w:eastAsia="Arial" w:hAnsi="Arial"/>
          <w:sz w:val="18"/>
          <w:szCs w:val="18"/>
          <w:color w:val="auto"/>
        </w:rPr>
        <w:t xml:space="preserve">Allowances for slow-moving and obsolete inventories were not significant as of December 31, 2008 and 2007. </w:t>
      </w:r>
      <w:r>
        <w:rPr>
          <w:rFonts w:ascii="Arial" w:cs="Arial" w:eastAsia="Arial" w:hAnsi="Arial"/>
          <w:sz w:val="18"/>
          <w:szCs w:val="18"/>
          <w:u w:val="single" w:color="auto"/>
          <w:color w:val="auto"/>
        </w:rPr>
        <w:t>Plant and Equipment</w:t>
      </w:r>
    </w:p>
    <w:p>
      <w:pPr>
        <w:spacing w:after="0" w:line="2" w:lineRule="exact"/>
        <w:rPr>
          <w:sz w:val="20"/>
          <w:szCs w:val="20"/>
          <w:color w:val="auto"/>
        </w:rPr>
      </w:pPr>
    </w:p>
    <w:p>
      <w:pPr>
        <w:ind w:left="748" w:right="579" w:hanging="342"/>
        <w:spacing w:after="0" w:line="264" w:lineRule="auto"/>
        <w:rPr>
          <w:sz w:val="20"/>
          <w:szCs w:val="20"/>
          <w:color w:val="auto"/>
        </w:rPr>
      </w:pPr>
      <w:r>
        <w:rPr>
          <w:rFonts w:ascii="Arial" w:cs="Arial" w:eastAsia="Arial" w:hAnsi="Arial"/>
          <w:sz w:val="18"/>
          <w:szCs w:val="18"/>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Impairment or Disposal of Long-Lived Assets</w:t>
      </w:r>
    </w:p>
    <w:p>
      <w:pPr>
        <w:spacing w:after="0" w:line="185" w:lineRule="exact"/>
        <w:rPr>
          <w:sz w:val="20"/>
          <w:szCs w:val="20"/>
          <w:color w:val="auto"/>
        </w:rPr>
      </w:pPr>
    </w:p>
    <w:p>
      <w:pPr>
        <w:ind w:left="748" w:right="579" w:hanging="342"/>
        <w:spacing w:after="0" w:line="312" w:lineRule="auto"/>
        <w:rPr>
          <w:sz w:val="20"/>
          <w:szCs w:val="20"/>
          <w:color w:val="auto"/>
        </w:rPr>
      </w:pPr>
      <w:r>
        <w:rPr>
          <w:rFonts w:ascii="Arial" w:cs="Arial" w:eastAsia="Arial" w:hAnsi="Arial"/>
          <w:sz w:val="16"/>
          <w:szCs w:val="16"/>
          <w:color w:val="auto"/>
        </w:rPr>
        <w:t>The Company reviews long-lived assets for impairment whenever events or changes in circumstances indicate that the carrying amount of an asset may not be recoverable. If such assets are determined to be impaired, the impairment to be recognized is measured by the amount by which the carrying amount of the assets exceeds the fair value of the assets.</w:t>
      </w:r>
    </w:p>
    <w:p>
      <w:pPr>
        <w:spacing w:after="0" w:line="200" w:lineRule="exact"/>
        <w:rPr>
          <w:sz w:val="20"/>
          <w:szCs w:val="20"/>
          <w:color w:val="auto"/>
        </w:rPr>
      </w:pPr>
    </w:p>
    <w:p>
      <w:pPr>
        <w:spacing w:after="0" w:line="311"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424" w:gutter="0" w:footer="0" w:header="0"/>
        </w:sectPr>
      </w:pPr>
    </w:p>
    <w:bookmarkStart w:id="43" w:name="page44"/>
    <w:bookmarkEnd w:id="43"/>
    <w:p>
      <w:pPr>
        <w:jc w:val="center"/>
        <w:ind w:right="551"/>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368" w:right="2819" w:hanging="368"/>
        <w:spacing w:after="0" w:line="461" w:lineRule="auto"/>
        <w:tabs>
          <w:tab w:leader="none" w:pos="3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continued </w:t>
      </w:r>
      <w:r>
        <w:rPr>
          <w:rFonts w:ascii="Arial" w:cs="Arial" w:eastAsia="Arial" w:hAnsi="Arial"/>
          <w:sz w:val="18"/>
          <w:szCs w:val="18"/>
          <w:u w:val="single" w:color="auto"/>
          <w:color w:val="auto"/>
        </w:rPr>
        <w:t>Patents</w:t>
      </w:r>
    </w:p>
    <w:p>
      <w:pPr>
        <w:spacing w:after="0" w:line="2" w:lineRule="exact"/>
        <w:rPr>
          <w:sz w:val="20"/>
          <w:szCs w:val="20"/>
          <w:color w:val="auto"/>
        </w:rPr>
      </w:pPr>
    </w:p>
    <w:p>
      <w:pPr>
        <w:ind w:left="748" w:right="739" w:hanging="342"/>
        <w:spacing w:after="0" w:line="273" w:lineRule="auto"/>
        <w:rPr>
          <w:sz w:val="20"/>
          <w:szCs w:val="20"/>
          <w:color w:val="auto"/>
        </w:rPr>
      </w:pPr>
      <w:r>
        <w:rPr>
          <w:rFonts w:ascii="Arial" w:cs="Arial" w:eastAsia="Arial" w:hAnsi="Arial"/>
          <w:sz w:val="17"/>
          <w:szCs w:val="17"/>
          <w:color w:val="auto"/>
        </w:rPr>
        <w:t>The Company’s policy is to capitalize costs incurred to obtain patents. The cost of patents is amortized over their useful lives. The cost of patents in process is not amortized until issuance. Accumulated amortization was approximately $4,134,000 and $3,714,000 at December 31, 2008 and 2007, respectively. At December 31, 2008, patents had a weighted average amortization life of 11 years. Patent amortization expense was approximately $420,000, $353,000, and $292,000 in 2008, 2007 and 2006, respectively. For each of the next five years, patent amortization expense will approximate $435,000 annually.</w:t>
      </w:r>
    </w:p>
    <w:p>
      <w:pPr>
        <w:spacing w:after="0" w:line="138"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ind w:left="748" w:right="619" w:hanging="342"/>
        <w:spacing w:after="0" w:line="342" w:lineRule="auto"/>
        <w:rPr>
          <w:sz w:val="20"/>
          <w:szCs w:val="20"/>
          <w:color w:val="auto"/>
        </w:rPr>
      </w:pPr>
      <w:r>
        <w:rPr>
          <w:rFonts w:ascii="Arial" w:cs="Arial" w:eastAsia="Arial" w:hAnsi="Arial"/>
          <w:sz w:val="16"/>
          <w:szCs w:val="16"/>
          <w:color w:val="auto"/>
        </w:rPr>
        <w:t>The Company’s revenue is generated from sales of its products. Sales are recognized when the product is shipped and legal title has passed to the customer. The Company does not generate sales from arrangements with multiple deliverables.</w:t>
      </w:r>
    </w:p>
    <w:p>
      <w:pPr>
        <w:spacing w:after="0" w:line="97"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Advertising and Promotional Materials</w:t>
      </w:r>
    </w:p>
    <w:p>
      <w:pPr>
        <w:spacing w:after="0" w:line="185" w:lineRule="exact"/>
        <w:rPr>
          <w:sz w:val="20"/>
          <w:szCs w:val="20"/>
          <w:color w:val="auto"/>
        </w:rPr>
      </w:pPr>
    </w:p>
    <w:p>
      <w:pPr>
        <w:ind w:left="748" w:right="559" w:hanging="342"/>
        <w:spacing w:after="0" w:line="277" w:lineRule="auto"/>
        <w:rPr>
          <w:sz w:val="20"/>
          <w:szCs w:val="20"/>
          <w:color w:val="auto"/>
        </w:rPr>
      </w:pPr>
      <w:r>
        <w:rPr>
          <w:rFonts w:ascii="Arial" w:cs="Arial" w:eastAsia="Arial" w:hAnsi="Arial"/>
          <w:sz w:val="18"/>
          <w:szCs w:val="18"/>
          <w:color w:val="auto"/>
        </w:rPr>
        <w:t>All advertising and promotional costs are expensed as incurred and amounted to approximately $1,543,000, $1,407,000 and $1,250,000, in 2008, 2007 and 2006, respectively.</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Repairs and Maintenance</w:t>
      </w:r>
    </w:p>
    <w:p>
      <w:pPr>
        <w:spacing w:after="0" w:line="198" w:lineRule="exact"/>
        <w:rPr>
          <w:sz w:val="20"/>
          <w:szCs w:val="20"/>
          <w:color w:val="auto"/>
        </w:rPr>
      </w:pPr>
    </w:p>
    <w:p>
      <w:pPr>
        <w:ind w:left="748" w:right="619" w:hanging="342"/>
        <w:spacing w:after="0" w:line="286" w:lineRule="auto"/>
        <w:rPr>
          <w:sz w:val="20"/>
          <w:szCs w:val="20"/>
          <w:color w:val="auto"/>
        </w:rPr>
      </w:pPr>
      <w:r>
        <w:rPr>
          <w:rFonts w:ascii="Arial" w:cs="Arial" w:eastAsia="Arial" w:hAnsi="Arial"/>
          <w:sz w:val="17"/>
          <w:szCs w:val="17"/>
          <w:color w:val="auto"/>
        </w:rPr>
        <w:t>Major renewals and improvements of property and equipment are capitalized, and repairs and maintenance are expensed as incurred. The Company incurred expenses relating to the repair and maintenance of plant and equipment of approximately $8,097,000, $7,701,000 and $6,727,000, in 2008, 2007 and 2006, respectively.</w:t>
      </w:r>
    </w:p>
    <w:p>
      <w:pPr>
        <w:spacing w:after="0" w:line="125"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Self-Insurance</w:t>
      </w:r>
    </w:p>
    <w:p>
      <w:pPr>
        <w:spacing w:after="0" w:line="185" w:lineRule="exact"/>
        <w:rPr>
          <w:sz w:val="20"/>
          <w:szCs w:val="20"/>
          <w:color w:val="auto"/>
        </w:rPr>
      </w:pPr>
    </w:p>
    <w:p>
      <w:pPr>
        <w:ind w:left="748" w:right="759" w:hanging="342"/>
        <w:spacing w:after="0" w:line="259" w:lineRule="auto"/>
        <w:rPr>
          <w:sz w:val="20"/>
          <w:szCs w:val="20"/>
          <w:color w:val="auto"/>
        </w:rPr>
      </w:pPr>
      <w:r>
        <w:rPr>
          <w:rFonts w:ascii="Arial" w:cs="Arial" w:eastAsia="Arial" w:hAnsi="Arial"/>
          <w:sz w:val="18"/>
          <w:szCs w:val="18"/>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 based upon historical claims lag information and other data.</w:t>
      </w:r>
    </w:p>
    <w:p>
      <w:pPr>
        <w:spacing w:after="0" w:line="160"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Product Warranty</w:t>
      </w:r>
    </w:p>
    <w:p>
      <w:pPr>
        <w:spacing w:after="0" w:line="185" w:lineRule="exact"/>
        <w:rPr>
          <w:sz w:val="20"/>
          <w:szCs w:val="20"/>
          <w:color w:val="auto"/>
        </w:rPr>
      </w:pPr>
    </w:p>
    <w:p>
      <w:pPr>
        <w:ind w:left="748" w:right="739" w:hanging="342"/>
        <w:spacing w:after="0" w:line="264" w:lineRule="auto"/>
        <w:rPr>
          <w:sz w:val="20"/>
          <w:szCs w:val="20"/>
          <w:color w:val="auto"/>
        </w:rPr>
      </w:pPr>
      <w:r>
        <w:rPr>
          <w:rFonts w:ascii="Arial" w:cs="Arial" w:eastAsia="Arial" w:hAnsi="Arial"/>
          <w:sz w:val="18"/>
          <w:szCs w:val="18"/>
          <w:color w:val="auto"/>
        </w:rPr>
        <w:t>The Company periodically incurs product warranty costs. Any liabilities associated with product warranty are estimated based on known facts and circumstances and are not significant at December 31, 2008 and 2007. The Company does not offer extended warranties on its products.</w:t>
      </w:r>
    </w:p>
    <w:p>
      <w:pPr>
        <w:spacing w:after="0" w:line="141"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Earnings Per Share</w:t>
      </w:r>
    </w:p>
    <w:p>
      <w:pPr>
        <w:spacing w:after="0" w:line="198" w:lineRule="exact"/>
        <w:rPr>
          <w:sz w:val="20"/>
          <w:szCs w:val="20"/>
          <w:color w:val="auto"/>
        </w:rPr>
      </w:pPr>
    </w:p>
    <w:p>
      <w:pPr>
        <w:ind w:left="748" w:right="719" w:hanging="342"/>
        <w:spacing w:after="0" w:line="277" w:lineRule="auto"/>
        <w:rPr>
          <w:sz w:val="20"/>
          <w:szCs w:val="20"/>
          <w:color w:val="auto"/>
        </w:rPr>
      </w:pPr>
      <w:r>
        <w:rPr>
          <w:rFonts w:ascii="Arial" w:cs="Arial" w:eastAsia="Arial" w:hAnsi="Arial"/>
          <w:sz w:val="18"/>
          <w:szCs w:val="18"/>
          <w:color w:val="auto"/>
        </w:rPr>
        <w:t>The following table reconciles the numerators and denominators used in the calculations of basic and diluted earnings per share (EPS) for each of the last three years: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Numerators: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Numerator for both basic and diluted EPS, net income</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$ 62,087,947</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$ 122,130,021</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$ 108,761,002</w:t>
            </w:r>
          </w:p>
        </w:tc>
      </w:tr>
      <w:tr>
        <w:trPr>
          <w:trHeight w:val="202"/>
        </w:trPr>
        <w:tc>
          <w:tcPr>
            <w:tcW w:w="5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Denominators: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540" w:type="dxa"/>
            <w:vAlign w:val="bottom"/>
          </w:tcPr>
          <w:p>
            <w:pPr>
              <w:ind w:left="200"/>
              <w:spacing w:after="0" w:line="201" w:lineRule="exact"/>
              <w:rPr>
                <w:sz w:val="20"/>
                <w:szCs w:val="20"/>
                <w:color w:val="auto"/>
              </w:rPr>
            </w:pPr>
            <w:r>
              <w:rPr>
                <w:rFonts w:ascii="Arial" w:cs="Arial" w:eastAsia="Arial" w:hAnsi="Arial"/>
                <w:sz w:val="18"/>
                <w:szCs w:val="18"/>
                <w:color w:val="auto"/>
              </w:rPr>
              <w:t>Denominator for basic EPS, weighted-average common shares</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540" w:type="dxa"/>
            <w:vAlign w:val="bottom"/>
          </w:tcPr>
          <w:p>
            <w:pPr>
              <w:ind w:left="400"/>
              <w:spacing w:after="0"/>
              <w:rPr>
                <w:sz w:val="20"/>
                <w:szCs w:val="20"/>
                <w:color w:val="auto"/>
              </w:rPr>
            </w:pPr>
            <w:r>
              <w:rPr>
                <w:rFonts w:ascii="Arial" w:cs="Arial" w:eastAsia="Arial" w:hAnsi="Arial"/>
                <w:sz w:val="18"/>
                <w:szCs w:val="18"/>
                <w:color w:val="auto"/>
              </w:rPr>
              <w:t>outstanding</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140,902,304</w:t>
            </w:r>
          </w:p>
        </w:tc>
        <w:tc>
          <w:tcPr>
            <w:tcW w:w="34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143,056,704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147,950,666</w:t>
            </w: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Potentially dilutive shares resulting from stock option plans</w:t>
            </w: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102,632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1,013,593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543,697</w:t>
            </w:r>
          </w:p>
        </w:tc>
      </w:tr>
      <w:tr>
        <w:trPr>
          <w:trHeight w:val="223"/>
        </w:trPr>
        <w:tc>
          <w:tcPr>
            <w:tcW w:w="5540" w:type="dxa"/>
            <w:vAlign w:val="bottom"/>
          </w:tcPr>
          <w:p>
            <w:pPr>
              <w:ind w:left="200"/>
              <w:spacing w:after="0"/>
              <w:rPr>
                <w:sz w:val="20"/>
                <w:szCs w:val="20"/>
                <w:color w:val="auto"/>
              </w:rPr>
            </w:pPr>
            <w:r>
              <w:rPr>
                <w:rFonts w:ascii="Arial" w:cs="Arial" w:eastAsia="Arial" w:hAnsi="Arial"/>
                <w:sz w:val="18"/>
                <w:szCs w:val="18"/>
                <w:color w:val="auto"/>
              </w:rPr>
              <w:t>Denominator for diluted EPS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141,004,936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144,070,297</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148,494,363</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48" w:right="559" w:hanging="342"/>
        <w:spacing w:after="0" w:line="264" w:lineRule="auto"/>
        <w:rPr>
          <w:sz w:val="20"/>
          <w:szCs w:val="20"/>
          <w:color w:val="auto"/>
        </w:rPr>
      </w:pPr>
      <w:r>
        <w:rPr>
          <w:rFonts w:ascii="Arial" w:cs="Arial" w:eastAsia="Arial" w:hAnsi="Arial"/>
          <w:sz w:val="18"/>
          <w:szCs w:val="18"/>
          <w:color w:val="auto"/>
        </w:rPr>
        <w:t>For the years ended December 31, 2008, 2007 and 2006, 7,185,887, 2,369,271 and 6,564,622 shares, respectively, related to stock option plans were not included in diluted average common shares outstanding because their effect would be antidilutive.</w:t>
      </w:r>
    </w:p>
    <w:p>
      <w:pPr>
        <w:spacing w:after="0" w:line="200" w:lineRule="exact"/>
        <w:rPr>
          <w:sz w:val="20"/>
          <w:szCs w:val="20"/>
          <w:color w:val="auto"/>
        </w:rPr>
      </w:pPr>
    </w:p>
    <w:p>
      <w:pPr>
        <w:spacing w:after="0" w:line="346"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44" w:name="page45"/>
    <w:bookmarkEnd w:id="44"/>
    <w:p>
      <w:pPr>
        <w:jc w:val="center"/>
        <w:ind w:right="551"/>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368" w:right="2819" w:hanging="368"/>
        <w:spacing w:after="0" w:line="461" w:lineRule="auto"/>
        <w:tabs>
          <w:tab w:leader="none" w:pos="3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SUMMARY OF SIGNIFICANT ACCOUNTING AND REPORTING POLICIES, continued </w:t>
      </w:r>
      <w:r>
        <w:rPr>
          <w:rFonts w:ascii="Arial" w:cs="Arial" w:eastAsia="Arial" w:hAnsi="Arial"/>
          <w:sz w:val="18"/>
          <w:szCs w:val="18"/>
          <w:u w:val="single" w:color="auto"/>
          <w:color w:val="auto"/>
        </w:rPr>
        <w:t>Other Comprehensive Income (Loss)</w:t>
      </w:r>
    </w:p>
    <w:p>
      <w:pPr>
        <w:spacing w:after="0" w:line="2" w:lineRule="exact"/>
        <w:rPr>
          <w:sz w:val="20"/>
          <w:szCs w:val="20"/>
          <w:color w:val="auto"/>
        </w:rPr>
      </w:pPr>
    </w:p>
    <w:p>
      <w:pPr>
        <w:jc w:val="both"/>
        <w:ind w:left="748" w:right="799" w:hanging="342"/>
        <w:spacing w:after="0" w:line="312" w:lineRule="auto"/>
        <w:rPr>
          <w:sz w:val="20"/>
          <w:szCs w:val="20"/>
          <w:color w:val="auto"/>
        </w:rPr>
      </w:pPr>
      <w:r>
        <w:rPr>
          <w:rFonts w:ascii="Arial" w:cs="Arial" w:eastAsia="Arial" w:hAnsi="Arial"/>
          <w:sz w:val="16"/>
          <w:szCs w:val="16"/>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106"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Foreign Currency Translation</w:t>
      </w:r>
    </w:p>
    <w:p>
      <w:pPr>
        <w:spacing w:after="0" w:line="185" w:lineRule="exact"/>
        <w:rPr>
          <w:sz w:val="20"/>
          <w:szCs w:val="20"/>
          <w:color w:val="auto"/>
        </w:rPr>
      </w:pPr>
    </w:p>
    <w:p>
      <w:pPr>
        <w:ind w:left="748" w:right="639" w:hanging="342"/>
        <w:spacing w:after="0" w:line="255" w:lineRule="auto"/>
        <w:rPr>
          <w:sz w:val="20"/>
          <w:szCs w:val="20"/>
          <w:color w:val="auto"/>
        </w:rPr>
      </w:pPr>
      <w:r>
        <w:rPr>
          <w:rFonts w:ascii="Arial" w:cs="Arial" w:eastAsia="Arial" w:hAnsi="Arial"/>
          <w:sz w:val="18"/>
          <w:szCs w:val="18"/>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66"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Stock-Based Compensation Plans</w:t>
      </w:r>
    </w:p>
    <w:p>
      <w:pPr>
        <w:spacing w:after="0" w:line="185" w:lineRule="exact"/>
        <w:rPr>
          <w:sz w:val="20"/>
          <w:szCs w:val="20"/>
          <w:color w:val="auto"/>
        </w:rPr>
      </w:pPr>
    </w:p>
    <w:p>
      <w:pPr>
        <w:ind w:left="748" w:right="619" w:hanging="342"/>
        <w:spacing w:after="0" w:line="293" w:lineRule="auto"/>
        <w:rPr>
          <w:sz w:val="20"/>
          <w:szCs w:val="20"/>
          <w:color w:val="auto"/>
        </w:rPr>
      </w:pPr>
      <w:r>
        <w:rPr>
          <w:rFonts w:ascii="Arial" w:cs="Arial" w:eastAsia="Arial" w:hAnsi="Arial"/>
          <w:sz w:val="16"/>
          <w:szCs w:val="16"/>
          <w:color w:val="auto"/>
        </w:rPr>
        <w:t>At December 31, 2008, the Company had two stock option plans, a restricted plan and an employee stock purchase plan, which are described more fully in Note 6. Effective January 1, 2006, the Company adopted Statement of Financial Accounting Standards No. 123 (revised), “Share-Based Payment” [SFAS 123(R)] utilizing the modified prospective approach. Prior to the adoption of SFAS 123(R), the Company accounted for stock option grants under the recognition and measurement principles of APB Opinion No. 25 (Accounting for Stock Issued to Employees) and related interpretations, and accordingly, recognized no compensation expense for stock option grants in net income.</w:t>
      </w:r>
    </w:p>
    <w:p>
      <w:pPr>
        <w:spacing w:after="0" w:line="124" w:lineRule="exact"/>
        <w:rPr>
          <w:sz w:val="20"/>
          <w:szCs w:val="20"/>
          <w:color w:val="auto"/>
        </w:rPr>
      </w:pPr>
    </w:p>
    <w:p>
      <w:pPr>
        <w:ind w:left="748" w:right="559" w:hanging="342"/>
        <w:spacing w:after="0" w:line="272" w:lineRule="auto"/>
        <w:rPr>
          <w:sz w:val="20"/>
          <w:szCs w:val="20"/>
          <w:color w:val="auto"/>
        </w:rPr>
      </w:pPr>
      <w:r>
        <w:rPr>
          <w:rFonts w:ascii="Arial" w:cs="Arial" w:eastAsia="Arial" w:hAnsi="Arial"/>
          <w:sz w:val="17"/>
          <w:szCs w:val="17"/>
          <w:color w:val="auto"/>
        </w:rPr>
        <w:t>Under the modified prospective approach, SFAS 123(R) applies to new awards and to awards that were outstanding on December 31, 2005. Under the modified prospective approach, compensation cost recognized in 2008, 2007 and 2006 includes compensation cost for all share-based payments granted prior to, but not yet vested as of December 31, 2005, based on the grant-date fair value estimated in accordance with the original provisions of SFAS 123, and compensation cost for all share-based payments granted subsequent to December 31, 2005, based on the grant-date fair value estimated in accordance with the provisions of SFAS 123 (R). Prior periods were not restated to reflect the impact of adopting the new standard.</w:t>
      </w:r>
    </w:p>
    <w:p>
      <w:pPr>
        <w:spacing w:after="0" w:line="151"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Estimates</w:t>
      </w:r>
    </w:p>
    <w:p>
      <w:pPr>
        <w:spacing w:after="0" w:line="185" w:lineRule="exact"/>
        <w:rPr>
          <w:sz w:val="20"/>
          <w:szCs w:val="20"/>
          <w:color w:val="auto"/>
        </w:rPr>
      </w:pPr>
    </w:p>
    <w:p>
      <w:pPr>
        <w:ind w:left="748" w:right="699" w:hanging="342"/>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14"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New Accounting Standards</w:t>
      </w:r>
    </w:p>
    <w:p>
      <w:pPr>
        <w:spacing w:after="0" w:line="198" w:lineRule="exact"/>
        <w:rPr>
          <w:sz w:val="20"/>
          <w:szCs w:val="20"/>
          <w:color w:val="auto"/>
        </w:rPr>
      </w:pPr>
    </w:p>
    <w:p>
      <w:pPr>
        <w:ind w:left="748" w:right="719" w:hanging="342"/>
        <w:spacing w:after="0" w:line="272" w:lineRule="auto"/>
        <w:rPr>
          <w:sz w:val="20"/>
          <w:szCs w:val="20"/>
          <w:color w:val="auto"/>
        </w:rPr>
      </w:pPr>
      <w:r>
        <w:rPr>
          <w:rFonts w:ascii="Arial" w:cs="Arial" w:eastAsia="Arial" w:hAnsi="Arial"/>
          <w:sz w:val="17"/>
          <w:szCs w:val="17"/>
          <w:color w:val="auto"/>
        </w:rPr>
        <w:t>In June 2008, the Financial Accounting Standards Board (FASB) issued FSP No. EITF 03-6-1, “Determining Whether Instruments Granted in Share-Based Payment Transactions Are Participating Securities,” (FSP EITF 03-6-1). FSP EITF 03-6-1 states that unvested share-based payment awards that contain nonforfeitable rights to dividends or dividend equivalents (whether paid or unpaid) are participating securities and shall be included in the computation of earnings per share pursuant to the two class method. FSP EITF 03-6-1 becomes effective on January 1, 2009. The Company has concluded that the adoption of FAS EITF 03-6-1 will not have a material impact on its consolidated financial position or results of operations.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8"/>
          <w:szCs w:val="18"/>
          <w:color w:val="auto"/>
        </w:rPr>
        <w:t>(2)  LINE OF CREDIT</w:t>
      </w:r>
    </w:p>
    <w:p>
      <w:pPr>
        <w:spacing w:after="0" w:line="185" w:lineRule="exact"/>
        <w:rPr>
          <w:sz w:val="20"/>
          <w:szCs w:val="20"/>
          <w:color w:val="auto"/>
        </w:rPr>
      </w:pPr>
    </w:p>
    <w:p>
      <w:pPr>
        <w:jc w:val="both"/>
        <w:ind w:left="748" w:right="599" w:hanging="342"/>
        <w:spacing w:after="0" w:line="264" w:lineRule="auto"/>
        <w:rPr>
          <w:sz w:val="20"/>
          <w:szCs w:val="20"/>
          <w:color w:val="auto"/>
        </w:rPr>
      </w:pPr>
      <w:r>
        <w:rPr>
          <w:rFonts w:ascii="Arial" w:cs="Arial" w:eastAsia="Arial" w:hAnsi="Arial"/>
          <w:sz w:val="18"/>
          <w:szCs w:val="18"/>
          <w:color w:val="auto"/>
        </w:rPr>
        <w:t>The Company has available an unsecured $5,000,000 line of credit from a bank at an interest rate equal to the lower of the bank’s prime rate or 1.5% above the LIBOR rate. No borrowings were outstanding under this line in 2008 or 2007. No compensating balances are required under this line.</w:t>
      </w:r>
    </w:p>
    <w:p>
      <w:pPr>
        <w:spacing w:after="0" w:line="200" w:lineRule="exact"/>
        <w:rPr>
          <w:sz w:val="20"/>
          <w:szCs w:val="20"/>
          <w:color w:val="auto"/>
        </w:rPr>
      </w:pPr>
    </w:p>
    <w:p>
      <w:pPr>
        <w:spacing w:after="0" w:line="346"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45" w:name="page46"/>
    <w:bookmarkEnd w:id="45"/>
    <w:p>
      <w:pPr>
        <w:jc w:val="center"/>
        <w:ind w:right="55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INCOME TAXES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Effective January 1, 2007, the Company adopted the provisions of the Financial Accounting Standards Board</w:t>
      </w:r>
    </w:p>
    <w:p>
      <w:pPr>
        <w:spacing w:after="0" w:line="23" w:lineRule="exact"/>
        <w:rPr>
          <w:sz w:val="20"/>
          <w:szCs w:val="20"/>
          <w:color w:val="auto"/>
        </w:rPr>
      </w:pPr>
    </w:p>
    <w:p>
      <w:pPr>
        <w:ind w:left="740" w:right="639"/>
        <w:spacing w:after="0" w:line="255" w:lineRule="auto"/>
        <w:rPr>
          <w:sz w:val="20"/>
          <w:szCs w:val="20"/>
          <w:color w:val="auto"/>
        </w:rPr>
      </w:pPr>
      <w:r>
        <w:rPr>
          <w:rFonts w:ascii="Arial" w:cs="Arial" w:eastAsia="Arial" w:hAnsi="Arial"/>
          <w:sz w:val="18"/>
          <w:szCs w:val="18"/>
          <w:color w:val="auto"/>
        </w:rPr>
        <w:t>(FASB) Interpretation No. 48 (“FIN 48”), “Accounting for Uncertainty in Income Taxes”. The implementation of FIN 48 did not have a significant impact on the Company’s financial position or results of operations. A reconciliation of the beginning and ending amount of unrecognized tax benefits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1,984,000</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448,000</w:t>
            </w:r>
          </w:p>
        </w:tc>
        <w:tc>
          <w:tcPr>
            <w:tcW w:w="8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in prior years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8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Reductions for tax positions in prior years</w:t>
            </w: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(257,000)</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Balance at December 31, 2008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2,435,000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recognized, unrecognized tax benefits would affect the effective tax rate.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 recognizes interest and penalties related to unrecognized tax benefits through the provision for income taxes.</w:t>
      </w:r>
    </w:p>
    <w:p>
      <w:pPr>
        <w:spacing w:after="0" w:line="46" w:lineRule="exact"/>
        <w:rPr>
          <w:sz w:val="20"/>
          <w:szCs w:val="20"/>
          <w:color w:val="auto"/>
        </w:rPr>
      </w:pPr>
    </w:p>
    <w:p>
      <w:pPr>
        <w:ind w:left="740" w:right="919"/>
        <w:spacing w:after="0" w:line="261" w:lineRule="auto"/>
        <w:rPr>
          <w:sz w:val="20"/>
          <w:szCs w:val="20"/>
          <w:color w:val="auto"/>
        </w:rPr>
      </w:pPr>
      <w:r>
        <w:rPr>
          <w:rFonts w:ascii="Arial" w:cs="Arial" w:eastAsia="Arial" w:hAnsi="Arial"/>
          <w:sz w:val="18"/>
          <w:szCs w:val="18"/>
          <w:color w:val="auto"/>
        </w:rPr>
        <w:t>The Company has accrued approximately $318,000 for interest as of December 31, 2008. Interest recorded during 2008 was not considered significant.</w:t>
      </w:r>
    </w:p>
    <w:p>
      <w:pPr>
        <w:spacing w:after="0" w:line="143" w:lineRule="exact"/>
        <w:rPr>
          <w:sz w:val="20"/>
          <w:szCs w:val="20"/>
          <w:color w:val="auto"/>
        </w:rPr>
      </w:pPr>
    </w:p>
    <w:p>
      <w:pPr>
        <w:ind w:left="740" w:right="599" w:hanging="342"/>
        <w:spacing w:after="0" w:line="259" w:lineRule="auto"/>
        <w:rPr>
          <w:sz w:val="20"/>
          <w:szCs w:val="20"/>
          <w:color w:val="auto"/>
        </w:rPr>
      </w:pPr>
      <w:r>
        <w:rPr>
          <w:rFonts w:ascii="Arial" w:cs="Arial" w:eastAsia="Arial" w:hAnsi="Arial"/>
          <w:sz w:val="18"/>
          <w:szCs w:val="18"/>
          <w:color w:val="auto"/>
        </w:rPr>
        <w:t>The Company is subject to periodic and routine audits in both domestic and foreign tax jurisdictions. It is reasonably possible that the amounts of unrecognized tax benefits could change as a result of an audit. Based on the current audits in process, the payment of taxes as a result of audit settlements are not expected to have a significant impact on the Company’s financial position or results of operations.</w:t>
      </w:r>
    </w:p>
    <w:p>
      <w:pPr>
        <w:spacing w:after="0" w:line="160" w:lineRule="exact"/>
        <w:rPr>
          <w:sz w:val="20"/>
          <w:szCs w:val="20"/>
          <w:color w:val="auto"/>
        </w:rPr>
      </w:pPr>
    </w:p>
    <w:p>
      <w:pPr>
        <w:ind w:left="740" w:right="659" w:hanging="342"/>
        <w:spacing w:after="0" w:line="277" w:lineRule="auto"/>
        <w:rPr>
          <w:sz w:val="20"/>
          <w:szCs w:val="20"/>
          <w:color w:val="auto"/>
        </w:rPr>
      </w:pPr>
      <w:r>
        <w:rPr>
          <w:rFonts w:ascii="Arial" w:cs="Arial" w:eastAsia="Arial" w:hAnsi="Arial"/>
          <w:sz w:val="18"/>
          <w:szCs w:val="18"/>
          <w:color w:val="auto"/>
        </w:rPr>
        <w:t>For the majority of tax jurisdictions, the Company is no longer subject to U.S. Federal, state and local, or non-U.S. income tax examinations by tax authorities for years before 2005.</w:t>
      </w:r>
    </w:p>
    <w:p>
      <w:pPr>
        <w:spacing w:after="0" w:line="130" w:lineRule="exact"/>
        <w:rPr>
          <w:sz w:val="20"/>
          <w:szCs w:val="20"/>
          <w:color w:val="auto"/>
        </w:rPr>
      </w:pPr>
    </w:p>
    <w:p>
      <w:pPr>
        <w:ind w:left="740" w:right="579" w:hanging="342"/>
        <w:spacing w:after="0" w:line="293" w:lineRule="auto"/>
        <w:rPr>
          <w:sz w:val="20"/>
          <w:szCs w:val="20"/>
          <w:color w:val="auto"/>
        </w:rPr>
      </w:pPr>
      <w:r>
        <w:rPr>
          <w:rFonts w:ascii="Arial" w:cs="Arial" w:eastAsia="Arial" w:hAnsi="Arial"/>
          <w:sz w:val="16"/>
          <w:szCs w:val="16"/>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Deferred income tax expense is measured by the net change in deferred income tax assets and liabilities during the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The components of the provision for income taxes are as follows: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0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4"/>
                <w:szCs w:val="24"/>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Currently payable: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400"/>
              <w:spacing w:after="0"/>
              <w:rPr>
                <w:sz w:val="20"/>
                <w:szCs w:val="20"/>
                <w:color w:val="auto"/>
              </w:rPr>
            </w:pPr>
            <w:r>
              <w:rPr>
                <w:rFonts w:ascii="Arial" w:cs="Arial" w:eastAsia="Arial" w:hAnsi="Arial"/>
                <w:sz w:val="18"/>
                <w:szCs w:val="18"/>
                <w:color w:val="auto"/>
              </w:rPr>
              <w:t>Federal</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$ 29,343,914</w:t>
            </w:r>
          </w:p>
        </w:tc>
        <w:tc>
          <w:tcPr>
            <w:tcW w:w="3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$ 59,555,747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$ 51,411,596</w:t>
            </w:r>
          </w:p>
        </w:tc>
      </w:tr>
      <w:tr>
        <w:trPr>
          <w:trHeight w:val="216"/>
        </w:trPr>
        <w:tc>
          <w:tcPr>
            <w:tcW w:w="5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1,178,000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309,000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144,000</w:t>
            </w:r>
          </w:p>
        </w:tc>
      </w:tr>
      <w:tr>
        <w:trPr>
          <w:trHeight w:val="216"/>
        </w:trPr>
        <w:tc>
          <w:tcPr>
            <w:tcW w:w="5700" w:type="dxa"/>
            <w:vAlign w:val="bottom"/>
          </w:tcPr>
          <w:p>
            <w:pPr>
              <w:ind w:left="400"/>
              <w:spacing w:after="0"/>
              <w:rPr>
                <w:sz w:val="20"/>
                <w:szCs w:val="20"/>
                <w:color w:val="auto"/>
              </w:rPr>
            </w:pPr>
            <w:r>
              <w:rPr>
                <w:rFonts w:ascii="Arial" w:cs="Arial" w:eastAsia="Arial" w:hAnsi="Arial"/>
                <w:sz w:val="18"/>
                <w:szCs w:val="18"/>
                <w:color w:val="auto"/>
              </w:rPr>
              <w:t>Foreign</w:t>
            </w:r>
          </w:p>
        </w:tc>
        <w:tc>
          <w:tcPr>
            <w:tcW w:w="960" w:type="dxa"/>
            <w:vAlign w:val="bottom"/>
          </w:tcPr>
          <w:p>
            <w:pPr>
              <w:jc w:val="right"/>
              <w:spacing w:after="0"/>
              <w:rPr>
                <w:sz w:val="20"/>
                <w:szCs w:val="20"/>
                <w:color w:val="auto"/>
              </w:rPr>
            </w:pPr>
            <w:r>
              <w:rPr>
                <w:rFonts w:ascii="Arial" w:cs="Arial" w:eastAsia="Arial" w:hAnsi="Arial"/>
                <w:sz w:val="18"/>
                <w:szCs w:val="18"/>
                <w:color w:val="auto"/>
              </w:rPr>
              <w:t>428,000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671,000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411,000</w:t>
            </w:r>
          </w:p>
        </w:tc>
      </w:tr>
      <w:tr>
        <w:trPr>
          <w:trHeight w:val="27"/>
        </w:trPr>
        <w:tc>
          <w:tcPr>
            <w:tcW w:w="5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30,949,914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60,535,747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51,966,596</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Net deferred:</w:t>
            </w: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Primarily federal</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(843,000)</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(2,927,000)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(1,754,000)</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$ 30,106,914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$ 57,608,747</w:t>
            </w:r>
          </w:p>
        </w:tc>
        <w:tc>
          <w:tcPr>
            <w:tcW w:w="3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$ 50,212,596</w:t>
            </w: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740" w:right="619" w:hanging="342"/>
        <w:spacing w:after="0" w:line="342" w:lineRule="auto"/>
        <w:rPr>
          <w:sz w:val="20"/>
          <w:szCs w:val="20"/>
          <w:color w:val="auto"/>
        </w:rPr>
      </w:pPr>
      <w:r>
        <w:rPr>
          <w:rFonts w:ascii="Arial" w:cs="Arial" w:eastAsia="Arial" w:hAnsi="Arial"/>
          <w:sz w:val="16"/>
          <w:szCs w:val="16"/>
          <w:color w:val="auto"/>
        </w:rPr>
        <w:t>In July 2007, the State of Michigan enacted a new business tax that was effective January 1, 2008. The increase in the state income tax provision in 2008 compared to 2007 was primarily the result of the new Michigan Business Tax.</w:t>
      </w:r>
    </w:p>
    <w:p>
      <w:pPr>
        <w:spacing w:after="0" w:line="83" w:lineRule="exact"/>
        <w:rPr>
          <w:sz w:val="20"/>
          <w:szCs w:val="20"/>
          <w:color w:val="auto"/>
        </w:rPr>
      </w:pPr>
    </w:p>
    <w:p>
      <w:pPr>
        <w:ind w:left="740" w:right="619" w:hanging="342"/>
        <w:spacing w:after="0" w:line="312" w:lineRule="auto"/>
        <w:rPr>
          <w:sz w:val="20"/>
          <w:szCs w:val="20"/>
          <w:color w:val="auto"/>
        </w:rPr>
      </w:pPr>
      <w:r>
        <w:rPr>
          <w:rFonts w:ascii="Arial" w:cs="Arial" w:eastAsia="Arial" w:hAnsi="Arial"/>
          <w:sz w:val="16"/>
          <w:szCs w:val="16"/>
          <w:color w:val="auto"/>
        </w:rPr>
        <w:t>The currently payable provision is further reduced by the tax benefits associated with the exercise, vesting or disposition of stock under the stock plans described in Note 6. These reductions totaled approximately $473,000, $3,839,000 and $1,608,000 in 2008, 2007 and 2006, respectively, and were recognized as an adjustment of additional paid-in capital.</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6" w:name="page47"/>
    <w:bookmarkEnd w:id="46"/>
    <w:p>
      <w:pPr>
        <w:jc w:val="center"/>
        <w:ind w:right="55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INCOME TAXES, continued</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effective income tax rates are different from the statutory federal income tax rates for the following reasons: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Foreign source exempted income</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Domestic production exclusion</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Tax-exempt investment income</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0"/>
        </w:trPr>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740" w:right="739" w:hanging="342"/>
        <w:spacing w:after="0" w:line="277" w:lineRule="auto"/>
        <w:rPr>
          <w:sz w:val="20"/>
          <w:szCs w:val="20"/>
          <w:color w:val="auto"/>
        </w:rPr>
      </w:pPr>
      <w:r>
        <w:rPr>
          <w:rFonts w:ascii="Arial" w:cs="Arial" w:eastAsia="Arial" w:hAnsi="Arial"/>
          <w:sz w:val="18"/>
          <w:szCs w:val="18"/>
          <w:color w:val="auto"/>
        </w:rPr>
        <w:t>The tax effect of temporary differences which give rise to deferred income tax assets and liabilities at December 31, 2008 and 2007,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2008</w:t>
            </w:r>
          </w:p>
        </w:tc>
        <w:tc>
          <w:tcPr>
            <w:tcW w:w="8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2007</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w w:val="99"/>
              </w:rPr>
              <w:t>Current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4"/>
              </w:rPr>
              <w:t>Non-Current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Current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w w:val="92"/>
              </w:rPr>
              <w:t>Non-Current</w:t>
            </w:r>
          </w:p>
        </w:tc>
        <w:tc>
          <w:tcPr>
            <w:tcW w:w="8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Accruals not currently deductible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2,888,504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232,153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3,834,105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164,603</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5,973,807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1,540,419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3,503,165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1,669,586</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Impairment loss on available-for-sale securities</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6,268,465</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3,448,900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1,889,468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6,760</w:t>
            </w: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Total deferred income tax assets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12,311,211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8,041,037</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9,226,738</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1,840,949</w:t>
            </w:r>
          </w:p>
        </w:tc>
        <w:tc>
          <w:tcPr>
            <w:tcW w:w="80" w:type="dxa"/>
            <w:vAlign w:val="bottom"/>
          </w:tcPr>
          <w:p>
            <w:pPr>
              <w:spacing w:after="0"/>
              <w:rPr>
                <w:sz w:val="19"/>
                <w:szCs w:val="19"/>
                <w:color w:val="auto"/>
              </w:rPr>
            </w:pPr>
          </w:p>
        </w:tc>
      </w:tr>
      <w:tr>
        <w:trPr>
          <w:trHeight w:val="215"/>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Excess tax over book depreciation</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(21,189,323)</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0"/>
              </w:rPr>
              <w:t>(12,702,369)</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Patent costs</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(1,679,367)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(1,471,614)</w:t>
            </w: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Unrealized gain on investments</w:t>
            </w:r>
          </w:p>
        </w:tc>
        <w:tc>
          <w:tcPr>
            <w:tcW w:w="1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(206,460)</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0"/>
              </w:rPr>
              <w:t>(10,514,745)</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(702,203)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(955,820)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deferred incomes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11,609,008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(15,034,620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8,270,918</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(22,847,779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60" w:right="1199"/>
        <w:spacing w:after="0" w:line="277" w:lineRule="auto"/>
        <w:rPr>
          <w:sz w:val="20"/>
          <w:szCs w:val="20"/>
          <w:color w:val="auto"/>
        </w:rPr>
      </w:pPr>
      <w:r>
        <w:rPr>
          <w:rFonts w:ascii="Arial" w:cs="Arial" w:eastAsia="Arial" w:hAnsi="Arial"/>
          <w:sz w:val="18"/>
          <w:szCs w:val="18"/>
          <w:color w:val="auto"/>
        </w:rPr>
        <w:t>Income taxes paid in cash were approximately $43,765,000, $59,162,000 and $49,061,000 in 2008, 2007 and 2006, respectively.</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 EMPLOYEE BENEFIT PLAN</w:t>
      </w:r>
    </w:p>
    <w:p>
      <w:pPr>
        <w:spacing w:after="0" w:line="198" w:lineRule="exact"/>
        <w:rPr>
          <w:sz w:val="20"/>
          <w:szCs w:val="20"/>
          <w:color w:val="auto"/>
        </w:rPr>
      </w:pPr>
    </w:p>
    <w:p>
      <w:pPr>
        <w:ind w:left="740" w:right="799" w:hanging="342"/>
        <w:spacing w:after="0" w:line="259" w:lineRule="auto"/>
        <w:rPr>
          <w:sz w:val="20"/>
          <w:szCs w:val="20"/>
          <w:color w:val="auto"/>
        </w:rPr>
      </w:pPr>
      <w:r>
        <w:rPr>
          <w:rFonts w:ascii="Arial" w:cs="Arial" w:eastAsia="Arial" w:hAnsi="Arial"/>
          <w:sz w:val="18"/>
          <w:szCs w:val="18"/>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2008, 2007 and 2006, the Company’s contributions were approximately $1,839,000, $1,849,000 and $1,715,000, respectively.</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provide health care benefits to retired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(5)  SHAREHOLDER PROTECTION RIGHTS PLAN</w:t>
      </w:r>
    </w:p>
    <w:p>
      <w:pPr>
        <w:spacing w:after="0" w:line="198" w:lineRule="exact"/>
        <w:rPr>
          <w:sz w:val="20"/>
          <w:szCs w:val="20"/>
          <w:color w:val="auto"/>
        </w:rPr>
      </w:pPr>
    </w:p>
    <w:p>
      <w:pPr>
        <w:ind w:left="740" w:right="699" w:hanging="342"/>
        <w:spacing w:after="0" w:line="342" w:lineRule="auto"/>
        <w:rPr>
          <w:sz w:val="20"/>
          <w:szCs w:val="20"/>
          <w:color w:val="auto"/>
        </w:rPr>
      </w:pPr>
      <w:r>
        <w:rPr>
          <w:rFonts w:ascii="Arial" w:cs="Arial" w:eastAsia="Arial" w:hAnsi="Arial"/>
          <w:sz w:val="16"/>
          <w:szCs w:val="16"/>
          <w:color w:val="auto"/>
        </w:rPr>
        <w:t>The Company has a Shareholder Protection Rights Plan (the Plan). The Plan is designed to protect shareholders against unsolicited attempts to acquire control of the Company in a manner that does not offer a fair price to all shareholders.</w:t>
      </w:r>
    </w:p>
    <w:p>
      <w:pPr>
        <w:spacing w:after="0" w:line="83" w:lineRule="exact"/>
        <w:rPr>
          <w:sz w:val="20"/>
          <w:szCs w:val="20"/>
          <w:color w:val="auto"/>
        </w:rPr>
      </w:pPr>
    </w:p>
    <w:p>
      <w:pPr>
        <w:ind w:left="740" w:right="719" w:hanging="342"/>
        <w:spacing w:after="0" w:line="254" w:lineRule="auto"/>
        <w:rPr>
          <w:sz w:val="20"/>
          <w:szCs w:val="20"/>
          <w:color w:val="auto"/>
        </w:rPr>
      </w:pPr>
      <w:r>
        <w:rPr>
          <w:rFonts w:ascii="Arial" w:cs="Arial" w:eastAsia="Arial" w:hAnsi="Arial"/>
          <w:sz w:val="18"/>
          <w:szCs w:val="18"/>
          <w:color w:val="auto"/>
        </w:rPr>
        <w:t>Under the Plan, one purchase Right automatically trades with each share of the Company’s common stock. Each Right entitles a shareholder to purchase 1/100 of a share of junior participating preferred stock at a price of $55,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 March 29, 2011. Rights beneficially owned by holders of 15 percent or more of the Company’s common stock, or their transferees, automatically become void.</w:t>
      </w:r>
    </w:p>
    <w:p>
      <w:pPr>
        <w:spacing w:after="0" w:line="200" w:lineRule="exact"/>
        <w:rPr>
          <w:sz w:val="20"/>
          <w:szCs w:val="20"/>
          <w:color w:val="auto"/>
        </w:rPr>
      </w:pPr>
    </w:p>
    <w:p>
      <w:pPr>
        <w:spacing w:after="0" w:line="3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7" w:name="page48"/>
    <w:bookmarkEnd w:id="47"/>
    <w:p>
      <w:pPr>
        <w:jc w:val="center"/>
        <w:ind w:right="142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700" w:right="7440" w:hanging="368"/>
        <w:spacing w:after="0" w:line="461" w:lineRule="auto"/>
        <w:tabs>
          <w:tab w:leader="none" w:pos="6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STOCK-BASED COMPENSATION PLANS </w:t>
      </w:r>
      <w:r>
        <w:rPr>
          <w:rFonts w:ascii="Arial" w:cs="Arial" w:eastAsia="Arial" w:hAnsi="Arial"/>
          <w:sz w:val="18"/>
          <w:szCs w:val="18"/>
          <w:u w:val="single" w:color="auto"/>
          <w:color w:val="auto"/>
        </w:rPr>
        <w:t>Employee Stock Option Plan</w:t>
      </w:r>
    </w:p>
    <w:p>
      <w:pPr>
        <w:spacing w:after="0" w:line="2" w:lineRule="exact"/>
        <w:rPr>
          <w:sz w:val="20"/>
          <w:szCs w:val="20"/>
          <w:color w:val="auto"/>
        </w:rPr>
      </w:pPr>
    </w:p>
    <w:p>
      <w:pPr>
        <w:ind w:left="1080" w:right="1800" w:hanging="342"/>
        <w:spacing w:after="0" w:line="257" w:lineRule="auto"/>
        <w:rPr>
          <w:sz w:val="20"/>
          <w:szCs w:val="20"/>
          <w:color w:val="auto"/>
        </w:rPr>
      </w:pPr>
      <w:r>
        <w:rPr>
          <w:rFonts w:ascii="Arial" w:cs="Arial" w:eastAsia="Arial" w:hAnsi="Arial"/>
          <w:sz w:val="18"/>
          <w:szCs w:val="18"/>
          <w:color w:val="auto"/>
        </w:rPr>
        <w:t>In 2004, a new Employee Stock Option Plan was approved by shareholders, replacing the prior plan. The Company may grant options for up to 18,000,000 shares under its new Employee Stock Option Plan. The Company has granted options on 7,715,292 shares (net of shares from canceled/expired options) under the new plan through December 31, 2008. Under the plans, the option exercise price equals the stock’s market price on date of grant. The options vest after one to five years, and expire after five to seven years.</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fair value of each option grant in the Employee Stock Option Plan was estimated on the date of grant using the Black-</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Scholes option pricing model with the following weighted-average assumptions for the indicated periods: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bl>
    <w:p>
      <w:pPr>
        <w:spacing w:after="0" w:line="161" w:lineRule="exact"/>
        <w:rPr>
          <w:sz w:val="20"/>
          <w:szCs w:val="20"/>
          <w:color w:val="auto"/>
        </w:rPr>
      </w:pPr>
    </w:p>
    <w:p>
      <w:pPr>
        <w:ind w:left="1080" w:right="2300" w:hanging="342"/>
        <w:spacing w:after="0" w:line="277" w:lineRule="auto"/>
        <w:rPr>
          <w:sz w:val="20"/>
          <w:szCs w:val="20"/>
          <w:color w:val="auto"/>
        </w:rPr>
      </w:pPr>
      <w:r>
        <w:rPr>
          <w:rFonts w:ascii="Arial" w:cs="Arial" w:eastAsia="Arial" w:hAnsi="Arial"/>
          <w:sz w:val="18"/>
          <w:szCs w:val="18"/>
          <w:color w:val="auto"/>
        </w:rPr>
        <w:t>The Company determined that all employee groups exhibit similar exercise and post-vesting termination behavior to determine the expected term.</w:t>
      </w:r>
    </w:p>
    <w:p>
      <w:pPr>
        <w:spacing w:after="0" w:line="143" w:lineRule="exact"/>
        <w:rPr>
          <w:sz w:val="20"/>
          <w:szCs w:val="20"/>
          <w:color w:val="auto"/>
        </w:rPr>
      </w:pPr>
    </w:p>
    <w:p>
      <w:pPr>
        <w:ind w:left="1080" w:right="1980" w:hanging="342"/>
        <w:spacing w:after="0" w:line="342" w:lineRule="auto"/>
        <w:rPr>
          <w:sz w:val="20"/>
          <w:szCs w:val="20"/>
          <w:color w:val="auto"/>
        </w:rPr>
      </w:pPr>
      <w:r>
        <w:rPr>
          <w:rFonts w:ascii="Arial" w:cs="Arial" w:eastAsia="Arial" w:hAnsi="Arial"/>
          <w:sz w:val="16"/>
          <w:szCs w:val="16"/>
          <w:color w:val="auto"/>
        </w:rPr>
        <w:t>As of December 31, 2008, there was $10,231,977 of unrecognized compensation cost related to share-based payments which is expected to be recognized over the remaining vesting periods, with a weighted-average period of 4.0 years.</w:t>
      </w:r>
    </w:p>
    <w:p>
      <w:pPr>
        <w:spacing w:after="0" w:line="83" w:lineRule="exact"/>
        <w:rPr>
          <w:sz w:val="20"/>
          <w:szCs w:val="20"/>
          <w:color w:val="auto"/>
        </w:rPr>
      </w:pPr>
    </w:p>
    <w:p>
      <w:pPr>
        <w:ind w:left="1080" w:right="1800" w:hanging="342"/>
        <w:spacing w:after="0" w:line="277" w:lineRule="auto"/>
        <w:rPr>
          <w:sz w:val="20"/>
          <w:szCs w:val="20"/>
          <w:color w:val="auto"/>
        </w:rPr>
      </w:pPr>
      <w:r>
        <w:rPr>
          <w:rFonts w:ascii="Arial" w:cs="Arial" w:eastAsia="Arial" w:hAnsi="Arial"/>
          <w:sz w:val="18"/>
          <w:szCs w:val="18"/>
          <w:color w:val="auto"/>
        </w:rPr>
        <w:t>A summary of the status of the Company’s employee stock option plan at December 31, 2008, 2007 and 2006, and changes during the same periods are presented in the tables and narrative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2008</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Wtd. Avg.</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Wtd. Avg. Remaining</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Intrinsic Value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Ex. Price</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Contract Life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$000</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1,966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Forfeited/Expired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2.9 Yrs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4,769</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1.7 Yrs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7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Wtd. Avg.</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Wtd. Avg. Remaining</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Intrinsic Value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000</w:t>
            </w: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Ex. Price</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Contract Life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$000</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1,838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2.9 Yrs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9,777</w:t>
            </w: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860" w:type="dxa"/>
            <w:vAlign w:val="bottom"/>
          </w:tcPr>
          <w:p>
            <w:pPr>
              <w:jc w:val="right"/>
              <w:spacing w:after="0"/>
              <w:rPr>
                <w:sz w:val="20"/>
                <w:szCs w:val="20"/>
                <w:color w:val="auto"/>
              </w:rPr>
            </w:pPr>
            <w:r>
              <w:rPr>
                <w:rFonts w:ascii="Arial" w:cs="Arial" w:eastAsia="Arial" w:hAnsi="Arial"/>
                <w:sz w:val="18"/>
                <w:szCs w:val="18"/>
                <w:color w:val="auto"/>
              </w:rPr>
              <w:t>5,269</w:t>
            </w:r>
          </w:p>
        </w:tc>
        <w:tc>
          <w:tcPr>
            <w:tcW w:w="3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1.9 Yrs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4,926</w:t>
            </w:r>
          </w:p>
        </w:tc>
        <w:tc>
          <w:tcPr>
            <w:tcW w:w="1760" w:type="dxa"/>
            <w:vAlign w:val="bottom"/>
          </w:tcPr>
          <w:p>
            <w:pPr>
              <w:spacing w:after="0"/>
              <w:rPr>
                <w:sz w:val="24"/>
                <w:szCs w:val="24"/>
                <w:color w:val="auto"/>
              </w:rPr>
            </w:pPr>
          </w:p>
        </w:tc>
      </w:tr>
      <w:tr>
        <w:trPr>
          <w:trHeight w:val="797"/>
        </w:trPr>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- 46 -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jc w:val="center"/>
        <w:ind w:right="55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(6)  STOCK-BASED COMPENSATION PLANS,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2006</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Wtd. Avg.</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Wtd. Avg. Remaining</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Intrinsic Value</w:t>
            </w:r>
          </w:p>
        </w:tc>
      </w:tr>
      <w:tr>
        <w:trPr>
          <w:trHeight w:val="230"/>
        </w:trPr>
        <w:tc>
          <w:tcPr>
            <w:tcW w:w="3860" w:type="dxa"/>
            <w:vAlign w:val="bottom"/>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Ex. Price</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Contract Life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1,691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2.9 Yrs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5,614</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6,904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2.2 Yrs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3,690</w:t>
            </w:r>
          </w:p>
        </w:tc>
      </w:tr>
    </w:tbl>
    <w:p>
      <w:pPr>
        <w:spacing w:after="0" w:line="161" w:lineRule="exact"/>
        <w:rPr>
          <w:sz w:val="20"/>
          <w:szCs w:val="20"/>
          <w:color w:val="auto"/>
        </w:rPr>
      </w:pPr>
    </w:p>
    <w:p>
      <w:pPr>
        <w:ind w:left="740" w:right="839" w:hanging="342"/>
        <w:spacing w:after="0" w:line="277" w:lineRule="auto"/>
        <w:rPr>
          <w:sz w:val="20"/>
          <w:szCs w:val="20"/>
          <w:color w:val="auto"/>
        </w:rPr>
      </w:pPr>
      <w:r>
        <w:rPr>
          <w:rFonts w:ascii="Arial" w:cs="Arial" w:eastAsia="Arial" w:hAnsi="Arial"/>
          <w:sz w:val="18"/>
          <w:szCs w:val="18"/>
          <w:color w:val="auto"/>
        </w:rPr>
        <w:t>A summary of the status of the Company’s non-vested employee stock option activity for the years ended December 31, 2008, 2007, and 2006, are presented in the table and narrative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2008</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2007</w:t>
            </w:r>
          </w:p>
        </w:tc>
        <w:tc>
          <w:tcPr>
            <w:tcW w:w="3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2006</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8"/>
              </w:rPr>
              <w:t>Wtd. Avg</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8"/>
              </w:rPr>
              <w:t>Wtd. Avg</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8"/>
              </w:rPr>
              <w:t>Wtd. Avg</w:t>
            </w:r>
          </w:p>
        </w:tc>
        <w:tc>
          <w:tcPr>
            <w:tcW w:w="8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120" w:type="dxa"/>
            <w:vAlign w:val="bottom"/>
            <w:gridSpan w:val="3"/>
          </w:tcPr>
          <w:p>
            <w:pPr>
              <w:spacing w:after="0"/>
              <w:rPr>
                <w:sz w:val="20"/>
                <w:szCs w:val="20"/>
                <w:color w:val="auto"/>
              </w:rPr>
            </w:pPr>
            <w:r>
              <w:rPr>
                <w:rFonts w:ascii="Arial" w:cs="Arial" w:eastAsia="Arial" w:hAnsi="Arial"/>
                <w:sz w:val="18"/>
                <w:szCs w:val="18"/>
                <w:color w:val="auto"/>
              </w:rPr>
              <w:t>Grant Date</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140" w:type="dxa"/>
            <w:vAlign w:val="bottom"/>
            <w:gridSpan w:val="3"/>
          </w:tcPr>
          <w:p>
            <w:pPr>
              <w:spacing w:after="0"/>
              <w:rPr>
                <w:sz w:val="20"/>
                <w:szCs w:val="20"/>
                <w:color w:val="auto"/>
              </w:rPr>
            </w:pPr>
            <w:r>
              <w:rPr>
                <w:rFonts w:ascii="Arial" w:cs="Arial" w:eastAsia="Arial" w:hAnsi="Arial"/>
                <w:sz w:val="18"/>
                <w:szCs w:val="18"/>
                <w:color w:val="auto"/>
              </w:rPr>
              <w:t>Grant Date</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Shares</w:t>
            </w:r>
          </w:p>
        </w:tc>
        <w:tc>
          <w:tcPr>
            <w:tcW w:w="860" w:type="dxa"/>
            <w:vAlign w:val="bottom"/>
            <w:gridSpan w:val="3"/>
          </w:tcPr>
          <w:p>
            <w:pPr>
              <w:spacing w:after="0"/>
              <w:rPr>
                <w:sz w:val="20"/>
                <w:szCs w:val="20"/>
                <w:color w:val="auto"/>
              </w:rPr>
            </w:pPr>
            <w:r>
              <w:rPr>
                <w:rFonts w:ascii="Arial" w:cs="Arial" w:eastAsia="Arial" w:hAnsi="Arial"/>
                <w:sz w:val="18"/>
                <w:szCs w:val="18"/>
                <w:color w:val="auto"/>
                <w:w w:val="95"/>
              </w:rPr>
              <w:t>Grant Date</w:t>
            </w:r>
          </w:p>
        </w:tc>
      </w:tr>
      <w:tr>
        <w:trPr>
          <w:trHeight w:val="230"/>
        </w:trPr>
        <w:tc>
          <w:tcPr>
            <w:tcW w:w="290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auto"/>
                <w:w w:val="99"/>
              </w:rPr>
              <w:t>Fair Value</w:t>
            </w:r>
          </w:p>
        </w:tc>
      </w:tr>
      <w:tr>
        <w:trPr>
          <w:trHeight w:val="210"/>
        </w:trPr>
        <w:tc>
          <w:tcPr>
            <w:tcW w:w="29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Nonvested stock options at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1,966</w:t>
            </w:r>
          </w:p>
        </w:tc>
        <w:tc>
          <w:tcPr>
            <w:tcW w:w="3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1,838</w:t>
            </w:r>
          </w:p>
        </w:tc>
        <w:tc>
          <w:tcPr>
            <w:tcW w:w="4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1,691</w:t>
            </w:r>
          </w:p>
        </w:tc>
        <w:tc>
          <w:tcPr>
            <w:tcW w:w="4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3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02"/>
        </w:trPr>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Nonvested stock options at End of</w:t>
            </w: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4,622</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3,496</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Non-employee Director Stock Option Plan</w:t>
      </w:r>
    </w:p>
    <w:p>
      <w:pPr>
        <w:spacing w:after="0" w:line="185" w:lineRule="exact"/>
        <w:rPr>
          <w:sz w:val="20"/>
          <w:szCs w:val="20"/>
          <w:color w:val="auto"/>
        </w:rPr>
      </w:pPr>
    </w:p>
    <w:p>
      <w:pPr>
        <w:ind w:left="740" w:right="619" w:hanging="342"/>
        <w:spacing w:after="0" w:line="279" w:lineRule="auto"/>
        <w:rPr>
          <w:sz w:val="20"/>
          <w:szCs w:val="20"/>
          <w:color w:val="auto"/>
        </w:rPr>
      </w:pPr>
      <w:r>
        <w:rPr>
          <w:rFonts w:ascii="Arial" w:cs="Arial" w:eastAsia="Arial" w:hAnsi="Arial"/>
          <w:sz w:val="17"/>
          <w:szCs w:val="17"/>
          <w:color w:val="auto"/>
        </w:rPr>
        <w:t>The Company has a Non-employee Director Stock Option Plan covering 1,000,000 shares that was shareholder approved, replacing a prior plan. The Company has granted options on 411,240 shares (net of shares from canceled options) under the current plan through December 31, 2008. Under the plan, the option exercise price equals the stock’s market price on date of grant. The options vest after six months, and expire after ten years.</w:t>
      </w:r>
    </w:p>
    <w:p>
      <w:pPr>
        <w:spacing w:after="0" w:line="131" w:lineRule="exact"/>
        <w:rPr>
          <w:sz w:val="20"/>
          <w:szCs w:val="20"/>
          <w:color w:val="auto"/>
        </w:rPr>
      </w:pPr>
    </w:p>
    <w:p>
      <w:pPr>
        <w:jc w:val="both"/>
        <w:ind w:left="740" w:right="899" w:hanging="342"/>
        <w:spacing w:after="0" w:line="264" w:lineRule="auto"/>
        <w:rPr>
          <w:sz w:val="20"/>
          <w:szCs w:val="20"/>
          <w:color w:val="auto"/>
        </w:rPr>
      </w:pPr>
      <w:r>
        <w:rPr>
          <w:rFonts w:ascii="Arial" w:cs="Arial" w:eastAsia="Arial" w:hAnsi="Arial"/>
          <w:sz w:val="18"/>
          <w:szCs w:val="18"/>
          <w:color w:val="auto"/>
        </w:rPr>
        <w:t>The fair value of each option grant in the Nonemployee Director Stock Option Plans was estimated on the date of grant using the Black-Scholes option pricing model with the following weighted-average assumptions for the indicated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2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bl>
    <w:p>
      <w:pPr>
        <w:spacing w:after="0" w:line="17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December 31, 2008, there was no unrecognized compensation cost related to share-based payments under this plan.</w:t>
      </w: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9" w:name="page50"/>
    <w:bookmarkEnd w:id="49"/>
    <w:p>
      <w:pPr>
        <w:jc w:val="center"/>
        <w:ind w:right="1420"/>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1080" w:right="2040" w:hanging="342"/>
        <w:spacing w:after="0" w:line="308" w:lineRule="auto"/>
        <w:rPr>
          <w:sz w:val="20"/>
          <w:szCs w:val="20"/>
          <w:color w:val="auto"/>
        </w:rPr>
      </w:pPr>
      <w:r>
        <w:rPr>
          <w:rFonts w:ascii="Arial" w:cs="Arial" w:eastAsia="Arial" w:hAnsi="Arial"/>
          <w:sz w:val="17"/>
          <w:szCs w:val="17"/>
          <w:color w:val="auto"/>
        </w:rPr>
        <w:t>A summary of the status of the Company’s Non-employee Director Stock Option Plan at December 31, 2008, 2007, and 2006, and changes during the same periods are presented in the tables and narrative below:</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  STOCK-BASED COMPENSATION PLANS, continued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2008</w:t>
            </w: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Wtd. Avg.</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Wtd. Avg. Remaining</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Intrinsic Value</w:t>
            </w:r>
          </w:p>
        </w:tc>
      </w:tr>
      <w:tr>
        <w:trPr>
          <w:trHeight w:val="230"/>
        </w:trPr>
        <w:tc>
          <w:tcPr>
            <w:tcW w:w="38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Ex. Price</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Contract Life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$000</w:t>
            </w:r>
          </w:p>
        </w:tc>
        <w:tc>
          <w:tcPr>
            <w:tcW w:w="80" w:type="dxa"/>
            <w:vAlign w:val="bottom"/>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5.8 Yrs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5.8 Yrs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432"/>
        </w:trPr>
        <w:tc>
          <w:tcPr>
            <w:tcW w:w="38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Wtd. Avg.</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Wtd. Avg. Remaining</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Intrinsic Value</w:t>
            </w:r>
          </w:p>
        </w:tc>
      </w:tr>
      <w:tr>
        <w:trPr>
          <w:trHeight w:val="230"/>
        </w:trPr>
        <w:tc>
          <w:tcPr>
            <w:tcW w:w="38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Ex. Price</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Contract Life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$000</w:t>
            </w:r>
          </w:p>
        </w:tc>
        <w:tc>
          <w:tcPr>
            <w:tcW w:w="80" w:type="dxa"/>
            <w:vAlign w:val="bottom"/>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6.0 Yrs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6.0 Yrs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r>
      <w:tr>
        <w:trPr>
          <w:trHeight w:val="432"/>
        </w:trPr>
        <w:tc>
          <w:tcPr>
            <w:tcW w:w="38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2006</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1"/>
              </w:rPr>
              <w:t>Aggregate</w:t>
            </w:r>
          </w:p>
        </w:tc>
        <w:tc>
          <w:tcPr>
            <w:tcW w:w="80" w:type="dxa"/>
            <w:vAlign w:val="bottom"/>
          </w:tcPr>
          <w:p>
            <w:pPr>
              <w:spacing w:after="0"/>
              <w:rPr>
                <w:sz w:val="16"/>
                <w:szCs w:val="16"/>
                <w:color w:val="auto"/>
              </w:rPr>
            </w:pPr>
          </w:p>
        </w:tc>
      </w:tr>
      <w:tr>
        <w:trPr>
          <w:trHeight w:val="216"/>
        </w:trPr>
        <w:tc>
          <w:tcPr>
            <w:tcW w:w="386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Wtd. Avg.</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Wtd. Avg. Remaining</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w w:val="97"/>
              </w:rPr>
              <w:t>Intrinsic Value</w:t>
            </w:r>
          </w:p>
        </w:tc>
      </w:tr>
      <w:tr>
        <w:trPr>
          <w:trHeight w:val="230"/>
        </w:trPr>
        <w:tc>
          <w:tcPr>
            <w:tcW w:w="38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1"/>
              </w:rPr>
              <w:t>Ex. Price</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Contract Life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$000</w:t>
            </w:r>
          </w:p>
        </w:tc>
        <w:tc>
          <w:tcPr>
            <w:tcW w:w="80" w:type="dxa"/>
            <w:vAlign w:val="bottom"/>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8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6.1 Yrs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880" w:type="dxa"/>
            <w:vAlign w:val="bottom"/>
            <w:gridSpan w:val="2"/>
          </w:tcPr>
          <w:p>
            <w:pPr>
              <w:ind w:left="560"/>
              <w:spacing w:after="0"/>
              <w:rPr>
                <w:sz w:val="20"/>
                <w:szCs w:val="20"/>
                <w:color w:val="auto"/>
              </w:rPr>
            </w:pPr>
            <w:r>
              <w:rPr>
                <w:rFonts w:ascii="Arial" w:cs="Arial" w:eastAsia="Arial" w:hAnsi="Arial"/>
                <w:sz w:val="18"/>
                <w:szCs w:val="18"/>
                <w:color w:val="auto"/>
              </w:rPr>
              <w:t>6.1 Yrs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r>
    </w:tbl>
    <w:p>
      <w:pPr>
        <w:spacing w:after="0" w:line="17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summary of the status of the Company’s non-vested non-employee director stock option plan activity for the years ended</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December 31, 2008, 2007, and 2006, are presented in the table and narrative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2008</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2007</w:t>
            </w:r>
          </w:p>
        </w:tc>
        <w:tc>
          <w:tcPr>
            <w:tcW w:w="3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rPr>
              <w:t>2006</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8"/>
              </w:rPr>
              <w:t>Wtd. Avg</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8"/>
              </w:rPr>
              <w:t>Wtd. Avg</w:t>
            </w: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tcPr>
          <w:p>
            <w:pPr>
              <w:ind w:left="40"/>
              <w:spacing w:after="0" w:line="195" w:lineRule="exact"/>
              <w:rPr>
                <w:sz w:val="20"/>
                <w:szCs w:val="20"/>
                <w:color w:val="auto"/>
              </w:rPr>
            </w:pPr>
            <w:r>
              <w:rPr>
                <w:rFonts w:ascii="Arial" w:cs="Arial" w:eastAsia="Arial" w:hAnsi="Arial"/>
                <w:sz w:val="18"/>
                <w:szCs w:val="18"/>
                <w:color w:val="auto"/>
                <w:w w:val="98"/>
              </w:rPr>
              <w:t>Wtd. Avg</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120" w:type="dxa"/>
            <w:vAlign w:val="bottom"/>
            <w:gridSpan w:val="3"/>
          </w:tcPr>
          <w:p>
            <w:pPr>
              <w:spacing w:after="0"/>
              <w:rPr>
                <w:sz w:val="20"/>
                <w:szCs w:val="20"/>
                <w:color w:val="auto"/>
              </w:rPr>
            </w:pPr>
            <w:r>
              <w:rPr>
                <w:rFonts w:ascii="Arial" w:cs="Arial" w:eastAsia="Arial" w:hAnsi="Arial"/>
                <w:sz w:val="18"/>
                <w:szCs w:val="18"/>
                <w:color w:val="auto"/>
              </w:rPr>
              <w:t>Grant Date</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1140" w:type="dxa"/>
            <w:vAlign w:val="bottom"/>
            <w:gridSpan w:val="3"/>
          </w:tcPr>
          <w:p>
            <w:pPr>
              <w:spacing w:after="0"/>
              <w:rPr>
                <w:sz w:val="20"/>
                <w:szCs w:val="20"/>
                <w:color w:val="auto"/>
              </w:rPr>
            </w:pPr>
            <w:r>
              <w:rPr>
                <w:rFonts w:ascii="Arial" w:cs="Arial" w:eastAsia="Arial" w:hAnsi="Arial"/>
                <w:sz w:val="18"/>
                <w:szCs w:val="18"/>
                <w:color w:val="auto"/>
              </w:rPr>
              <w:t>Grant Date</w:t>
            </w: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Shares</w:t>
            </w:r>
          </w:p>
        </w:tc>
        <w:tc>
          <w:tcPr>
            <w:tcW w:w="860" w:type="dxa"/>
            <w:vAlign w:val="bottom"/>
            <w:gridSpan w:val="3"/>
          </w:tcPr>
          <w:p>
            <w:pPr>
              <w:spacing w:after="0"/>
              <w:rPr>
                <w:sz w:val="20"/>
                <w:szCs w:val="20"/>
                <w:color w:val="auto"/>
              </w:rPr>
            </w:pPr>
            <w:r>
              <w:rPr>
                <w:rFonts w:ascii="Arial" w:cs="Arial" w:eastAsia="Arial" w:hAnsi="Arial"/>
                <w:sz w:val="18"/>
                <w:szCs w:val="18"/>
                <w:color w:val="auto"/>
                <w:w w:val="95"/>
              </w:rPr>
              <w:t>Grant Date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Fair Value</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auto"/>
                <w:w w:val="99"/>
              </w:rPr>
              <w:t>Fair Value</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Nonvested stock options at</w:t>
            </w: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7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7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Nonvested stock options at End of</w:t>
            </w: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760" w:type="dxa"/>
            <w:vAlign w:val="bottom"/>
          </w:tcPr>
          <w:p>
            <w:pPr>
              <w:spacing w:after="0"/>
              <w:rPr>
                <w:sz w:val="20"/>
                <w:szCs w:val="20"/>
                <w:color w:val="auto"/>
              </w:rPr>
            </w:pPr>
          </w:p>
        </w:tc>
      </w:tr>
      <w:tr>
        <w:trPr>
          <w:trHeight w:val="783"/>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- 48 -</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600" w:gutter="0" w:footer="0" w:header="0"/>
        </w:sectPr>
      </w:pPr>
    </w:p>
    <w:bookmarkStart w:id="50" w:name="page51"/>
    <w:bookmarkEnd w:id="50"/>
    <w:p>
      <w:pPr>
        <w:jc w:val="center"/>
        <w:ind w:right="551"/>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368" w:right="5439" w:hanging="368"/>
        <w:spacing w:after="0" w:line="461" w:lineRule="auto"/>
        <w:tabs>
          <w:tab w:leader="none" w:pos="3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STOCK-BASED COMPENSATION PLANS, continued </w:t>
      </w:r>
      <w:r>
        <w:rPr>
          <w:rFonts w:ascii="Arial" w:cs="Arial" w:eastAsia="Arial" w:hAnsi="Arial"/>
          <w:sz w:val="18"/>
          <w:szCs w:val="18"/>
          <w:u w:val="single" w:color="auto"/>
          <w:color w:val="auto"/>
        </w:rPr>
        <w:t>Employee Stock Purchase Plan</w:t>
      </w:r>
    </w:p>
    <w:p>
      <w:pPr>
        <w:spacing w:after="0" w:line="2" w:lineRule="exact"/>
        <w:rPr>
          <w:sz w:val="20"/>
          <w:szCs w:val="20"/>
          <w:color w:val="auto"/>
        </w:rPr>
      </w:pPr>
    </w:p>
    <w:p>
      <w:pPr>
        <w:ind w:left="748" w:right="559" w:hanging="342"/>
        <w:spacing w:after="0" w:line="276" w:lineRule="auto"/>
        <w:rPr>
          <w:sz w:val="20"/>
          <w:szCs w:val="20"/>
          <w:color w:val="auto"/>
        </w:rPr>
      </w:pPr>
      <w:r>
        <w:rPr>
          <w:rFonts w:ascii="Arial" w:cs="Arial" w:eastAsia="Arial" w:hAnsi="Arial"/>
          <w:sz w:val="17"/>
          <w:szCs w:val="17"/>
          <w:color w:val="auto"/>
        </w:rPr>
        <w:t>In 2003, a new Employee Stock Purchase Plan covering 1,200,000 shares was approved by the shareholders, replacing a prior plan. The Company has sold to employees 141,018 shares, 111,558 shares and 130,876 shares under the new plan in 2008, 2007, and 2006, respectively, and has sold a total of 693,703 shares under the new plan through December 31, 2008. The Company sells shares at 85% of the stock’s market price at date of purchase. The weighted average fair value of shares sold in 2008 was approximately $11.56.</w:t>
      </w:r>
    </w:p>
    <w:p>
      <w:pPr>
        <w:spacing w:after="0" w:line="132" w:lineRule="exact"/>
        <w:rPr>
          <w:sz w:val="20"/>
          <w:szCs w:val="20"/>
          <w:color w:val="auto"/>
        </w:rPr>
      </w:pPr>
    </w:p>
    <w:p>
      <w:pPr>
        <w:ind w:left="368"/>
        <w:spacing w:after="0"/>
        <w:rPr>
          <w:sz w:val="20"/>
          <w:szCs w:val="20"/>
          <w:color w:val="auto"/>
        </w:rPr>
      </w:pPr>
      <w:r>
        <w:rPr>
          <w:rFonts w:ascii="Arial" w:cs="Arial" w:eastAsia="Arial" w:hAnsi="Arial"/>
          <w:sz w:val="18"/>
          <w:szCs w:val="18"/>
          <w:u w:val="single" w:color="auto"/>
          <w:color w:val="auto"/>
        </w:rPr>
        <w:t>Restricted Stock Plan</w:t>
      </w:r>
    </w:p>
    <w:p>
      <w:pPr>
        <w:spacing w:after="0" w:line="185" w:lineRule="exact"/>
        <w:rPr>
          <w:sz w:val="20"/>
          <w:szCs w:val="20"/>
          <w:color w:val="auto"/>
        </w:rPr>
      </w:pPr>
    </w:p>
    <w:p>
      <w:pPr>
        <w:ind w:left="748" w:right="579" w:hanging="342"/>
        <w:spacing w:after="0" w:line="286" w:lineRule="auto"/>
        <w:rPr>
          <w:sz w:val="20"/>
          <w:szCs w:val="20"/>
          <w:color w:val="auto"/>
        </w:rPr>
      </w:pPr>
      <w:r>
        <w:rPr>
          <w:rFonts w:ascii="Arial" w:cs="Arial" w:eastAsia="Arial" w:hAnsi="Arial"/>
          <w:sz w:val="16"/>
          <w:szCs w:val="16"/>
          <w:color w:val="auto"/>
        </w:rPr>
        <w:t>In 2008, an amendment to the Company’s Second Restricted Stock Plan was approved by shareholders. The plan amendment increased the maximum number of shares that may be subject to awards to 2,000,000 shares and to extend the Plan’s termination date to February 21, 2018.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544,880 shares outstanding as of December 31, 2008. During 2008, 2007, and 2006, 99,290, 107,200 and 182,530 shares, respectively, were granted with a restriction period of five years at market prices ranging from $8.30 to $17.00 in 2008, $16.25 to $19.69 in 2007, and $14.00 to $17.09 in 2006, and has unearned stock-based compensation of $4,517,282 associated with these restricted stock grants. The unearned stock-based compensation related to these grants is being amortized to compensation expense over the applicable restriction periods. Amortization of restricted stock for 2008 was $1,926,350.</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8"/>
          <w:szCs w:val="18"/>
          <w:color w:val="auto"/>
        </w:rPr>
        <w:t>(7)  CONTINGENCIES</w:t>
      </w:r>
    </w:p>
    <w:p>
      <w:pPr>
        <w:spacing w:after="0" w:line="185" w:lineRule="exact"/>
        <w:rPr>
          <w:sz w:val="20"/>
          <w:szCs w:val="20"/>
          <w:color w:val="auto"/>
        </w:rPr>
      </w:pPr>
    </w:p>
    <w:p>
      <w:pPr>
        <w:ind w:left="748" w:right="599" w:hanging="342"/>
        <w:spacing w:after="0" w:line="267" w:lineRule="auto"/>
        <w:rPr>
          <w:sz w:val="20"/>
          <w:szCs w:val="20"/>
          <w:color w:val="auto"/>
        </w:rPr>
      </w:pPr>
      <w:r>
        <w:rPr>
          <w:rFonts w:ascii="Arial" w:cs="Arial" w:eastAsia="Arial" w:hAnsi="Arial"/>
          <w:sz w:val="17"/>
          <w:szCs w:val="17"/>
          <w:color w:val="auto"/>
        </w:rPr>
        <w:t>The Company was involved in litigation with K.W. Muth and Muth Mirror Systems LLC (“Muth”) relating to exterior mirrors with turn signal indicators. The turn signal feature in exterior mirrors currently represents approximately one percent of our revenues, and the litigation did not involve core Gentex electrochromic technology. The trial in Wisconsin related to this case occurred during July 2007 and the court issued its written ruling in December 2007. The Court found that Muth’s U.S. Patent No. 6,005,724 is invalid and unenforceable, and that Gentex’s Razor™ Turn Signal Mirror does not infringe that patent. The Court also denied all but one of Muth’s other motions with prejudice, including its motion for an injunction, and its claims for tortuous interference with its business relationships. The sole point of liability for Gentex was that the Court found that Gentex breached one provision of the alliance agreement it had with Muth, and entered a judgment against Gentex, on January 24, 2008, granting Muth damages in the amount of $2,885,329, which was accrued by the Company as of December 31, 2007. On February 15, 2008, the Company entered into a Settlement And Release And Covenants Not To Sue (“Agreement”) with Muth whereby the parties agreed to settle the Court’s judgment against the Company for damages at a reduced amount of $2,550,000. In addition, under the Agreement the parties each agreed to: grant the other party a ten-year covenant not to sue for each Company’s core business, to release each other from all claims that occurred in the past, and not appeal the Court’s rulings. The Agreement was approved by the Bankruptcy Court on February 29, 2008. The adjustment to the original judgment for damages is reflected in our 2008 financial results as a reduction to engineering, research and development expenses.</w:t>
      </w:r>
    </w:p>
    <w:p>
      <w:pPr>
        <w:spacing w:after="0" w:line="152" w:lineRule="exact"/>
        <w:rPr>
          <w:sz w:val="20"/>
          <w:szCs w:val="20"/>
          <w:color w:val="auto"/>
        </w:rPr>
      </w:pPr>
    </w:p>
    <w:p>
      <w:pPr>
        <w:ind w:left="748" w:right="719" w:hanging="342"/>
        <w:spacing w:after="0" w:line="255" w:lineRule="auto"/>
        <w:rPr>
          <w:sz w:val="20"/>
          <w:szCs w:val="20"/>
          <w:color w:val="auto"/>
        </w:rPr>
      </w:pPr>
      <w:r>
        <w:rPr>
          <w:rFonts w:ascii="Arial" w:cs="Arial" w:eastAsia="Arial" w:hAnsi="Arial"/>
          <w:sz w:val="18"/>
          <w:szCs w:val="18"/>
          <w:color w:val="auto"/>
        </w:rPr>
        <w:t>In addition, 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200" w:lineRule="exact"/>
        <w:rPr>
          <w:sz w:val="20"/>
          <w:szCs w:val="20"/>
          <w:color w:val="auto"/>
        </w:rPr>
      </w:pPr>
    </w:p>
    <w:p>
      <w:pPr>
        <w:spacing w:after="0" w:line="358"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51" w:name="page52"/>
    <w:bookmarkEnd w:id="51"/>
    <w:p>
      <w:pPr>
        <w:jc w:val="center"/>
        <w:ind w:right="559"/>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(8)  SEGMENT REPORTING</w:t>
      </w:r>
    </w:p>
    <w:p>
      <w:pPr>
        <w:spacing w:after="0" w:line="185" w:lineRule="exact"/>
        <w:rPr>
          <w:sz w:val="20"/>
          <w:szCs w:val="20"/>
          <w:color w:val="auto"/>
        </w:rPr>
      </w:pPr>
    </w:p>
    <w:p>
      <w:pPr>
        <w:ind w:left="740" w:right="679" w:hanging="342"/>
        <w:spacing w:after="0" w:line="276" w:lineRule="auto"/>
        <w:rPr>
          <w:sz w:val="20"/>
          <w:szCs w:val="20"/>
          <w:color w:val="auto"/>
        </w:rPr>
      </w:pPr>
      <w:r>
        <w:rPr>
          <w:rFonts w:ascii="Arial" w:cs="Arial" w:eastAsia="Arial" w:hAnsi="Arial"/>
          <w:sz w:val="17"/>
          <w:szCs w:val="17"/>
          <w:color w:val="auto"/>
        </w:rPr>
        <w:t xml:space="preserve">SFAS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Automotive Products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205,032,708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254,455,151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230,152,102</w:t>
            </w:r>
          </w:p>
        </w:tc>
        <w:tc>
          <w:tcPr>
            <w:tcW w:w="0" w:type="dxa"/>
            <w:vAlign w:val="bottom"/>
          </w:tcPr>
          <w:p>
            <w:pPr>
              <w:spacing w:after="0"/>
              <w:rPr>
                <w:sz w:val="1"/>
                <w:szCs w:val="1"/>
                <w:color w:val="auto"/>
              </w:rPr>
            </w:pPr>
          </w:p>
        </w:tc>
      </w:tr>
      <w:tr>
        <w:trPr>
          <w:trHeight w:val="216"/>
        </w:trPr>
        <w:tc>
          <w:tcPr>
            <w:tcW w:w="5540" w:type="dxa"/>
            <w:vAlign w:val="bottom"/>
          </w:tcPr>
          <w:p>
            <w:pPr>
              <w:ind w:left="400"/>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179,207,637</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162,465,135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127,531,636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60,518,677</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59,747,941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56,547,995</w:t>
            </w:r>
          </w:p>
        </w:tc>
        <w:tc>
          <w:tcPr>
            <w:tcW w:w="0" w:type="dxa"/>
            <w:vAlign w:val="bottom"/>
          </w:tcPr>
          <w:p>
            <w:pPr>
              <w:spacing w:after="0"/>
              <w:rPr>
                <w:sz w:val="1"/>
                <w:szCs w:val="1"/>
                <w:color w:val="auto"/>
              </w:rPr>
            </w:pPr>
          </w:p>
        </w:tc>
      </w:tr>
      <w:tr>
        <w:trPr>
          <w:trHeight w:val="216"/>
        </w:trPr>
        <w:tc>
          <w:tcPr>
            <w:tcW w:w="554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156,704,358</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153,430,864</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134,172,464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22,336,442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23,834,145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23,862,876</w:t>
            </w:r>
          </w:p>
        </w:tc>
        <w:tc>
          <w:tcPr>
            <w:tcW w:w="0" w:type="dxa"/>
            <w:vAlign w:val="bottom"/>
          </w:tcPr>
          <w:p>
            <w:pPr>
              <w:spacing w:after="0"/>
              <w:rPr>
                <w:sz w:val="1"/>
                <w:szCs w:val="1"/>
                <w:color w:val="auto"/>
              </w:rPr>
            </w:pPr>
          </w:p>
        </w:tc>
      </w:tr>
      <w:tr>
        <w:trPr>
          <w:trHeight w:val="223"/>
        </w:trPr>
        <w:tc>
          <w:tcPr>
            <w:tcW w:w="554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623,799,822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653,933,236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572,267,073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Automotive Products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109,236,877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136,741,562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121,766,143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(759,290)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2,074,201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4,680,833</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108,477,587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138,815,763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126,446,976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Automotive Products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306,064,439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305,519,359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275,022,400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5,212,254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4,182,161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5,090,934</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451,826,687</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588,321,160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504,915,066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763,103,380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898,022,680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785,028,400</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Depreciation &amp; Amortization: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Automotive Products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33,204,201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29,796,901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25,218,267</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245,336</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235,582</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253,879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2,441,530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2,402,775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2,290,564</w:t>
            </w:r>
          </w:p>
        </w:tc>
        <w:tc>
          <w:tcPr>
            <w:tcW w:w="0" w:type="dxa"/>
            <w:vAlign w:val="bottom"/>
          </w:tcPr>
          <w:p>
            <w:pPr>
              <w:spacing w:after="0"/>
              <w:rPr>
                <w:sz w:val="1"/>
                <w:szCs w:val="1"/>
                <w:color w:val="auto"/>
              </w:rPr>
            </w:pPr>
          </w:p>
        </w:tc>
      </w:tr>
      <w:tr>
        <w:trPr>
          <w:trHeight w:val="223"/>
        </w:trPr>
        <w:tc>
          <w:tcPr>
            <w:tcW w:w="554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35,891,067</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32,435,258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27,762,710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Automotive Products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44,939,925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52,378,659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45,846,127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584,541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192,339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868,296</w:t>
            </w: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1,953,324</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1,478,660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45,524,466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54,524,322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48,193,083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40" w:right="559" w:hanging="342"/>
        <w:spacing w:after="0" w:line="264" w:lineRule="auto"/>
        <w:rPr>
          <w:sz w:val="20"/>
          <w:szCs w:val="20"/>
          <w:color w:val="auto"/>
        </w:rPr>
      </w:pPr>
      <w:r>
        <w:rPr>
          <w:rFonts w:ascii="Arial" w:cs="Arial" w:eastAsia="Arial" w:hAnsi="Arial"/>
          <w:sz w:val="18"/>
          <w:szCs w:val="18"/>
          <w:color w:val="auto"/>
        </w:rPr>
        <w:t>Other includes Fire Protection Products and Dimmable Aircraft Windows. The Dimmable Aircraft Windows segment began during 2007. There were no Dimmable Aircraft Window sales in 2007 and sales were immaterial during 2008, which resulted in lower income from operations for the “Other” category.</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Corporate assets are principally cash and cash equivalents, investments, deferred income taxes and corporate fixed assets.</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Substantially all long-lived assets are located in the U.S.</w:t>
      </w:r>
    </w:p>
    <w:p>
      <w:pPr>
        <w:spacing w:after="0" w:line="170" w:lineRule="exact"/>
        <w:rPr>
          <w:sz w:val="20"/>
          <w:szCs w:val="20"/>
          <w:color w:val="auto"/>
        </w:rPr>
      </w:pPr>
    </w:p>
    <w:p>
      <w:pPr>
        <w:ind w:left="740" w:right="619" w:hanging="342"/>
        <w:spacing w:after="0" w:line="259" w:lineRule="auto"/>
        <w:rPr>
          <w:sz w:val="20"/>
          <w:szCs w:val="20"/>
          <w:color w:val="auto"/>
        </w:rPr>
      </w:pPr>
      <w:r>
        <w:rPr>
          <w:rFonts w:ascii="Arial" w:cs="Arial" w:eastAsia="Arial" w:hAnsi="Arial"/>
          <w:sz w:val="18"/>
          <w:szCs w:val="18"/>
          <w:color w:val="auto"/>
        </w:rPr>
        <w:t>Automotive Products revenues in the “Other” category are sales to automotive manufacturing plants in Canada, Mexico and Korea, as well as other foreign automotive customers. Most of the Company’s non-U.S. sales are invoiced and paid in U.S. dollars. During 2008, approximately 13% of the Company’s net sales were invoiced and paid in European euros.</w:t>
      </w: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2" w:name="page53"/>
    <w:bookmarkEnd w:id="52"/>
    <w:p>
      <w:pPr>
        <w:jc w:val="center"/>
        <w:ind w:right="551"/>
        <w:spacing w:after="0"/>
        <w:rPr>
          <w:sz w:val="20"/>
          <w:szCs w:val="20"/>
          <w:color w:val="auto"/>
        </w:rPr>
      </w:pPr>
      <w:r>
        <w:rPr>
          <w:rFonts w:ascii="Arial" w:cs="Arial" w:eastAsia="Arial" w:hAnsi="Arial"/>
          <w:sz w:val="18"/>
          <w:szCs w:val="18"/>
          <w:u w:val="single" w:color="auto"/>
          <w:color w:val="auto"/>
        </w:rPr>
        <w:t>GENTEX CORPORATION AND SUBSIDIARIES</w:t>
      </w:r>
    </w:p>
    <w:p>
      <w:pPr>
        <w:spacing w:after="0" w:line="198" w:lineRule="exact"/>
        <w:rPr>
          <w:sz w:val="20"/>
          <w:szCs w:val="20"/>
          <w:color w:val="auto"/>
        </w:rPr>
      </w:pPr>
    </w:p>
    <w:p>
      <w:pPr>
        <w:jc w:val="center"/>
        <w:ind w:right="551"/>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3" w:lineRule="exact"/>
        <w:rPr>
          <w:sz w:val="20"/>
          <w:szCs w:val="20"/>
          <w:color w:val="auto"/>
        </w:rPr>
      </w:pPr>
    </w:p>
    <w:p>
      <w:pPr>
        <w:jc w:val="center"/>
        <w:ind w:right="551"/>
        <w:spacing w:after="0"/>
        <w:rPr>
          <w:sz w:val="20"/>
          <w:szCs w:val="20"/>
          <w:color w:val="auto"/>
        </w:rPr>
      </w:pPr>
      <w:r>
        <w:rPr>
          <w:rFonts w:ascii="Arial" w:cs="Arial" w:eastAsia="Arial" w:hAnsi="Arial"/>
          <w:sz w:val="18"/>
          <w:szCs w:val="18"/>
          <w:color w:val="auto"/>
        </w:rPr>
        <w:t>(Continued)</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(8)  SEGMENT REPORTING, continued</w:t>
      </w:r>
    </w:p>
    <w:p>
      <w:pPr>
        <w:spacing w:after="0" w:line="185" w:lineRule="exact"/>
        <w:rPr>
          <w:sz w:val="20"/>
          <w:szCs w:val="20"/>
          <w:color w:val="auto"/>
        </w:rPr>
      </w:pPr>
    </w:p>
    <w:p>
      <w:pPr>
        <w:ind w:left="748" w:right="579" w:hanging="342"/>
        <w:spacing w:after="0" w:line="308" w:lineRule="auto"/>
        <w:rPr>
          <w:sz w:val="20"/>
          <w:szCs w:val="20"/>
          <w:color w:val="auto"/>
        </w:rPr>
      </w:pPr>
      <w:r>
        <w:rPr>
          <w:rFonts w:ascii="Arial" w:cs="Arial" w:eastAsia="Arial" w:hAnsi="Arial"/>
          <w:sz w:val="17"/>
          <w:szCs w:val="17"/>
          <w:color w:val="auto"/>
        </w:rPr>
        <w:t>During the years presented, the Company had five automotive customers (includes direct sales to OEM customers and sales through their Tier 1 suppliers), which individually accounted for 10% or more of net sales as follows:</w:t>
      </w:r>
    </w:p>
    <w:p>
      <w:pPr>
        <w:spacing w:after="0" w:line="147" w:lineRule="exact"/>
        <w:rPr>
          <w:sz w:val="20"/>
          <w:szCs w:val="20"/>
          <w:color w:val="auto"/>
        </w:rPr>
      </w:pPr>
    </w:p>
    <w:p>
      <w:pPr>
        <w:ind w:left="4228"/>
        <w:spacing w:after="0"/>
        <w:rPr>
          <w:sz w:val="20"/>
          <w:szCs w:val="20"/>
          <w:color w:val="auto"/>
        </w:rPr>
      </w:pPr>
      <w:r>
        <w:rPr>
          <w:rFonts w:ascii="Arial" w:cs="Arial" w:eastAsia="Arial" w:hAnsi="Arial"/>
          <w:sz w:val="18"/>
          <w:szCs w:val="18"/>
          <w:color w:val="auto"/>
        </w:rPr>
        <w:t>Customer</w:t>
      </w:r>
    </w:p>
    <w:p>
      <w:pPr>
        <w:spacing w:after="0" w:line="23"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28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93"/>
              </w:rPr>
              <w:t>Daimler</w:t>
            </w:r>
          </w:p>
        </w:tc>
        <w:tc>
          <w:tcPr>
            <w:tcW w:w="1320" w:type="dxa"/>
            <w:vAlign w:val="bottom"/>
            <w:tcBorders>
              <w:top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General</w:t>
            </w:r>
          </w:p>
        </w:tc>
        <w:tc>
          <w:tcPr>
            <w:tcW w:w="1400" w:type="dxa"/>
            <w:vAlign w:val="bottom"/>
            <w:tcBorders>
              <w:top w:val="single" w:sz="8" w:color="auto"/>
            </w:tcBorders>
            <w:gridSpan w:val="2"/>
          </w:tcPr>
          <w:p>
            <w:pPr>
              <w:jc w:val="center"/>
              <w:ind w:right="400"/>
              <w:spacing w:after="0" w:line="195" w:lineRule="exact"/>
              <w:rPr>
                <w:sz w:val="20"/>
                <w:szCs w:val="20"/>
                <w:color w:val="auto"/>
              </w:rPr>
            </w:pPr>
            <w:r>
              <w:rPr>
                <w:rFonts w:ascii="Arial" w:cs="Arial" w:eastAsia="Arial" w:hAnsi="Arial"/>
                <w:sz w:val="18"/>
                <w:szCs w:val="18"/>
                <w:color w:val="auto"/>
                <w:w w:val="94"/>
              </w:rPr>
              <w:t>Toyota Motor</w:t>
            </w:r>
          </w:p>
        </w:tc>
        <w:tc>
          <w:tcPr>
            <w:tcW w:w="9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28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AG</w:t>
            </w:r>
          </w:p>
        </w:tc>
        <w:tc>
          <w:tcPr>
            <w:tcW w:w="420" w:type="dxa"/>
            <w:vAlign w:val="bottom"/>
          </w:tcPr>
          <w:p>
            <w:pPr>
              <w:spacing w:after="0"/>
              <w:rPr>
                <w:sz w:val="20"/>
                <w:szCs w:val="20"/>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Motors</w:t>
            </w:r>
          </w:p>
        </w:tc>
        <w:tc>
          <w:tcPr>
            <w:tcW w:w="4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Corporation</w:t>
            </w:r>
          </w:p>
        </w:tc>
        <w:tc>
          <w:tcPr>
            <w:tcW w:w="420" w:type="dxa"/>
            <w:vAlign w:val="bottom"/>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VW/Audi</w:t>
            </w:r>
          </w:p>
        </w:tc>
        <w:tc>
          <w:tcPr>
            <w:tcW w:w="440" w:type="dxa"/>
            <w:vAlign w:val="bottom"/>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BMW</w:t>
            </w:r>
          </w:p>
        </w:tc>
        <w:tc>
          <w:tcPr>
            <w:tcW w:w="160" w:type="dxa"/>
            <w:vAlign w:val="bottom"/>
          </w:tcPr>
          <w:p>
            <w:pPr>
              <w:spacing w:after="0"/>
              <w:rPr>
                <w:sz w:val="20"/>
                <w:szCs w:val="20"/>
                <w:color w:val="auto"/>
              </w:rPr>
            </w:pPr>
          </w:p>
        </w:tc>
      </w:tr>
      <w:tr>
        <w:trPr>
          <w:trHeight w:val="210"/>
        </w:trPr>
        <w:tc>
          <w:tcPr>
            <w:tcW w:w="2860" w:type="dxa"/>
            <w:vAlign w:val="bottom"/>
            <w:shd w:val="clear" w:color="auto" w:fill="CCEEFF"/>
          </w:tcPr>
          <w:p>
            <w:pPr>
              <w:jc w:val="right"/>
              <w:ind w:right="2410"/>
              <w:spacing w:after="0"/>
              <w:rPr>
                <w:sz w:val="20"/>
                <w:szCs w:val="20"/>
                <w:color w:val="auto"/>
              </w:rPr>
            </w:pPr>
            <w:r>
              <w:rPr>
                <w:rFonts w:ascii="Arial" w:cs="Arial" w:eastAsia="Arial" w:hAnsi="Arial"/>
                <w:sz w:val="18"/>
                <w:szCs w:val="18"/>
                <w:color w:val="auto"/>
                <w:w w:val="84"/>
              </w:rPr>
              <w:t>2008</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860" w:type="dxa"/>
            <w:vAlign w:val="bottom"/>
          </w:tcPr>
          <w:p>
            <w:pPr>
              <w:jc w:val="right"/>
              <w:ind w:right="2410"/>
              <w:spacing w:after="0"/>
              <w:rPr>
                <w:sz w:val="20"/>
                <w:szCs w:val="20"/>
                <w:color w:val="auto"/>
              </w:rPr>
            </w:pPr>
            <w:r>
              <w:rPr>
                <w:rFonts w:ascii="Arial" w:cs="Arial" w:eastAsia="Arial" w:hAnsi="Arial"/>
                <w:sz w:val="18"/>
                <w:szCs w:val="18"/>
                <w:color w:val="auto"/>
                <w:w w:val="84"/>
              </w:rPr>
              <w:t>2007</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860" w:type="dxa"/>
            <w:vAlign w:val="bottom"/>
            <w:shd w:val="clear" w:color="auto" w:fill="CCEEFF"/>
          </w:tcPr>
          <w:p>
            <w:pPr>
              <w:jc w:val="right"/>
              <w:ind w:right="2410"/>
              <w:spacing w:after="0"/>
              <w:rPr>
                <w:sz w:val="20"/>
                <w:szCs w:val="20"/>
                <w:color w:val="auto"/>
              </w:rPr>
            </w:pPr>
            <w:r>
              <w:rPr>
                <w:rFonts w:ascii="Arial" w:cs="Arial" w:eastAsia="Arial" w:hAnsi="Arial"/>
                <w:sz w:val="18"/>
                <w:szCs w:val="18"/>
                <w:color w:val="auto"/>
                <w:w w:val="84"/>
              </w:rPr>
              <w:t>2006</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107" w:lineRule="exact"/>
        <w:rPr>
          <w:sz w:val="20"/>
          <w:szCs w:val="20"/>
          <w:color w:val="auto"/>
        </w:rPr>
      </w:pPr>
    </w:p>
    <w:p>
      <w:pPr>
        <w:ind w:left="348" w:hanging="348"/>
        <w:spacing w:after="0"/>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Chrysler through the date of sale.</w:t>
      </w:r>
    </w:p>
    <w:p>
      <w:pPr>
        <w:spacing w:after="0" w:line="76" w:lineRule="exact"/>
        <w:rPr>
          <w:rFonts w:ascii="Arial" w:cs="Arial" w:eastAsia="Arial" w:hAnsi="Arial"/>
          <w:sz w:val="18"/>
          <w:szCs w:val="18"/>
          <w:color w:val="auto"/>
        </w:rPr>
      </w:pPr>
    </w:p>
    <w:p>
      <w:pPr>
        <w:ind w:left="8"/>
        <w:spacing w:after="0"/>
        <w:rPr>
          <w:rFonts w:ascii="Arial" w:cs="Arial" w:eastAsia="Arial" w:hAnsi="Arial"/>
          <w:sz w:val="18"/>
          <w:szCs w:val="18"/>
          <w:color w:val="auto"/>
        </w:rPr>
      </w:pPr>
      <w:r>
        <w:rPr>
          <w:rFonts w:ascii="Arial" w:cs="Arial" w:eastAsia="Arial" w:hAnsi="Arial"/>
          <w:sz w:val="18"/>
          <w:szCs w:val="18"/>
          <w:color w:val="auto"/>
        </w:rPr>
        <w:t>#   Less than 10%.</w:t>
      </w:r>
    </w:p>
    <w:p>
      <w:pPr>
        <w:spacing w:after="0" w:line="200" w:lineRule="exact"/>
        <w:rPr>
          <w:sz w:val="20"/>
          <w:szCs w:val="20"/>
          <w:color w:val="auto"/>
        </w:rPr>
      </w:pPr>
    </w:p>
    <w:p>
      <w:pPr>
        <w:spacing w:after="0" w:line="39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53" w:name="page54"/>
    <w:bookmarkEnd w:id="53"/>
    <w:p>
      <w:pPr>
        <w:jc w:val="center"/>
        <w:ind w:right="65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tabs>
          <w:tab w:leader="none" w:pos="1500" w:val="left"/>
          <w:tab w:leader="none" w:pos="83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17145</wp:posOffset>
            </wp:positionV>
            <wp:extent cx="5925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23" w:lineRule="exact"/>
        <w:rPr>
          <w:sz w:val="20"/>
          <w:szCs w:val="20"/>
          <w:color w:val="auto"/>
        </w:rPr>
      </w:pPr>
    </w:p>
    <w:p>
      <w:pPr>
        <w:jc w:val="both"/>
        <w:ind w:left="1520" w:right="2259" w:hanging="872"/>
        <w:spacing w:after="0" w:line="286" w:lineRule="auto"/>
        <w:tabs>
          <w:tab w:leader="none" w:pos="1500" w:val="left"/>
        </w:tabs>
        <w:rPr>
          <w:sz w:val="20"/>
          <w:szCs w:val="20"/>
          <w:color w:val="auto"/>
        </w:rPr>
      </w:pPr>
      <w:r>
        <w:rPr>
          <w:rFonts w:ascii="Arial" w:cs="Arial" w:eastAsia="Arial" w:hAnsi="Arial"/>
          <w:sz w:val="18"/>
          <w:szCs w:val="18"/>
          <w:color w:val="auto"/>
        </w:rPr>
        <w:t>3(a)(1)</w:t>
      </w:r>
      <w:r>
        <w:rPr>
          <w:sz w:val="20"/>
          <w:szCs w:val="20"/>
          <w:color w:val="auto"/>
        </w:rPr>
        <w:tab/>
      </w:r>
      <w:r>
        <w:rPr>
          <w:rFonts w:ascii="Arial" w:cs="Arial" w:eastAsia="Arial" w:hAnsi="Arial"/>
          <w:sz w:val="17"/>
          <w:szCs w:val="17"/>
          <w:color w:val="auto"/>
        </w:rPr>
        <w:t>Registrant’s Restated Articles of Incorporation, adopted on August 20, 2004, were filed as Exhibit 3(a) to Registrant’s Report on Form 10-Q dated November 2, 2004, and the same is hereby incorporated herein by reference.</w:t>
      </w:r>
    </w:p>
    <w:p>
      <w:pPr>
        <w:spacing w:after="0" w:line="166" w:lineRule="exact"/>
        <w:rPr>
          <w:sz w:val="20"/>
          <w:szCs w:val="20"/>
          <w:color w:val="auto"/>
        </w:rPr>
      </w:pPr>
    </w:p>
    <w:p>
      <w:pPr>
        <w:ind w:left="1520" w:right="2119" w:hanging="872"/>
        <w:spacing w:after="0" w:line="264" w:lineRule="auto"/>
        <w:tabs>
          <w:tab w:leader="none" w:pos="1500" w:val="left"/>
        </w:tabs>
        <w:rPr>
          <w:sz w:val="20"/>
          <w:szCs w:val="20"/>
          <w:color w:val="auto"/>
        </w:rPr>
      </w:pPr>
      <w:r>
        <w:rPr>
          <w:rFonts w:ascii="Arial" w:cs="Arial" w:eastAsia="Arial" w:hAnsi="Arial"/>
          <w:sz w:val="18"/>
          <w:szCs w:val="18"/>
          <w:color w:val="auto"/>
        </w:rPr>
        <w:t>3(b)(1)</w:t>
      </w:r>
      <w:r>
        <w:rPr>
          <w:sz w:val="20"/>
          <w:szCs w:val="20"/>
          <w:color w:val="auto"/>
        </w:rPr>
        <w:tab/>
      </w:r>
      <w:r>
        <w:rPr>
          <w:rFonts w:ascii="Arial" w:cs="Arial" w:eastAsia="Arial" w:hAnsi="Arial"/>
          <w:sz w:val="18"/>
          <w:szCs w:val="18"/>
          <w:color w:val="auto"/>
        </w:rPr>
        <w:t>Registrant’s Bylaws as amended and restated February 27, 2003, was filed as Exhibit 3(b)(1) to Registrant’s report on Form 10-Q dated May 5, 2003, and the same is hereby incorporated herein by reference.</w:t>
      </w:r>
    </w:p>
    <w:p>
      <w:pPr>
        <w:spacing w:after="0" w:line="181" w:lineRule="exact"/>
        <w:rPr>
          <w:sz w:val="20"/>
          <w:szCs w:val="20"/>
          <w:color w:val="auto"/>
        </w:rPr>
      </w:pPr>
    </w:p>
    <w:p>
      <w:pPr>
        <w:ind w:left="1520" w:right="1979" w:hanging="879"/>
        <w:spacing w:after="0" w:line="279" w:lineRule="auto"/>
        <w:tabs>
          <w:tab w:leader="none" w:pos="1500" w:val="left"/>
        </w:tabs>
        <w:rPr>
          <w:sz w:val="20"/>
          <w:szCs w:val="20"/>
          <w:color w:val="auto"/>
        </w:rPr>
      </w:pPr>
      <w:r>
        <w:rPr>
          <w:rFonts w:ascii="Arial" w:cs="Arial" w:eastAsia="Arial" w:hAnsi="Arial"/>
          <w:sz w:val="17"/>
          <w:szCs w:val="17"/>
          <w:color w:val="auto"/>
        </w:rPr>
        <w:t>4(a)</w:t>
      </w:r>
      <w:r>
        <w:rPr>
          <w:sz w:val="20"/>
          <w:szCs w:val="20"/>
          <w:color w:val="auto"/>
        </w:rPr>
        <w:tab/>
      </w:r>
      <w:r>
        <w:rPr>
          <w:rFonts w:ascii="Arial" w:cs="Arial" w:eastAsia="Arial" w:hAnsi="Arial"/>
          <w:sz w:val="17"/>
          <w:szCs w:val="17"/>
          <w:color w:val="auto"/>
        </w:rPr>
        <w:t>A specimen form of certificate for the Registrant’s common stock, par value $.06 per share, was filed as part of a Registration Statement (Registration Number 2-74226C) as Exhibit 3(a), as amended by Amendment No. 3 to such Registration Statement, and the same is hereby incorporated herein by reference.</w:t>
      </w:r>
    </w:p>
    <w:p>
      <w:pPr>
        <w:spacing w:after="0" w:line="171" w:lineRule="exact"/>
        <w:rPr>
          <w:sz w:val="20"/>
          <w:szCs w:val="20"/>
          <w:color w:val="auto"/>
        </w:rPr>
      </w:pPr>
    </w:p>
    <w:p>
      <w:pPr>
        <w:ind w:left="1520" w:right="2059" w:hanging="879"/>
        <w:spacing w:after="0" w:line="273" w:lineRule="auto"/>
        <w:tabs>
          <w:tab w:leader="none" w:pos="1500" w:val="left"/>
        </w:tabs>
        <w:rPr>
          <w:sz w:val="20"/>
          <w:szCs w:val="20"/>
          <w:color w:val="auto"/>
        </w:rPr>
      </w:pPr>
      <w:r>
        <w:rPr>
          <w:rFonts w:ascii="Arial" w:cs="Arial" w:eastAsia="Arial" w:hAnsi="Arial"/>
          <w:sz w:val="17"/>
          <w:szCs w:val="17"/>
          <w:color w:val="auto"/>
        </w:rPr>
        <w:t>4(b)</w:t>
      </w:r>
      <w:r>
        <w:rPr>
          <w:sz w:val="20"/>
          <w:szCs w:val="20"/>
          <w:color w:val="auto"/>
        </w:rPr>
        <w:tab/>
      </w:r>
      <w:r>
        <w:rPr>
          <w:rFonts w:ascii="Arial" w:cs="Arial" w:eastAsia="Arial" w:hAnsi="Arial"/>
          <w:sz w:val="17"/>
          <w:szCs w:val="17"/>
          <w:color w:val="auto"/>
        </w:rPr>
        <w:t>Amended and Restated Shareholder Protection Rights Agreement, dated as of March 29, 2001, including as Exhibit A the form of Certificate of Adoption of Resolution Establishing Series of Shares of Junior Participating Preferred Stock of the Company, and as Exhibit B the form of Rights Certificate and of Election to Exercise, was filed as Exhibit 4(b) to Registrant’s Report on Form 10-Q on April 27, 2001, and the same is hereby incorporated herein by reference.</w:t>
      </w:r>
    </w:p>
    <w:p>
      <w:pPr>
        <w:spacing w:after="0" w:line="178" w:lineRule="exact"/>
        <w:rPr>
          <w:sz w:val="20"/>
          <w:szCs w:val="20"/>
          <w:color w:val="auto"/>
        </w:rPr>
      </w:pPr>
    </w:p>
    <w:p>
      <w:pPr>
        <w:ind w:left="1520" w:right="2679" w:hanging="959"/>
        <w:spacing w:after="0" w:line="264" w:lineRule="auto"/>
        <w:tabs>
          <w:tab w:leader="none" w:pos="1500" w:val="left"/>
        </w:tabs>
        <w:rPr>
          <w:sz w:val="20"/>
          <w:szCs w:val="20"/>
          <w:color w:val="auto"/>
        </w:rPr>
      </w:pPr>
      <w:r>
        <w:rPr>
          <w:rFonts w:ascii="Arial" w:cs="Arial" w:eastAsia="Arial" w:hAnsi="Arial"/>
          <w:sz w:val="18"/>
          <w:szCs w:val="18"/>
          <w:color w:val="auto"/>
        </w:rPr>
        <w:t>10(a)(1)</w:t>
      </w:r>
      <w:r>
        <w:rPr>
          <w:sz w:val="20"/>
          <w:szCs w:val="20"/>
          <w:color w:val="auto"/>
        </w:rPr>
        <w:tab/>
      </w:r>
      <w:r>
        <w:rPr>
          <w:rFonts w:ascii="Arial" w:cs="Arial" w:eastAsia="Arial" w:hAnsi="Arial"/>
          <w:sz w:val="18"/>
          <w:szCs w:val="18"/>
          <w:color w:val="auto"/>
        </w:rPr>
        <w:t>A Lease, dated August 15, 1981, was filed as part of a Registration Statement (Registration Number 2-74226C) as Exhibit 9(a)(1), and the same is hereby incorporated herein by reference.</w:t>
      </w:r>
    </w:p>
    <w:p>
      <w:pPr>
        <w:spacing w:after="0" w:line="181" w:lineRule="exact"/>
        <w:rPr>
          <w:sz w:val="20"/>
          <w:szCs w:val="20"/>
          <w:color w:val="auto"/>
        </w:rPr>
      </w:pPr>
    </w:p>
    <w:p>
      <w:pPr>
        <w:jc w:val="both"/>
        <w:ind w:left="1520" w:right="2439" w:hanging="959"/>
        <w:spacing w:after="0" w:line="264" w:lineRule="auto"/>
        <w:tabs>
          <w:tab w:leader="none" w:pos="1500" w:val="left"/>
        </w:tabs>
        <w:rPr>
          <w:sz w:val="20"/>
          <w:szCs w:val="20"/>
          <w:color w:val="auto"/>
        </w:rPr>
      </w:pPr>
      <w:r>
        <w:rPr>
          <w:rFonts w:ascii="Arial" w:cs="Arial" w:eastAsia="Arial" w:hAnsi="Arial"/>
          <w:sz w:val="18"/>
          <w:szCs w:val="18"/>
          <w:color w:val="auto"/>
        </w:rPr>
        <w:t>10(a)(2)</w:t>
      </w:r>
      <w:r>
        <w:rPr>
          <w:sz w:val="20"/>
          <w:szCs w:val="20"/>
          <w:color w:val="auto"/>
        </w:rPr>
        <w:tab/>
      </w:r>
      <w:r>
        <w:rPr>
          <w:rFonts w:ascii="Arial" w:cs="Arial" w:eastAsia="Arial" w:hAnsi="Arial"/>
          <w:sz w:val="18"/>
          <w:szCs w:val="18"/>
          <w:color w:val="auto"/>
        </w:rPr>
        <w:t>A First Amendment to Lease, dated June 28, 1985, was filed as Exhibit 10(m) to Registrant’s Report on Form 10-K dated March 18, 1986, and the same is hereby incorporated herein by reference.</w:t>
      </w:r>
    </w:p>
    <w:p>
      <w:pPr>
        <w:spacing w:after="0" w:line="181" w:lineRule="exact"/>
        <w:rPr>
          <w:sz w:val="20"/>
          <w:szCs w:val="20"/>
          <w:color w:val="auto"/>
        </w:rPr>
      </w:pPr>
    </w:p>
    <w:p>
      <w:pPr>
        <w:ind w:left="1520" w:right="2079" w:hanging="1059"/>
        <w:spacing w:after="0" w:line="290" w:lineRule="auto"/>
        <w:tabs>
          <w:tab w:leader="none" w:pos="1500" w:val="left"/>
        </w:tabs>
        <w:rPr>
          <w:sz w:val="20"/>
          <w:szCs w:val="20"/>
          <w:color w:val="auto"/>
        </w:rPr>
      </w:pPr>
      <w:r>
        <w:rPr>
          <w:rFonts w:ascii="Arial" w:cs="Arial" w:eastAsia="Arial" w:hAnsi="Arial"/>
          <w:sz w:val="16"/>
          <w:szCs w:val="16"/>
          <w:color w:val="auto"/>
        </w:rPr>
        <w:t>*10(b)(1)</w:t>
      </w:r>
      <w:r>
        <w:rPr>
          <w:sz w:val="20"/>
          <w:szCs w:val="20"/>
          <w:color w:val="auto"/>
        </w:rPr>
        <w:tab/>
      </w:r>
      <w:r>
        <w:rPr>
          <w:rFonts w:ascii="Arial" w:cs="Arial" w:eastAsia="Arial" w:hAnsi="Arial"/>
          <w:sz w:val="16"/>
          <w:szCs w:val="16"/>
          <w:color w:val="auto"/>
        </w:rPr>
        <w:t>Gentex Corporation Qualified Stock Option Plan (as amended and restated, effective February 26, 2004) was included in Registrant’s Proxy Statement dated April 6, 2004, filed with the Commission on April 6, 2004, and the same is hereby incorporated herein by reference, and the same became the Gentex Corporation Employee Stock Option Plan and was amended as of March 4, 2005 by the First Amendment to the Gentex Corporation Qualified Stock Option Plan, which amendment was included in the Registrant’s Proxy Statement dated April 1, 2005, filed with the Commission on April 1, 2005, and the same is incorporated herein by reference.</w:t>
      </w:r>
    </w:p>
    <w:p>
      <w:pPr>
        <w:spacing w:after="0" w:line="166" w:lineRule="exact"/>
        <w:rPr>
          <w:sz w:val="20"/>
          <w:szCs w:val="20"/>
          <w:color w:val="auto"/>
        </w:rPr>
      </w:pPr>
    </w:p>
    <w:p>
      <w:pPr>
        <w:ind w:left="1520" w:right="2259" w:hanging="1059"/>
        <w:spacing w:after="0" w:line="327" w:lineRule="auto"/>
        <w:tabs>
          <w:tab w:leader="none" w:pos="1500" w:val="left"/>
        </w:tabs>
        <w:rPr>
          <w:sz w:val="20"/>
          <w:szCs w:val="20"/>
          <w:color w:val="auto"/>
        </w:rPr>
      </w:pPr>
      <w:r>
        <w:rPr>
          <w:rFonts w:ascii="Arial" w:cs="Arial" w:eastAsia="Arial" w:hAnsi="Arial"/>
          <w:sz w:val="15"/>
          <w:szCs w:val="15"/>
          <w:color w:val="auto"/>
        </w:rPr>
        <w:t>*10(b)(2)</w:t>
      </w:r>
      <w:r>
        <w:rPr>
          <w:sz w:val="20"/>
          <w:szCs w:val="20"/>
          <w:color w:val="auto"/>
        </w:rPr>
        <w:tab/>
      </w:r>
      <w:r>
        <w:rPr>
          <w:rFonts w:ascii="Arial" w:cs="Arial" w:eastAsia="Arial" w:hAnsi="Arial"/>
          <w:sz w:val="15"/>
          <w:szCs w:val="15"/>
          <w:color w:val="auto"/>
        </w:rPr>
        <w:t>Specimen form of Grant Agreement for the Gentex Corporation Qualified Stock Option Plan (as amended and restated, effective February 26, 2004 and as amended March 4, 2005), was filed as Exhibit 10(b)(3) to Registrant’s Report on Form 10-Q dated November 1, 2005, and the same is hereby incorporated herein by reference.</w:t>
      </w:r>
    </w:p>
    <w:p>
      <w:pPr>
        <w:spacing w:after="0" w:line="140" w:lineRule="exact"/>
        <w:rPr>
          <w:sz w:val="20"/>
          <w:szCs w:val="20"/>
          <w:color w:val="auto"/>
        </w:rPr>
      </w:pPr>
    </w:p>
    <w:p>
      <w:pPr>
        <w:ind w:left="1520" w:right="2359" w:hanging="1059"/>
        <w:spacing w:after="0" w:line="264" w:lineRule="auto"/>
        <w:tabs>
          <w:tab w:leader="none" w:pos="1500" w:val="left"/>
        </w:tabs>
        <w:rPr>
          <w:sz w:val="20"/>
          <w:szCs w:val="20"/>
          <w:color w:val="auto"/>
        </w:rPr>
      </w:pPr>
      <w:r>
        <w:rPr>
          <w:rFonts w:ascii="Arial" w:cs="Arial" w:eastAsia="Arial" w:hAnsi="Arial"/>
          <w:sz w:val="18"/>
          <w:szCs w:val="18"/>
          <w:color w:val="auto"/>
        </w:rPr>
        <w:t>*10(b)(3)</w:t>
      </w:r>
      <w:r>
        <w:rPr>
          <w:sz w:val="20"/>
          <w:szCs w:val="20"/>
          <w:color w:val="auto"/>
        </w:rPr>
        <w:tab/>
      </w:r>
      <w:r>
        <w:rPr>
          <w:rFonts w:ascii="Arial" w:cs="Arial" w:eastAsia="Arial" w:hAnsi="Arial"/>
          <w:sz w:val="18"/>
          <w:szCs w:val="18"/>
          <w:color w:val="auto"/>
        </w:rPr>
        <w:t>Gentex Corporation Second Restricted Stock Plan was filed as Exhibit 10(b)(2) to Registrant’s Report on Form 10-Q dated April 27, 2001, and the same is hereby incorporated herein by reference.</w:t>
      </w:r>
    </w:p>
    <w:p>
      <w:pPr>
        <w:spacing w:after="0" w:line="181" w:lineRule="exact"/>
        <w:rPr>
          <w:sz w:val="20"/>
          <w:szCs w:val="20"/>
          <w:color w:val="auto"/>
        </w:rPr>
      </w:pPr>
    </w:p>
    <w:p>
      <w:pPr>
        <w:ind w:left="1520" w:right="1999" w:hanging="1059"/>
        <w:spacing w:after="0" w:line="264" w:lineRule="auto"/>
        <w:tabs>
          <w:tab w:leader="none" w:pos="1500" w:val="left"/>
        </w:tabs>
        <w:rPr>
          <w:sz w:val="20"/>
          <w:szCs w:val="20"/>
          <w:color w:val="auto"/>
        </w:rPr>
      </w:pPr>
      <w:r>
        <w:rPr>
          <w:rFonts w:ascii="Arial" w:cs="Arial" w:eastAsia="Arial" w:hAnsi="Arial"/>
          <w:sz w:val="18"/>
          <w:szCs w:val="18"/>
          <w:color w:val="auto"/>
        </w:rPr>
        <w:t>*10(b)(4)</w:t>
      </w:r>
      <w:r>
        <w:rPr>
          <w:sz w:val="20"/>
          <w:szCs w:val="20"/>
          <w:color w:val="auto"/>
        </w:rPr>
        <w:tab/>
      </w:r>
      <w:r>
        <w:rPr>
          <w:rFonts w:ascii="Arial" w:cs="Arial" w:eastAsia="Arial" w:hAnsi="Arial"/>
          <w:sz w:val="18"/>
          <w:szCs w:val="18"/>
          <w:color w:val="auto"/>
        </w:rPr>
        <w:t>First Amendment to the Gentex Corporation Second Restricted Stock Plan was filed as Exhibit 10(b)(5) to the Registrant’s Report on Form 10-Q dated August 4, 2008, and the same is hereby incorporated herein by reference.</w:t>
      </w:r>
    </w:p>
    <w:p>
      <w:pPr>
        <w:spacing w:after="0" w:line="181" w:lineRule="exact"/>
        <w:rPr>
          <w:sz w:val="20"/>
          <w:szCs w:val="20"/>
          <w:color w:val="auto"/>
        </w:rPr>
      </w:pPr>
    </w:p>
    <w:p>
      <w:pPr>
        <w:jc w:val="both"/>
        <w:ind w:left="1520" w:right="2059" w:hanging="1059"/>
        <w:spacing w:after="0" w:line="259" w:lineRule="auto"/>
        <w:tabs>
          <w:tab w:leader="none" w:pos="1500" w:val="left"/>
        </w:tabs>
        <w:rPr>
          <w:sz w:val="20"/>
          <w:szCs w:val="20"/>
          <w:color w:val="auto"/>
        </w:rPr>
      </w:pPr>
      <w:r>
        <w:rPr>
          <w:rFonts w:ascii="Arial" w:cs="Arial" w:eastAsia="Arial" w:hAnsi="Arial"/>
          <w:sz w:val="18"/>
          <w:szCs w:val="18"/>
          <w:color w:val="auto"/>
        </w:rPr>
        <w:t>*10(b)(5)</w:t>
      </w:r>
      <w:r>
        <w:rPr>
          <w:sz w:val="20"/>
          <w:szCs w:val="20"/>
          <w:color w:val="auto"/>
        </w:rPr>
        <w:tab/>
      </w:r>
      <w:r>
        <w:rPr>
          <w:rFonts w:ascii="Arial" w:cs="Arial" w:eastAsia="Arial" w:hAnsi="Arial"/>
          <w:sz w:val="18"/>
          <w:szCs w:val="18"/>
          <w:color w:val="auto"/>
        </w:rPr>
        <w:t>Specimen form of Grant Agreement for the Gentex Corporation Restricted Stock Plan (as amended and restated, effective February 26, 2004), was filed as Exhibit 10(b)(4) to Registrant’s Report on Form 10-Q dated November 2, 2004, and the same is hereby incorporated herein by reference.</w:t>
      </w:r>
    </w:p>
    <w:p>
      <w:pPr>
        <w:spacing w:after="0" w:line="187" w:lineRule="exact"/>
        <w:rPr>
          <w:sz w:val="20"/>
          <w:szCs w:val="20"/>
          <w:color w:val="auto"/>
        </w:rPr>
      </w:pPr>
    </w:p>
    <w:p>
      <w:pPr>
        <w:ind w:left="1520" w:right="1999" w:hanging="1059"/>
        <w:spacing w:after="0" w:line="291" w:lineRule="auto"/>
        <w:tabs>
          <w:tab w:leader="none" w:pos="1500" w:val="left"/>
        </w:tabs>
        <w:rPr>
          <w:sz w:val="20"/>
          <w:szCs w:val="20"/>
          <w:color w:val="auto"/>
        </w:rPr>
      </w:pPr>
      <w:r>
        <w:rPr>
          <w:rFonts w:ascii="Arial" w:cs="Arial" w:eastAsia="Arial" w:hAnsi="Arial"/>
          <w:sz w:val="16"/>
          <w:szCs w:val="16"/>
          <w:color w:val="auto"/>
        </w:rPr>
        <w:t>*10(b)(6)</w:t>
      </w:r>
      <w:r>
        <w:rPr>
          <w:sz w:val="20"/>
          <w:szCs w:val="20"/>
          <w:color w:val="auto"/>
        </w:rPr>
        <w:tab/>
      </w:r>
      <w:r>
        <w:rPr>
          <w:rFonts w:ascii="Arial" w:cs="Arial" w:eastAsia="Arial" w:hAnsi="Arial"/>
          <w:sz w:val="16"/>
          <w:szCs w:val="16"/>
          <w:color w:val="auto"/>
        </w:rPr>
        <w:t>Gentex Corporation 2002 Nonemployee Director Stock Option Plan (adopted March 6, 2002) was filed as Exhibit 10(b)(4) to Registrant’s Report on Form 10-Q dated</w:t>
      </w:r>
    </w:p>
    <w:p>
      <w:pPr>
        <w:ind w:left="1520"/>
        <w:spacing w:after="0"/>
        <w:rPr>
          <w:sz w:val="20"/>
          <w:szCs w:val="20"/>
          <w:color w:val="auto"/>
        </w:rPr>
      </w:pPr>
      <w:r>
        <w:rPr>
          <w:rFonts w:ascii="Arial" w:cs="Arial" w:eastAsia="Arial" w:hAnsi="Arial"/>
          <w:sz w:val="18"/>
          <w:szCs w:val="18"/>
          <w:color w:val="auto"/>
        </w:rPr>
        <w:t>April 30, 2002, and the same is hereby incorporated herein by reference.</w:t>
      </w:r>
    </w:p>
    <w:p>
      <w:pPr>
        <w:spacing w:after="0" w:line="211" w:lineRule="exact"/>
        <w:rPr>
          <w:sz w:val="20"/>
          <w:szCs w:val="20"/>
          <w:color w:val="auto"/>
        </w:rPr>
      </w:pPr>
    </w:p>
    <w:p>
      <w:pPr>
        <w:ind w:left="1520" w:right="2079" w:hanging="1059"/>
        <w:spacing w:after="0" w:line="302" w:lineRule="auto"/>
        <w:tabs>
          <w:tab w:leader="none" w:pos="1500" w:val="left"/>
        </w:tabs>
        <w:rPr>
          <w:sz w:val="20"/>
          <w:szCs w:val="20"/>
          <w:color w:val="auto"/>
        </w:rPr>
      </w:pPr>
      <w:r>
        <w:rPr>
          <w:rFonts w:ascii="Arial" w:cs="Arial" w:eastAsia="Arial" w:hAnsi="Arial"/>
          <w:sz w:val="16"/>
          <w:szCs w:val="16"/>
          <w:color w:val="auto"/>
        </w:rPr>
        <w:t>*10(b)(7)</w:t>
      </w:r>
      <w:r>
        <w:rPr>
          <w:sz w:val="20"/>
          <w:szCs w:val="20"/>
          <w:color w:val="auto"/>
        </w:rPr>
        <w:tab/>
      </w:r>
      <w:r>
        <w:rPr>
          <w:rFonts w:ascii="Arial" w:cs="Arial" w:eastAsia="Arial" w:hAnsi="Arial"/>
          <w:sz w:val="16"/>
          <w:szCs w:val="16"/>
          <w:color w:val="auto"/>
        </w:rPr>
        <w:t>Specimen form of Grant Agreement for the Gentex Corporation 2002 Non-Employee Director Stock Option Plan (as amended and restated, effective February 26, 2004), was filed as Exhibit 10(b)(6) to Registrant’s Report on Form 10-Q dated November 2, 2004, and the same is hereby incorporated herein by reference.</w:t>
      </w:r>
    </w:p>
    <w:p>
      <w:pPr>
        <w:spacing w:after="0" w:line="154" w:lineRule="exact"/>
        <w:rPr>
          <w:sz w:val="20"/>
          <w:szCs w:val="20"/>
          <w:color w:val="auto"/>
        </w:rPr>
      </w:pPr>
    </w:p>
    <w:p>
      <w:pPr>
        <w:ind w:left="1520" w:right="2299" w:hanging="959"/>
        <w:spacing w:after="0" w:line="259" w:lineRule="auto"/>
        <w:tabs>
          <w:tab w:leader="none" w:pos="1500" w:val="left"/>
        </w:tabs>
        <w:rPr>
          <w:sz w:val="20"/>
          <w:szCs w:val="20"/>
          <w:color w:val="auto"/>
        </w:rPr>
      </w:pPr>
      <w:r>
        <w:rPr>
          <w:rFonts w:ascii="Arial" w:cs="Arial" w:eastAsia="Arial" w:hAnsi="Arial"/>
          <w:sz w:val="18"/>
          <w:szCs w:val="18"/>
          <w:color w:val="auto"/>
        </w:rPr>
        <w:t>10(e)</w:t>
      </w:r>
      <w:r>
        <w:rPr>
          <w:sz w:val="20"/>
          <w:szCs w:val="20"/>
          <w:color w:val="auto"/>
        </w:rPr>
        <w:tab/>
      </w:r>
      <w:r>
        <w:rPr>
          <w:rFonts w:ascii="Arial" w:cs="Arial" w:eastAsia="Arial" w:hAnsi="Arial"/>
          <w:sz w:val="18"/>
          <w:szCs w:val="18"/>
          <w:color w:val="auto"/>
        </w:rPr>
        <w:t>The form of Indemnity Agreement between Registrant and each of the Registrant’s directors and certain officers was filed as Exhibit 10(e) to Registrant’s Report on Form 10-Q dated October 31, 2002, and the same is hereby incorporated herein by reference.</w:t>
      </w:r>
    </w:p>
    <w:p>
      <w:pPr>
        <w:sectPr>
          <w:pgSz w:w="11900" w:h="16838" w:orient="portrait"/>
          <w:cols w:equalWidth="0" w:num="1">
            <w:col w:w="9779"/>
          </w:cols>
          <w:pgMar w:left="680" w:top="932" w:right="1440" w:bottom="0" w:gutter="0" w:footer="0" w:header="0"/>
        </w:sectPr>
      </w:pPr>
    </w:p>
    <w:bookmarkStart w:id="54" w:name="page55"/>
    <w:bookmarkEnd w:id="54"/>
    <w:tbl>
      <w:tblPr>
        <w:tblLayout w:type="fixed"/>
        <w:tblInd w:w="528" w:type="dxa"/>
        <w:tblCellMar>
          <w:top w:w="0" w:type="dxa"/>
          <w:left w:w="0" w:type="dxa"/>
          <w:bottom w:w="0" w:type="dxa"/>
          <w:right w:w="0" w:type="dxa"/>
        </w:tblCellMar>
      </w:tblPr>
      <w:tr>
        <w:trPr>
          <w:trHeight w:val="230"/>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6880" w:type="dxa"/>
            <w:vAlign w:val="bottom"/>
          </w:tcPr>
          <w:p>
            <w:pPr>
              <w:ind w:left="300"/>
              <w:spacing w:after="0"/>
              <w:rPr>
                <w:sz w:val="20"/>
                <w:szCs w:val="20"/>
                <w:color w:val="auto"/>
              </w:rPr>
            </w:pPr>
            <w:r>
              <w:rPr>
                <w:rFonts w:ascii="Arial" w:cs="Arial" w:eastAsia="Arial" w:hAnsi="Arial"/>
                <w:sz w:val="18"/>
                <w:szCs w:val="18"/>
                <w:color w:val="auto"/>
              </w:rPr>
              <w:t>List of Company Subsidiaries</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800" w:type="dxa"/>
            <w:vAlign w:val="bottom"/>
          </w:tcPr>
          <w:p>
            <w:pPr>
              <w:jc w:val="right"/>
              <w:ind w:right="190"/>
              <w:spacing w:after="0"/>
              <w:rPr>
                <w:sz w:val="20"/>
                <w:szCs w:val="20"/>
                <w:color w:val="auto"/>
              </w:rPr>
            </w:pPr>
            <w:r>
              <w:rPr>
                <w:rFonts w:ascii="Arial" w:cs="Arial" w:eastAsia="Arial" w:hAnsi="Arial"/>
                <w:sz w:val="18"/>
                <w:szCs w:val="18"/>
                <w:color w:val="auto"/>
              </w:rPr>
              <w:t>23(a)</w:t>
            </w:r>
          </w:p>
        </w:tc>
        <w:tc>
          <w:tcPr>
            <w:tcW w:w="688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31.1</w:t>
            </w:r>
          </w:p>
        </w:tc>
        <w:tc>
          <w:tcPr>
            <w:tcW w:w="6880" w:type="dxa"/>
            <w:vAlign w:val="bottom"/>
          </w:tcPr>
          <w:p>
            <w:pPr>
              <w:ind w:left="300"/>
              <w:spacing w:after="0"/>
              <w:rPr>
                <w:sz w:val="20"/>
                <w:szCs w:val="20"/>
                <w:color w:val="auto"/>
              </w:rPr>
            </w:pPr>
            <w:r>
              <w:rPr>
                <w:rFonts w:ascii="Arial" w:cs="Arial" w:eastAsia="Arial" w:hAnsi="Arial"/>
                <w:sz w:val="18"/>
                <w:szCs w:val="18"/>
                <w:color w:val="auto"/>
              </w:rPr>
              <w:t>Certificate of the Chief Executive Officer of Gentex Corporation pursuant to</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00" w:type="dxa"/>
            <w:vAlign w:val="bottom"/>
          </w:tcPr>
          <w:p>
            <w:pPr>
              <w:spacing w:after="0"/>
              <w:rPr>
                <w:sz w:val="20"/>
                <w:szCs w:val="20"/>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 (18 U.S.C. 1350).</w:t>
            </w:r>
          </w:p>
        </w:tc>
        <w:tc>
          <w:tcPr>
            <w:tcW w:w="640" w:type="dxa"/>
            <w:vAlign w:val="bottom"/>
          </w:tcPr>
          <w:p>
            <w:pPr>
              <w:spacing w:after="0"/>
              <w:rPr>
                <w:sz w:val="20"/>
                <w:szCs w:val="20"/>
                <w:color w:val="auto"/>
              </w:rPr>
            </w:pPr>
          </w:p>
        </w:tc>
      </w:tr>
      <w:tr>
        <w:trPr>
          <w:trHeight w:val="418"/>
        </w:trPr>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31.2</w:t>
            </w:r>
          </w:p>
        </w:tc>
        <w:tc>
          <w:tcPr>
            <w:tcW w:w="6880" w:type="dxa"/>
            <w:vAlign w:val="bottom"/>
          </w:tcPr>
          <w:p>
            <w:pPr>
              <w:ind w:left="300"/>
              <w:spacing w:after="0"/>
              <w:rPr>
                <w:sz w:val="20"/>
                <w:szCs w:val="20"/>
                <w:color w:val="auto"/>
              </w:rPr>
            </w:pPr>
            <w:r>
              <w:rPr>
                <w:rFonts w:ascii="Arial" w:cs="Arial" w:eastAsia="Arial" w:hAnsi="Arial"/>
                <w:sz w:val="18"/>
                <w:szCs w:val="18"/>
                <w:color w:val="auto"/>
              </w:rPr>
              <w:t>Certificate of the Chief Financial Officer of Gentex Corporation pursuant to</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00" w:type="dxa"/>
            <w:vAlign w:val="bottom"/>
          </w:tcPr>
          <w:p>
            <w:pPr>
              <w:spacing w:after="0"/>
              <w:rPr>
                <w:sz w:val="20"/>
                <w:szCs w:val="20"/>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rPr>
              <w:t>Section 302 of the Sarbanes-Oxley Act of 2002 (18 U.S.C. 1350).</w:t>
            </w:r>
          </w:p>
        </w:tc>
        <w:tc>
          <w:tcPr>
            <w:tcW w:w="640" w:type="dxa"/>
            <w:vAlign w:val="bottom"/>
          </w:tcPr>
          <w:p>
            <w:pPr>
              <w:spacing w:after="0"/>
              <w:rPr>
                <w:sz w:val="20"/>
                <w:szCs w:val="20"/>
                <w:color w:val="auto"/>
              </w:rPr>
            </w:pPr>
          </w:p>
        </w:tc>
      </w:tr>
      <w:tr>
        <w:trPr>
          <w:trHeight w:val="418"/>
        </w:trPr>
        <w:tc>
          <w:tcPr>
            <w:tcW w:w="80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6880" w:type="dxa"/>
            <w:vAlign w:val="bottom"/>
          </w:tcPr>
          <w:p>
            <w:pPr>
              <w:ind w:left="300"/>
              <w:spacing w:after="0"/>
              <w:rPr>
                <w:sz w:val="20"/>
                <w:szCs w:val="20"/>
                <w:color w:val="auto"/>
              </w:rPr>
            </w:pPr>
            <w:r>
              <w:rPr>
                <w:rFonts w:ascii="Arial" w:cs="Arial" w:eastAsia="Arial" w:hAnsi="Arial"/>
                <w:sz w:val="18"/>
                <w:szCs w:val="18"/>
                <w:color w:val="auto"/>
              </w:rPr>
              <w:t>Certificate of the Chief Executive Officer and Chief Financial Officer of Gentex</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800" w:type="dxa"/>
            <w:vAlign w:val="bottom"/>
          </w:tcPr>
          <w:p>
            <w:pPr>
              <w:spacing w:after="0"/>
              <w:rPr>
                <w:sz w:val="18"/>
                <w:szCs w:val="18"/>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w w:val="97"/>
              </w:rPr>
              <w:t>Corporation pursuant to Section 906 of the Sarbanes-Oxley Act of 2002 (18 U.S.C. §</w:t>
            </w:r>
          </w:p>
        </w:tc>
        <w:tc>
          <w:tcPr>
            <w:tcW w:w="64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6880" w:type="dxa"/>
            <w:vAlign w:val="bottom"/>
          </w:tcPr>
          <w:p>
            <w:pPr>
              <w:ind w:left="300"/>
              <w:spacing w:after="0"/>
              <w:rPr>
                <w:sz w:val="20"/>
                <w:szCs w:val="20"/>
                <w:color w:val="auto"/>
              </w:rPr>
            </w:pPr>
            <w:r>
              <w:rPr>
                <w:rFonts w:ascii="Arial" w:cs="Arial" w:eastAsia="Arial" w:hAnsi="Arial"/>
                <w:sz w:val="18"/>
                <w:szCs w:val="18"/>
                <w:color w:val="auto"/>
              </w:rPr>
              <w:t>1350).</w:t>
            </w:r>
          </w:p>
        </w:tc>
        <w:tc>
          <w:tcPr>
            <w:tcW w:w="640" w:type="dxa"/>
            <w:vAlign w:val="bottom"/>
          </w:tcPr>
          <w:p>
            <w:pPr>
              <w:spacing w:after="0"/>
              <w:rPr>
                <w:sz w:val="20"/>
                <w:szCs w:val="20"/>
                <w:color w:val="auto"/>
              </w:rPr>
            </w:pPr>
          </w:p>
        </w:tc>
      </w:tr>
    </w:tbl>
    <w:p>
      <w:pPr>
        <w:spacing w:after="0" w:line="323" w:lineRule="exact"/>
        <w:rPr>
          <w:sz w:val="20"/>
          <w:szCs w:val="20"/>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a compensatory plan or arrangement.</w:t>
      </w:r>
    </w:p>
    <w:p>
      <w:pPr>
        <w:spacing w:after="0" w:line="200" w:lineRule="exact"/>
        <w:rPr>
          <w:sz w:val="20"/>
          <w:szCs w:val="20"/>
          <w:color w:val="auto"/>
        </w:rPr>
      </w:pPr>
    </w:p>
    <w:p>
      <w:pPr>
        <w:spacing w:after="0" w:line="390" w:lineRule="exact"/>
        <w:rPr>
          <w:sz w:val="20"/>
          <w:szCs w:val="20"/>
          <w:color w:val="auto"/>
        </w:rPr>
      </w:pPr>
    </w:p>
    <w:p>
      <w:pPr>
        <w:ind w:left="4468"/>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9887"/>
          </w:cols>
          <w:pgMar w:left="572" w:top="341" w:right="1440" w:bottom="1440" w:gutter="0" w:footer="0" w:header="0"/>
        </w:sectPr>
      </w:pPr>
    </w:p>
    <w:bookmarkStart w:id="55" w:name="page56"/>
    <w:bookmarkEnd w:id="55"/>
    <w:p>
      <w:pPr>
        <w:ind w:left="3128"/>
        <w:spacing w:after="0"/>
        <w:rPr>
          <w:sz w:val="20"/>
          <w:szCs w:val="20"/>
          <w:color w:val="auto"/>
        </w:rPr>
      </w:pPr>
      <w:r>
        <w:rPr>
          <w:rFonts w:ascii="Arial" w:cs="Arial" w:eastAsia="Arial" w:hAnsi="Arial"/>
          <w:sz w:val="18"/>
          <w:szCs w:val="18"/>
          <w:b w:val="1"/>
          <w:bCs w:val="1"/>
          <w:color w:val="auto"/>
        </w:rPr>
        <w:t>List of Gentex Corporation Subsidiaries</w:t>
      </w:r>
    </w:p>
    <w:p>
      <w:pPr>
        <w:spacing w:after="0" w:line="189" w:lineRule="exact"/>
        <w:rPr>
          <w:sz w:val="20"/>
          <w:szCs w:val="20"/>
          <w:color w:val="auto"/>
        </w:rPr>
      </w:pPr>
    </w:p>
    <w:p>
      <w:pPr>
        <w:ind w:left="348"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 Aviation Services, Inc., a Michigan corporation, is a wholly-owned subsidiary of Gentex Corporation.</w:t>
      </w:r>
    </w:p>
    <w:p>
      <w:pPr>
        <w:spacing w:after="0" w:line="157" w:lineRule="exact"/>
        <w:rPr>
          <w:rFonts w:ascii="Arial" w:cs="Arial" w:eastAsia="Arial" w:hAnsi="Arial"/>
          <w:sz w:val="18"/>
          <w:szCs w:val="18"/>
          <w:color w:val="auto"/>
        </w:rPr>
      </w:pPr>
    </w:p>
    <w:p>
      <w:pPr>
        <w:ind w:left="348"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Gentex Holdings, Inc., a Michigan corporation, is a wholly-owned subsidiary of Gentex Corporation.</w:t>
      </w:r>
    </w:p>
    <w:p>
      <w:pPr>
        <w:spacing w:after="0" w:line="157" w:lineRule="exact"/>
        <w:rPr>
          <w:rFonts w:ascii="Arial" w:cs="Arial" w:eastAsia="Arial" w:hAnsi="Arial"/>
          <w:sz w:val="18"/>
          <w:szCs w:val="18"/>
          <w:color w:val="auto"/>
        </w:rPr>
      </w:pPr>
    </w:p>
    <w:p>
      <w:pPr>
        <w:ind w:left="348" w:right="679" w:hanging="348"/>
        <w:spacing w:after="0" w:line="277"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Gentex GmbH, a German limited liability company, is a subsidiary 50% owned by Gentex Corporation and 50% owned by Gentex Holdings, Inc.</w:t>
      </w:r>
    </w:p>
    <w:p>
      <w:pPr>
        <w:spacing w:after="0" w:line="102" w:lineRule="exact"/>
        <w:rPr>
          <w:rFonts w:ascii="Arial" w:cs="Arial" w:eastAsia="Arial" w:hAnsi="Arial"/>
          <w:sz w:val="18"/>
          <w:szCs w:val="18"/>
          <w:color w:val="auto"/>
        </w:rPr>
      </w:pPr>
    </w:p>
    <w:p>
      <w:pPr>
        <w:ind w:left="348"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Gentex Japan, Inc., a Japanese corporation, is a wholly-owned subsidiary of Gentex Corporation.</w:t>
      </w:r>
    </w:p>
    <w:p>
      <w:pPr>
        <w:spacing w:after="0" w:line="157" w:lineRule="exact"/>
        <w:rPr>
          <w:rFonts w:ascii="Arial" w:cs="Arial" w:eastAsia="Arial" w:hAnsi="Arial"/>
          <w:sz w:val="18"/>
          <w:szCs w:val="18"/>
          <w:color w:val="auto"/>
        </w:rPr>
      </w:pPr>
    </w:p>
    <w:p>
      <w:pPr>
        <w:ind w:left="348" w:hanging="348"/>
        <w:spacing w:after="0"/>
        <w:tabs>
          <w:tab w:leader="none" w:pos="3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Gentex Mirrors Ltd., a United Kingdom limited liability company, is a wholly-owned subsidiary of Gentex Corporation.</w:t>
      </w:r>
    </w:p>
    <w:p>
      <w:pPr>
        <w:spacing w:after="0" w:line="169" w:lineRule="exact"/>
        <w:rPr>
          <w:rFonts w:ascii="Arial" w:cs="Arial" w:eastAsia="Arial" w:hAnsi="Arial"/>
          <w:sz w:val="17"/>
          <w:szCs w:val="17"/>
          <w:color w:val="auto"/>
        </w:rPr>
      </w:pPr>
    </w:p>
    <w:p>
      <w:pPr>
        <w:ind w:left="348" w:hanging="348"/>
        <w:spacing w:after="0"/>
        <w:tabs>
          <w:tab w:leader="none" w:pos="3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Gentex France, SAS, a French simplified liability corporation, is a wholly-owned subsidiary of Gentex Corporation.</w:t>
      </w:r>
    </w:p>
    <w:p>
      <w:pPr>
        <w:spacing w:after="0" w:line="169" w:lineRule="exact"/>
        <w:rPr>
          <w:rFonts w:ascii="Arial" w:cs="Arial" w:eastAsia="Arial" w:hAnsi="Arial"/>
          <w:sz w:val="17"/>
          <w:szCs w:val="17"/>
          <w:color w:val="auto"/>
        </w:rPr>
      </w:pPr>
    </w:p>
    <w:p>
      <w:pPr>
        <w:ind w:left="348" w:right="1459" w:hanging="348"/>
        <w:spacing w:after="0" w:line="277"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Gentex Technologies Korea Co., Ltd., a Korean limited stock company, is a wholly-owned subsidiary of Gentex Corporation.</w:t>
      </w:r>
    </w:p>
    <w:p>
      <w:pPr>
        <w:spacing w:after="0" w:line="102" w:lineRule="exact"/>
        <w:rPr>
          <w:rFonts w:ascii="Arial" w:cs="Arial" w:eastAsia="Arial" w:hAnsi="Arial"/>
          <w:sz w:val="18"/>
          <w:szCs w:val="18"/>
          <w:color w:val="auto"/>
        </w:rPr>
      </w:pPr>
    </w:p>
    <w:p>
      <w:pPr>
        <w:ind w:left="348" w:right="799" w:hanging="348"/>
        <w:spacing w:after="0" w:line="277"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Gentex (Shanghai) Electronic Technology Co., Inc., a Chinese limited liability company, is a wholly-owned subsidiary of Gentex Corporation.</w:t>
      </w:r>
    </w:p>
    <w:p>
      <w:pPr>
        <w:spacing w:after="0" w:line="143" w:lineRule="exact"/>
        <w:rPr>
          <w:sz w:val="20"/>
          <w:szCs w:val="20"/>
          <w:color w:val="auto"/>
        </w:rPr>
      </w:pPr>
    </w:p>
    <w:p>
      <w:pPr>
        <w:ind w:left="4288"/>
        <w:spacing w:after="0"/>
        <w:rPr>
          <w:sz w:val="20"/>
          <w:szCs w:val="20"/>
          <w:color w:val="auto"/>
        </w:rPr>
      </w:pPr>
      <w:r>
        <w:rPr>
          <w:rFonts w:ascii="Arial" w:cs="Arial" w:eastAsia="Arial" w:hAnsi="Arial"/>
          <w:sz w:val="18"/>
          <w:szCs w:val="18"/>
          <w:color w:val="auto"/>
        </w:rPr>
        <w:t>Exhibit 21</w:t>
      </w:r>
    </w:p>
    <w:p>
      <w:pPr>
        <w:spacing w:after="0" w:line="200" w:lineRule="exact"/>
        <w:rPr>
          <w:sz w:val="20"/>
          <w:szCs w:val="20"/>
          <w:color w:val="auto"/>
        </w:rPr>
      </w:pPr>
    </w:p>
    <w:p>
      <w:pPr>
        <w:spacing w:after="0" w:line="376"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887"/>
          </w:cols>
          <w:pgMar w:left="572" w:top="121" w:right="1440" w:bottom="1440" w:gutter="0" w:footer="0" w:header="0"/>
        </w:sectPr>
      </w:pPr>
    </w:p>
    <w:bookmarkStart w:id="56" w:name="page57"/>
    <w:bookmarkEnd w:id="56"/>
    <w:p>
      <w:pPr>
        <w:jc w:val="center"/>
        <w:ind w:right="5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659"/>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(Form S-8 Nos. 333-101642, 33-65321, 333-04661, 333-105858 and 333-118213) pertaining to various stock option and incentive plans of Gentex Corporation of our reports dated February 18, 2009, with respect to the consolidated financial statements of Gentex Corporation and subsidiaries, and the effectiveness of internal control over financial reporting of Gentex Corporation, included in this Annual Report (Form 10-K) for the year ended December 31, 2008.</w:t>
      </w:r>
    </w:p>
    <w:p>
      <w:pPr>
        <w:spacing w:after="0" w:line="18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185"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Exhibit 23(a)</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9879"/>
          </w:cols>
          <w:pgMar w:left="580" w:top="121" w:right="1440" w:bottom="1440" w:gutter="0" w:footer="0" w:header="0"/>
        </w:sectPr>
      </w:pPr>
    </w:p>
    <w:bookmarkStart w:id="57" w:name="page58"/>
    <w:bookmarkEnd w:id="57"/>
    <w:p>
      <w:pPr>
        <w:jc w:val="center"/>
        <w:ind w:right="559"/>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Fred T. Bauer, certify that:</w:t>
      </w:r>
    </w:p>
    <w:p>
      <w:pPr>
        <w:spacing w:after="0" w:line="198" w:lineRule="exact"/>
        <w:rPr>
          <w:sz w:val="20"/>
          <w:szCs w:val="20"/>
          <w:color w:val="auto"/>
        </w:rPr>
      </w:pPr>
    </w:p>
    <w:p>
      <w:pPr>
        <w:ind w:left="700" w:hanging="34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184" w:lineRule="exact"/>
        <w:rPr>
          <w:rFonts w:ascii="Arial" w:cs="Arial" w:eastAsia="Arial" w:hAnsi="Arial"/>
          <w:sz w:val="18"/>
          <w:szCs w:val="18"/>
          <w:color w:val="auto"/>
        </w:rPr>
      </w:pPr>
    </w:p>
    <w:p>
      <w:pPr>
        <w:jc w:val="both"/>
        <w:ind w:left="700" w:right="759" w:hanging="343"/>
        <w:spacing w:after="0" w:line="286"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5" w:lineRule="exact"/>
        <w:rPr>
          <w:rFonts w:ascii="Arial" w:cs="Arial" w:eastAsia="Arial" w:hAnsi="Arial"/>
          <w:sz w:val="17"/>
          <w:szCs w:val="17"/>
          <w:color w:val="auto"/>
        </w:rPr>
      </w:pPr>
    </w:p>
    <w:p>
      <w:pPr>
        <w:ind w:left="700" w:right="639" w:hanging="343"/>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4" w:lineRule="exact"/>
        <w:rPr>
          <w:rFonts w:ascii="Arial" w:cs="Arial" w:eastAsia="Arial" w:hAnsi="Arial"/>
          <w:sz w:val="18"/>
          <w:szCs w:val="18"/>
          <w:color w:val="auto"/>
        </w:rPr>
      </w:pPr>
    </w:p>
    <w:p>
      <w:pPr>
        <w:jc w:val="both"/>
        <w:ind w:left="700" w:right="759" w:hanging="343"/>
        <w:spacing w:after="0" w:line="286"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080" w:right="819" w:hanging="345"/>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6" w:lineRule="exact"/>
        <w:rPr>
          <w:rFonts w:ascii="Arial" w:cs="Arial" w:eastAsia="Arial" w:hAnsi="Arial"/>
          <w:sz w:val="18"/>
          <w:szCs w:val="18"/>
          <w:color w:val="auto"/>
        </w:rPr>
      </w:pPr>
    </w:p>
    <w:p>
      <w:pPr>
        <w:ind w:left="1080" w:right="579" w:hanging="345"/>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080" w:right="959" w:hanging="345"/>
        <w:spacing w:after="0" w:line="286" w:lineRule="auto"/>
        <w:tabs>
          <w:tab w:leader="none" w:pos="10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5" w:lineRule="exact"/>
        <w:rPr>
          <w:rFonts w:ascii="Arial" w:cs="Arial" w:eastAsia="Arial" w:hAnsi="Arial"/>
          <w:sz w:val="17"/>
          <w:szCs w:val="17"/>
          <w:color w:val="auto"/>
        </w:rPr>
      </w:pPr>
    </w:p>
    <w:p>
      <w:pPr>
        <w:ind w:left="1080" w:right="599" w:hanging="345"/>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700" w:right="819" w:hanging="343"/>
        <w:spacing w:after="0" w:line="264"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left="1080" w:right="619" w:hanging="345"/>
        <w:spacing w:after="0" w:line="264"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759" w:hanging="345"/>
        <w:spacing w:after="0" w:line="277"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2009</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Fred T. Bauer</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Fred T.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9879"/>
          </w:cols>
          <w:pgMar w:left="580" w:top="121" w:right="1440" w:bottom="1440" w:gutter="0" w:footer="0" w:header="0"/>
        </w:sectPr>
      </w:pPr>
    </w:p>
    <w:bookmarkStart w:id="58" w:name="page59"/>
    <w:bookmarkEnd w:id="58"/>
    <w:p>
      <w:pPr>
        <w:jc w:val="center"/>
        <w:ind w:right="559"/>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Steven A. Dykman, certify that:</w:t>
      </w:r>
    </w:p>
    <w:p>
      <w:pPr>
        <w:spacing w:after="0" w:line="198" w:lineRule="exact"/>
        <w:rPr>
          <w:sz w:val="20"/>
          <w:szCs w:val="20"/>
          <w:color w:val="auto"/>
        </w:rPr>
      </w:pPr>
    </w:p>
    <w:p>
      <w:pPr>
        <w:ind w:left="700" w:hanging="343"/>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Gentex Corporation;</w:t>
      </w:r>
    </w:p>
    <w:p>
      <w:pPr>
        <w:spacing w:after="0" w:line="184" w:lineRule="exact"/>
        <w:rPr>
          <w:rFonts w:ascii="Arial" w:cs="Arial" w:eastAsia="Arial" w:hAnsi="Arial"/>
          <w:sz w:val="18"/>
          <w:szCs w:val="18"/>
          <w:color w:val="auto"/>
        </w:rPr>
      </w:pPr>
    </w:p>
    <w:p>
      <w:pPr>
        <w:jc w:val="both"/>
        <w:ind w:left="700" w:right="759" w:hanging="343"/>
        <w:spacing w:after="0" w:line="286"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5" w:lineRule="exact"/>
        <w:rPr>
          <w:rFonts w:ascii="Arial" w:cs="Arial" w:eastAsia="Arial" w:hAnsi="Arial"/>
          <w:sz w:val="17"/>
          <w:szCs w:val="17"/>
          <w:color w:val="auto"/>
        </w:rPr>
      </w:pPr>
    </w:p>
    <w:p>
      <w:pPr>
        <w:ind w:left="700" w:right="639" w:hanging="343"/>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4" w:lineRule="exact"/>
        <w:rPr>
          <w:rFonts w:ascii="Arial" w:cs="Arial" w:eastAsia="Arial" w:hAnsi="Arial"/>
          <w:sz w:val="18"/>
          <w:szCs w:val="18"/>
          <w:color w:val="auto"/>
        </w:rPr>
      </w:pPr>
    </w:p>
    <w:p>
      <w:pPr>
        <w:jc w:val="both"/>
        <w:ind w:left="700" w:right="759" w:hanging="343"/>
        <w:spacing w:after="0" w:line="286"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080" w:right="819" w:hanging="345"/>
        <w:spacing w:after="0" w:line="259"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6" w:lineRule="exact"/>
        <w:rPr>
          <w:rFonts w:ascii="Arial" w:cs="Arial" w:eastAsia="Arial" w:hAnsi="Arial"/>
          <w:sz w:val="18"/>
          <w:szCs w:val="18"/>
          <w:color w:val="auto"/>
        </w:rPr>
      </w:pPr>
    </w:p>
    <w:p>
      <w:pPr>
        <w:ind w:left="1080" w:right="579" w:hanging="345"/>
        <w:spacing w:after="0" w:line="259"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ind w:left="1080" w:right="779" w:hanging="345"/>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end of the period covered by this annual report based on such evaluation; and</w:t>
      </w:r>
    </w:p>
    <w:p>
      <w:pPr>
        <w:spacing w:after="0" w:line="140" w:lineRule="exact"/>
        <w:rPr>
          <w:rFonts w:ascii="Arial" w:cs="Arial" w:eastAsia="Arial" w:hAnsi="Arial"/>
          <w:sz w:val="18"/>
          <w:szCs w:val="18"/>
          <w:color w:val="auto"/>
        </w:rPr>
      </w:pPr>
    </w:p>
    <w:p>
      <w:pPr>
        <w:ind w:left="1080" w:right="599" w:hanging="345"/>
        <w:spacing w:after="0" w:line="259"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700" w:right="819" w:hanging="343"/>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left="1080" w:right="619" w:hanging="345"/>
        <w:spacing w:after="0" w:line="264"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1080" w:right="759" w:hanging="345"/>
        <w:spacing w:after="0" w:line="277"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2009</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Steven A. Dykman</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Steven A. Dykman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1951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Vice President, Finance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9879"/>
          </w:cols>
          <w:pgMar w:left="580" w:top="121" w:right="1440" w:bottom="1440" w:gutter="0" w:footer="0" w:header="0"/>
        </w:sectPr>
      </w:pPr>
    </w:p>
    <w:bookmarkStart w:id="59" w:name="page60"/>
    <w:bookmarkEnd w:id="59"/>
    <w:p>
      <w:pPr>
        <w:ind w:left="41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ACT OF 2002 (18-U.S.C. § 1350)</w:t>
      </w:r>
    </w:p>
    <w:p>
      <w:pPr>
        <w:spacing w:after="0" w:line="184" w:lineRule="exact"/>
        <w:rPr>
          <w:sz w:val="20"/>
          <w:szCs w:val="20"/>
          <w:color w:val="auto"/>
        </w:rPr>
      </w:pPr>
    </w:p>
    <w:p>
      <w:pPr>
        <w:ind w:right="659"/>
        <w:spacing w:after="0" w:line="264" w:lineRule="auto"/>
        <w:rPr>
          <w:sz w:val="20"/>
          <w:szCs w:val="20"/>
          <w:color w:val="auto"/>
        </w:rPr>
      </w:pPr>
      <w:r>
        <w:rPr>
          <w:rFonts w:ascii="Arial" w:cs="Arial" w:eastAsia="Arial" w:hAnsi="Arial"/>
          <w:sz w:val="18"/>
          <w:szCs w:val="18"/>
          <w:color w:val="auto"/>
        </w:rPr>
        <w:t>Each, Fred T. Bauer, Chief Executive Officer of Gentex Corporation, and Steven A. Dykman, Chief Financial Officer of Gentex Corporation, certify to the best of their knowledge and belief, pursuant to Section 906 of the Sarbanes-Oxley Act of 2002 (18 U.S.C. § 1350), that:</w:t>
      </w:r>
    </w:p>
    <w:p>
      <w:pPr>
        <w:spacing w:after="0" w:line="141" w:lineRule="exact"/>
        <w:rPr>
          <w:sz w:val="20"/>
          <w:szCs w:val="20"/>
          <w:color w:val="auto"/>
        </w:rPr>
      </w:pPr>
    </w:p>
    <w:p>
      <w:pPr>
        <w:ind w:left="700" w:right="1039" w:hanging="343"/>
        <w:spacing w:after="0" w:line="308"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annual report on Form 10-K for the year ended December 31, 2008, which this statement accompanies, fully complies with the requirements of Section 13(a) or 15(d) of the Securities Exchange Act of 1934; and</w:t>
      </w:r>
    </w:p>
    <w:p>
      <w:pPr>
        <w:spacing w:after="0" w:line="106" w:lineRule="exact"/>
        <w:rPr>
          <w:rFonts w:ascii="Arial" w:cs="Arial" w:eastAsia="Arial" w:hAnsi="Arial"/>
          <w:sz w:val="17"/>
          <w:szCs w:val="17"/>
          <w:color w:val="auto"/>
        </w:rPr>
      </w:pPr>
    </w:p>
    <w:p>
      <w:pPr>
        <w:ind w:left="700" w:right="599" w:hanging="343"/>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of the year ended December 31, 2008, fairly presents, in all material respects, the financial condition and results of operations of Gentex Corporation.</w:t>
      </w:r>
    </w:p>
    <w:p>
      <w:pPr>
        <w:spacing w:after="0" w:line="170"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February 20, 2009</w:t>
      </w:r>
      <w:r>
        <w:rPr>
          <w:sz w:val="20"/>
          <w:szCs w:val="20"/>
          <w:color w:val="auto"/>
        </w:rPr>
        <w:tab/>
      </w:r>
      <w:r>
        <w:rPr>
          <w:rFonts w:ascii="Arial" w:cs="Arial" w:eastAsia="Arial" w:hAnsi="Arial"/>
          <w:sz w:val="17"/>
          <w:szCs w:val="17"/>
          <w:color w:val="auto"/>
        </w:rPr>
        <w:t>GENTEX CORPORATION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Fred T. Bauer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Fred T.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-130810</wp:posOffset>
            </wp:positionV>
            <wp:extent cx="21012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Its Chief Executive Officer</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Steven A. Dykman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Steven A. Dykman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-130810</wp:posOffset>
            </wp:positionV>
            <wp:extent cx="21012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Its Vice President-Finance/Chief Financial</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ind w:right="659"/>
        <w:spacing w:after="0" w:line="277" w:lineRule="auto"/>
        <w:rPr>
          <w:sz w:val="20"/>
          <w:szCs w:val="20"/>
          <w:color w:val="auto"/>
        </w:rPr>
      </w:pPr>
      <w:r>
        <w:rPr>
          <w:rFonts w:ascii="Arial" w:cs="Arial" w:eastAsia="Arial" w:hAnsi="Arial"/>
          <w:sz w:val="18"/>
          <w:szCs w:val="18"/>
          <w:color w:val="auto"/>
        </w:rPr>
        <w:t>A signed original of this written statement has been provided to Gentex Corporation and will be retained by Gentex Corporation and -furnished to the Securities and Exchange Commission or its staff upon request.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2"/>
    </w:lvl>
    <w:lvl w:ilvl="1">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lowerLetter"/>
      <w:start w:val="4"/>
    </w:lvl>
  </w:abstractNum>
  <w:abstractNum w:abstractNumId="10">
    <w:nsid w:val="3F2DBA31"/>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6"/>
    </w:lvl>
  </w:abstractNum>
  <w:abstractNum w:abstractNumId="19">
    <w:nsid w:val="2D1D5AE9"/>
    <w:multiLevelType w:val="hybridMultilevel"/>
    <w:lvl w:ilvl="0">
      <w:lvlJc w:val="left"/>
      <w:lvlText w:val="(%1)"/>
      <w:numFmt w:val="decimal"/>
      <w:start w:val="6"/>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2019-12-10T04:45:01Z</dcterms:created>
  <dcterms:modified xsi:type="dcterms:W3CDTF">2019-12-10T04:45:01Z</dcterms:modified>
</cp:coreProperties>
</file>