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260"/>
        <w:spacing w:after="0"/>
        <w:rPr>
          <w:sz w:val="20"/>
          <w:szCs w:val="20"/>
          <w:color w:val="auto"/>
        </w:rPr>
      </w:pPr>
      <w:r>
        <w:rPr>
          <w:rFonts w:ascii="Times New Roman" w:cs="Times New Roman" w:eastAsia="Times New Roman" w:hAnsi="Times New Roman"/>
          <w:sz w:val="31"/>
          <w:szCs w:val="31"/>
          <w:color w:val="808080"/>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2022 | Annual Report</w:t>
      </w:r>
    </w:p>
    <w:p>
      <w:pPr>
        <w:spacing w:after="0" w:line="165" w:lineRule="exact"/>
        <w:rPr>
          <w:sz w:val="24"/>
          <w:szCs w:val="24"/>
          <w:color w:val="auto"/>
        </w:rPr>
      </w:pPr>
    </w:p>
    <w:p>
      <w:pPr>
        <w:jc w:val="right"/>
        <w:ind w:left="3960"/>
        <w:spacing w:after="0" w:line="326" w:lineRule="auto"/>
        <w:rPr>
          <w:sz w:val="20"/>
          <w:szCs w:val="20"/>
          <w:color w:val="auto"/>
        </w:rPr>
      </w:pPr>
      <w:r>
        <w:rPr>
          <w:rFonts w:ascii="Arial" w:cs="Arial" w:eastAsia="Arial" w:hAnsi="Arial"/>
          <w:sz w:val="188"/>
          <w:szCs w:val="188"/>
          <w:color w:val="FFFFFF"/>
        </w:rPr>
        <w:t>VISION FOR</w:t>
      </w:r>
    </w:p>
    <w:p>
      <w:pPr>
        <w:spacing w:after="0" w:line="16" w:lineRule="exact"/>
        <w:rPr>
          <w:sz w:val="24"/>
          <w:szCs w:val="24"/>
          <w:color w:val="auto"/>
        </w:rPr>
      </w:pPr>
    </w:p>
    <w:p>
      <w:pPr>
        <w:jc w:val="both"/>
        <w:ind w:left="3100" w:firstLine="3600"/>
        <w:spacing w:after="0" w:line="325" w:lineRule="auto"/>
        <w:rPr>
          <w:sz w:val="20"/>
          <w:szCs w:val="20"/>
          <w:color w:val="auto"/>
        </w:rPr>
      </w:pPr>
      <w:r>
        <w:rPr>
          <w:rFonts w:ascii="Arial" w:cs="Arial" w:eastAsia="Arial" w:hAnsi="Arial"/>
          <w:sz w:val="181"/>
          <w:szCs w:val="181"/>
          <w:color w:val="FFFFFF"/>
        </w:rPr>
        <w:t>THE Future</w:t>
      </w:r>
    </w:p>
    <w:p>
      <w:pPr>
        <w:sectPr>
          <w:pgSz w:w="12240" w:h="15840" w:orient="portrait"/>
          <w:cols w:equalWidth="0" w:num="1">
            <w:col w:w="10340"/>
          </w:cols>
          <w:pgMar w:left="1440" w:top="795" w:right="460" w:bottom="1440" w:gutter="0" w:footer="0" w:header="0"/>
        </w:sectPr>
      </w:pPr>
    </w:p>
    <w:p>
      <w:pPr>
        <w:spacing w:after="0" w:line="3"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9"/>
          <w:szCs w:val="29"/>
          <w:color w:val="FFFFFF"/>
        </w:rPr>
        <w:t>Dimmable Devices | Digital Vision | Connectivity | Sensing</w:t>
      </w:r>
    </w:p>
    <w:p>
      <w:pPr>
        <w:sectPr>
          <w:pgSz w:w="12240" w:h="15840" w:orient="portrait"/>
          <w:cols w:equalWidth="0" w:num="1">
            <w:col w:w="10340"/>
          </w:cols>
          <w:pgMar w:left="1440" w:top="795" w:right="46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SAFE HARBOR FOR FORWARD-LOOKING STATEMENTS</w:t>
      </w:r>
    </w:p>
    <w:p>
      <w:pPr>
        <w:spacing w:after="0" w:line="170" w:lineRule="exact"/>
        <w:rPr>
          <w:sz w:val="20"/>
          <w:szCs w:val="20"/>
          <w:color w:val="auto"/>
        </w:rPr>
      </w:pPr>
    </w:p>
    <w:p>
      <w:pPr>
        <w:ind w:left="80"/>
        <w:spacing w:after="0" w:line="392" w:lineRule="auto"/>
        <w:rPr>
          <w:sz w:val="20"/>
          <w:szCs w:val="20"/>
          <w:color w:val="auto"/>
        </w:rPr>
      </w:pPr>
      <w:r>
        <w:rPr>
          <w:rFonts w:ascii="Times New Roman" w:cs="Times New Roman" w:eastAsia="Times New Roman" w:hAnsi="Times New Roman"/>
          <w:sz w:val="13"/>
          <w:szCs w:val="13"/>
          <w:color w:val="FFFFFF"/>
        </w:rPr>
        <w:t>This Annual Report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“future,” “goal,” “guidance,” “hope,” “intend,” “may,” “opinion,” “optimistic,” “plan,” “poised,” “predict,” “project,” “should,” “strategy,” “target,” “will,” “work to,”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including the impact of inflation; changes in consumer and customer preferences 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spacing w:after="0" w:line="369" w:lineRule="auto"/>
        <w:rPr>
          <w:sz w:val="20"/>
          <w:szCs w:val="20"/>
          <w:color w:val="auto"/>
        </w:rPr>
      </w:pPr>
      <w:r>
        <w:rPr>
          <w:rFonts w:ascii="Times New Roman" w:cs="Times New Roman" w:eastAsia="Times New Roman" w:hAnsi="Times New Roman"/>
          <w:sz w:val="14"/>
          <w:szCs w:val="14"/>
          <w:color w:val="FFFFFF"/>
        </w:rPr>
        <w:t>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 including securities litigation relating to the conduct of our business; and the length and severity of the COVID-19 (coronavirus) pandemic, including its impact across our business on demand, operations, and the global supply chain. Readers are cautioned not to place undue reliance on these forward-looking statements, which speak only as of the date they are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-7647305</wp:posOffset>
            </wp:positionV>
            <wp:extent cx="7772400" cy="10057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146" w:lineRule="exact"/>
        <w:rPr>
          <w:sz w:val="20"/>
          <w:szCs w:val="20"/>
          <w:color w:val="auto"/>
        </w:rPr>
      </w:pPr>
    </w:p>
    <w:p>
      <w:pPr>
        <w:spacing w:after="0" w:line="368" w:lineRule="auto"/>
        <w:rPr>
          <w:sz w:val="20"/>
          <w:szCs w:val="20"/>
          <w:color w:val="auto"/>
        </w:rPr>
      </w:pPr>
      <w:r>
        <w:rPr>
          <w:rFonts w:ascii="Times New Roman" w:cs="Times New Roman" w:eastAsia="Times New Roman" w:hAnsi="Times New Roman"/>
          <w:sz w:val="14"/>
          <w:szCs w:val="14"/>
          <w:color w:val="FFFFFF"/>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now include the impacts of COVID-19 (coronavirus) pandemic and supply chain constraints that have affected, are affecting, and will continue to affect, general economic and industry conditions, customers, suppliers, and the regulatory environment in which the Company operates. Includes content supplied by S&amp;P Global Mobility Light Vehicle Production Forecast (gentex.com/forecast-disclaimer).</w:t>
      </w:r>
    </w:p>
    <w:p>
      <w:pPr>
        <w:spacing w:after="0" w:line="200" w:lineRule="exact"/>
        <w:rPr>
          <w:sz w:val="20"/>
          <w:szCs w:val="20"/>
          <w:color w:val="auto"/>
        </w:rPr>
      </w:pPr>
    </w:p>
    <w:p>
      <w:pPr>
        <w:sectPr>
          <w:pgSz w:w="12240" w:h="15840" w:orient="portrait"/>
          <w:cols w:equalWidth="0" w:num="2">
            <w:col w:w="5260" w:space="340"/>
            <w:col w:w="5200"/>
          </w:cols>
          <w:pgMar w:left="640" w:top="1440" w:right="800" w:bottom="0" w:gutter="0" w:footer="0" w:header="0"/>
        </w:sectPr>
      </w:pPr>
    </w:p>
    <w:p>
      <w:pPr>
        <w:spacing w:after="0" w:line="4" w:lineRule="exact"/>
        <w:rPr>
          <w:sz w:val="20"/>
          <w:szCs w:val="20"/>
          <w:color w:val="auto"/>
        </w:rPr>
      </w:pPr>
    </w:p>
    <w:p>
      <w:pPr>
        <w:spacing w:after="0"/>
        <w:tabs>
          <w:tab w:leader="none" w:pos="340" w:val="left"/>
        </w:tabs>
        <w:rPr>
          <w:sz w:val="20"/>
          <w:szCs w:val="20"/>
          <w:color w:val="auto"/>
        </w:rPr>
      </w:pPr>
      <w:r>
        <w:rPr>
          <w:rFonts w:ascii="Arial" w:cs="Arial" w:eastAsia="Arial" w:hAnsi="Arial"/>
          <w:sz w:val="24"/>
          <w:szCs w:val="24"/>
          <w:b w:val="1"/>
          <w:bCs w:val="1"/>
          <w:color w:val="FFFFFF"/>
        </w:rPr>
        <w:t>2</w:t>
      </w:r>
      <w:r>
        <w:rPr>
          <w:sz w:val="20"/>
          <w:szCs w:val="20"/>
          <w:color w:val="auto"/>
        </w:rPr>
        <w:tab/>
      </w:r>
      <w:r>
        <w:rPr>
          <w:rFonts w:ascii="Times New Roman" w:cs="Times New Roman" w:eastAsia="Times New Roman" w:hAnsi="Times New Roman"/>
          <w:sz w:val="10"/>
          <w:szCs w:val="10"/>
          <w:color w:val="FFFFFF"/>
        </w:rPr>
        <w:t>GENTEX CORPORATION</w:t>
      </w:r>
    </w:p>
    <w:p>
      <w:pPr>
        <w:sectPr>
          <w:pgSz w:w="12240" w:h="15840" w:orient="portrait"/>
          <w:cols w:equalWidth="0" w:num="1">
            <w:col w:w="10800"/>
          </w:cols>
          <w:pgMar w:left="640" w:top="1440" w:right="800" w:bottom="0" w:gutter="0" w:footer="0" w:header="0"/>
          <w:type w:val="continuous"/>
        </w:sectPr>
      </w:pPr>
    </w:p>
    <w:bookmarkStart w:id="2" w:name="page3"/>
    <w:bookmarkEnd w:id="2"/>
    <w:p>
      <w:pPr>
        <w:jc w:val="right"/>
        <w:ind w:right="30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900"/>
        <w:spacing w:after="0"/>
        <w:rPr>
          <w:sz w:val="20"/>
          <w:szCs w:val="20"/>
          <w:color w:val="auto"/>
        </w:rPr>
      </w:pPr>
      <w:r>
        <w:rPr>
          <w:rFonts w:ascii="Arial" w:cs="Arial" w:eastAsia="Arial" w:hAnsi="Arial"/>
          <w:sz w:val="24"/>
          <w:szCs w:val="24"/>
          <w:b w:val="1"/>
          <w:bCs w:val="1"/>
          <w:color w:val="8C8C8C"/>
        </w:rPr>
        <w:t>ABOUT GENTEX</w:t>
      </w:r>
    </w:p>
    <w:p>
      <w:pPr>
        <w:spacing w:after="0" w:line="221" w:lineRule="exact"/>
        <w:rPr>
          <w:sz w:val="20"/>
          <w:szCs w:val="20"/>
          <w:color w:val="auto"/>
        </w:rPr>
      </w:pPr>
    </w:p>
    <w:tbl>
      <w:tblPr>
        <w:tblLayout w:type="fixed"/>
        <w:tblInd w:w="5900" w:type="dxa"/>
        <w:tblCellMar>
          <w:top w:w="0" w:type="dxa"/>
          <w:left w:w="0" w:type="dxa"/>
          <w:bottom w:w="0" w:type="dxa"/>
          <w:right w:w="0" w:type="dxa"/>
        </w:tblCellMar>
      </w:tblPr>
      <w:tr>
        <w:trPr>
          <w:trHeight w:val="304"/>
        </w:trPr>
        <w:tc>
          <w:tcPr>
            <w:tcW w:w="1780" w:type="dxa"/>
            <w:vAlign w:val="bottom"/>
          </w:tcPr>
          <w:p>
            <w:pPr>
              <w:spacing w:after="0"/>
              <w:rPr>
                <w:sz w:val="20"/>
                <w:szCs w:val="20"/>
                <w:color w:val="auto"/>
              </w:rPr>
            </w:pPr>
            <w:r>
              <w:rPr>
                <w:rFonts w:ascii="Arial" w:cs="Arial" w:eastAsia="Arial" w:hAnsi="Arial"/>
                <w:sz w:val="24"/>
                <w:szCs w:val="24"/>
                <w:b w:val="1"/>
                <w:bCs w:val="1"/>
                <w:color w:val="FFFFFF"/>
              </w:rPr>
              <w:t>OVERVIEW</w:t>
            </w:r>
          </w:p>
        </w:tc>
        <w:tc>
          <w:tcPr>
            <w:tcW w:w="240" w:type="dxa"/>
            <w:vAlign w:val="bottom"/>
          </w:tcPr>
          <w:p>
            <w:pPr>
              <w:jc w:val="right"/>
              <w:spacing w:after="0"/>
              <w:rPr>
                <w:sz w:val="20"/>
                <w:szCs w:val="20"/>
                <w:color w:val="auto"/>
              </w:rPr>
            </w:pPr>
            <w:r>
              <w:rPr>
                <w:rFonts w:ascii="Arial" w:cs="Arial" w:eastAsia="Arial" w:hAnsi="Arial"/>
                <w:sz w:val="24"/>
                <w:szCs w:val="24"/>
                <w:b w:val="1"/>
                <w:bCs w:val="1"/>
                <w:color w:val="FFFFFF"/>
              </w:rPr>
              <w:t>4</w:t>
            </w:r>
          </w:p>
        </w:tc>
      </w:tr>
      <w:tr>
        <w:trPr>
          <w:trHeight w:val="410"/>
        </w:trPr>
        <w:tc>
          <w:tcPr>
            <w:tcW w:w="1780" w:type="dxa"/>
            <w:vAlign w:val="bottom"/>
          </w:tcPr>
          <w:p>
            <w:pPr>
              <w:spacing w:after="0"/>
              <w:rPr>
                <w:sz w:val="20"/>
                <w:szCs w:val="20"/>
                <w:color w:val="auto"/>
              </w:rPr>
            </w:pPr>
            <w:r>
              <w:rPr>
                <w:rFonts w:ascii="Arial" w:cs="Arial" w:eastAsia="Arial" w:hAnsi="Arial"/>
                <w:sz w:val="24"/>
                <w:szCs w:val="24"/>
                <w:b w:val="1"/>
                <w:bCs w:val="1"/>
                <w:color w:val="FFFFFF"/>
              </w:rPr>
              <w:t>FAST FACTS</w:t>
            </w:r>
          </w:p>
        </w:tc>
        <w:tc>
          <w:tcPr>
            <w:tcW w:w="240" w:type="dxa"/>
            <w:vAlign w:val="bottom"/>
          </w:tcPr>
          <w:p>
            <w:pPr>
              <w:jc w:val="right"/>
              <w:spacing w:after="0"/>
              <w:rPr>
                <w:sz w:val="20"/>
                <w:szCs w:val="20"/>
                <w:color w:val="auto"/>
              </w:rPr>
            </w:pPr>
            <w:r>
              <w:rPr>
                <w:rFonts w:ascii="Arial" w:cs="Arial" w:eastAsia="Arial" w:hAnsi="Arial"/>
                <w:sz w:val="24"/>
                <w:szCs w:val="24"/>
                <w:b w:val="1"/>
                <w:bCs w:val="1"/>
                <w:color w:val="FFFFFF"/>
              </w:rPr>
              <w:t>5</w:t>
            </w:r>
          </w:p>
        </w:tc>
      </w:tr>
      <w:tr>
        <w:trPr>
          <w:trHeight w:val="410"/>
        </w:trPr>
        <w:tc>
          <w:tcPr>
            <w:tcW w:w="1780" w:type="dxa"/>
            <w:vAlign w:val="bottom"/>
          </w:tcPr>
          <w:p>
            <w:pPr>
              <w:spacing w:after="0"/>
              <w:rPr>
                <w:sz w:val="20"/>
                <w:szCs w:val="20"/>
                <w:color w:val="auto"/>
              </w:rPr>
            </w:pPr>
            <w:r>
              <w:rPr>
                <w:rFonts w:ascii="Arial" w:cs="Arial" w:eastAsia="Arial" w:hAnsi="Arial"/>
                <w:sz w:val="21"/>
                <w:szCs w:val="21"/>
                <w:b w:val="1"/>
                <w:bCs w:val="1"/>
                <w:color w:val="FFFFFF"/>
                <w:w w:val="70"/>
              </w:rPr>
              <w:t>LETTER FROM THE CEO</w:t>
            </w:r>
          </w:p>
        </w:tc>
        <w:tc>
          <w:tcPr>
            <w:tcW w:w="240" w:type="dxa"/>
            <w:vAlign w:val="bottom"/>
          </w:tcPr>
          <w:p>
            <w:pPr>
              <w:jc w:val="right"/>
              <w:spacing w:after="0"/>
              <w:rPr>
                <w:sz w:val="20"/>
                <w:szCs w:val="20"/>
                <w:color w:val="auto"/>
              </w:rPr>
            </w:pPr>
            <w:r>
              <w:rPr>
                <w:rFonts w:ascii="Arial" w:cs="Arial" w:eastAsia="Arial" w:hAnsi="Arial"/>
                <w:sz w:val="24"/>
                <w:szCs w:val="24"/>
                <w:b w:val="1"/>
                <w:bCs w:val="1"/>
                <w:color w:val="FFFFFF"/>
              </w:rPr>
              <w:t>6</w:t>
            </w:r>
          </w:p>
        </w:tc>
      </w:tr>
      <w:tr>
        <w:trPr>
          <w:trHeight w:val="410"/>
        </w:trPr>
        <w:tc>
          <w:tcPr>
            <w:tcW w:w="1780" w:type="dxa"/>
            <w:vAlign w:val="bottom"/>
          </w:tcPr>
          <w:p>
            <w:pPr>
              <w:spacing w:after="0"/>
              <w:rPr>
                <w:sz w:val="20"/>
                <w:szCs w:val="20"/>
                <w:color w:val="auto"/>
              </w:rPr>
            </w:pPr>
            <w:r>
              <w:rPr>
                <w:rFonts w:ascii="Arial" w:cs="Arial" w:eastAsia="Arial" w:hAnsi="Arial"/>
                <w:sz w:val="18"/>
                <w:szCs w:val="18"/>
                <w:b w:val="1"/>
                <w:bCs w:val="1"/>
                <w:color w:val="FFFFFF"/>
                <w:w w:val="72"/>
              </w:rPr>
              <w:t>FINANCIAL PERFORMANCE</w:t>
            </w:r>
          </w:p>
        </w:tc>
        <w:tc>
          <w:tcPr>
            <w:tcW w:w="240" w:type="dxa"/>
            <w:vAlign w:val="bottom"/>
          </w:tcPr>
          <w:p>
            <w:pPr>
              <w:jc w:val="right"/>
              <w:spacing w:after="0"/>
              <w:rPr>
                <w:sz w:val="20"/>
                <w:szCs w:val="20"/>
                <w:color w:val="auto"/>
              </w:rPr>
            </w:pPr>
            <w:r>
              <w:rPr>
                <w:rFonts w:ascii="Arial" w:cs="Arial" w:eastAsia="Arial" w:hAnsi="Arial"/>
                <w:sz w:val="24"/>
                <w:szCs w:val="24"/>
                <w:b w:val="1"/>
                <w:bCs w:val="1"/>
                <w:color w:val="FFFFFF"/>
              </w:rPr>
              <w:t>8</w:t>
            </w:r>
          </w:p>
        </w:tc>
      </w:tr>
    </w:tbl>
    <w:p>
      <w:pPr>
        <w:spacing w:after="0" w:line="249" w:lineRule="exact"/>
        <w:rPr>
          <w:sz w:val="20"/>
          <w:szCs w:val="20"/>
          <w:color w:val="auto"/>
        </w:rPr>
      </w:pPr>
    </w:p>
    <w:p>
      <w:pPr>
        <w:ind w:left="5900"/>
        <w:spacing w:after="0"/>
        <w:rPr>
          <w:sz w:val="20"/>
          <w:szCs w:val="20"/>
          <w:color w:val="auto"/>
        </w:rPr>
      </w:pPr>
      <w:r>
        <w:rPr>
          <w:rFonts w:ascii="Arial" w:cs="Arial" w:eastAsia="Arial" w:hAnsi="Arial"/>
          <w:sz w:val="24"/>
          <w:szCs w:val="24"/>
          <w:b w:val="1"/>
          <w:bCs w:val="1"/>
          <w:color w:val="8C8C8C"/>
        </w:rPr>
        <w:t>PRODUCT &amp; STRATEGY</w:t>
      </w:r>
    </w:p>
    <w:p>
      <w:pPr>
        <w:spacing w:after="0" w:line="221" w:lineRule="exact"/>
        <w:rPr>
          <w:sz w:val="20"/>
          <w:szCs w:val="20"/>
          <w:color w:val="auto"/>
        </w:rPr>
      </w:pPr>
    </w:p>
    <w:tbl>
      <w:tblPr>
        <w:tblLayout w:type="fixed"/>
        <w:tblInd w:w="5900" w:type="dxa"/>
        <w:tblCellMar>
          <w:top w:w="0" w:type="dxa"/>
          <w:left w:w="0" w:type="dxa"/>
          <w:bottom w:w="0" w:type="dxa"/>
          <w:right w:w="0" w:type="dxa"/>
        </w:tblCellMar>
      </w:tblPr>
      <w:tr>
        <w:trPr>
          <w:trHeight w:val="304"/>
        </w:trPr>
        <w:tc>
          <w:tcPr>
            <w:tcW w:w="1740" w:type="dxa"/>
            <w:vAlign w:val="bottom"/>
          </w:tcPr>
          <w:p>
            <w:pPr>
              <w:spacing w:after="0"/>
              <w:rPr>
                <w:sz w:val="20"/>
                <w:szCs w:val="20"/>
                <w:color w:val="auto"/>
              </w:rPr>
            </w:pPr>
            <w:r>
              <w:rPr>
                <w:rFonts w:ascii="Arial" w:cs="Arial" w:eastAsia="Arial" w:hAnsi="Arial"/>
                <w:sz w:val="24"/>
                <w:szCs w:val="24"/>
                <w:b w:val="1"/>
                <w:bCs w:val="1"/>
                <w:color w:val="FFFFFF"/>
                <w:w w:val="71"/>
              </w:rPr>
              <w:t>DIMMABLE DEVICES</w:t>
            </w:r>
          </w:p>
        </w:tc>
        <w:tc>
          <w:tcPr>
            <w:tcW w:w="360" w:type="dxa"/>
            <w:vAlign w:val="bottom"/>
          </w:tcPr>
          <w:p>
            <w:pPr>
              <w:jc w:val="right"/>
              <w:spacing w:after="0"/>
              <w:rPr>
                <w:sz w:val="20"/>
                <w:szCs w:val="20"/>
                <w:color w:val="auto"/>
              </w:rPr>
            </w:pPr>
            <w:r>
              <w:rPr>
                <w:rFonts w:ascii="Arial" w:cs="Arial" w:eastAsia="Arial" w:hAnsi="Arial"/>
                <w:sz w:val="24"/>
                <w:szCs w:val="24"/>
                <w:b w:val="1"/>
                <w:bCs w:val="1"/>
                <w:color w:val="FFFFFF"/>
              </w:rPr>
              <w:t>10</w:t>
            </w:r>
          </w:p>
        </w:tc>
      </w:tr>
      <w:tr>
        <w:trPr>
          <w:trHeight w:val="410"/>
        </w:trPr>
        <w:tc>
          <w:tcPr>
            <w:tcW w:w="1740" w:type="dxa"/>
            <w:vAlign w:val="bottom"/>
          </w:tcPr>
          <w:p>
            <w:pPr>
              <w:spacing w:after="0"/>
              <w:rPr>
                <w:sz w:val="20"/>
                <w:szCs w:val="20"/>
                <w:color w:val="auto"/>
              </w:rPr>
            </w:pPr>
            <w:r>
              <w:rPr>
                <w:rFonts w:ascii="Arial" w:cs="Arial" w:eastAsia="Arial" w:hAnsi="Arial"/>
                <w:sz w:val="24"/>
                <w:szCs w:val="24"/>
                <w:b w:val="1"/>
                <w:bCs w:val="1"/>
                <w:color w:val="FFFFFF"/>
                <w:w w:val="93"/>
              </w:rPr>
              <w:t>DIGITAL VISION</w:t>
            </w:r>
          </w:p>
        </w:tc>
        <w:tc>
          <w:tcPr>
            <w:tcW w:w="360" w:type="dxa"/>
            <w:vAlign w:val="bottom"/>
          </w:tcPr>
          <w:p>
            <w:pPr>
              <w:jc w:val="right"/>
              <w:spacing w:after="0"/>
              <w:rPr>
                <w:sz w:val="20"/>
                <w:szCs w:val="20"/>
                <w:color w:val="auto"/>
              </w:rPr>
            </w:pPr>
            <w:r>
              <w:rPr>
                <w:rFonts w:ascii="Arial" w:cs="Arial" w:eastAsia="Arial" w:hAnsi="Arial"/>
                <w:sz w:val="24"/>
                <w:szCs w:val="24"/>
                <w:b w:val="1"/>
                <w:bCs w:val="1"/>
                <w:color w:val="FFFFFF"/>
              </w:rPr>
              <w:t>12</w:t>
            </w:r>
          </w:p>
        </w:tc>
      </w:tr>
      <w:tr>
        <w:trPr>
          <w:trHeight w:val="410"/>
        </w:trPr>
        <w:tc>
          <w:tcPr>
            <w:tcW w:w="1740" w:type="dxa"/>
            <w:vAlign w:val="bottom"/>
          </w:tcPr>
          <w:p>
            <w:pPr>
              <w:spacing w:after="0"/>
              <w:rPr>
                <w:sz w:val="20"/>
                <w:szCs w:val="20"/>
                <w:color w:val="auto"/>
              </w:rPr>
            </w:pPr>
            <w:r>
              <w:rPr>
                <w:rFonts w:ascii="Arial" w:cs="Arial" w:eastAsia="Arial" w:hAnsi="Arial"/>
                <w:sz w:val="24"/>
                <w:szCs w:val="24"/>
                <w:b w:val="1"/>
                <w:bCs w:val="1"/>
                <w:color w:val="FFFFFF"/>
                <w:w w:val="96"/>
              </w:rPr>
              <w:t>CONNECTIVITY</w:t>
            </w:r>
          </w:p>
        </w:tc>
        <w:tc>
          <w:tcPr>
            <w:tcW w:w="360" w:type="dxa"/>
            <w:vAlign w:val="bottom"/>
          </w:tcPr>
          <w:p>
            <w:pPr>
              <w:jc w:val="right"/>
              <w:spacing w:after="0"/>
              <w:rPr>
                <w:sz w:val="20"/>
                <w:szCs w:val="20"/>
                <w:color w:val="auto"/>
              </w:rPr>
            </w:pPr>
            <w:r>
              <w:rPr>
                <w:rFonts w:ascii="Arial" w:cs="Arial" w:eastAsia="Arial" w:hAnsi="Arial"/>
                <w:sz w:val="24"/>
                <w:szCs w:val="24"/>
                <w:b w:val="1"/>
                <w:bCs w:val="1"/>
                <w:color w:val="FFFFFF"/>
              </w:rPr>
              <w:t>14</w:t>
            </w:r>
          </w:p>
        </w:tc>
      </w:tr>
      <w:tr>
        <w:trPr>
          <w:trHeight w:val="410"/>
        </w:trPr>
        <w:tc>
          <w:tcPr>
            <w:tcW w:w="1740" w:type="dxa"/>
            <w:vAlign w:val="bottom"/>
          </w:tcPr>
          <w:p>
            <w:pPr>
              <w:spacing w:after="0"/>
              <w:rPr>
                <w:sz w:val="20"/>
                <w:szCs w:val="20"/>
                <w:color w:val="auto"/>
              </w:rPr>
            </w:pPr>
            <w:r>
              <w:rPr>
                <w:rFonts w:ascii="Arial" w:cs="Arial" w:eastAsia="Arial" w:hAnsi="Arial"/>
                <w:sz w:val="24"/>
                <w:szCs w:val="24"/>
                <w:b w:val="1"/>
                <w:bCs w:val="1"/>
                <w:color w:val="FFFFFF"/>
              </w:rPr>
              <w:t>SENSING</w:t>
            </w:r>
          </w:p>
        </w:tc>
        <w:tc>
          <w:tcPr>
            <w:tcW w:w="360" w:type="dxa"/>
            <w:vAlign w:val="bottom"/>
          </w:tcPr>
          <w:p>
            <w:pPr>
              <w:jc w:val="right"/>
              <w:spacing w:after="0"/>
              <w:rPr>
                <w:sz w:val="20"/>
                <w:szCs w:val="20"/>
                <w:color w:val="auto"/>
              </w:rPr>
            </w:pPr>
            <w:r>
              <w:rPr>
                <w:rFonts w:ascii="Arial" w:cs="Arial" w:eastAsia="Arial" w:hAnsi="Arial"/>
                <w:sz w:val="24"/>
                <w:szCs w:val="24"/>
                <w:b w:val="1"/>
                <w:bCs w:val="1"/>
                <w:color w:val="FFFFFF"/>
              </w:rPr>
              <w:t>16</w:t>
            </w:r>
          </w:p>
        </w:tc>
      </w:tr>
      <w:tr>
        <w:trPr>
          <w:trHeight w:val="410"/>
        </w:trPr>
        <w:tc>
          <w:tcPr>
            <w:tcW w:w="1740" w:type="dxa"/>
            <w:vAlign w:val="bottom"/>
          </w:tcPr>
          <w:p>
            <w:pPr>
              <w:spacing w:after="0"/>
              <w:rPr>
                <w:sz w:val="20"/>
                <w:szCs w:val="20"/>
                <w:color w:val="auto"/>
              </w:rPr>
            </w:pPr>
            <w:r>
              <w:rPr>
                <w:rFonts w:ascii="Arial" w:cs="Arial" w:eastAsia="Arial" w:hAnsi="Arial"/>
                <w:sz w:val="21"/>
                <w:szCs w:val="21"/>
                <w:b w:val="1"/>
                <w:bCs w:val="1"/>
                <w:color w:val="FFFFFF"/>
                <w:w w:val="70"/>
              </w:rPr>
              <w:t>COMMUNITY IN ACTION</w:t>
            </w:r>
          </w:p>
        </w:tc>
        <w:tc>
          <w:tcPr>
            <w:tcW w:w="360" w:type="dxa"/>
            <w:vAlign w:val="bottom"/>
          </w:tcPr>
          <w:p>
            <w:pPr>
              <w:jc w:val="right"/>
              <w:spacing w:after="0"/>
              <w:rPr>
                <w:sz w:val="20"/>
                <w:szCs w:val="20"/>
                <w:color w:val="auto"/>
              </w:rPr>
            </w:pPr>
            <w:r>
              <w:rPr>
                <w:rFonts w:ascii="Arial" w:cs="Arial" w:eastAsia="Arial" w:hAnsi="Arial"/>
                <w:sz w:val="24"/>
                <w:szCs w:val="24"/>
                <w:b w:val="1"/>
                <w:bCs w:val="1"/>
                <w:color w:val="FFFFFF"/>
              </w:rPr>
              <w:t>18</w:t>
            </w:r>
          </w:p>
        </w:tc>
      </w:tr>
      <w:tr>
        <w:trPr>
          <w:trHeight w:val="410"/>
        </w:trPr>
        <w:tc>
          <w:tcPr>
            <w:tcW w:w="1740" w:type="dxa"/>
            <w:vAlign w:val="bottom"/>
          </w:tcPr>
          <w:p>
            <w:pPr>
              <w:spacing w:after="0"/>
              <w:rPr>
                <w:sz w:val="20"/>
                <w:szCs w:val="20"/>
                <w:color w:val="auto"/>
              </w:rPr>
            </w:pPr>
            <w:r>
              <w:rPr>
                <w:rFonts w:ascii="Arial" w:cs="Arial" w:eastAsia="Arial" w:hAnsi="Arial"/>
                <w:sz w:val="24"/>
                <w:szCs w:val="24"/>
                <w:b w:val="1"/>
                <w:bCs w:val="1"/>
                <w:color w:val="FFFFFF"/>
                <w:w w:val="86"/>
              </w:rPr>
              <w:t>SUSTAINABILITY</w:t>
            </w:r>
          </w:p>
        </w:tc>
        <w:tc>
          <w:tcPr>
            <w:tcW w:w="360" w:type="dxa"/>
            <w:vAlign w:val="bottom"/>
          </w:tcPr>
          <w:p>
            <w:pPr>
              <w:jc w:val="right"/>
              <w:spacing w:after="0"/>
              <w:rPr>
                <w:sz w:val="20"/>
                <w:szCs w:val="20"/>
                <w:color w:val="auto"/>
              </w:rPr>
            </w:pPr>
            <w:r>
              <w:rPr>
                <w:rFonts w:ascii="Arial" w:cs="Arial" w:eastAsia="Arial" w:hAnsi="Arial"/>
                <w:sz w:val="24"/>
                <w:szCs w:val="24"/>
                <w:b w:val="1"/>
                <w:bCs w:val="1"/>
                <w:color w:val="FFFFFF"/>
              </w:rPr>
              <w:t>20</w:t>
            </w:r>
          </w:p>
        </w:tc>
      </w:tr>
      <w:tr>
        <w:trPr>
          <w:trHeight w:val="570"/>
        </w:trPr>
        <w:tc>
          <w:tcPr>
            <w:tcW w:w="1740" w:type="dxa"/>
            <w:vAlign w:val="bottom"/>
          </w:tcPr>
          <w:p>
            <w:pPr>
              <w:spacing w:after="0"/>
              <w:rPr>
                <w:sz w:val="20"/>
                <w:szCs w:val="20"/>
                <w:color w:val="auto"/>
              </w:rPr>
            </w:pPr>
            <w:r>
              <w:rPr>
                <w:rFonts w:ascii="Arial" w:cs="Arial" w:eastAsia="Arial" w:hAnsi="Arial"/>
                <w:sz w:val="24"/>
                <w:szCs w:val="24"/>
                <w:b w:val="1"/>
                <w:bCs w:val="1"/>
                <w:color w:val="8C8C8C"/>
              </w:rPr>
              <w:t>FINANCIALS</w:t>
            </w:r>
          </w:p>
        </w:tc>
        <w:tc>
          <w:tcPr>
            <w:tcW w:w="360" w:type="dxa"/>
            <w:vAlign w:val="bottom"/>
          </w:tcPr>
          <w:p>
            <w:pPr>
              <w:spacing w:after="0"/>
              <w:rPr>
                <w:sz w:val="24"/>
                <w:szCs w:val="24"/>
                <w:color w:val="auto"/>
              </w:rPr>
            </w:pPr>
          </w:p>
        </w:tc>
      </w:tr>
      <w:tr>
        <w:trPr>
          <w:trHeight w:val="480"/>
        </w:trPr>
        <w:tc>
          <w:tcPr>
            <w:tcW w:w="1740" w:type="dxa"/>
            <w:vAlign w:val="bottom"/>
          </w:tcPr>
          <w:p>
            <w:pPr>
              <w:spacing w:after="0"/>
              <w:rPr>
                <w:sz w:val="20"/>
                <w:szCs w:val="20"/>
                <w:color w:val="auto"/>
              </w:rPr>
            </w:pPr>
            <w:r>
              <w:rPr>
                <w:rFonts w:ascii="Arial" w:cs="Arial" w:eastAsia="Arial" w:hAnsi="Arial"/>
                <w:sz w:val="24"/>
                <w:szCs w:val="24"/>
                <w:b w:val="1"/>
                <w:bCs w:val="1"/>
                <w:color w:val="FFFFFF"/>
              </w:rPr>
              <w:t>10K</w:t>
            </w:r>
          </w:p>
        </w:tc>
        <w:tc>
          <w:tcPr>
            <w:tcW w:w="360" w:type="dxa"/>
            <w:vAlign w:val="bottom"/>
          </w:tcPr>
          <w:p>
            <w:pPr>
              <w:jc w:val="right"/>
              <w:spacing w:after="0"/>
              <w:rPr>
                <w:sz w:val="20"/>
                <w:szCs w:val="20"/>
                <w:color w:val="auto"/>
              </w:rPr>
            </w:pPr>
            <w:r>
              <w:rPr>
                <w:rFonts w:ascii="Arial" w:cs="Arial" w:eastAsia="Arial" w:hAnsi="Arial"/>
                <w:sz w:val="24"/>
                <w:szCs w:val="24"/>
                <w:b w:val="1"/>
                <w:bCs w:val="1"/>
                <w:color w:val="FFFFFF"/>
              </w:rPr>
              <w:t>22</w:t>
            </w:r>
          </w:p>
        </w:tc>
      </w:tr>
      <w:tr>
        <w:trPr>
          <w:trHeight w:val="410"/>
        </w:trPr>
        <w:tc>
          <w:tcPr>
            <w:tcW w:w="1740" w:type="dxa"/>
            <w:vAlign w:val="bottom"/>
          </w:tcPr>
          <w:p>
            <w:pPr>
              <w:spacing w:after="0"/>
              <w:rPr>
                <w:sz w:val="20"/>
                <w:szCs w:val="20"/>
                <w:color w:val="auto"/>
              </w:rPr>
            </w:pPr>
            <w:r>
              <w:rPr>
                <w:rFonts w:ascii="Arial" w:cs="Arial" w:eastAsia="Arial" w:hAnsi="Arial"/>
                <w:sz w:val="24"/>
                <w:szCs w:val="24"/>
                <w:b w:val="1"/>
                <w:bCs w:val="1"/>
                <w:color w:val="FFFFFF"/>
                <w:w w:val="74"/>
              </w:rPr>
              <w:t>15 YEAR SUMMARY</w:t>
            </w:r>
          </w:p>
        </w:tc>
        <w:tc>
          <w:tcPr>
            <w:tcW w:w="360" w:type="dxa"/>
            <w:vAlign w:val="bottom"/>
          </w:tcPr>
          <w:p>
            <w:pPr>
              <w:jc w:val="right"/>
              <w:spacing w:after="0"/>
              <w:rPr>
                <w:sz w:val="20"/>
                <w:szCs w:val="20"/>
                <w:color w:val="auto"/>
              </w:rPr>
            </w:pPr>
            <w:r>
              <w:rPr>
                <w:rFonts w:ascii="Arial" w:cs="Arial" w:eastAsia="Arial" w:hAnsi="Arial"/>
                <w:sz w:val="24"/>
                <w:szCs w:val="24"/>
                <w:b w:val="1"/>
                <w:bCs w:val="1"/>
                <w:color w:val="FFFFFF"/>
              </w:rPr>
              <w:t>92</w:t>
            </w:r>
          </w:p>
        </w:tc>
      </w:tr>
    </w:tbl>
    <w:p>
      <w:pPr>
        <w:spacing w:after="0" w:line="249" w:lineRule="exact"/>
        <w:rPr>
          <w:sz w:val="20"/>
          <w:szCs w:val="20"/>
          <w:color w:val="auto"/>
        </w:rPr>
      </w:pPr>
    </w:p>
    <w:p>
      <w:pPr>
        <w:ind w:left="5900"/>
        <w:spacing w:after="0"/>
        <w:rPr>
          <w:sz w:val="20"/>
          <w:szCs w:val="20"/>
          <w:color w:val="auto"/>
        </w:rPr>
      </w:pPr>
      <w:r>
        <w:rPr>
          <w:rFonts w:ascii="Arial" w:cs="Arial" w:eastAsia="Arial" w:hAnsi="Arial"/>
          <w:sz w:val="24"/>
          <w:szCs w:val="24"/>
          <w:b w:val="1"/>
          <w:bCs w:val="1"/>
          <w:color w:val="8C8C8C"/>
        </w:rPr>
        <w:t>CORPORATE &amp; LEADERSHIP</w:t>
      </w:r>
    </w:p>
    <w:p>
      <w:pPr>
        <w:spacing w:after="0" w:line="221" w:lineRule="exact"/>
        <w:rPr>
          <w:sz w:val="20"/>
          <w:szCs w:val="20"/>
          <w:color w:val="auto"/>
        </w:rPr>
      </w:pPr>
    </w:p>
    <w:tbl>
      <w:tblPr>
        <w:tblLayout w:type="fixed"/>
        <w:tblInd w:w="5900" w:type="dxa"/>
        <w:tblCellMar>
          <w:top w:w="0" w:type="dxa"/>
          <w:left w:w="0" w:type="dxa"/>
          <w:bottom w:w="0" w:type="dxa"/>
          <w:right w:w="0" w:type="dxa"/>
        </w:tblCellMar>
      </w:tblPr>
      <w:tr>
        <w:trPr>
          <w:trHeight w:val="304"/>
        </w:trPr>
        <w:tc>
          <w:tcPr>
            <w:tcW w:w="1640" w:type="dxa"/>
            <w:vAlign w:val="bottom"/>
          </w:tcPr>
          <w:p>
            <w:pPr>
              <w:spacing w:after="0"/>
              <w:rPr>
                <w:sz w:val="20"/>
                <w:szCs w:val="20"/>
                <w:color w:val="auto"/>
              </w:rPr>
            </w:pPr>
            <w:r>
              <w:rPr>
                <w:rFonts w:ascii="Arial" w:cs="Arial" w:eastAsia="Arial" w:hAnsi="Arial"/>
                <w:sz w:val="24"/>
                <w:szCs w:val="24"/>
                <w:b w:val="1"/>
                <w:bCs w:val="1"/>
                <w:color w:val="FFFFFF"/>
                <w:w w:val="71"/>
              </w:rPr>
              <w:t>CORPORATE DATA</w:t>
            </w:r>
          </w:p>
        </w:tc>
        <w:tc>
          <w:tcPr>
            <w:tcW w:w="460" w:type="dxa"/>
            <w:vAlign w:val="bottom"/>
          </w:tcPr>
          <w:p>
            <w:pPr>
              <w:jc w:val="right"/>
              <w:spacing w:after="0"/>
              <w:rPr>
                <w:sz w:val="20"/>
                <w:szCs w:val="20"/>
                <w:color w:val="auto"/>
              </w:rPr>
            </w:pPr>
            <w:r>
              <w:rPr>
                <w:rFonts w:ascii="Arial" w:cs="Arial" w:eastAsia="Arial" w:hAnsi="Arial"/>
                <w:sz w:val="24"/>
                <w:szCs w:val="24"/>
                <w:b w:val="1"/>
                <w:bCs w:val="1"/>
                <w:color w:val="FFFFFF"/>
              </w:rPr>
              <w:t>94</w:t>
            </w:r>
          </w:p>
        </w:tc>
      </w:tr>
      <w:tr>
        <w:trPr>
          <w:trHeight w:val="410"/>
        </w:trPr>
        <w:tc>
          <w:tcPr>
            <w:tcW w:w="1640" w:type="dxa"/>
            <w:vAlign w:val="bottom"/>
          </w:tcPr>
          <w:p>
            <w:pPr>
              <w:spacing w:after="0"/>
              <w:rPr>
                <w:sz w:val="20"/>
                <w:szCs w:val="20"/>
                <w:color w:val="auto"/>
              </w:rPr>
            </w:pPr>
            <w:r>
              <w:rPr>
                <w:rFonts w:ascii="Arial" w:cs="Arial" w:eastAsia="Arial" w:hAnsi="Arial"/>
                <w:sz w:val="20"/>
                <w:szCs w:val="20"/>
                <w:b w:val="1"/>
                <w:bCs w:val="1"/>
                <w:color w:val="FFFFFF"/>
                <w:w w:val="70"/>
              </w:rPr>
              <w:t>BOARD OF DIRECTORS</w:t>
            </w:r>
          </w:p>
        </w:tc>
        <w:tc>
          <w:tcPr>
            <w:tcW w:w="460" w:type="dxa"/>
            <w:vAlign w:val="bottom"/>
          </w:tcPr>
          <w:p>
            <w:pPr>
              <w:jc w:val="right"/>
              <w:spacing w:after="0"/>
              <w:rPr>
                <w:sz w:val="20"/>
                <w:szCs w:val="20"/>
                <w:color w:val="auto"/>
              </w:rPr>
            </w:pPr>
            <w:r>
              <w:rPr>
                <w:rFonts w:ascii="Arial" w:cs="Arial" w:eastAsia="Arial" w:hAnsi="Arial"/>
                <w:sz w:val="24"/>
                <w:szCs w:val="24"/>
                <w:b w:val="1"/>
                <w:bCs w:val="1"/>
                <w:color w:val="FFFFFF"/>
              </w:rPr>
              <w:t>95</w:t>
            </w:r>
          </w:p>
        </w:tc>
      </w:tr>
    </w:tbl>
    <w:p>
      <w:pPr>
        <w:spacing w:after="0" w:line="200" w:lineRule="exact"/>
        <w:rPr>
          <w:sz w:val="20"/>
          <w:szCs w:val="20"/>
          <w:color w:val="auto"/>
        </w:rPr>
      </w:pPr>
    </w:p>
    <w:p>
      <w:pPr>
        <w:sectPr>
          <w:pgSz w:w="12240" w:h="15840" w:orient="portrait"/>
          <w:cols w:equalWidth="0" w:num="1">
            <w:col w:w="10160"/>
          </w:cols>
          <w:pgMar w:left="1440" w:top="45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500"/>
        <w:spacing w:after="0"/>
        <w:tabs>
          <w:tab w:leader="none" w:pos="10060" w:val="left"/>
        </w:tabs>
        <w:rPr>
          <w:sz w:val="20"/>
          <w:szCs w:val="20"/>
          <w:color w:val="auto"/>
        </w:rPr>
      </w:pPr>
      <w:r>
        <w:rPr>
          <w:rFonts w:ascii="Times New Roman" w:cs="Times New Roman" w:eastAsia="Times New Roman" w:hAnsi="Times New Roman"/>
          <w:sz w:val="10"/>
          <w:szCs w:val="10"/>
          <w:color w:val="FFFFFF"/>
        </w:rPr>
        <w:t>2022 ANNUAL REPORT</w:t>
      </w:r>
      <w:r>
        <w:rPr>
          <w:sz w:val="20"/>
          <w:szCs w:val="20"/>
          <w:color w:val="auto"/>
        </w:rPr>
        <w:tab/>
      </w:r>
      <w:r>
        <w:rPr>
          <w:rFonts w:ascii="Arial" w:cs="Arial" w:eastAsia="Arial" w:hAnsi="Arial"/>
          <w:sz w:val="14"/>
          <w:szCs w:val="14"/>
          <w:b w:val="1"/>
          <w:bCs w:val="1"/>
          <w:color w:val="FFFFFF"/>
        </w:rPr>
        <w:t>3</w:t>
      </w:r>
    </w:p>
    <w:p>
      <w:pPr>
        <w:sectPr>
          <w:pgSz w:w="12240" w:h="15840" w:orient="portrait"/>
          <w:cols w:equalWidth="0" w:num="1">
            <w:col w:w="10160"/>
          </w:cols>
          <w:pgMar w:left="1440" w:top="454" w:right="640" w:bottom="0" w:gutter="0" w:footer="0" w:header="0"/>
          <w:type w:val="continuous"/>
        </w:sectPr>
      </w:pPr>
    </w:p>
    <w:bookmarkStart w:id="3" w:name="page4"/>
    <w:bookmarkEnd w:id="3"/>
    <w:p>
      <w:pPr>
        <w:ind w:left="30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0" w:right="4400"/>
        <w:spacing w:after="0" w:line="254" w:lineRule="auto"/>
        <w:rPr>
          <w:sz w:val="20"/>
          <w:szCs w:val="20"/>
          <w:color w:val="auto"/>
        </w:rPr>
      </w:pPr>
      <w:r>
        <w:rPr>
          <w:rFonts w:ascii="Arial" w:cs="Arial" w:eastAsia="Arial" w:hAnsi="Arial"/>
          <w:sz w:val="112"/>
          <w:szCs w:val="112"/>
          <w:color w:val="FFFFFF"/>
        </w:rPr>
        <w:t>Moving at the speed of light</w:t>
      </w:r>
    </w:p>
    <w:p>
      <w:pPr>
        <w:sectPr>
          <w:pgSz w:w="12240" w:h="15840" w:orient="portrait"/>
          <w:cols w:equalWidth="0" w:num="1">
            <w:col w:w="11220"/>
          </w:cols>
          <w:pgMar w:left="640" w:top="454"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
        <w:spacing w:after="0" w:line="394" w:lineRule="auto"/>
        <w:rPr>
          <w:sz w:val="20"/>
          <w:szCs w:val="20"/>
          <w:color w:val="auto"/>
        </w:rPr>
      </w:pPr>
      <w:r>
        <w:rPr>
          <w:rFonts w:ascii="Times New Roman" w:cs="Times New Roman" w:eastAsia="Times New Roman" w:hAnsi="Times New Roman"/>
          <w:sz w:val="17"/>
          <w:szCs w:val="17"/>
          <w:b w:val="1"/>
          <w:bCs w:val="1"/>
          <w:color w:val="FFFFFF"/>
        </w:rPr>
        <w:t>Gentex is a leading technology supplier of dimmable devices, vision systems, sensors and advanced electronic products for the global automotive, aerospace, and fire protection industries. Through our core competencies, ongoing research, new partnerships, and acquisitions, Gentex is enabling new technologies and creating market-leading positions in new verticals.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right="380"/>
        <w:spacing w:after="0" w:line="422" w:lineRule="auto"/>
        <w:rPr>
          <w:sz w:val="20"/>
          <w:szCs w:val="20"/>
          <w:color w:val="auto"/>
        </w:rPr>
      </w:pPr>
      <w:r>
        <w:rPr>
          <w:rFonts w:ascii="Times New Roman" w:cs="Times New Roman" w:eastAsia="Times New Roman" w:hAnsi="Times New Roman"/>
          <w:sz w:val="16"/>
          <w:szCs w:val="16"/>
          <w:b w:val="1"/>
          <w:bCs w:val="1"/>
          <w:color w:val="FFFFFF"/>
        </w:rPr>
        <w:t>Within the automotive market, we continue to expand our presence through penetration of our core mirror product lines onto new vehicle platforms, while adding additional revenue with our advanced electronic content. Our auto-dimming mirrors, cameras, sensors, and displays provide automakers with profitable content for their trim package upgrades and is a pathway to enable the technology that consumers demand.</w:t>
      </w:r>
    </w:p>
    <w:p>
      <w:pPr>
        <w:spacing w:after="0" w:line="200" w:lineRule="exact"/>
        <w:rPr>
          <w:sz w:val="20"/>
          <w:szCs w:val="20"/>
          <w:color w:val="auto"/>
        </w:rPr>
      </w:pPr>
    </w:p>
    <w:p>
      <w:pPr>
        <w:sectPr>
          <w:pgSz w:w="12240" w:h="15840" w:orient="portrait"/>
          <w:cols w:equalWidth="0" w:num="2">
            <w:col w:w="5160" w:space="440"/>
            <w:col w:w="5620"/>
          </w:cols>
          <w:pgMar w:left="640" w:top="454" w:right="3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260"/>
        <w:spacing w:after="0"/>
        <w:rPr>
          <w:sz w:val="20"/>
          <w:szCs w:val="20"/>
          <w:color w:val="auto"/>
        </w:rPr>
      </w:pPr>
      <w:r>
        <w:rPr>
          <w:rFonts w:ascii="Arial" w:cs="Arial" w:eastAsia="Arial" w:hAnsi="Arial"/>
          <w:sz w:val="22"/>
          <w:szCs w:val="22"/>
          <w:color w:val="FFFFFF"/>
        </w:rPr>
        <w:t>Existing Core Competencies:</w:t>
      </w:r>
    </w:p>
    <w:p>
      <w:pPr>
        <w:spacing w:after="0" w:line="108" w:lineRule="exact"/>
        <w:rPr>
          <w:sz w:val="20"/>
          <w:szCs w:val="20"/>
          <w:color w:val="auto"/>
        </w:rPr>
      </w:pPr>
    </w:p>
    <w:p>
      <w:pPr>
        <w:ind w:left="8440" w:hanging="179"/>
        <w:spacing w:after="0"/>
        <w:tabs>
          <w:tab w:leader="none" w:pos="8440" w:val="left"/>
        </w:tabs>
        <w:numPr>
          <w:ilvl w:val="0"/>
          <w:numId w:val="1"/>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Electronics &amp; Microelectronics</w:t>
      </w:r>
    </w:p>
    <w:p>
      <w:pPr>
        <w:spacing w:after="0" w:line="79" w:lineRule="exact"/>
        <w:rPr>
          <w:rFonts w:ascii="Times New Roman" w:cs="Times New Roman" w:eastAsia="Times New Roman" w:hAnsi="Times New Roman"/>
          <w:sz w:val="18"/>
          <w:szCs w:val="18"/>
          <w:color w:val="FFFFFF"/>
        </w:rPr>
      </w:pPr>
    </w:p>
    <w:p>
      <w:pPr>
        <w:ind w:left="8440" w:hanging="179"/>
        <w:spacing w:after="0"/>
        <w:tabs>
          <w:tab w:leader="none" w:pos="8440" w:val="left"/>
        </w:tabs>
        <w:numPr>
          <w:ilvl w:val="0"/>
          <w:numId w:val="1"/>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Vision Systems &amp; Cameras</w:t>
      </w:r>
    </w:p>
    <w:p>
      <w:pPr>
        <w:spacing w:after="0" w:line="33" w:lineRule="exact"/>
        <w:rPr>
          <w:rFonts w:ascii="Times New Roman" w:cs="Times New Roman" w:eastAsia="Times New Roman" w:hAnsi="Times New Roman"/>
          <w:sz w:val="18"/>
          <w:szCs w:val="18"/>
          <w:color w:val="FFFFFF"/>
        </w:rPr>
      </w:pPr>
    </w:p>
    <w:p>
      <w:pPr>
        <w:ind w:left="8440" w:hanging="179"/>
        <w:spacing w:after="0"/>
        <w:tabs>
          <w:tab w:leader="none" w:pos="8440" w:val="left"/>
        </w:tabs>
        <w:numPr>
          <w:ilvl w:val="0"/>
          <w:numId w:val="1"/>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Software Design</w:t>
      </w:r>
    </w:p>
    <w:p>
      <w:pPr>
        <w:spacing w:after="0" w:line="33" w:lineRule="exact"/>
        <w:rPr>
          <w:rFonts w:ascii="Times New Roman" w:cs="Times New Roman" w:eastAsia="Times New Roman" w:hAnsi="Times New Roman"/>
          <w:sz w:val="18"/>
          <w:szCs w:val="18"/>
          <w:color w:val="FFFFFF"/>
        </w:rPr>
      </w:pPr>
    </w:p>
    <w:p>
      <w:pPr>
        <w:ind w:left="8440" w:hanging="179"/>
        <w:spacing w:after="0"/>
        <w:tabs>
          <w:tab w:leader="none" w:pos="8440" w:val="left"/>
        </w:tabs>
        <w:numPr>
          <w:ilvl w:val="0"/>
          <w:numId w:val="1"/>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Chemistry &amp; Coatings</w:t>
      </w:r>
    </w:p>
    <w:p>
      <w:pPr>
        <w:spacing w:after="0" w:line="33" w:lineRule="exact"/>
        <w:rPr>
          <w:rFonts w:ascii="Times New Roman" w:cs="Times New Roman" w:eastAsia="Times New Roman" w:hAnsi="Times New Roman"/>
          <w:sz w:val="18"/>
          <w:szCs w:val="18"/>
          <w:color w:val="FFFFFF"/>
        </w:rPr>
      </w:pPr>
    </w:p>
    <w:p>
      <w:pPr>
        <w:ind w:left="8440" w:hanging="179"/>
        <w:spacing w:after="0"/>
        <w:tabs>
          <w:tab w:leader="none" w:pos="8440" w:val="left"/>
        </w:tabs>
        <w:numPr>
          <w:ilvl w:val="0"/>
          <w:numId w:val="1"/>
        </w:numPr>
        <w:rPr>
          <w:rFonts w:ascii="Times New Roman" w:cs="Times New Roman" w:eastAsia="Times New Roman" w:hAnsi="Times New Roman"/>
          <w:sz w:val="17"/>
          <w:szCs w:val="17"/>
          <w:color w:val="FFFFFF"/>
        </w:rPr>
      </w:pPr>
      <w:r>
        <w:rPr>
          <w:rFonts w:ascii="Times New Roman" w:cs="Times New Roman" w:eastAsia="Times New Roman" w:hAnsi="Times New Roman"/>
          <w:sz w:val="17"/>
          <w:szCs w:val="17"/>
          <w:color w:val="FFFFFF"/>
        </w:rPr>
        <w:t>Automated Assembly &amp; Manufacturing</w:t>
      </w:r>
    </w:p>
    <w:p>
      <w:pPr>
        <w:spacing w:after="0" w:line="44" w:lineRule="exact"/>
        <w:rPr>
          <w:rFonts w:ascii="Times New Roman" w:cs="Times New Roman" w:eastAsia="Times New Roman" w:hAnsi="Times New Roman"/>
          <w:sz w:val="17"/>
          <w:szCs w:val="17"/>
          <w:color w:val="FFFFFF"/>
        </w:rPr>
      </w:pPr>
    </w:p>
    <w:p>
      <w:pPr>
        <w:ind w:left="8440" w:hanging="179"/>
        <w:spacing w:after="0"/>
        <w:tabs>
          <w:tab w:leader="none" w:pos="8440" w:val="left"/>
        </w:tabs>
        <w:numPr>
          <w:ilvl w:val="0"/>
          <w:numId w:val="1"/>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Glass Processing</w:t>
      </w:r>
    </w:p>
    <w:p>
      <w:pPr>
        <w:spacing w:after="0" w:line="106" w:lineRule="exact"/>
        <w:rPr>
          <w:sz w:val="20"/>
          <w:szCs w:val="20"/>
          <w:color w:val="auto"/>
        </w:rPr>
      </w:pPr>
    </w:p>
    <w:p>
      <w:pPr>
        <w:ind w:left="8260"/>
        <w:spacing w:after="0"/>
        <w:rPr>
          <w:sz w:val="20"/>
          <w:szCs w:val="20"/>
          <w:color w:val="auto"/>
        </w:rPr>
      </w:pPr>
      <w:r>
        <w:rPr>
          <w:rFonts w:ascii="Arial" w:cs="Arial" w:eastAsia="Arial" w:hAnsi="Arial"/>
          <w:sz w:val="20"/>
          <w:szCs w:val="20"/>
          <w:color w:val="FFFFFF"/>
        </w:rPr>
        <w:t>Developing Core Competencies:</w:t>
      </w:r>
    </w:p>
    <w:p>
      <w:pPr>
        <w:spacing w:after="0" w:line="131" w:lineRule="exact"/>
        <w:rPr>
          <w:sz w:val="20"/>
          <w:szCs w:val="20"/>
          <w:color w:val="auto"/>
        </w:rPr>
      </w:pPr>
    </w:p>
    <w:p>
      <w:pPr>
        <w:ind w:left="8440" w:hanging="179"/>
        <w:spacing w:after="0"/>
        <w:tabs>
          <w:tab w:leader="none" w:pos="8440" w:val="left"/>
        </w:tabs>
        <w:numPr>
          <w:ilvl w:val="0"/>
          <w:numId w:val="2"/>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Driver &amp; Cabin Monitoring</w:t>
      </w:r>
    </w:p>
    <w:p>
      <w:pPr>
        <w:spacing w:after="0" w:line="79" w:lineRule="exact"/>
        <w:rPr>
          <w:rFonts w:ascii="Times New Roman" w:cs="Times New Roman" w:eastAsia="Times New Roman" w:hAnsi="Times New Roman"/>
          <w:sz w:val="18"/>
          <w:szCs w:val="18"/>
          <w:color w:val="FFFFFF"/>
        </w:rPr>
      </w:pPr>
    </w:p>
    <w:p>
      <w:pPr>
        <w:ind w:left="8440" w:hanging="179"/>
        <w:spacing w:after="0"/>
        <w:tabs>
          <w:tab w:leader="none" w:pos="8440" w:val="left"/>
        </w:tabs>
        <w:numPr>
          <w:ilvl w:val="0"/>
          <w:numId w:val="2"/>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Nano-sensing</w:t>
      </w:r>
    </w:p>
    <w:p>
      <w:pPr>
        <w:spacing w:after="0" w:line="33" w:lineRule="exact"/>
        <w:rPr>
          <w:rFonts w:ascii="Times New Roman" w:cs="Times New Roman" w:eastAsia="Times New Roman" w:hAnsi="Times New Roman"/>
          <w:sz w:val="18"/>
          <w:szCs w:val="18"/>
          <w:color w:val="FFFFFF"/>
        </w:rPr>
      </w:pPr>
    </w:p>
    <w:p>
      <w:pPr>
        <w:ind w:left="8440" w:hanging="179"/>
        <w:spacing w:after="0"/>
        <w:tabs>
          <w:tab w:leader="none" w:pos="8440" w:val="left"/>
        </w:tabs>
        <w:numPr>
          <w:ilvl w:val="0"/>
          <w:numId w:val="2"/>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Advanced Coatings &amp; Films</w:t>
      </w:r>
    </w:p>
    <w:p>
      <w:pPr>
        <w:spacing w:after="0" w:line="33" w:lineRule="exact"/>
        <w:rPr>
          <w:rFonts w:ascii="Times New Roman" w:cs="Times New Roman" w:eastAsia="Times New Roman" w:hAnsi="Times New Roman"/>
          <w:sz w:val="18"/>
          <w:szCs w:val="18"/>
          <w:color w:val="FFFFFF"/>
        </w:rPr>
      </w:pPr>
    </w:p>
    <w:p>
      <w:pPr>
        <w:ind w:left="8440" w:hanging="179"/>
        <w:spacing w:after="0"/>
        <w:tabs>
          <w:tab w:leader="none" w:pos="8440" w:val="left"/>
        </w:tabs>
        <w:numPr>
          <w:ilvl w:val="0"/>
          <w:numId w:val="2"/>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Connected Functionality</w:t>
      </w:r>
    </w:p>
    <w:p>
      <w:pPr>
        <w:spacing w:after="0" w:line="33" w:lineRule="exact"/>
        <w:rPr>
          <w:rFonts w:ascii="Times New Roman" w:cs="Times New Roman" w:eastAsia="Times New Roman" w:hAnsi="Times New Roman"/>
          <w:sz w:val="18"/>
          <w:szCs w:val="18"/>
          <w:color w:val="FFFFFF"/>
        </w:rPr>
      </w:pPr>
    </w:p>
    <w:p>
      <w:pPr>
        <w:ind w:left="8440" w:hanging="179"/>
        <w:spacing w:after="0"/>
        <w:tabs>
          <w:tab w:leader="none" w:pos="8440" w:val="left"/>
        </w:tabs>
        <w:numPr>
          <w:ilvl w:val="0"/>
          <w:numId w:val="2"/>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Medical Technology</w:t>
      </w:r>
    </w:p>
    <w:p>
      <w:pPr>
        <w:spacing w:after="0" w:line="89" w:lineRule="exact"/>
        <w:rPr>
          <w:sz w:val="20"/>
          <w:szCs w:val="20"/>
          <w:color w:val="auto"/>
        </w:rPr>
      </w:pPr>
    </w:p>
    <w:p>
      <w:pPr>
        <w:ind w:left="8260"/>
        <w:spacing w:after="0"/>
        <w:rPr>
          <w:sz w:val="20"/>
          <w:szCs w:val="20"/>
          <w:color w:val="auto"/>
        </w:rPr>
      </w:pPr>
      <w:r>
        <w:rPr>
          <w:rFonts w:ascii="Arial" w:cs="Arial" w:eastAsia="Arial" w:hAnsi="Arial"/>
          <w:sz w:val="24"/>
          <w:szCs w:val="24"/>
          <w:color w:val="FFFFFF"/>
        </w:rPr>
        <w:t>Competitive Advantages:</w:t>
      </w:r>
    </w:p>
    <w:p>
      <w:pPr>
        <w:spacing w:after="0" w:line="102" w:lineRule="exact"/>
        <w:rPr>
          <w:sz w:val="20"/>
          <w:szCs w:val="20"/>
          <w:color w:val="auto"/>
        </w:rPr>
      </w:pPr>
    </w:p>
    <w:p>
      <w:pPr>
        <w:ind w:left="8440" w:hanging="179"/>
        <w:spacing w:after="0"/>
        <w:tabs>
          <w:tab w:leader="none" w:pos="8440" w:val="left"/>
        </w:tabs>
        <w:numPr>
          <w:ilvl w:val="0"/>
          <w:numId w:val="3"/>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Distinct Products &amp; Location</w:t>
      </w:r>
    </w:p>
    <w:p>
      <w:pPr>
        <w:spacing w:after="0" w:line="79" w:lineRule="exact"/>
        <w:rPr>
          <w:rFonts w:ascii="Times New Roman" w:cs="Times New Roman" w:eastAsia="Times New Roman" w:hAnsi="Times New Roman"/>
          <w:sz w:val="18"/>
          <w:szCs w:val="18"/>
          <w:color w:val="FFFFFF"/>
        </w:rPr>
      </w:pPr>
    </w:p>
    <w:p>
      <w:pPr>
        <w:ind w:left="8440" w:hanging="179"/>
        <w:spacing w:after="0"/>
        <w:tabs>
          <w:tab w:leader="none" w:pos="8440" w:val="left"/>
        </w:tabs>
        <w:numPr>
          <w:ilvl w:val="0"/>
          <w:numId w:val="3"/>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Superior Quality</w:t>
      </w:r>
    </w:p>
    <w:p>
      <w:pPr>
        <w:spacing w:after="0" w:line="33" w:lineRule="exact"/>
        <w:rPr>
          <w:rFonts w:ascii="Times New Roman" w:cs="Times New Roman" w:eastAsia="Times New Roman" w:hAnsi="Times New Roman"/>
          <w:sz w:val="18"/>
          <w:szCs w:val="18"/>
          <w:color w:val="FFFFFF"/>
        </w:rPr>
      </w:pPr>
    </w:p>
    <w:p>
      <w:pPr>
        <w:ind w:left="8440" w:hanging="179"/>
        <w:spacing w:after="0"/>
        <w:tabs>
          <w:tab w:leader="none" w:pos="8440" w:val="left"/>
        </w:tabs>
        <w:numPr>
          <w:ilvl w:val="0"/>
          <w:numId w:val="3"/>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Strong Intellectual Property</w:t>
      </w:r>
    </w:p>
    <w:p>
      <w:pPr>
        <w:spacing w:after="0" w:line="33" w:lineRule="exact"/>
        <w:rPr>
          <w:rFonts w:ascii="Times New Roman" w:cs="Times New Roman" w:eastAsia="Times New Roman" w:hAnsi="Times New Roman"/>
          <w:sz w:val="18"/>
          <w:szCs w:val="18"/>
          <w:color w:val="FFFFFF"/>
        </w:rPr>
      </w:pPr>
    </w:p>
    <w:p>
      <w:pPr>
        <w:ind w:left="8440" w:hanging="179"/>
        <w:spacing w:after="0"/>
        <w:tabs>
          <w:tab w:leader="none" w:pos="8440" w:val="left"/>
        </w:tabs>
        <w:numPr>
          <w:ilvl w:val="0"/>
          <w:numId w:val="3"/>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Dominant Market Share</w:t>
      </w:r>
    </w:p>
    <w:p>
      <w:pPr>
        <w:spacing w:after="0" w:line="33" w:lineRule="exact"/>
        <w:rPr>
          <w:rFonts w:ascii="Times New Roman" w:cs="Times New Roman" w:eastAsia="Times New Roman" w:hAnsi="Times New Roman"/>
          <w:sz w:val="18"/>
          <w:szCs w:val="18"/>
          <w:color w:val="FFFFFF"/>
        </w:rPr>
      </w:pPr>
    </w:p>
    <w:p>
      <w:pPr>
        <w:ind w:left="8440" w:hanging="179"/>
        <w:spacing w:after="0"/>
        <w:tabs>
          <w:tab w:leader="none" w:pos="8440" w:val="left"/>
        </w:tabs>
        <w:numPr>
          <w:ilvl w:val="0"/>
          <w:numId w:val="3"/>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Unique Fusion of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480"/>
        <w:spacing w:after="0"/>
        <w:rPr>
          <w:sz w:val="20"/>
          <w:szCs w:val="20"/>
          <w:color w:val="auto"/>
        </w:rPr>
      </w:pPr>
      <w:r>
        <w:rPr>
          <w:rFonts w:ascii="Arial" w:cs="Arial" w:eastAsia="Arial" w:hAnsi="Arial"/>
          <w:sz w:val="16"/>
          <w:szCs w:val="16"/>
          <w:color w:val="FFFFFF"/>
        </w:rPr>
        <w:t>Scan for</w:t>
      </w:r>
    </w:p>
    <w:p>
      <w:pPr>
        <w:spacing w:after="0" w:line="16" w:lineRule="exact"/>
        <w:rPr>
          <w:sz w:val="20"/>
          <w:szCs w:val="20"/>
          <w:color w:val="auto"/>
        </w:rPr>
      </w:pPr>
    </w:p>
    <w:p>
      <w:pPr>
        <w:ind w:left="9480"/>
        <w:spacing w:after="0"/>
        <w:rPr>
          <w:sz w:val="20"/>
          <w:szCs w:val="20"/>
          <w:color w:val="auto"/>
        </w:rPr>
      </w:pPr>
      <w:r>
        <w:rPr>
          <w:rFonts w:ascii="Arial" w:cs="Arial" w:eastAsia="Arial" w:hAnsi="Arial"/>
          <w:sz w:val="16"/>
          <w:szCs w:val="16"/>
          <w:color w:val="FFFFFF"/>
        </w:rPr>
        <w:t>more Info</w:t>
      </w:r>
    </w:p>
    <w:p>
      <w:pPr>
        <w:sectPr>
          <w:pgSz w:w="12240" w:h="15840" w:orient="portrait"/>
          <w:cols w:equalWidth="0" w:num="1">
            <w:col w:w="11220"/>
          </w:cols>
          <w:pgMar w:left="640" w:top="454" w:right="380" w:bottom="0" w:gutter="0" w:footer="0" w:header="0"/>
          <w:type w:val="continuous"/>
        </w:sectPr>
      </w:pPr>
    </w:p>
    <w:p>
      <w:pPr>
        <w:spacing w:after="0" w:line="338" w:lineRule="exact"/>
        <w:rPr>
          <w:sz w:val="20"/>
          <w:szCs w:val="20"/>
          <w:color w:val="auto"/>
        </w:rPr>
      </w:pPr>
    </w:p>
    <w:p>
      <w:pPr>
        <w:spacing w:after="0"/>
        <w:tabs>
          <w:tab w:leader="none" w:pos="340" w:val="left"/>
        </w:tabs>
        <w:rPr>
          <w:sz w:val="20"/>
          <w:szCs w:val="20"/>
          <w:color w:val="auto"/>
        </w:rPr>
      </w:pPr>
      <w:r>
        <w:rPr>
          <w:rFonts w:ascii="Arial" w:cs="Arial" w:eastAsia="Arial" w:hAnsi="Arial"/>
          <w:sz w:val="24"/>
          <w:szCs w:val="24"/>
          <w:b w:val="1"/>
          <w:bCs w:val="1"/>
          <w:color w:val="FFFFFF"/>
        </w:rPr>
        <w:t>4</w:t>
      </w:r>
      <w:r>
        <w:rPr>
          <w:sz w:val="20"/>
          <w:szCs w:val="20"/>
          <w:color w:val="auto"/>
        </w:rPr>
        <w:tab/>
      </w:r>
      <w:r>
        <w:rPr>
          <w:rFonts w:ascii="Times New Roman" w:cs="Times New Roman" w:eastAsia="Times New Roman" w:hAnsi="Times New Roman"/>
          <w:sz w:val="10"/>
          <w:szCs w:val="10"/>
          <w:color w:val="FFFFFF"/>
        </w:rPr>
        <w:t>GENTEX CORPORATION</w:t>
      </w:r>
    </w:p>
    <w:p>
      <w:pPr>
        <w:sectPr>
          <w:pgSz w:w="12240" w:h="15840" w:orient="portrait"/>
          <w:cols w:equalWidth="0" w:num="1">
            <w:col w:w="11220"/>
          </w:cols>
          <w:pgMar w:left="640" w:top="454" w:right="380" w:bottom="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tabs>
          <w:tab w:leader="none" w:pos="3760" w:val="left"/>
        </w:tabs>
        <w:rPr>
          <w:sz w:val="20"/>
          <w:szCs w:val="20"/>
          <w:color w:val="auto"/>
        </w:rPr>
      </w:pPr>
      <w:r>
        <w:rPr>
          <w:rFonts w:ascii="Arial" w:cs="Arial" w:eastAsia="Arial" w:hAnsi="Arial"/>
          <w:sz w:val="98"/>
          <w:szCs w:val="98"/>
          <w:color w:val="8C8C8C"/>
        </w:rPr>
        <w:t>5,466</w:t>
      </w:r>
      <w:r>
        <w:rPr>
          <w:sz w:val="20"/>
          <w:szCs w:val="20"/>
          <w:color w:val="auto"/>
        </w:rPr>
        <w:tab/>
      </w:r>
      <w:r>
        <w:rPr>
          <w:rFonts w:ascii="Arial" w:cs="Arial" w:eastAsia="Arial" w:hAnsi="Arial"/>
          <w:sz w:val="98"/>
          <w:szCs w:val="98"/>
          <w:color w:val="8C8C8C"/>
        </w:rPr>
        <w:t>44.2M</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30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FFFFFF"/>
              </w:rPr>
              <w:t>Full-time Employees</w:t>
            </w:r>
          </w:p>
        </w:tc>
        <w:tc>
          <w:tcPr>
            <w:tcW w:w="3260" w:type="dxa"/>
            <w:vAlign w:val="bottom"/>
          </w:tcPr>
          <w:p>
            <w:pPr>
              <w:ind w:left="1120"/>
              <w:spacing w:after="0"/>
              <w:rPr>
                <w:sz w:val="20"/>
                <w:szCs w:val="20"/>
                <w:color w:val="auto"/>
              </w:rPr>
            </w:pPr>
            <w:r>
              <w:rPr>
                <w:rFonts w:ascii="Times New Roman" w:cs="Times New Roman" w:eastAsia="Times New Roman" w:hAnsi="Times New Roman"/>
                <w:sz w:val="18"/>
                <w:szCs w:val="18"/>
                <w:color w:val="FFFFFF"/>
              </w:rPr>
              <w:t>Auto-Dimming Mirror Units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10"/>
          <w:szCs w:val="110"/>
          <w:color w:val="8C8C8C"/>
        </w:rPr>
        <w:t>35+</w:t>
      </w:r>
    </w:p>
    <w:p>
      <w:pPr>
        <w:ind w:left="3780"/>
        <w:spacing w:after="0"/>
        <w:rPr>
          <w:sz w:val="20"/>
          <w:szCs w:val="20"/>
          <w:color w:val="auto"/>
        </w:rPr>
      </w:pPr>
      <w:r>
        <w:rPr>
          <w:rFonts w:ascii="Times New Roman" w:cs="Times New Roman" w:eastAsia="Times New Roman" w:hAnsi="Times New Roman"/>
          <w:sz w:val="18"/>
          <w:szCs w:val="18"/>
          <w:color w:val="FFFFFF"/>
        </w:rPr>
        <w:t>OEM Customers Shipped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40"/>
        <w:spacing w:after="0"/>
        <w:rPr>
          <w:sz w:val="20"/>
          <w:szCs w:val="20"/>
          <w:color w:val="auto"/>
        </w:rPr>
      </w:pPr>
      <w:r>
        <w:rPr>
          <w:rFonts w:ascii="Arial" w:cs="Arial" w:eastAsia="Arial" w:hAnsi="Arial"/>
          <w:sz w:val="24"/>
          <w:szCs w:val="24"/>
          <w:b w:val="1"/>
          <w:bCs w:val="1"/>
          <w:color w:val="FFFFFF"/>
        </w:rPr>
        <w:t>SALES &amp; ENGINEERING OFFICES</w:t>
      </w:r>
    </w:p>
    <w:p>
      <w:pPr>
        <w:spacing w:after="0" w:line="192" w:lineRule="exact"/>
        <w:rPr>
          <w:sz w:val="20"/>
          <w:szCs w:val="20"/>
          <w:color w:val="auto"/>
        </w:rPr>
      </w:pPr>
    </w:p>
    <w:p>
      <w:pPr>
        <w:ind w:left="140" w:right="740"/>
        <w:spacing w:after="0" w:line="462" w:lineRule="auto"/>
        <w:rPr>
          <w:sz w:val="20"/>
          <w:szCs w:val="20"/>
          <w:color w:val="auto"/>
        </w:rPr>
      </w:pPr>
      <w:r>
        <w:rPr>
          <w:rFonts w:ascii="Times New Roman" w:cs="Times New Roman" w:eastAsia="Times New Roman" w:hAnsi="Times New Roman"/>
          <w:sz w:val="18"/>
          <w:szCs w:val="18"/>
          <w:color w:val="FFFFFF"/>
        </w:rPr>
        <w:t>United States (</w:t>
      </w:r>
      <w:r>
        <w:rPr>
          <w:rFonts w:ascii="Arial" w:cs="Arial" w:eastAsia="Arial" w:hAnsi="Arial"/>
          <w:sz w:val="18"/>
          <w:szCs w:val="18"/>
          <w:i w:val="1"/>
          <w:iCs w:val="1"/>
          <w:color w:val="FFFFFF"/>
        </w:rPr>
        <w:t>Headquarters</w:t>
      </w:r>
      <w:r>
        <w:rPr>
          <w:rFonts w:ascii="Times New Roman" w:cs="Times New Roman" w:eastAsia="Times New Roman" w:hAnsi="Times New Roman"/>
          <w:sz w:val="18"/>
          <w:szCs w:val="18"/>
          <w:color w:val="FFFFFF"/>
        </w:rPr>
        <w:t>), China, France, Germany, Israel, Japan, Korea, Sweden, United Kingdom</w:t>
      </w:r>
    </w:p>
    <w:tbl>
      <w:tblPr>
        <w:tblLayout w:type="fixed"/>
        <w:tblInd w:w="0" w:type="dxa"/>
        <w:tblCellMar>
          <w:top w:w="0" w:type="dxa"/>
          <w:left w:w="0" w:type="dxa"/>
          <w:bottom w:w="0" w:type="dxa"/>
          <w:right w:w="0" w:type="dxa"/>
        </w:tblCellMar>
      </w:tblPr>
      <w:tr>
        <w:trPr>
          <w:trHeight w:val="1161"/>
        </w:trPr>
        <w:tc>
          <w:tcPr>
            <w:tcW w:w="3220" w:type="dxa"/>
            <w:vAlign w:val="bottom"/>
          </w:tcPr>
          <w:p>
            <w:pPr>
              <w:spacing w:after="0" w:line="1160" w:lineRule="exact"/>
              <w:rPr>
                <w:sz w:val="20"/>
                <w:szCs w:val="20"/>
                <w:color w:val="auto"/>
              </w:rPr>
            </w:pPr>
            <w:r>
              <w:rPr>
                <w:rFonts w:ascii="Arial" w:cs="Arial" w:eastAsia="Arial" w:hAnsi="Arial"/>
                <w:sz w:val="110"/>
                <w:szCs w:val="110"/>
                <w:color w:val="8C8C8C"/>
              </w:rPr>
              <w:t>660+</w:t>
            </w:r>
          </w:p>
        </w:tc>
        <w:tc>
          <w:tcPr>
            <w:tcW w:w="3300" w:type="dxa"/>
            <w:vAlign w:val="bottom"/>
          </w:tcPr>
          <w:p>
            <w:pPr>
              <w:ind w:left="440"/>
              <w:spacing w:after="0" w:line="1160" w:lineRule="exact"/>
              <w:rPr>
                <w:sz w:val="20"/>
                <w:szCs w:val="20"/>
                <w:color w:val="auto"/>
              </w:rPr>
            </w:pPr>
            <w:r>
              <w:rPr>
                <w:rFonts w:ascii="Arial" w:cs="Arial" w:eastAsia="Arial" w:hAnsi="Arial"/>
                <w:sz w:val="110"/>
                <w:szCs w:val="110"/>
                <w:color w:val="8C8C8C"/>
              </w:rPr>
              <w:t>89%</w:t>
            </w:r>
          </w:p>
        </w:tc>
      </w:tr>
      <w:tr>
        <w:trPr>
          <w:trHeight w:val="374"/>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FFFFFF"/>
              </w:rPr>
              <w:t>Nameplates our Content Appears On</w:t>
            </w:r>
          </w:p>
        </w:tc>
        <w:tc>
          <w:tcPr>
            <w:tcW w:w="3300" w:type="dxa"/>
            <w:vAlign w:val="bottom"/>
          </w:tcPr>
          <w:p>
            <w:pPr>
              <w:ind w:left="440"/>
              <w:spacing w:after="0"/>
              <w:rPr>
                <w:sz w:val="20"/>
                <w:szCs w:val="20"/>
                <w:color w:val="auto"/>
              </w:rPr>
            </w:pPr>
            <w:r>
              <w:rPr>
                <w:rFonts w:ascii="Arial" w:cs="Arial" w:eastAsia="Arial" w:hAnsi="Arial"/>
                <w:sz w:val="28"/>
                <w:szCs w:val="28"/>
                <w:b w:val="1"/>
                <w:bCs w:val="1"/>
                <w:color w:val="FFFFFF"/>
              </w:rPr>
              <w:t>MARKET SHARE</w:t>
            </w:r>
          </w:p>
        </w:tc>
      </w:tr>
      <w:tr>
        <w:trPr>
          <w:trHeight w:val="400"/>
        </w:trPr>
        <w:tc>
          <w:tcPr>
            <w:tcW w:w="3220" w:type="dxa"/>
            <w:vAlign w:val="bottom"/>
          </w:tcPr>
          <w:p>
            <w:pPr>
              <w:spacing w:after="0"/>
              <w:rPr>
                <w:sz w:val="24"/>
                <w:szCs w:val="24"/>
                <w:color w:val="auto"/>
              </w:rPr>
            </w:pPr>
          </w:p>
        </w:tc>
        <w:tc>
          <w:tcPr>
            <w:tcW w:w="3300" w:type="dxa"/>
            <w:vAlign w:val="bottom"/>
          </w:tcPr>
          <w:p>
            <w:pPr>
              <w:ind w:left="440"/>
              <w:spacing w:after="0"/>
              <w:rPr>
                <w:sz w:val="20"/>
                <w:szCs w:val="20"/>
                <w:color w:val="auto"/>
              </w:rPr>
            </w:pPr>
            <w:r>
              <w:rPr>
                <w:rFonts w:ascii="Arial" w:cs="Arial" w:eastAsia="Arial" w:hAnsi="Arial"/>
                <w:sz w:val="28"/>
                <w:szCs w:val="28"/>
                <w:b w:val="1"/>
                <w:bCs w:val="1"/>
                <w:color w:val="FFFFFF"/>
              </w:rPr>
              <w:t>OF INTERIOR AUTO</w:t>
            </w:r>
          </w:p>
        </w:tc>
      </w:tr>
      <w:tr>
        <w:trPr>
          <w:trHeight w:val="400"/>
        </w:trPr>
        <w:tc>
          <w:tcPr>
            <w:tcW w:w="3220" w:type="dxa"/>
            <w:vAlign w:val="bottom"/>
          </w:tcPr>
          <w:p>
            <w:pPr>
              <w:spacing w:after="0"/>
              <w:rPr>
                <w:sz w:val="24"/>
                <w:szCs w:val="24"/>
                <w:color w:val="auto"/>
              </w:rPr>
            </w:pPr>
          </w:p>
        </w:tc>
        <w:tc>
          <w:tcPr>
            <w:tcW w:w="3300" w:type="dxa"/>
            <w:vAlign w:val="bottom"/>
          </w:tcPr>
          <w:p>
            <w:pPr>
              <w:ind w:left="440"/>
              <w:spacing w:after="0"/>
              <w:rPr>
                <w:sz w:val="20"/>
                <w:szCs w:val="20"/>
                <w:color w:val="auto"/>
              </w:rPr>
            </w:pPr>
            <w:r>
              <w:rPr>
                <w:rFonts w:ascii="Arial" w:cs="Arial" w:eastAsia="Arial" w:hAnsi="Arial"/>
                <w:sz w:val="28"/>
                <w:szCs w:val="28"/>
                <w:b w:val="1"/>
                <w:bCs w:val="1"/>
                <w:color w:val="FFFFFF"/>
              </w:rPr>
              <w:t>DIMMING MIRRORS</w:t>
            </w:r>
          </w:p>
        </w:tc>
      </w:tr>
      <w:tr>
        <w:trPr>
          <w:trHeight w:val="926"/>
        </w:trPr>
        <w:tc>
          <w:tcPr>
            <w:tcW w:w="3220" w:type="dxa"/>
            <w:vAlign w:val="bottom"/>
          </w:tcPr>
          <w:p>
            <w:pPr>
              <w:spacing w:after="0"/>
              <w:rPr>
                <w:sz w:val="24"/>
                <w:szCs w:val="24"/>
                <w:color w:val="auto"/>
              </w:rPr>
            </w:pPr>
          </w:p>
        </w:tc>
        <w:tc>
          <w:tcPr>
            <w:tcW w:w="3300" w:type="dxa"/>
            <w:vAlign w:val="bottom"/>
          </w:tcPr>
          <w:p>
            <w:pPr>
              <w:ind w:left="1600"/>
              <w:spacing w:after="0"/>
              <w:rPr>
                <w:sz w:val="20"/>
                <w:szCs w:val="20"/>
                <w:color w:val="auto"/>
              </w:rPr>
            </w:pPr>
            <w:r>
              <w:rPr>
                <w:rFonts w:ascii="Arial" w:cs="Arial" w:eastAsia="Arial" w:hAnsi="Arial"/>
                <w:sz w:val="36"/>
                <w:szCs w:val="36"/>
                <w:color w:val="FFFFFF"/>
              </w:rPr>
              <w:t>(IEC)</w:t>
            </w:r>
          </w:p>
        </w:tc>
      </w:tr>
    </w:tbl>
    <w:p>
      <w:pPr>
        <w:spacing w:after="0" w:line="20" w:lineRule="exact"/>
        <w:rPr>
          <w:sz w:val="20"/>
          <w:szCs w:val="20"/>
          <w:color w:val="auto"/>
        </w:rPr>
      </w:pPr>
      <w:r>
        <w:rPr>
          <w:sz w:val="20"/>
          <w:szCs w:val="20"/>
          <w:color w:val="auto"/>
        </w:rPr>
        <w:br w:type="column"/>
      </w:r>
    </w:p>
    <w:p>
      <w:pPr>
        <w:jc w:val="right"/>
        <w:ind w:right="300"/>
        <w:spacing w:after="0"/>
        <w:rPr>
          <w:sz w:val="20"/>
          <w:szCs w:val="20"/>
          <w:color w:val="auto"/>
        </w:rPr>
      </w:pPr>
      <w:r>
        <w:rPr>
          <w:rFonts w:ascii="Arial" w:cs="Arial" w:eastAsia="Arial" w:hAnsi="Arial"/>
          <w:sz w:val="24"/>
          <w:szCs w:val="24"/>
          <w:b w:val="1"/>
          <w:bCs w:val="1"/>
          <w:color w:val="FFFFFF"/>
        </w:rPr>
        <w:t>FAST FACTS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100"/>
        <w:spacing w:after="0" w:line="182" w:lineRule="auto"/>
        <w:rPr>
          <w:sz w:val="20"/>
          <w:szCs w:val="20"/>
          <w:color w:val="auto"/>
        </w:rPr>
      </w:pPr>
      <w:r>
        <w:rPr>
          <w:rFonts w:ascii="Arial" w:cs="Arial" w:eastAsia="Arial" w:hAnsi="Arial"/>
          <w:sz w:val="81"/>
          <w:szCs w:val="81"/>
          <w:color w:val="8C8C8C"/>
        </w:rPr>
        <w:t>IP</w:t>
      </w:r>
      <w:r>
        <w:rPr>
          <w:rFonts w:ascii="Arial" w:cs="Arial" w:eastAsia="Arial" w:hAnsi="Arial"/>
          <w:sz w:val="22"/>
          <w:szCs w:val="22"/>
          <w:b w:val="1"/>
          <w:bCs w:val="1"/>
          <w:color w:val="FFFFFF"/>
        </w:rPr>
        <w:t>IN OUR</w:t>
      </w:r>
      <w:r>
        <w:rPr>
          <w:rFonts w:ascii="Arial" w:cs="Arial" w:eastAsia="Arial" w:hAnsi="Arial"/>
          <w:sz w:val="81"/>
          <w:szCs w:val="81"/>
          <w:color w:val="8C8C8C"/>
        </w:rPr>
        <w:t xml:space="preserve"> </w:t>
      </w:r>
      <w:r>
        <w:rPr>
          <w:rFonts w:ascii="Arial" w:cs="Arial" w:eastAsia="Arial" w:hAnsi="Arial"/>
          <w:sz w:val="22"/>
          <w:szCs w:val="22"/>
          <w:b w:val="1"/>
          <w:bCs w:val="1"/>
          <w:color w:val="FFFFFF"/>
        </w:rPr>
        <w:t>PRIMARY MARKETS</w:t>
      </w:r>
    </w:p>
    <w:p>
      <w:pPr>
        <w:spacing w:after="0" w:line="279" w:lineRule="exact"/>
        <w:rPr>
          <w:sz w:val="20"/>
          <w:szCs w:val="20"/>
          <w:color w:val="auto"/>
        </w:rPr>
      </w:pPr>
    </w:p>
    <w:p>
      <w:pPr>
        <w:spacing w:after="0"/>
        <w:rPr>
          <w:sz w:val="20"/>
          <w:szCs w:val="20"/>
          <w:color w:val="auto"/>
        </w:rPr>
      </w:pPr>
      <w:r>
        <w:rPr>
          <w:rFonts w:ascii="Arial" w:cs="Arial" w:eastAsia="Arial" w:hAnsi="Arial"/>
          <w:sz w:val="110"/>
          <w:szCs w:val="110"/>
          <w:color w:val="8C8C8C"/>
        </w:rPr>
        <w:t>1,980</w:t>
      </w:r>
    </w:p>
    <w:p>
      <w:pPr>
        <w:spacing w:after="0"/>
        <w:rPr>
          <w:sz w:val="20"/>
          <w:szCs w:val="20"/>
          <w:color w:val="auto"/>
        </w:rPr>
      </w:pPr>
      <w:r>
        <w:rPr>
          <w:rFonts w:ascii="Arial" w:cs="Arial" w:eastAsia="Arial" w:hAnsi="Arial"/>
          <w:sz w:val="28"/>
          <w:szCs w:val="28"/>
          <w:b w:val="1"/>
          <w:bCs w:val="1"/>
          <w:color w:val="FFFFFF"/>
        </w:rPr>
        <w:t>PAT E N T S</w:t>
      </w:r>
    </w:p>
    <w:p>
      <w:pPr>
        <w:spacing w:after="0" w:line="1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FFFFFF"/>
        </w:rPr>
        <w:t>711 US Patents</w:t>
      </w:r>
    </w:p>
    <w:p>
      <w:pPr>
        <w:spacing w:after="0" w:line="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FFFFFF"/>
        </w:rPr>
        <w:t>1,128 Foreign Patents</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FFFFFF"/>
        </w:rPr>
        <w:t>50 US Patents</w:t>
      </w:r>
    </w:p>
    <w:p>
      <w:pPr>
        <w:spacing w:after="0" w:line="9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FFFFFF"/>
        </w:rPr>
        <w:t>54 Foreign Patents</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FFFFFF"/>
        </w:rPr>
        <w:t>19 US Patents</w:t>
      </w:r>
    </w:p>
    <w:p>
      <w:pPr>
        <w:spacing w:after="0" w:line="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FFFFFF"/>
        </w:rPr>
        <w:t>12 Foreign Patents</w:t>
      </w:r>
    </w:p>
    <w:p>
      <w:pPr>
        <w:spacing w:after="0" w:line="3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FFFFFF"/>
        </w:rPr>
        <w:t>6 US Patents (Other)</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0"/>
          <w:szCs w:val="110"/>
          <w:color w:val="8C8C8C"/>
        </w:rPr>
        <w:t>400</w:t>
      </w:r>
    </w:p>
    <w:p>
      <w:pPr>
        <w:spacing w:after="0"/>
        <w:rPr>
          <w:sz w:val="20"/>
          <w:szCs w:val="20"/>
          <w:color w:val="auto"/>
        </w:rPr>
      </w:pPr>
      <w:r>
        <w:rPr>
          <w:rFonts w:ascii="Arial" w:cs="Arial" w:eastAsia="Arial" w:hAnsi="Arial"/>
          <w:sz w:val="28"/>
          <w:szCs w:val="28"/>
          <w:b w:val="1"/>
          <w:bCs w:val="1"/>
          <w:color w:val="FFFFFF"/>
        </w:rPr>
        <w:t>T R A D E M A R K S</w:t>
      </w:r>
    </w:p>
    <w:p>
      <w:pPr>
        <w:spacing w:after="0" w:line="1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FFFFFF"/>
        </w:rPr>
        <w:t>31 US Trademarks</w:t>
      </w:r>
    </w:p>
    <w:p>
      <w:pPr>
        <w:spacing w:after="0" w:line="9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FFFFFF"/>
        </w:rPr>
        <w:t>344 Foreign Trademarks</w:t>
      </w:r>
    </w:p>
    <w:p>
      <w:pPr>
        <w:spacing w:after="0" w:line="19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FFFFFF"/>
        </w:rPr>
        <w:t>9 US Trademarks</w:t>
      </w:r>
    </w:p>
    <w:p>
      <w:pPr>
        <w:spacing w:after="0" w:line="9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FFFFFF"/>
        </w:rPr>
        <w:t>16 Foreign Trademarks</w:t>
      </w:r>
    </w:p>
    <w:p>
      <w:pPr>
        <w:spacing w:after="0" w:line="276" w:lineRule="exact"/>
        <w:rPr>
          <w:sz w:val="20"/>
          <w:szCs w:val="20"/>
          <w:color w:val="auto"/>
        </w:rPr>
      </w:pPr>
    </w:p>
    <w:p>
      <w:pPr>
        <w:spacing w:after="0"/>
        <w:rPr>
          <w:sz w:val="20"/>
          <w:szCs w:val="20"/>
          <w:color w:val="auto"/>
        </w:rPr>
      </w:pPr>
      <w:r>
        <w:rPr>
          <w:rFonts w:ascii="Arial" w:cs="Arial" w:eastAsia="Arial" w:hAnsi="Arial"/>
          <w:sz w:val="110"/>
          <w:szCs w:val="110"/>
          <w:color w:val="8C8C8C"/>
        </w:rPr>
        <w:t>487</w:t>
      </w:r>
    </w:p>
    <w:p>
      <w:pPr>
        <w:ind w:right="1380"/>
        <w:spacing w:after="0" w:line="310" w:lineRule="auto"/>
        <w:rPr>
          <w:sz w:val="20"/>
          <w:szCs w:val="20"/>
          <w:color w:val="auto"/>
        </w:rPr>
      </w:pPr>
      <w:r>
        <w:rPr>
          <w:rFonts w:ascii="Arial" w:cs="Arial" w:eastAsia="Arial" w:hAnsi="Arial"/>
          <w:sz w:val="28"/>
          <w:szCs w:val="28"/>
          <w:b w:val="1"/>
          <w:bCs w:val="1"/>
          <w:color w:val="FFFFFF"/>
        </w:rPr>
        <w:t>APPLICATIONS IN PROCESS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FFFF"/>
        </w:rPr>
        <w:t>176 Pending US Patent Applications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FFFF"/>
        </w:rPr>
        <w:t>296 Pending Foreign Patent Applications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FFFF"/>
        </w:rPr>
        <w:t>15 Trademark Applications</w:t>
      </w:r>
    </w:p>
    <w:p>
      <w:pPr>
        <w:spacing w:after="0" w:line="278" w:lineRule="exact"/>
        <w:rPr>
          <w:sz w:val="20"/>
          <w:szCs w:val="20"/>
          <w:color w:val="auto"/>
        </w:rPr>
      </w:pPr>
    </w:p>
    <w:p>
      <w:pPr>
        <w:sectPr>
          <w:pgSz w:w="12240" w:h="15840" w:orient="portrait"/>
          <w:cols w:equalWidth="0" w:num="2">
            <w:col w:w="6560" w:space="720"/>
            <w:col w:w="3540"/>
          </w:cols>
          <w:pgMar w:left="780" w:top="45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160"/>
        <w:spacing w:after="0"/>
        <w:tabs>
          <w:tab w:leader="none" w:pos="10720" w:val="left"/>
        </w:tabs>
        <w:rPr>
          <w:sz w:val="20"/>
          <w:szCs w:val="20"/>
          <w:color w:val="auto"/>
        </w:rPr>
      </w:pPr>
      <w:r>
        <w:rPr>
          <w:rFonts w:ascii="Times New Roman" w:cs="Times New Roman" w:eastAsia="Times New Roman" w:hAnsi="Times New Roman"/>
          <w:sz w:val="10"/>
          <w:szCs w:val="10"/>
          <w:color w:val="FFFFFF"/>
        </w:rPr>
        <w:t>2022 ANNUAL REPORT</w:t>
      </w:r>
      <w:r>
        <w:rPr>
          <w:sz w:val="20"/>
          <w:szCs w:val="20"/>
          <w:color w:val="auto"/>
        </w:rPr>
        <w:tab/>
      </w:r>
      <w:r>
        <w:rPr>
          <w:rFonts w:ascii="Arial" w:cs="Arial" w:eastAsia="Arial" w:hAnsi="Arial"/>
          <w:sz w:val="14"/>
          <w:szCs w:val="14"/>
          <w:b w:val="1"/>
          <w:bCs w:val="1"/>
          <w:color w:val="FFFFFF"/>
        </w:rPr>
        <w:t>5</w:t>
      </w:r>
    </w:p>
    <w:p>
      <w:pPr>
        <w:sectPr>
          <w:pgSz w:w="12240" w:h="15840" w:orient="portrait"/>
          <w:cols w:equalWidth="0" w:num="1">
            <w:col w:w="10820"/>
          </w:cols>
          <w:pgMar w:left="780" w:top="454" w:right="640" w:bottom="0" w:gutter="0" w:footer="0" w:header="0"/>
          <w:type w:val="continuous"/>
        </w:sectPr>
      </w:pPr>
    </w:p>
    <w:bookmarkStart w:id="5" w:name="page6"/>
    <w:bookmarkEnd w:id="5"/>
    <w:p>
      <w:pPr>
        <w:ind w:left="30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LETTER FROM THE CEO</w:t>
      </w:r>
    </w:p>
    <w:p>
      <w:pPr>
        <w:spacing w:after="0" w:line="371" w:lineRule="exact"/>
        <w:rPr>
          <w:sz w:val="20"/>
          <w:szCs w:val="20"/>
          <w:color w:val="auto"/>
        </w:rPr>
      </w:pPr>
    </w:p>
    <w:p>
      <w:pPr>
        <w:ind w:left="80" w:right="2960"/>
        <w:spacing w:after="0" w:line="314" w:lineRule="auto"/>
        <w:rPr>
          <w:sz w:val="20"/>
          <w:szCs w:val="20"/>
          <w:color w:val="auto"/>
        </w:rPr>
      </w:pPr>
      <w:r>
        <w:rPr>
          <w:rFonts w:ascii="Arial" w:cs="Arial" w:eastAsia="Arial" w:hAnsi="Arial"/>
          <w:sz w:val="103"/>
          <w:szCs w:val="103"/>
          <w:color w:val="FFFFFF"/>
        </w:rPr>
        <w:t>Three Yards and a Cloud of Dust</w:t>
      </w:r>
    </w:p>
    <w:p>
      <w:pPr>
        <w:sectPr>
          <w:pgSz w:w="12240" w:h="15840" w:orient="portrait"/>
          <w:cols w:equalWidth="0" w:num="1">
            <w:col w:w="10760"/>
          </w:cols>
          <w:pgMar w:left="640" w:top="454" w:right="840" w:bottom="0" w:gutter="0" w:footer="0" w:header="0"/>
        </w:sectPr>
      </w:pPr>
    </w:p>
    <w:p>
      <w:pPr>
        <w:spacing w:after="0" w:line="196" w:lineRule="exact"/>
        <w:rPr>
          <w:sz w:val="20"/>
          <w:szCs w:val="20"/>
          <w:color w:val="auto"/>
        </w:rPr>
      </w:pPr>
    </w:p>
    <w:p>
      <w:pPr>
        <w:ind w:left="80"/>
        <w:spacing w:after="0" w:line="315" w:lineRule="auto"/>
        <w:rPr>
          <w:sz w:val="20"/>
          <w:szCs w:val="20"/>
          <w:color w:val="auto"/>
        </w:rPr>
      </w:pPr>
      <w:r>
        <w:rPr>
          <w:rFonts w:ascii="Arial" w:cs="Arial" w:eastAsia="Arial" w:hAnsi="Arial"/>
          <w:sz w:val="35"/>
          <w:szCs w:val="35"/>
          <w:color w:val="FFFFFF"/>
        </w:rPr>
        <w:t>As a long-time fan of Ohio State football, I liken our work in 2022 to the old line from Coaching Legend Woody Hayes: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right="260"/>
        <w:spacing w:after="0" w:line="407" w:lineRule="auto"/>
        <w:rPr>
          <w:sz w:val="20"/>
          <w:szCs w:val="20"/>
          <w:color w:val="auto"/>
        </w:rPr>
      </w:pPr>
      <w:r>
        <w:rPr>
          <w:rFonts w:ascii="Arial" w:cs="Arial" w:eastAsia="Arial" w:hAnsi="Arial"/>
          <w:sz w:val="21"/>
          <w:szCs w:val="21"/>
          <w:color w:val="FFFFFF"/>
        </w:rPr>
        <w:t>“… some newspapermen call our attack ‘three yards and a cloud of dust.’ But we don’t care what the offense is called as long as it wins football games. I’m willing to take three and one-third yards on every play and force the other guy to make mistakes.”</w:t>
      </w:r>
    </w:p>
    <w:p>
      <w:pPr>
        <w:spacing w:after="0" w:line="33" w:lineRule="exact"/>
        <w:rPr>
          <w:sz w:val="20"/>
          <w:szCs w:val="20"/>
          <w:color w:val="auto"/>
        </w:rPr>
      </w:pPr>
    </w:p>
    <w:p>
      <w:pPr>
        <w:sectPr>
          <w:pgSz w:w="12240" w:h="15840" w:orient="portrait"/>
          <w:cols w:equalWidth="0" w:num="2">
            <w:col w:w="5120" w:space="480"/>
            <w:col w:w="5160"/>
          </w:cols>
          <w:pgMar w:left="640" w:top="454" w:right="840" w:bottom="0" w:gutter="0" w:footer="0" w:header="0"/>
          <w:type w:val="continuous"/>
        </w:sectPr>
      </w:pPr>
    </w:p>
    <w:p>
      <w:pPr>
        <w:ind w:left="5600"/>
        <w:spacing w:after="0"/>
        <w:rPr>
          <w:sz w:val="20"/>
          <w:szCs w:val="20"/>
          <w:color w:val="auto"/>
        </w:rPr>
      </w:pPr>
      <w:r>
        <w:rPr>
          <w:rFonts w:ascii="Times New Roman" w:cs="Times New Roman" w:eastAsia="Times New Roman" w:hAnsi="Times New Roman"/>
          <w:sz w:val="14"/>
          <w:szCs w:val="14"/>
          <w:color w:val="FFFFFF"/>
        </w:rPr>
        <w:t>Associated Press, ‘Hayes Talks At Clinic,’ Herald-News (Passaic, NJ), March 17, 1959</w:t>
      </w:r>
    </w:p>
    <w:p>
      <w:pPr>
        <w:sectPr>
          <w:pgSz w:w="12240" w:h="15840" w:orient="portrait"/>
          <w:cols w:equalWidth="0" w:num="1">
            <w:col w:w="10760"/>
          </w:cols>
          <w:pgMar w:left="640" w:top="454"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0"/>
        <w:spacing w:after="0" w:line="385" w:lineRule="auto"/>
        <w:rPr>
          <w:sz w:val="20"/>
          <w:szCs w:val="20"/>
          <w:color w:val="auto"/>
        </w:rPr>
      </w:pPr>
      <w:r>
        <w:rPr>
          <w:rFonts w:ascii="Arial" w:cs="Arial" w:eastAsia="Arial" w:hAnsi="Arial"/>
          <w:sz w:val="15"/>
          <w:szCs w:val="15"/>
          <w:b w:val="1"/>
          <w:bCs w:val="1"/>
          <w:color w:val="FFFFFF"/>
        </w:rPr>
        <w:t>To that end, there were many things that Gentex did in 2022 that I am proud of. Our teams remained incredibly agile, and worked hard to respond quickly to the issues caused by part shortages, order changes, and customer shutdowns. We were able to avoid any major shutdowns or misses for our customers through product re-designs and incredible flexibility from our engineering, operations and supply chain teams. We were able to grow our revenue despite the hurdles we faced, shipping 44.1 million interior and exterior auto-dimming mirrors, and returned more than $227 million dollars to our shareholders through dividends and repurchases. We made great strides in reducing the barriers to employment in our communities, growing our Spanish speaking manufacturing lines, and launching the Gentex Foundation to invest in Science, Technology, Engineering and Mathematics (STEM) programs and many other causes that help make the communities where we live and work into better places. We continued to expand our reach globally, launching our first final assembly lines in China to support local OEMs. We also invested in the technology that we believe will propel the company forward, and showcased many of these exciting products to our customers, investors, and the public at CES in January of 2023.</w:t>
      </w:r>
    </w:p>
    <w:p>
      <w:pPr>
        <w:spacing w:after="0" w:line="323" w:lineRule="exact"/>
        <w:rPr>
          <w:sz w:val="20"/>
          <w:szCs w:val="20"/>
          <w:color w:val="auto"/>
        </w:rPr>
      </w:pPr>
    </w:p>
    <w:p>
      <w:pPr>
        <w:ind w:left="80"/>
        <w:spacing w:after="0" w:line="467" w:lineRule="auto"/>
        <w:rPr>
          <w:sz w:val="20"/>
          <w:szCs w:val="20"/>
          <w:color w:val="auto"/>
        </w:rPr>
      </w:pPr>
      <w:r>
        <w:rPr>
          <w:rFonts w:ascii="Arial" w:cs="Arial" w:eastAsia="Arial" w:hAnsi="Arial"/>
          <w:sz w:val="15"/>
          <w:szCs w:val="15"/>
          <w:b w:val="1"/>
          <w:bCs w:val="1"/>
          <w:color w:val="FFFFFF"/>
        </w:rPr>
        <w:t>This does not mean that 2022 was the clean, shiny year of growth and performance that we expected. Like the Woody Hayes quote, we had to live in the trenches and get a bit dusty in order to keep the ball moving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80"/>
        <w:spacing w:after="0" w:line="406" w:lineRule="auto"/>
        <w:rPr>
          <w:sz w:val="20"/>
          <w:szCs w:val="20"/>
          <w:color w:val="auto"/>
        </w:rPr>
      </w:pPr>
      <w:r>
        <w:rPr>
          <w:rFonts w:ascii="Arial" w:cs="Arial" w:eastAsia="Arial" w:hAnsi="Arial"/>
          <w:sz w:val="15"/>
          <w:szCs w:val="15"/>
          <w:b w:val="1"/>
          <w:bCs w:val="1"/>
          <w:color w:val="FFFFFF"/>
        </w:rPr>
        <w:t>forward. We faced unprecedented cost increases in our raw materials and freight, battled labor and component shortages, and had to scramble to keep up with customer orders that were unpredictable due to intermittent shutdowns at nearly every major customer and supplier across the globe. Our margins came under substantial pressure, and many of the cost increases we took on will take some time to reverse, but we are up that challenge.</w:t>
      </w:r>
    </w:p>
    <w:p>
      <w:pPr>
        <w:spacing w:after="0" w:line="28" w:lineRule="exact"/>
        <w:rPr>
          <w:sz w:val="20"/>
          <w:szCs w:val="20"/>
          <w:color w:val="auto"/>
        </w:rPr>
      </w:pPr>
    </w:p>
    <w:p>
      <w:pPr>
        <w:ind w:right="60"/>
        <w:spacing w:after="0" w:line="401" w:lineRule="auto"/>
        <w:rPr>
          <w:sz w:val="20"/>
          <w:szCs w:val="20"/>
          <w:color w:val="auto"/>
        </w:rPr>
      </w:pPr>
      <w:r>
        <w:rPr>
          <w:rFonts w:ascii="Arial" w:cs="Arial" w:eastAsia="Arial" w:hAnsi="Arial"/>
          <w:sz w:val="15"/>
          <w:szCs w:val="15"/>
          <w:b w:val="1"/>
          <w:bCs w:val="1"/>
          <w:color w:val="FFFFFF"/>
        </w:rPr>
        <w:t>Gentex is resilient, and we have the team, the product portfolio, and the grit required to build back our industry leading margins while continuing to outperform the market. As we look into 2023, we are working hard to make sure that this coming year will be remembered as the year where we broke through the 2-billion-dollar revenue threshold. At the same time, we are setting the stage for cost and margin improvement opportunities that will enable us to get back to 35 to 36 percent margins by the end of 2024.</w:t>
      </w:r>
    </w:p>
    <w:p>
      <w:pPr>
        <w:spacing w:after="0" w:line="34" w:lineRule="exact"/>
        <w:rPr>
          <w:sz w:val="20"/>
          <w:szCs w:val="20"/>
          <w:color w:val="auto"/>
        </w:rPr>
      </w:pPr>
    </w:p>
    <w:p>
      <w:pPr>
        <w:spacing w:after="0" w:line="436" w:lineRule="auto"/>
        <w:rPr>
          <w:sz w:val="20"/>
          <w:szCs w:val="20"/>
          <w:color w:val="auto"/>
        </w:rPr>
      </w:pPr>
      <w:r>
        <w:rPr>
          <w:rFonts w:ascii="Arial" w:cs="Arial" w:eastAsia="Arial" w:hAnsi="Arial"/>
          <w:sz w:val="15"/>
          <w:szCs w:val="15"/>
          <w:b w:val="1"/>
          <w:bCs w:val="1"/>
          <w:color w:val="FFFFFF"/>
        </w:rPr>
        <w:t>In the following pages, you will see our plans and the product road map that will underpin our path to record revenue, improved margin performance, and increasing shareholder returns over the next two years. As always, we appreciate your continued support and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FFFF"/>
        </w:rPr>
        <w:t>Steve Downing</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FFFFFF"/>
        </w:rPr>
        <w:t>President and CEO</w:t>
      </w:r>
    </w:p>
    <w:p>
      <w:pPr>
        <w:spacing w:after="0" w:line="200" w:lineRule="exact"/>
        <w:rPr>
          <w:sz w:val="20"/>
          <w:szCs w:val="20"/>
          <w:color w:val="auto"/>
        </w:rPr>
      </w:pPr>
    </w:p>
    <w:p>
      <w:pPr>
        <w:sectPr>
          <w:pgSz w:w="12240" w:h="15840" w:orient="portrait"/>
          <w:cols w:equalWidth="0" w:num="2">
            <w:col w:w="5320" w:space="280"/>
            <w:col w:w="5160"/>
          </w:cols>
          <w:pgMar w:left="640" w:top="454" w:right="840" w:bottom="0" w:gutter="0" w:footer="0" w:header="0"/>
          <w:type w:val="continuous"/>
        </w:sectPr>
      </w:pPr>
    </w:p>
    <w:p>
      <w:pPr>
        <w:spacing w:after="0" w:line="216" w:lineRule="exact"/>
        <w:rPr>
          <w:sz w:val="20"/>
          <w:szCs w:val="20"/>
          <w:color w:val="auto"/>
        </w:rPr>
      </w:pPr>
    </w:p>
    <w:p>
      <w:pPr>
        <w:spacing w:after="0"/>
        <w:tabs>
          <w:tab w:leader="none" w:pos="340" w:val="left"/>
        </w:tabs>
        <w:rPr>
          <w:sz w:val="20"/>
          <w:szCs w:val="20"/>
          <w:color w:val="auto"/>
        </w:rPr>
      </w:pPr>
      <w:r>
        <w:rPr>
          <w:rFonts w:ascii="Arial" w:cs="Arial" w:eastAsia="Arial" w:hAnsi="Arial"/>
          <w:sz w:val="24"/>
          <w:szCs w:val="24"/>
          <w:b w:val="1"/>
          <w:bCs w:val="1"/>
          <w:color w:val="161616"/>
        </w:rPr>
        <w:t>6</w:t>
      </w:r>
      <w:r>
        <w:rPr>
          <w:rFonts w:ascii="Arial" w:cs="Arial" w:eastAsia="Arial" w:hAnsi="Arial"/>
          <w:sz w:val="24"/>
          <w:szCs w:val="24"/>
          <w:b w:val="1"/>
          <w:bCs w:val="1"/>
          <w:color w:val="FFFFFF"/>
        </w:rPr>
        <w:t>6</w:t>
      </w:r>
      <w:r>
        <w:rPr>
          <w:sz w:val="20"/>
          <w:szCs w:val="20"/>
          <w:color w:val="auto"/>
        </w:rPr>
        <w:tab/>
      </w:r>
      <w:r>
        <w:rPr>
          <w:rFonts w:ascii="Times New Roman" w:cs="Times New Roman" w:eastAsia="Times New Roman" w:hAnsi="Times New Roman"/>
          <w:sz w:val="6"/>
          <w:szCs w:val="6"/>
          <w:color w:val="161616"/>
        </w:rPr>
        <w:t>GENTEX</w:t>
      </w:r>
      <w:r>
        <w:rPr>
          <w:rFonts w:ascii="Times New Roman" w:cs="Times New Roman" w:eastAsia="Times New Roman" w:hAnsi="Times New Roman"/>
          <w:sz w:val="6"/>
          <w:szCs w:val="6"/>
          <w:color w:val="FFFFFF"/>
        </w:rPr>
        <w:t>GENTEX</w:t>
      </w:r>
      <w:r>
        <w:rPr>
          <w:rFonts w:ascii="Times New Roman" w:cs="Times New Roman" w:eastAsia="Times New Roman" w:hAnsi="Times New Roman"/>
          <w:sz w:val="6"/>
          <w:szCs w:val="6"/>
          <w:color w:val="161616"/>
        </w:rPr>
        <w:t xml:space="preserve"> CORPORATION</w:t>
      </w:r>
      <w:r>
        <w:rPr>
          <w:rFonts w:ascii="Times New Roman" w:cs="Times New Roman" w:eastAsia="Times New Roman" w:hAnsi="Times New Roman"/>
          <w:sz w:val="6"/>
          <w:szCs w:val="6"/>
          <w:color w:val="FFFFFF"/>
        </w:rPr>
        <w:t>CORPORATION</w:t>
      </w:r>
    </w:p>
    <w:p>
      <w:pPr>
        <w:sectPr>
          <w:pgSz w:w="12240" w:h="15840" w:orient="portrait"/>
          <w:cols w:equalWidth="0" w:num="1">
            <w:col w:w="10760"/>
          </w:cols>
          <w:pgMar w:left="640" w:top="454" w:right="840" w:bottom="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500"/>
        <w:spacing w:after="0"/>
        <w:tabs>
          <w:tab w:leader="none" w:pos="10060" w:val="left"/>
        </w:tabs>
        <w:rPr>
          <w:sz w:val="20"/>
          <w:szCs w:val="20"/>
          <w:color w:val="auto"/>
        </w:rPr>
      </w:pPr>
      <w:r>
        <w:rPr>
          <w:rFonts w:ascii="Times New Roman" w:cs="Times New Roman" w:eastAsia="Times New Roman" w:hAnsi="Times New Roman"/>
          <w:sz w:val="8"/>
          <w:szCs w:val="8"/>
          <w:color w:val="161616"/>
        </w:rPr>
        <w:t>2022</w:t>
      </w:r>
      <w:r>
        <w:rPr>
          <w:rFonts w:ascii="Times New Roman" w:cs="Times New Roman" w:eastAsia="Times New Roman" w:hAnsi="Times New Roman"/>
          <w:sz w:val="8"/>
          <w:szCs w:val="8"/>
          <w:color w:val="FFFFFF"/>
        </w:rPr>
        <w:t>2022</w:t>
      </w:r>
      <w:r>
        <w:rPr>
          <w:rFonts w:ascii="Times New Roman" w:cs="Times New Roman" w:eastAsia="Times New Roman" w:hAnsi="Times New Roman"/>
          <w:sz w:val="8"/>
          <w:szCs w:val="8"/>
          <w:color w:val="161616"/>
        </w:rPr>
        <w:t xml:space="preserve"> ANNUAL</w:t>
      </w:r>
      <w:r>
        <w:rPr>
          <w:rFonts w:ascii="Times New Roman" w:cs="Times New Roman" w:eastAsia="Times New Roman" w:hAnsi="Times New Roman"/>
          <w:sz w:val="8"/>
          <w:szCs w:val="8"/>
          <w:color w:val="FFFFFF"/>
        </w:rPr>
        <w:t>ANNUAL</w:t>
      </w:r>
      <w:r>
        <w:rPr>
          <w:rFonts w:ascii="Times New Roman" w:cs="Times New Roman" w:eastAsia="Times New Roman" w:hAnsi="Times New Roman"/>
          <w:sz w:val="8"/>
          <w:szCs w:val="8"/>
          <w:color w:val="161616"/>
        </w:rPr>
        <w:t xml:space="preserve"> REPORT</w:t>
      </w:r>
      <w:r>
        <w:rPr>
          <w:rFonts w:ascii="Times New Roman" w:cs="Times New Roman" w:eastAsia="Times New Roman" w:hAnsi="Times New Roman"/>
          <w:sz w:val="8"/>
          <w:szCs w:val="8"/>
          <w:color w:val="FFFFFF"/>
        </w:rPr>
        <w:t>REPORT</w:t>
      </w:r>
      <w:r>
        <w:rPr>
          <w:sz w:val="20"/>
          <w:szCs w:val="20"/>
          <w:color w:val="auto"/>
        </w:rPr>
        <w:tab/>
      </w:r>
      <w:r>
        <w:rPr>
          <w:rFonts w:ascii="Arial" w:cs="Arial" w:eastAsia="Arial" w:hAnsi="Arial"/>
          <w:sz w:val="7"/>
          <w:szCs w:val="7"/>
          <w:b w:val="1"/>
          <w:bCs w:val="1"/>
          <w:color w:val="161616"/>
        </w:rPr>
        <w:t>7</w:t>
      </w:r>
      <w:r>
        <w:rPr>
          <w:rFonts w:ascii="Arial" w:cs="Arial" w:eastAsia="Arial" w:hAnsi="Arial"/>
          <w:sz w:val="7"/>
          <w:szCs w:val="7"/>
          <w:b w:val="1"/>
          <w:bCs w:val="1"/>
          <w:color w:val="FFFFFF"/>
        </w:rPr>
        <w:t>7</w:t>
      </w:r>
    </w:p>
    <w:p>
      <w:pPr>
        <w:sectPr>
          <w:pgSz w:w="12240" w:h="15840" w:orient="portrait"/>
          <w:cols w:equalWidth="0" w:num="1">
            <w:col w:w="10160"/>
          </w:cols>
          <w:pgMar w:left="1440" w:top="1440" w:right="640" w:bottom="0" w:gutter="0" w:footer="0" w:header="0"/>
        </w:sectPr>
      </w:pPr>
    </w:p>
    <w:bookmarkStart w:id="7" w:name="page8"/>
    <w:bookmarkEnd w:id="7"/>
    <w:p>
      <w:pPr>
        <w:ind w:left="30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FINANCIAL PERFORMANCE</w:t>
      </w:r>
    </w:p>
    <w:p>
      <w:pPr>
        <w:spacing w:after="0" w:line="400" w:lineRule="exact"/>
        <w:rPr>
          <w:sz w:val="20"/>
          <w:szCs w:val="20"/>
          <w:color w:val="auto"/>
        </w:rPr>
      </w:pPr>
    </w:p>
    <w:p>
      <w:pPr>
        <w:jc w:val="center"/>
        <w:ind w:right="-299"/>
        <w:spacing w:after="0"/>
        <w:rPr>
          <w:sz w:val="20"/>
          <w:szCs w:val="20"/>
          <w:color w:val="auto"/>
        </w:rPr>
      </w:pPr>
      <w:r>
        <w:rPr>
          <w:rFonts w:ascii="Arial" w:cs="Arial" w:eastAsia="Arial" w:hAnsi="Arial"/>
          <w:sz w:val="32"/>
          <w:szCs w:val="32"/>
          <w:color w:val="FFFFFF"/>
        </w:rPr>
        <w:t>TOTAL MIRRORS</w:t>
      </w:r>
    </w:p>
    <w:p>
      <w:pPr>
        <w:jc w:val="center"/>
        <w:ind w:right="-279"/>
        <w:spacing w:after="0" w:line="221" w:lineRule="auto"/>
        <w:rPr>
          <w:sz w:val="20"/>
          <w:szCs w:val="20"/>
          <w:color w:val="auto"/>
        </w:rPr>
      </w:pPr>
      <w:r>
        <w:rPr>
          <w:rFonts w:ascii="Arial" w:cs="Arial" w:eastAsia="Arial" w:hAnsi="Arial"/>
          <w:sz w:val="44"/>
          <w:szCs w:val="44"/>
          <w:color w:val="8C8C8C"/>
        </w:rPr>
        <w:t xml:space="preserve">44.2 </w:t>
      </w:r>
      <w:r>
        <w:rPr>
          <w:rFonts w:ascii="Arial" w:cs="Arial" w:eastAsia="Arial" w:hAnsi="Arial"/>
          <w:sz w:val="32"/>
          <w:szCs w:val="32"/>
          <w:color w:val="8C8C8C"/>
        </w:rPr>
        <w:t>M</w:t>
      </w:r>
    </w:p>
    <w:p>
      <w:pPr>
        <w:spacing w:after="0" w:line="3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FFFFFF"/>
        </w:rPr>
        <w:t xml:space="preserve">+5.7% | 41.8 </w:t>
      </w:r>
      <w:r>
        <w:rPr>
          <w:rFonts w:ascii="Arial" w:cs="Arial" w:eastAsia="Arial" w:hAnsi="Arial"/>
          <w:sz w:val="12"/>
          <w:szCs w:val="12"/>
          <w:b w:val="1"/>
          <w:bCs w:val="1"/>
          <w:color w:val="FFFFFF"/>
        </w:rPr>
        <w:t>M</w:t>
      </w:r>
      <w:r>
        <w:rPr>
          <w:rFonts w:ascii="Arial" w:cs="Arial" w:eastAsia="Arial" w:hAnsi="Arial"/>
          <w:sz w:val="18"/>
          <w:szCs w:val="18"/>
          <w:b w:val="1"/>
          <w:bCs w:val="1"/>
          <w:color w:val="FFFFFF"/>
        </w:rPr>
        <w:t xml:space="preserve"> in 2021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100" w:type="dxa"/>
        <w:tblCellMar>
          <w:top w:w="0" w:type="dxa"/>
          <w:left w:w="0" w:type="dxa"/>
          <w:bottom w:w="0" w:type="dxa"/>
          <w:right w:w="0" w:type="dxa"/>
        </w:tblCellMar>
      </w:tblPr>
      <w:tr>
        <w:trPr>
          <w:trHeight w:val="368"/>
        </w:trPr>
        <w:tc>
          <w:tcPr>
            <w:tcW w:w="3180" w:type="dxa"/>
            <w:vAlign w:val="bottom"/>
          </w:tcPr>
          <w:p>
            <w:pPr>
              <w:jc w:val="center"/>
              <w:ind w:right="423"/>
              <w:spacing w:after="0"/>
              <w:rPr>
                <w:sz w:val="20"/>
                <w:szCs w:val="20"/>
                <w:color w:val="auto"/>
              </w:rPr>
            </w:pPr>
            <w:r>
              <w:rPr>
                <w:rFonts w:ascii="Arial" w:cs="Arial" w:eastAsia="Arial" w:hAnsi="Arial"/>
                <w:sz w:val="32"/>
                <w:szCs w:val="32"/>
                <w:color w:val="FFFFFF"/>
                <w:w w:val="89"/>
              </w:rPr>
              <w:t>Interior Mirrors (IEC)</w:t>
            </w:r>
          </w:p>
        </w:tc>
        <w:tc>
          <w:tcPr>
            <w:tcW w:w="3140" w:type="dxa"/>
            <w:vAlign w:val="bottom"/>
          </w:tcPr>
          <w:p>
            <w:pPr>
              <w:jc w:val="center"/>
              <w:ind w:left="427"/>
              <w:spacing w:after="0"/>
              <w:rPr>
                <w:sz w:val="20"/>
                <w:szCs w:val="20"/>
                <w:color w:val="auto"/>
              </w:rPr>
            </w:pPr>
            <w:r>
              <w:rPr>
                <w:rFonts w:ascii="Arial" w:cs="Arial" w:eastAsia="Arial" w:hAnsi="Arial"/>
                <w:sz w:val="32"/>
                <w:szCs w:val="32"/>
                <w:color w:val="FFFFFF"/>
                <w:w w:val="80"/>
              </w:rPr>
              <w:t>Outside Mirrors (OEC)</w:t>
            </w:r>
          </w:p>
        </w:tc>
      </w:tr>
      <w:tr>
        <w:trPr>
          <w:trHeight w:val="475"/>
        </w:trPr>
        <w:tc>
          <w:tcPr>
            <w:tcW w:w="3180" w:type="dxa"/>
            <w:vAlign w:val="bottom"/>
          </w:tcPr>
          <w:p>
            <w:pPr>
              <w:jc w:val="center"/>
              <w:ind w:right="403"/>
              <w:spacing w:after="0" w:line="475" w:lineRule="exact"/>
              <w:rPr>
                <w:sz w:val="20"/>
                <w:szCs w:val="20"/>
                <w:color w:val="auto"/>
              </w:rPr>
            </w:pPr>
            <w:r>
              <w:rPr>
                <w:rFonts w:ascii="Arial" w:cs="Arial" w:eastAsia="Arial" w:hAnsi="Arial"/>
                <w:sz w:val="44"/>
                <w:szCs w:val="44"/>
                <w:color w:val="8C8C8C"/>
                <w:w w:val="72"/>
              </w:rPr>
              <w:t xml:space="preserve">28.7 </w:t>
            </w:r>
            <w:r>
              <w:rPr>
                <w:rFonts w:ascii="Arial" w:cs="Arial" w:eastAsia="Arial" w:hAnsi="Arial"/>
                <w:sz w:val="32"/>
                <w:szCs w:val="32"/>
                <w:color w:val="8C8C8C"/>
                <w:w w:val="72"/>
              </w:rPr>
              <w:t>M</w:t>
            </w:r>
          </w:p>
        </w:tc>
        <w:tc>
          <w:tcPr>
            <w:tcW w:w="3140" w:type="dxa"/>
            <w:vAlign w:val="bottom"/>
          </w:tcPr>
          <w:p>
            <w:pPr>
              <w:jc w:val="center"/>
              <w:ind w:left="427"/>
              <w:spacing w:after="0" w:line="475" w:lineRule="exact"/>
              <w:rPr>
                <w:sz w:val="20"/>
                <w:szCs w:val="20"/>
                <w:color w:val="auto"/>
              </w:rPr>
            </w:pPr>
            <w:r>
              <w:rPr>
                <w:rFonts w:ascii="Arial" w:cs="Arial" w:eastAsia="Arial" w:hAnsi="Arial"/>
                <w:sz w:val="42"/>
                <w:szCs w:val="42"/>
                <w:color w:val="8C8C8C"/>
                <w:w w:val="70"/>
              </w:rPr>
              <w:t xml:space="preserve">15.1 </w:t>
            </w:r>
            <w:r>
              <w:rPr>
                <w:rFonts w:ascii="Arial" w:cs="Arial" w:eastAsia="Arial" w:hAnsi="Arial"/>
                <w:sz w:val="31"/>
                <w:szCs w:val="31"/>
                <w:color w:val="8C8C8C"/>
                <w:w w:val="70"/>
              </w:rPr>
              <w:t>M</w:t>
            </w:r>
          </w:p>
        </w:tc>
      </w:tr>
      <w:tr>
        <w:trPr>
          <w:trHeight w:val="339"/>
        </w:trPr>
        <w:tc>
          <w:tcPr>
            <w:tcW w:w="3180" w:type="dxa"/>
            <w:vAlign w:val="bottom"/>
          </w:tcPr>
          <w:p>
            <w:pPr>
              <w:jc w:val="center"/>
              <w:ind w:right="423"/>
              <w:spacing w:after="0"/>
              <w:rPr>
                <w:sz w:val="20"/>
                <w:szCs w:val="20"/>
                <w:color w:val="auto"/>
              </w:rPr>
            </w:pPr>
            <w:r>
              <w:rPr>
                <w:rFonts w:ascii="Arial" w:cs="Arial" w:eastAsia="Arial" w:hAnsi="Arial"/>
                <w:sz w:val="18"/>
                <w:szCs w:val="18"/>
                <w:b w:val="1"/>
                <w:bCs w:val="1"/>
                <w:color w:val="FFFFFF"/>
                <w:w w:val="91"/>
              </w:rPr>
              <w:t>+5.5% | 27.2 M in 2021</w:t>
            </w:r>
          </w:p>
        </w:tc>
        <w:tc>
          <w:tcPr>
            <w:tcW w:w="3140" w:type="dxa"/>
            <w:vAlign w:val="bottom"/>
          </w:tcPr>
          <w:p>
            <w:pPr>
              <w:jc w:val="center"/>
              <w:ind w:left="427"/>
              <w:spacing w:after="0"/>
              <w:rPr>
                <w:sz w:val="20"/>
                <w:szCs w:val="20"/>
                <w:color w:val="auto"/>
              </w:rPr>
            </w:pPr>
            <w:r>
              <w:rPr>
                <w:rFonts w:ascii="Arial" w:cs="Arial" w:eastAsia="Arial" w:hAnsi="Arial"/>
                <w:sz w:val="18"/>
                <w:szCs w:val="18"/>
                <w:b w:val="1"/>
                <w:bCs w:val="1"/>
                <w:color w:val="FFFFFF"/>
                <w:w w:val="91"/>
              </w:rPr>
              <w:t>+6.2% | 14.6 M in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889"/>
        </w:trPr>
        <w:tc>
          <w:tcPr>
            <w:tcW w:w="240" w:type="dxa"/>
            <w:vAlign w:val="bottom"/>
            <w:tcBorders>
              <w:right w:val="single" w:sz="8" w:color="E0E0E0"/>
            </w:tcBorders>
          </w:tcPr>
          <w:p>
            <w:pPr>
              <w:spacing w:after="0"/>
              <w:rPr>
                <w:sz w:val="24"/>
                <w:szCs w:val="24"/>
                <w:color w:val="auto"/>
              </w:rPr>
            </w:pPr>
          </w:p>
        </w:tc>
        <w:tc>
          <w:tcPr>
            <w:tcW w:w="3400" w:type="dxa"/>
            <w:vAlign w:val="bottom"/>
            <w:gridSpan w:val="2"/>
            <w:shd w:val="clear" w:color="auto" w:fill="E0E0E0"/>
          </w:tcPr>
          <w:p>
            <w:pPr>
              <w:ind w:left="220"/>
              <w:spacing w:after="0"/>
              <w:rPr>
                <w:sz w:val="20"/>
                <w:szCs w:val="20"/>
                <w:color w:val="auto"/>
              </w:rPr>
            </w:pPr>
            <w:r>
              <w:rPr>
                <w:rFonts w:ascii="Arial" w:cs="Arial" w:eastAsia="Arial" w:hAnsi="Arial"/>
                <w:sz w:val="70"/>
                <w:szCs w:val="70"/>
                <w:color w:val="161616"/>
              </w:rPr>
              <w:t>2022</w:t>
            </w:r>
          </w:p>
        </w:tc>
        <w:tc>
          <w:tcPr>
            <w:tcW w:w="318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3360" w:type="dxa"/>
            <w:vAlign w:val="bottom"/>
            <w:gridSpan w:val="2"/>
          </w:tcPr>
          <w:p>
            <w:pPr>
              <w:ind w:left="240"/>
              <w:spacing w:after="0"/>
              <w:rPr>
                <w:sz w:val="20"/>
                <w:szCs w:val="20"/>
                <w:color w:val="auto"/>
              </w:rPr>
            </w:pPr>
            <w:r>
              <w:rPr>
                <w:rFonts w:ascii="Arial" w:cs="Arial" w:eastAsia="Arial" w:hAnsi="Arial"/>
                <w:sz w:val="70"/>
                <w:szCs w:val="70"/>
                <w:color w:val="161616"/>
              </w:rPr>
              <w:t>2023</w:t>
            </w:r>
          </w:p>
        </w:tc>
      </w:tr>
      <w:tr>
        <w:trPr>
          <w:trHeight w:val="67"/>
        </w:trPr>
        <w:tc>
          <w:tcPr>
            <w:tcW w:w="240" w:type="dxa"/>
            <w:vAlign w:val="bottom"/>
            <w:tcBorders>
              <w:right w:val="single" w:sz="8" w:color="E0E0E0"/>
            </w:tcBorders>
          </w:tcPr>
          <w:p>
            <w:pPr>
              <w:spacing w:after="0"/>
              <w:rPr>
                <w:sz w:val="5"/>
                <w:szCs w:val="5"/>
                <w:color w:val="auto"/>
              </w:rPr>
            </w:pPr>
          </w:p>
        </w:tc>
        <w:tc>
          <w:tcPr>
            <w:tcW w:w="3400" w:type="dxa"/>
            <w:vAlign w:val="bottom"/>
            <w:gridSpan w:val="2"/>
            <w:shd w:val="clear" w:color="auto" w:fill="E0E0E0"/>
          </w:tcPr>
          <w:p>
            <w:pPr>
              <w:spacing w:after="0"/>
              <w:rPr>
                <w:sz w:val="5"/>
                <w:szCs w:val="5"/>
                <w:color w:val="auto"/>
              </w:rPr>
            </w:pPr>
          </w:p>
        </w:tc>
        <w:tc>
          <w:tcPr>
            <w:tcW w:w="3180" w:type="dxa"/>
            <w:vAlign w:val="bottom"/>
            <w:shd w:val="clear" w:color="auto" w:fill="E0E0E0"/>
          </w:tcPr>
          <w:p>
            <w:pPr>
              <w:spacing w:after="0"/>
              <w:rPr>
                <w:sz w:val="5"/>
                <w:szCs w:val="5"/>
                <w:color w:val="auto"/>
              </w:rPr>
            </w:pPr>
          </w:p>
        </w:tc>
        <w:tc>
          <w:tcPr>
            <w:tcW w:w="220" w:type="dxa"/>
            <w:vAlign w:val="bottom"/>
            <w:shd w:val="clear" w:color="auto" w:fill="E0E0E0"/>
          </w:tcPr>
          <w:p>
            <w:pPr>
              <w:spacing w:after="0"/>
              <w:rPr>
                <w:sz w:val="5"/>
                <w:szCs w:val="5"/>
                <w:color w:val="auto"/>
              </w:rPr>
            </w:pPr>
          </w:p>
        </w:tc>
        <w:tc>
          <w:tcPr>
            <w:tcW w:w="1340" w:type="dxa"/>
            <w:vAlign w:val="bottom"/>
          </w:tcPr>
          <w:p>
            <w:pPr>
              <w:spacing w:after="0"/>
              <w:rPr>
                <w:sz w:val="5"/>
                <w:szCs w:val="5"/>
                <w:color w:val="auto"/>
              </w:rPr>
            </w:pPr>
          </w:p>
        </w:tc>
        <w:tc>
          <w:tcPr>
            <w:tcW w:w="2020" w:type="dxa"/>
            <w:vAlign w:val="bottom"/>
          </w:tcPr>
          <w:p>
            <w:pPr>
              <w:spacing w:after="0"/>
              <w:rPr>
                <w:sz w:val="5"/>
                <w:szCs w:val="5"/>
                <w:color w:val="auto"/>
              </w:rPr>
            </w:pPr>
          </w:p>
        </w:tc>
      </w:tr>
      <w:tr>
        <w:trPr>
          <w:trHeight w:val="101"/>
        </w:trPr>
        <w:tc>
          <w:tcPr>
            <w:tcW w:w="240" w:type="dxa"/>
            <w:vAlign w:val="bottom"/>
            <w:tcBorders>
              <w:right w:val="single" w:sz="8" w:color="8C8C8C"/>
            </w:tcBorders>
            <w:shd w:val="clear" w:color="auto" w:fill="8C8C8C"/>
          </w:tcPr>
          <w:p>
            <w:pPr>
              <w:spacing w:after="0"/>
              <w:rPr>
                <w:sz w:val="8"/>
                <w:szCs w:val="8"/>
                <w:color w:val="auto"/>
              </w:rPr>
            </w:pPr>
          </w:p>
        </w:tc>
        <w:tc>
          <w:tcPr>
            <w:tcW w:w="1320" w:type="dxa"/>
            <w:vAlign w:val="bottom"/>
            <w:shd w:val="clear" w:color="auto" w:fill="8C8C8C"/>
          </w:tcPr>
          <w:p>
            <w:pPr>
              <w:spacing w:after="0"/>
              <w:rPr>
                <w:sz w:val="8"/>
                <w:szCs w:val="8"/>
                <w:color w:val="auto"/>
              </w:rPr>
            </w:pPr>
          </w:p>
        </w:tc>
        <w:tc>
          <w:tcPr>
            <w:tcW w:w="2080" w:type="dxa"/>
            <w:vAlign w:val="bottom"/>
            <w:shd w:val="clear" w:color="auto" w:fill="E0E0E0"/>
          </w:tcPr>
          <w:p>
            <w:pPr>
              <w:spacing w:after="0"/>
              <w:rPr>
                <w:sz w:val="8"/>
                <w:szCs w:val="8"/>
                <w:color w:val="auto"/>
              </w:rPr>
            </w:pPr>
          </w:p>
        </w:tc>
        <w:tc>
          <w:tcPr>
            <w:tcW w:w="3180" w:type="dxa"/>
            <w:vAlign w:val="bottom"/>
            <w:shd w:val="clear" w:color="auto" w:fill="E0E0E0"/>
          </w:tcPr>
          <w:p>
            <w:pPr>
              <w:spacing w:after="0"/>
              <w:rPr>
                <w:sz w:val="8"/>
                <w:szCs w:val="8"/>
                <w:color w:val="auto"/>
              </w:rPr>
            </w:pPr>
          </w:p>
        </w:tc>
        <w:tc>
          <w:tcPr>
            <w:tcW w:w="220" w:type="dxa"/>
            <w:vAlign w:val="bottom"/>
            <w:shd w:val="clear" w:color="auto" w:fill="8C8C8C"/>
          </w:tcPr>
          <w:p>
            <w:pPr>
              <w:spacing w:after="0"/>
              <w:rPr>
                <w:sz w:val="8"/>
                <w:szCs w:val="8"/>
                <w:color w:val="auto"/>
              </w:rPr>
            </w:pPr>
          </w:p>
        </w:tc>
        <w:tc>
          <w:tcPr>
            <w:tcW w:w="1340" w:type="dxa"/>
            <w:vAlign w:val="bottom"/>
            <w:shd w:val="clear" w:color="auto" w:fill="8C8C8C"/>
          </w:tcPr>
          <w:p>
            <w:pPr>
              <w:spacing w:after="0"/>
              <w:rPr>
                <w:sz w:val="8"/>
                <w:szCs w:val="8"/>
                <w:color w:val="auto"/>
              </w:rPr>
            </w:pPr>
          </w:p>
        </w:tc>
        <w:tc>
          <w:tcPr>
            <w:tcW w:w="2020" w:type="dxa"/>
            <w:vAlign w:val="bottom"/>
          </w:tcPr>
          <w:p>
            <w:pPr>
              <w:spacing w:after="0"/>
              <w:rPr>
                <w:sz w:val="8"/>
                <w:szCs w:val="8"/>
                <w:color w:val="auto"/>
              </w:rPr>
            </w:pPr>
          </w:p>
        </w:tc>
      </w:tr>
      <w:tr>
        <w:trPr>
          <w:trHeight w:val="575"/>
        </w:trPr>
        <w:tc>
          <w:tcPr>
            <w:tcW w:w="240" w:type="dxa"/>
            <w:vAlign w:val="bottom"/>
            <w:tcBorders>
              <w:right w:val="single" w:sz="8" w:color="E0E0E0"/>
            </w:tcBorders>
          </w:tcPr>
          <w:p>
            <w:pPr>
              <w:spacing w:after="0"/>
              <w:rPr>
                <w:sz w:val="24"/>
                <w:szCs w:val="24"/>
                <w:color w:val="auto"/>
              </w:rPr>
            </w:pPr>
          </w:p>
        </w:tc>
        <w:tc>
          <w:tcPr>
            <w:tcW w:w="3400" w:type="dxa"/>
            <w:vAlign w:val="bottom"/>
            <w:gridSpan w:val="2"/>
            <w:shd w:val="clear" w:color="auto" w:fill="E0E0E0"/>
          </w:tcPr>
          <w:p>
            <w:pPr>
              <w:ind w:left="220"/>
              <w:spacing w:after="0"/>
              <w:rPr>
                <w:sz w:val="20"/>
                <w:szCs w:val="20"/>
                <w:color w:val="auto"/>
              </w:rPr>
            </w:pPr>
            <w:r>
              <w:rPr>
                <w:rFonts w:ascii="Arial" w:cs="Arial" w:eastAsia="Arial" w:hAnsi="Arial"/>
                <w:sz w:val="22"/>
                <w:szCs w:val="22"/>
                <w:b w:val="1"/>
                <w:bCs w:val="1"/>
                <w:color w:val="161616"/>
                <w:w w:val="99"/>
              </w:rPr>
              <w:t>RETURN TO SHAREHOLDERS</w:t>
            </w:r>
          </w:p>
        </w:tc>
        <w:tc>
          <w:tcPr>
            <w:tcW w:w="3400" w:type="dxa"/>
            <w:vAlign w:val="bottom"/>
            <w:gridSpan w:val="2"/>
            <w:shd w:val="clear" w:color="auto" w:fill="E0E0E0"/>
          </w:tcPr>
          <w:p>
            <w:pPr>
              <w:ind w:left="140"/>
              <w:spacing w:after="0"/>
              <w:rPr>
                <w:sz w:val="20"/>
                <w:szCs w:val="20"/>
                <w:color w:val="auto"/>
              </w:rPr>
            </w:pPr>
            <w:r>
              <w:rPr>
                <w:rFonts w:ascii="Arial" w:cs="Arial" w:eastAsia="Arial" w:hAnsi="Arial"/>
                <w:sz w:val="22"/>
                <w:szCs w:val="22"/>
                <w:b w:val="1"/>
                <w:bCs w:val="1"/>
                <w:color w:val="161616"/>
              </w:rPr>
              <w:t>PERFORMANCE</w:t>
            </w:r>
          </w:p>
        </w:tc>
        <w:tc>
          <w:tcPr>
            <w:tcW w:w="3360" w:type="dxa"/>
            <w:vAlign w:val="bottom"/>
            <w:gridSpan w:val="2"/>
          </w:tcPr>
          <w:p>
            <w:pPr>
              <w:ind w:left="240"/>
              <w:spacing w:after="0"/>
              <w:rPr>
                <w:sz w:val="20"/>
                <w:szCs w:val="20"/>
                <w:color w:val="auto"/>
              </w:rPr>
            </w:pPr>
            <w:r>
              <w:rPr>
                <w:rFonts w:ascii="Arial" w:cs="Arial" w:eastAsia="Arial" w:hAnsi="Arial"/>
                <w:sz w:val="22"/>
                <w:szCs w:val="22"/>
                <w:b w:val="1"/>
                <w:bCs w:val="1"/>
                <w:color w:val="161616"/>
              </w:rPr>
              <w:t xml:space="preserve">GUIDANCE </w:t>
            </w:r>
            <w:r>
              <w:rPr>
                <w:rFonts w:ascii="Times New Roman" w:cs="Times New Roman" w:eastAsia="Times New Roman" w:hAnsi="Times New Roman"/>
                <w:sz w:val="18"/>
                <w:szCs w:val="18"/>
                <w:color w:val="161616"/>
              </w:rPr>
              <w:t>(As of January 27, 2023)</w:t>
            </w:r>
          </w:p>
        </w:tc>
      </w:tr>
      <w:tr>
        <w:trPr>
          <w:trHeight w:val="634"/>
        </w:trPr>
        <w:tc>
          <w:tcPr>
            <w:tcW w:w="240" w:type="dxa"/>
            <w:vAlign w:val="bottom"/>
            <w:tcBorders>
              <w:right w:val="single" w:sz="8" w:color="E0E0E0"/>
            </w:tcBorders>
          </w:tcPr>
          <w:p>
            <w:pPr>
              <w:spacing w:after="0"/>
              <w:rPr>
                <w:sz w:val="24"/>
                <w:szCs w:val="24"/>
                <w:color w:val="auto"/>
              </w:rPr>
            </w:pPr>
          </w:p>
        </w:tc>
        <w:tc>
          <w:tcPr>
            <w:tcW w:w="3400" w:type="dxa"/>
            <w:vAlign w:val="bottom"/>
            <w:gridSpan w:val="2"/>
            <w:shd w:val="clear" w:color="auto" w:fill="E0E0E0"/>
          </w:tcPr>
          <w:p>
            <w:pPr>
              <w:ind w:left="220"/>
              <w:spacing w:after="0"/>
              <w:rPr>
                <w:sz w:val="20"/>
                <w:szCs w:val="20"/>
                <w:color w:val="auto"/>
              </w:rPr>
            </w:pPr>
            <w:r>
              <w:rPr>
                <w:rFonts w:ascii="Arial" w:cs="Arial" w:eastAsia="Arial" w:hAnsi="Arial"/>
                <w:sz w:val="44"/>
                <w:szCs w:val="44"/>
                <w:color w:val="161616"/>
              </w:rPr>
              <w:t xml:space="preserve">$113.1 </w:t>
            </w:r>
            <w:r>
              <w:rPr>
                <w:rFonts w:ascii="Arial" w:cs="Arial" w:eastAsia="Arial" w:hAnsi="Arial"/>
                <w:sz w:val="32"/>
                <w:szCs w:val="32"/>
                <w:color w:val="161616"/>
              </w:rPr>
              <w:t>M</w:t>
            </w:r>
          </w:p>
        </w:tc>
        <w:tc>
          <w:tcPr>
            <w:tcW w:w="3400" w:type="dxa"/>
            <w:vAlign w:val="bottom"/>
            <w:gridSpan w:val="2"/>
            <w:shd w:val="clear" w:color="auto" w:fill="E0E0E0"/>
          </w:tcPr>
          <w:p>
            <w:pPr>
              <w:ind w:left="140"/>
              <w:spacing w:after="0"/>
              <w:rPr>
                <w:sz w:val="20"/>
                <w:szCs w:val="20"/>
                <w:color w:val="auto"/>
              </w:rPr>
            </w:pPr>
            <w:r>
              <w:rPr>
                <w:rFonts w:ascii="Arial" w:cs="Arial" w:eastAsia="Arial" w:hAnsi="Arial"/>
                <w:sz w:val="44"/>
                <w:szCs w:val="44"/>
                <w:color w:val="161616"/>
              </w:rPr>
              <w:t xml:space="preserve">$1.92 </w:t>
            </w:r>
            <w:r>
              <w:rPr>
                <w:rFonts w:ascii="Arial" w:cs="Arial" w:eastAsia="Arial" w:hAnsi="Arial"/>
                <w:sz w:val="32"/>
                <w:szCs w:val="32"/>
                <w:color w:val="161616"/>
              </w:rPr>
              <w:t>B</w:t>
            </w:r>
          </w:p>
        </w:tc>
        <w:tc>
          <w:tcPr>
            <w:tcW w:w="3360" w:type="dxa"/>
            <w:vAlign w:val="bottom"/>
            <w:gridSpan w:val="2"/>
          </w:tcPr>
          <w:p>
            <w:pPr>
              <w:ind w:left="240"/>
              <w:spacing w:after="0"/>
              <w:rPr>
                <w:sz w:val="20"/>
                <w:szCs w:val="20"/>
                <w:color w:val="auto"/>
              </w:rPr>
            </w:pPr>
            <w:r>
              <w:rPr>
                <w:rFonts w:ascii="Arial" w:cs="Arial" w:eastAsia="Arial" w:hAnsi="Arial"/>
                <w:sz w:val="44"/>
                <w:szCs w:val="44"/>
                <w:color w:val="161616"/>
              </w:rPr>
              <w:t xml:space="preserve">$2.2 </w:t>
            </w:r>
            <w:r>
              <w:rPr>
                <w:rFonts w:ascii="Arial" w:cs="Arial" w:eastAsia="Arial" w:hAnsi="Arial"/>
                <w:sz w:val="32"/>
                <w:szCs w:val="32"/>
                <w:color w:val="161616"/>
              </w:rPr>
              <w:t>b</w:t>
            </w:r>
          </w:p>
        </w:tc>
      </w:tr>
      <w:tr>
        <w:trPr>
          <w:trHeight w:val="310"/>
        </w:trPr>
        <w:tc>
          <w:tcPr>
            <w:tcW w:w="240" w:type="dxa"/>
            <w:vAlign w:val="bottom"/>
            <w:tcBorders>
              <w:right w:val="single" w:sz="8" w:color="E0E0E0"/>
            </w:tcBorders>
          </w:tcPr>
          <w:p>
            <w:pPr>
              <w:spacing w:after="0"/>
              <w:rPr>
                <w:sz w:val="24"/>
                <w:szCs w:val="24"/>
                <w:color w:val="auto"/>
              </w:rPr>
            </w:pPr>
          </w:p>
        </w:tc>
        <w:tc>
          <w:tcPr>
            <w:tcW w:w="3400" w:type="dxa"/>
            <w:vAlign w:val="bottom"/>
            <w:gridSpan w:val="2"/>
            <w:shd w:val="clear" w:color="auto" w:fill="E0E0E0"/>
          </w:tcPr>
          <w:p>
            <w:pPr>
              <w:ind w:left="220"/>
              <w:spacing w:after="0"/>
              <w:rPr>
                <w:sz w:val="20"/>
                <w:szCs w:val="20"/>
                <w:color w:val="auto"/>
              </w:rPr>
            </w:pPr>
            <w:r>
              <w:rPr>
                <w:rFonts w:ascii="Times New Roman" w:cs="Times New Roman" w:eastAsia="Times New Roman" w:hAnsi="Times New Roman"/>
                <w:sz w:val="18"/>
                <w:szCs w:val="18"/>
                <w:color w:val="161616"/>
              </w:rPr>
              <w:t>Cash Dividends Paid</w:t>
            </w:r>
          </w:p>
        </w:tc>
        <w:tc>
          <w:tcPr>
            <w:tcW w:w="3400" w:type="dxa"/>
            <w:vAlign w:val="bottom"/>
            <w:gridSpan w:val="2"/>
            <w:shd w:val="clear" w:color="auto" w:fill="E0E0E0"/>
          </w:tcPr>
          <w:p>
            <w:pPr>
              <w:ind w:left="140"/>
              <w:spacing w:after="0"/>
              <w:rPr>
                <w:sz w:val="20"/>
                <w:szCs w:val="20"/>
                <w:color w:val="auto"/>
              </w:rPr>
            </w:pPr>
            <w:r>
              <w:rPr>
                <w:rFonts w:ascii="Times New Roman" w:cs="Times New Roman" w:eastAsia="Times New Roman" w:hAnsi="Times New Roman"/>
                <w:sz w:val="18"/>
                <w:szCs w:val="18"/>
                <w:color w:val="161616"/>
              </w:rPr>
              <w:t xml:space="preserve">Revenue </w:t>
            </w:r>
            <w:r>
              <w:rPr>
                <w:rFonts w:ascii="Arial" w:cs="Arial" w:eastAsia="Arial" w:hAnsi="Arial"/>
                <w:sz w:val="18"/>
                <w:szCs w:val="18"/>
                <w:i w:val="1"/>
                <w:iCs w:val="1"/>
                <w:color w:val="161616"/>
              </w:rPr>
              <w:t>(+11%)</w:t>
            </w:r>
          </w:p>
        </w:tc>
        <w:tc>
          <w:tcPr>
            <w:tcW w:w="3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161616"/>
              </w:rPr>
              <w:t>Revenue</w:t>
            </w:r>
          </w:p>
        </w:tc>
      </w:tr>
      <w:tr>
        <w:trPr>
          <w:trHeight w:val="544"/>
        </w:trPr>
        <w:tc>
          <w:tcPr>
            <w:tcW w:w="240" w:type="dxa"/>
            <w:vAlign w:val="bottom"/>
            <w:tcBorders>
              <w:right w:val="single" w:sz="8" w:color="E0E0E0"/>
            </w:tcBorders>
          </w:tcPr>
          <w:p>
            <w:pPr>
              <w:spacing w:after="0"/>
              <w:rPr>
                <w:sz w:val="24"/>
                <w:szCs w:val="24"/>
                <w:color w:val="auto"/>
              </w:rPr>
            </w:pPr>
          </w:p>
        </w:tc>
        <w:tc>
          <w:tcPr>
            <w:tcW w:w="3400" w:type="dxa"/>
            <w:vAlign w:val="bottom"/>
            <w:gridSpan w:val="2"/>
            <w:shd w:val="clear" w:color="auto" w:fill="E0E0E0"/>
          </w:tcPr>
          <w:p>
            <w:pPr>
              <w:ind w:left="220"/>
              <w:spacing w:after="0"/>
              <w:rPr>
                <w:sz w:val="20"/>
                <w:szCs w:val="20"/>
                <w:color w:val="auto"/>
              </w:rPr>
            </w:pPr>
            <w:r>
              <w:rPr>
                <w:rFonts w:ascii="Arial" w:cs="Arial" w:eastAsia="Arial" w:hAnsi="Arial"/>
                <w:sz w:val="44"/>
                <w:szCs w:val="44"/>
                <w:color w:val="161616"/>
              </w:rPr>
              <w:t>$.48/</w:t>
            </w:r>
            <w:r>
              <w:rPr>
                <w:rFonts w:ascii="Arial" w:cs="Arial" w:eastAsia="Arial" w:hAnsi="Arial"/>
                <w:sz w:val="32"/>
                <w:szCs w:val="32"/>
                <w:color w:val="161616"/>
              </w:rPr>
              <w:t>share</w:t>
            </w:r>
          </w:p>
        </w:tc>
        <w:tc>
          <w:tcPr>
            <w:tcW w:w="3180" w:type="dxa"/>
            <w:vAlign w:val="bottom"/>
            <w:shd w:val="clear" w:color="auto" w:fill="E0E0E0"/>
          </w:tcPr>
          <w:p>
            <w:pPr>
              <w:ind w:left="140"/>
              <w:spacing w:after="0"/>
              <w:rPr>
                <w:sz w:val="20"/>
                <w:szCs w:val="20"/>
                <w:color w:val="auto"/>
              </w:rPr>
            </w:pPr>
            <w:r>
              <w:rPr>
                <w:rFonts w:ascii="Arial" w:cs="Arial" w:eastAsia="Arial" w:hAnsi="Arial"/>
                <w:sz w:val="44"/>
                <w:szCs w:val="44"/>
                <w:color w:val="161616"/>
              </w:rPr>
              <w:t>31.8%</w:t>
            </w:r>
          </w:p>
        </w:tc>
        <w:tc>
          <w:tcPr>
            <w:tcW w:w="220" w:type="dxa"/>
            <w:vAlign w:val="bottom"/>
            <w:shd w:val="clear" w:color="auto" w:fill="E0E0E0"/>
          </w:tcPr>
          <w:p>
            <w:pPr>
              <w:spacing w:after="0"/>
              <w:rPr>
                <w:sz w:val="24"/>
                <w:szCs w:val="24"/>
                <w:color w:val="auto"/>
              </w:rPr>
            </w:pPr>
          </w:p>
        </w:tc>
        <w:tc>
          <w:tcPr>
            <w:tcW w:w="3360" w:type="dxa"/>
            <w:vAlign w:val="bottom"/>
            <w:gridSpan w:val="2"/>
          </w:tcPr>
          <w:p>
            <w:pPr>
              <w:ind w:left="240"/>
              <w:spacing w:after="0"/>
              <w:rPr>
                <w:sz w:val="20"/>
                <w:szCs w:val="20"/>
                <w:color w:val="auto"/>
              </w:rPr>
            </w:pPr>
            <w:r>
              <w:rPr>
                <w:rFonts w:ascii="Arial" w:cs="Arial" w:eastAsia="Arial" w:hAnsi="Arial"/>
                <w:sz w:val="44"/>
                <w:szCs w:val="44"/>
                <w:color w:val="161616"/>
              </w:rPr>
              <w:t>32%–33%</w:t>
            </w:r>
          </w:p>
        </w:tc>
      </w:tr>
      <w:tr>
        <w:trPr>
          <w:trHeight w:val="310"/>
        </w:trPr>
        <w:tc>
          <w:tcPr>
            <w:tcW w:w="240" w:type="dxa"/>
            <w:vAlign w:val="bottom"/>
            <w:tcBorders>
              <w:right w:val="single" w:sz="8" w:color="E0E0E0"/>
            </w:tcBorders>
          </w:tcPr>
          <w:p>
            <w:pPr>
              <w:spacing w:after="0"/>
              <w:rPr>
                <w:sz w:val="24"/>
                <w:szCs w:val="24"/>
                <w:color w:val="auto"/>
              </w:rPr>
            </w:pPr>
          </w:p>
        </w:tc>
        <w:tc>
          <w:tcPr>
            <w:tcW w:w="3400" w:type="dxa"/>
            <w:vAlign w:val="bottom"/>
            <w:gridSpan w:val="2"/>
            <w:shd w:val="clear" w:color="auto" w:fill="E0E0E0"/>
          </w:tcPr>
          <w:p>
            <w:pPr>
              <w:ind w:left="220"/>
              <w:spacing w:after="0"/>
              <w:rPr>
                <w:sz w:val="20"/>
                <w:szCs w:val="20"/>
                <w:color w:val="auto"/>
              </w:rPr>
            </w:pPr>
            <w:r>
              <w:rPr>
                <w:rFonts w:ascii="Times New Roman" w:cs="Times New Roman" w:eastAsia="Times New Roman" w:hAnsi="Times New Roman"/>
                <w:sz w:val="18"/>
                <w:szCs w:val="18"/>
                <w:color w:val="161616"/>
              </w:rPr>
              <w:t>Dividend</w:t>
            </w:r>
          </w:p>
        </w:tc>
        <w:tc>
          <w:tcPr>
            <w:tcW w:w="3400" w:type="dxa"/>
            <w:vAlign w:val="bottom"/>
            <w:gridSpan w:val="2"/>
            <w:shd w:val="clear" w:color="auto" w:fill="E0E0E0"/>
          </w:tcPr>
          <w:p>
            <w:pPr>
              <w:ind w:left="140"/>
              <w:spacing w:after="0"/>
              <w:rPr>
                <w:sz w:val="20"/>
                <w:szCs w:val="20"/>
                <w:color w:val="auto"/>
              </w:rPr>
            </w:pPr>
            <w:r>
              <w:rPr>
                <w:rFonts w:ascii="Times New Roman" w:cs="Times New Roman" w:eastAsia="Times New Roman" w:hAnsi="Times New Roman"/>
                <w:sz w:val="18"/>
                <w:szCs w:val="18"/>
                <w:color w:val="161616"/>
              </w:rPr>
              <w:t>Gross Margin</w:t>
            </w:r>
          </w:p>
        </w:tc>
        <w:tc>
          <w:tcPr>
            <w:tcW w:w="3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161616"/>
              </w:rPr>
              <w:t>Gross Margin</w:t>
            </w:r>
          </w:p>
        </w:tc>
      </w:tr>
      <w:tr>
        <w:trPr>
          <w:trHeight w:val="544"/>
        </w:trPr>
        <w:tc>
          <w:tcPr>
            <w:tcW w:w="240" w:type="dxa"/>
            <w:vAlign w:val="bottom"/>
            <w:tcBorders>
              <w:right w:val="single" w:sz="8" w:color="E0E0E0"/>
            </w:tcBorders>
          </w:tcPr>
          <w:p>
            <w:pPr>
              <w:spacing w:after="0"/>
              <w:rPr>
                <w:sz w:val="24"/>
                <w:szCs w:val="24"/>
                <w:color w:val="auto"/>
              </w:rPr>
            </w:pPr>
          </w:p>
        </w:tc>
        <w:tc>
          <w:tcPr>
            <w:tcW w:w="3400" w:type="dxa"/>
            <w:vAlign w:val="bottom"/>
            <w:gridSpan w:val="2"/>
            <w:shd w:val="clear" w:color="auto" w:fill="E0E0E0"/>
          </w:tcPr>
          <w:p>
            <w:pPr>
              <w:ind w:left="220"/>
              <w:spacing w:after="0"/>
              <w:rPr>
                <w:sz w:val="20"/>
                <w:szCs w:val="20"/>
                <w:color w:val="auto"/>
              </w:rPr>
            </w:pPr>
            <w:r>
              <w:rPr>
                <w:rFonts w:ascii="Arial" w:cs="Arial" w:eastAsia="Arial" w:hAnsi="Arial"/>
                <w:sz w:val="44"/>
                <w:szCs w:val="44"/>
                <w:color w:val="161616"/>
              </w:rPr>
              <w:t xml:space="preserve">$113.9 </w:t>
            </w:r>
            <w:r>
              <w:rPr>
                <w:rFonts w:ascii="Arial" w:cs="Arial" w:eastAsia="Arial" w:hAnsi="Arial"/>
                <w:sz w:val="32"/>
                <w:szCs w:val="32"/>
                <w:color w:val="161616"/>
              </w:rPr>
              <w:t>M</w:t>
            </w:r>
          </w:p>
        </w:tc>
        <w:tc>
          <w:tcPr>
            <w:tcW w:w="3400" w:type="dxa"/>
            <w:vAlign w:val="bottom"/>
            <w:gridSpan w:val="2"/>
            <w:shd w:val="clear" w:color="auto" w:fill="E0E0E0"/>
          </w:tcPr>
          <w:p>
            <w:pPr>
              <w:ind w:left="140"/>
              <w:spacing w:after="0"/>
              <w:rPr>
                <w:sz w:val="20"/>
                <w:szCs w:val="20"/>
                <w:color w:val="auto"/>
              </w:rPr>
            </w:pPr>
            <w:r>
              <w:rPr>
                <w:rFonts w:ascii="Arial" w:cs="Arial" w:eastAsia="Arial" w:hAnsi="Arial"/>
                <w:sz w:val="44"/>
                <w:szCs w:val="44"/>
                <w:color w:val="161616"/>
              </w:rPr>
              <w:t xml:space="preserve">$239.8 </w:t>
            </w:r>
            <w:r>
              <w:rPr>
                <w:rFonts w:ascii="Arial" w:cs="Arial" w:eastAsia="Arial" w:hAnsi="Arial"/>
                <w:sz w:val="32"/>
                <w:szCs w:val="32"/>
                <w:color w:val="161616"/>
              </w:rPr>
              <w:t>m</w:t>
            </w:r>
          </w:p>
        </w:tc>
        <w:tc>
          <w:tcPr>
            <w:tcW w:w="3360" w:type="dxa"/>
            <w:vAlign w:val="bottom"/>
            <w:gridSpan w:val="2"/>
          </w:tcPr>
          <w:p>
            <w:pPr>
              <w:ind w:left="240"/>
              <w:spacing w:after="0"/>
              <w:rPr>
                <w:sz w:val="20"/>
                <w:szCs w:val="20"/>
                <w:color w:val="auto"/>
              </w:rPr>
            </w:pPr>
            <w:r>
              <w:rPr>
                <w:rFonts w:ascii="Arial" w:cs="Arial" w:eastAsia="Arial" w:hAnsi="Arial"/>
                <w:sz w:val="44"/>
                <w:szCs w:val="44"/>
                <w:color w:val="161616"/>
              </w:rPr>
              <w:t xml:space="preserve">$260–$270 </w:t>
            </w:r>
            <w:r>
              <w:rPr>
                <w:rFonts w:ascii="Arial" w:cs="Arial" w:eastAsia="Arial" w:hAnsi="Arial"/>
                <w:sz w:val="32"/>
                <w:szCs w:val="32"/>
                <w:color w:val="161616"/>
              </w:rPr>
              <w:t>m</w:t>
            </w:r>
          </w:p>
        </w:tc>
      </w:tr>
      <w:tr>
        <w:trPr>
          <w:trHeight w:val="312"/>
        </w:trPr>
        <w:tc>
          <w:tcPr>
            <w:tcW w:w="240" w:type="dxa"/>
            <w:vAlign w:val="bottom"/>
            <w:tcBorders>
              <w:right w:val="single" w:sz="8" w:color="E0E0E0"/>
            </w:tcBorders>
          </w:tcPr>
          <w:p>
            <w:pPr>
              <w:spacing w:after="0"/>
              <w:rPr>
                <w:sz w:val="24"/>
                <w:szCs w:val="24"/>
                <w:color w:val="auto"/>
              </w:rPr>
            </w:pPr>
          </w:p>
        </w:tc>
        <w:tc>
          <w:tcPr>
            <w:tcW w:w="3400" w:type="dxa"/>
            <w:vAlign w:val="bottom"/>
            <w:gridSpan w:val="2"/>
            <w:shd w:val="clear" w:color="auto" w:fill="E0E0E0"/>
          </w:tcPr>
          <w:p>
            <w:pPr>
              <w:ind w:left="220"/>
              <w:spacing w:after="0"/>
              <w:rPr>
                <w:sz w:val="20"/>
                <w:szCs w:val="20"/>
                <w:color w:val="auto"/>
              </w:rPr>
            </w:pPr>
            <w:r>
              <w:rPr>
                <w:rFonts w:ascii="Times New Roman" w:cs="Times New Roman" w:eastAsia="Times New Roman" w:hAnsi="Times New Roman"/>
                <w:sz w:val="18"/>
                <w:szCs w:val="18"/>
                <w:color w:val="161616"/>
              </w:rPr>
              <w:t>Share Repurchases</w:t>
            </w:r>
          </w:p>
        </w:tc>
        <w:tc>
          <w:tcPr>
            <w:tcW w:w="3400" w:type="dxa"/>
            <w:vAlign w:val="bottom"/>
            <w:gridSpan w:val="2"/>
            <w:shd w:val="clear" w:color="auto" w:fill="E0E0E0"/>
          </w:tcPr>
          <w:p>
            <w:pPr>
              <w:ind w:left="140"/>
              <w:spacing w:after="0"/>
              <w:rPr>
                <w:sz w:val="20"/>
                <w:szCs w:val="20"/>
                <w:color w:val="auto"/>
              </w:rPr>
            </w:pPr>
            <w:r>
              <w:rPr>
                <w:rFonts w:ascii="Times New Roman" w:cs="Times New Roman" w:eastAsia="Times New Roman" w:hAnsi="Times New Roman"/>
                <w:sz w:val="18"/>
                <w:szCs w:val="18"/>
                <w:color w:val="161616"/>
              </w:rPr>
              <w:t xml:space="preserve">Operating Expenses </w:t>
            </w:r>
            <w:r>
              <w:rPr>
                <w:rFonts w:ascii="Arial" w:cs="Arial" w:eastAsia="Arial" w:hAnsi="Arial"/>
                <w:sz w:val="18"/>
                <w:szCs w:val="18"/>
                <w:i w:val="1"/>
                <w:iCs w:val="1"/>
                <w:color w:val="161616"/>
              </w:rPr>
              <w:t>(E, R&amp;D and S, G&amp;A)</w:t>
            </w:r>
          </w:p>
        </w:tc>
        <w:tc>
          <w:tcPr>
            <w:tcW w:w="3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161616"/>
                <w:w w:val="96"/>
              </w:rPr>
              <w:t xml:space="preserve">Operating Expenses </w:t>
            </w:r>
            <w:r>
              <w:rPr>
                <w:rFonts w:ascii="Arial" w:cs="Arial" w:eastAsia="Arial" w:hAnsi="Arial"/>
                <w:sz w:val="18"/>
                <w:szCs w:val="18"/>
                <w:i w:val="1"/>
                <w:iCs w:val="1"/>
                <w:color w:val="161616"/>
                <w:w w:val="96"/>
              </w:rPr>
              <w:t>(E, R&amp;D and S, G&amp;A)</w:t>
            </w:r>
          </w:p>
        </w:tc>
      </w:tr>
      <w:tr>
        <w:trPr>
          <w:trHeight w:val="542"/>
        </w:trPr>
        <w:tc>
          <w:tcPr>
            <w:tcW w:w="240" w:type="dxa"/>
            <w:vAlign w:val="bottom"/>
            <w:tcBorders>
              <w:right w:val="single" w:sz="8" w:color="E0E0E0"/>
            </w:tcBorders>
          </w:tcPr>
          <w:p>
            <w:pPr>
              <w:spacing w:after="0"/>
              <w:rPr>
                <w:sz w:val="24"/>
                <w:szCs w:val="24"/>
                <w:color w:val="auto"/>
              </w:rPr>
            </w:pPr>
          </w:p>
        </w:tc>
        <w:tc>
          <w:tcPr>
            <w:tcW w:w="3400" w:type="dxa"/>
            <w:vAlign w:val="bottom"/>
            <w:gridSpan w:val="2"/>
            <w:shd w:val="clear" w:color="auto" w:fill="E0E0E0"/>
          </w:tcPr>
          <w:p>
            <w:pPr>
              <w:ind w:left="220"/>
              <w:spacing w:after="0"/>
              <w:rPr>
                <w:sz w:val="20"/>
                <w:szCs w:val="20"/>
                <w:color w:val="auto"/>
              </w:rPr>
            </w:pPr>
            <w:r>
              <w:rPr>
                <w:rFonts w:ascii="Arial" w:cs="Arial" w:eastAsia="Arial" w:hAnsi="Arial"/>
                <w:sz w:val="44"/>
                <w:szCs w:val="44"/>
                <w:color w:val="161616"/>
              </w:rPr>
              <w:t xml:space="preserve">4.04 </w:t>
            </w:r>
            <w:r>
              <w:rPr>
                <w:rFonts w:ascii="Arial" w:cs="Arial" w:eastAsia="Arial" w:hAnsi="Arial"/>
                <w:sz w:val="32"/>
                <w:szCs w:val="32"/>
                <w:color w:val="161616"/>
              </w:rPr>
              <w:t>M</w:t>
            </w:r>
          </w:p>
        </w:tc>
        <w:tc>
          <w:tcPr>
            <w:tcW w:w="3180" w:type="dxa"/>
            <w:vAlign w:val="bottom"/>
            <w:shd w:val="clear" w:color="auto" w:fill="E0E0E0"/>
          </w:tcPr>
          <w:p>
            <w:pPr>
              <w:ind w:left="140"/>
              <w:spacing w:after="0"/>
              <w:rPr>
                <w:sz w:val="20"/>
                <w:szCs w:val="20"/>
                <w:color w:val="auto"/>
              </w:rPr>
            </w:pPr>
            <w:r>
              <w:rPr>
                <w:rFonts w:ascii="Arial" w:cs="Arial" w:eastAsia="Arial" w:hAnsi="Arial"/>
                <w:sz w:val="44"/>
                <w:szCs w:val="44"/>
                <w:color w:val="161616"/>
              </w:rPr>
              <w:t>13.8%</w:t>
            </w:r>
          </w:p>
        </w:tc>
        <w:tc>
          <w:tcPr>
            <w:tcW w:w="220" w:type="dxa"/>
            <w:vAlign w:val="bottom"/>
            <w:shd w:val="clear" w:color="auto" w:fill="E0E0E0"/>
          </w:tcPr>
          <w:p>
            <w:pPr>
              <w:spacing w:after="0"/>
              <w:rPr>
                <w:sz w:val="24"/>
                <w:szCs w:val="24"/>
                <w:color w:val="auto"/>
              </w:rPr>
            </w:pPr>
          </w:p>
        </w:tc>
        <w:tc>
          <w:tcPr>
            <w:tcW w:w="3360" w:type="dxa"/>
            <w:vAlign w:val="bottom"/>
            <w:gridSpan w:val="2"/>
          </w:tcPr>
          <w:p>
            <w:pPr>
              <w:ind w:left="240"/>
              <w:spacing w:after="0"/>
              <w:rPr>
                <w:sz w:val="20"/>
                <w:szCs w:val="20"/>
                <w:color w:val="auto"/>
              </w:rPr>
            </w:pPr>
            <w:r>
              <w:rPr>
                <w:rFonts w:ascii="Arial" w:cs="Arial" w:eastAsia="Arial" w:hAnsi="Arial"/>
                <w:sz w:val="44"/>
                <w:szCs w:val="44"/>
                <w:color w:val="161616"/>
              </w:rPr>
              <w:t>15%–17%</w:t>
            </w:r>
          </w:p>
        </w:tc>
      </w:tr>
      <w:tr>
        <w:trPr>
          <w:trHeight w:val="312"/>
        </w:trPr>
        <w:tc>
          <w:tcPr>
            <w:tcW w:w="240" w:type="dxa"/>
            <w:vAlign w:val="bottom"/>
            <w:tcBorders>
              <w:right w:val="single" w:sz="8" w:color="E0E0E0"/>
            </w:tcBorders>
          </w:tcPr>
          <w:p>
            <w:pPr>
              <w:spacing w:after="0"/>
              <w:rPr>
                <w:sz w:val="24"/>
                <w:szCs w:val="24"/>
                <w:color w:val="auto"/>
              </w:rPr>
            </w:pPr>
          </w:p>
        </w:tc>
        <w:tc>
          <w:tcPr>
            <w:tcW w:w="3400" w:type="dxa"/>
            <w:vAlign w:val="bottom"/>
            <w:gridSpan w:val="2"/>
            <w:shd w:val="clear" w:color="auto" w:fill="E0E0E0"/>
          </w:tcPr>
          <w:p>
            <w:pPr>
              <w:ind w:left="220"/>
              <w:spacing w:after="0"/>
              <w:rPr>
                <w:sz w:val="20"/>
                <w:szCs w:val="20"/>
                <w:color w:val="auto"/>
              </w:rPr>
            </w:pPr>
            <w:r>
              <w:rPr>
                <w:rFonts w:ascii="Times New Roman" w:cs="Times New Roman" w:eastAsia="Times New Roman" w:hAnsi="Times New Roman"/>
                <w:sz w:val="18"/>
                <w:szCs w:val="18"/>
                <w:color w:val="161616"/>
              </w:rPr>
              <w:t>Shares Repurchased</w:t>
            </w:r>
          </w:p>
        </w:tc>
        <w:tc>
          <w:tcPr>
            <w:tcW w:w="3400" w:type="dxa"/>
            <w:vAlign w:val="bottom"/>
            <w:gridSpan w:val="2"/>
            <w:shd w:val="clear" w:color="auto" w:fill="E0E0E0"/>
          </w:tcPr>
          <w:p>
            <w:pPr>
              <w:ind w:left="140"/>
              <w:spacing w:after="0"/>
              <w:rPr>
                <w:sz w:val="20"/>
                <w:szCs w:val="20"/>
                <w:color w:val="auto"/>
              </w:rPr>
            </w:pPr>
            <w:r>
              <w:rPr>
                <w:rFonts w:ascii="Times New Roman" w:cs="Times New Roman" w:eastAsia="Times New Roman" w:hAnsi="Times New Roman"/>
                <w:sz w:val="18"/>
                <w:szCs w:val="18"/>
                <w:color w:val="161616"/>
              </w:rPr>
              <w:t>Annual Tax Rate</w:t>
            </w:r>
          </w:p>
        </w:tc>
        <w:tc>
          <w:tcPr>
            <w:tcW w:w="3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161616"/>
              </w:rPr>
              <w:t>Estimated Annual Tax Rate</w:t>
            </w:r>
          </w:p>
        </w:tc>
      </w:tr>
      <w:tr>
        <w:trPr>
          <w:trHeight w:val="542"/>
        </w:trPr>
        <w:tc>
          <w:tcPr>
            <w:tcW w:w="240" w:type="dxa"/>
            <w:vAlign w:val="bottom"/>
            <w:tcBorders>
              <w:right w:val="single" w:sz="8" w:color="E0E0E0"/>
            </w:tcBorders>
          </w:tcPr>
          <w:p>
            <w:pPr>
              <w:spacing w:after="0"/>
              <w:rPr>
                <w:sz w:val="24"/>
                <w:szCs w:val="24"/>
                <w:color w:val="auto"/>
              </w:rPr>
            </w:pPr>
          </w:p>
        </w:tc>
        <w:tc>
          <w:tcPr>
            <w:tcW w:w="3400" w:type="dxa"/>
            <w:vAlign w:val="bottom"/>
            <w:gridSpan w:val="2"/>
            <w:shd w:val="clear" w:color="auto" w:fill="E0E0E0"/>
          </w:tcPr>
          <w:p>
            <w:pPr>
              <w:ind w:left="220"/>
              <w:spacing w:after="0"/>
              <w:rPr>
                <w:sz w:val="20"/>
                <w:szCs w:val="20"/>
                <w:color w:val="auto"/>
              </w:rPr>
            </w:pPr>
            <w:r>
              <w:rPr>
                <w:rFonts w:ascii="Arial" w:cs="Arial" w:eastAsia="Arial" w:hAnsi="Arial"/>
                <w:sz w:val="44"/>
                <w:szCs w:val="44"/>
                <w:color w:val="161616"/>
              </w:rPr>
              <w:t xml:space="preserve">$227 </w:t>
            </w:r>
            <w:r>
              <w:rPr>
                <w:rFonts w:ascii="Arial" w:cs="Arial" w:eastAsia="Arial" w:hAnsi="Arial"/>
                <w:sz w:val="32"/>
                <w:szCs w:val="32"/>
                <w:color w:val="161616"/>
              </w:rPr>
              <w:t>M</w:t>
            </w:r>
          </w:p>
        </w:tc>
        <w:tc>
          <w:tcPr>
            <w:tcW w:w="3400" w:type="dxa"/>
            <w:vAlign w:val="bottom"/>
            <w:gridSpan w:val="2"/>
            <w:shd w:val="clear" w:color="auto" w:fill="E0E0E0"/>
          </w:tcPr>
          <w:p>
            <w:pPr>
              <w:ind w:left="140"/>
              <w:spacing w:after="0"/>
              <w:rPr>
                <w:sz w:val="20"/>
                <w:szCs w:val="20"/>
                <w:color w:val="auto"/>
              </w:rPr>
            </w:pPr>
            <w:r>
              <w:rPr>
                <w:rFonts w:ascii="Arial" w:cs="Arial" w:eastAsia="Arial" w:hAnsi="Arial"/>
                <w:sz w:val="44"/>
                <w:szCs w:val="44"/>
                <w:color w:val="161616"/>
              </w:rPr>
              <w:t xml:space="preserve">$146.4 </w:t>
            </w:r>
            <w:r>
              <w:rPr>
                <w:rFonts w:ascii="Arial" w:cs="Arial" w:eastAsia="Arial" w:hAnsi="Arial"/>
                <w:sz w:val="32"/>
                <w:szCs w:val="32"/>
                <w:color w:val="161616"/>
              </w:rPr>
              <w:t>m</w:t>
            </w:r>
          </w:p>
        </w:tc>
        <w:tc>
          <w:tcPr>
            <w:tcW w:w="3360" w:type="dxa"/>
            <w:vAlign w:val="bottom"/>
            <w:gridSpan w:val="2"/>
          </w:tcPr>
          <w:p>
            <w:pPr>
              <w:ind w:left="240"/>
              <w:spacing w:after="0"/>
              <w:rPr>
                <w:sz w:val="20"/>
                <w:szCs w:val="20"/>
                <w:color w:val="auto"/>
              </w:rPr>
            </w:pPr>
            <w:r>
              <w:rPr>
                <w:rFonts w:ascii="Arial" w:cs="Arial" w:eastAsia="Arial" w:hAnsi="Arial"/>
                <w:sz w:val="44"/>
                <w:szCs w:val="44"/>
                <w:color w:val="161616"/>
              </w:rPr>
              <w:t xml:space="preserve">$200–$225 </w:t>
            </w:r>
            <w:r>
              <w:rPr>
                <w:rFonts w:ascii="Arial" w:cs="Arial" w:eastAsia="Arial" w:hAnsi="Arial"/>
                <w:sz w:val="32"/>
                <w:szCs w:val="32"/>
                <w:color w:val="161616"/>
              </w:rPr>
              <w:t>m</w:t>
            </w:r>
          </w:p>
        </w:tc>
      </w:tr>
      <w:tr>
        <w:trPr>
          <w:trHeight w:val="313"/>
        </w:trPr>
        <w:tc>
          <w:tcPr>
            <w:tcW w:w="240" w:type="dxa"/>
            <w:vAlign w:val="bottom"/>
            <w:tcBorders>
              <w:right w:val="single" w:sz="8" w:color="E0E0E0"/>
            </w:tcBorders>
          </w:tcPr>
          <w:p>
            <w:pPr>
              <w:spacing w:after="0"/>
              <w:rPr>
                <w:sz w:val="24"/>
                <w:szCs w:val="24"/>
                <w:color w:val="auto"/>
              </w:rPr>
            </w:pPr>
          </w:p>
        </w:tc>
        <w:tc>
          <w:tcPr>
            <w:tcW w:w="3400" w:type="dxa"/>
            <w:vAlign w:val="bottom"/>
            <w:gridSpan w:val="2"/>
            <w:shd w:val="clear" w:color="auto" w:fill="E0E0E0"/>
          </w:tcPr>
          <w:p>
            <w:pPr>
              <w:ind w:left="220"/>
              <w:spacing w:after="0"/>
              <w:rPr>
                <w:sz w:val="20"/>
                <w:szCs w:val="20"/>
                <w:color w:val="auto"/>
              </w:rPr>
            </w:pPr>
            <w:r>
              <w:rPr>
                <w:rFonts w:ascii="Times New Roman" w:cs="Times New Roman" w:eastAsia="Times New Roman" w:hAnsi="Times New Roman"/>
                <w:sz w:val="18"/>
                <w:szCs w:val="18"/>
                <w:color w:val="161616"/>
              </w:rPr>
              <w:t>Returned to Shareholders</w:t>
            </w:r>
          </w:p>
        </w:tc>
        <w:tc>
          <w:tcPr>
            <w:tcW w:w="3400" w:type="dxa"/>
            <w:vAlign w:val="bottom"/>
            <w:gridSpan w:val="2"/>
            <w:shd w:val="clear" w:color="auto" w:fill="E0E0E0"/>
          </w:tcPr>
          <w:p>
            <w:pPr>
              <w:ind w:left="140"/>
              <w:spacing w:after="0"/>
              <w:rPr>
                <w:sz w:val="20"/>
                <w:szCs w:val="20"/>
                <w:color w:val="auto"/>
              </w:rPr>
            </w:pPr>
            <w:r>
              <w:rPr>
                <w:rFonts w:ascii="Times New Roman" w:cs="Times New Roman" w:eastAsia="Times New Roman" w:hAnsi="Times New Roman"/>
                <w:sz w:val="18"/>
                <w:szCs w:val="18"/>
                <w:color w:val="161616"/>
              </w:rPr>
              <w:t>Capital Expenditures</w:t>
            </w:r>
          </w:p>
        </w:tc>
        <w:tc>
          <w:tcPr>
            <w:tcW w:w="3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161616"/>
              </w:rPr>
              <w:t>Capital Expenditures</w:t>
            </w:r>
          </w:p>
        </w:tc>
      </w:tr>
      <w:tr>
        <w:trPr>
          <w:trHeight w:val="541"/>
        </w:trPr>
        <w:tc>
          <w:tcPr>
            <w:tcW w:w="240" w:type="dxa"/>
            <w:vAlign w:val="bottom"/>
            <w:tcBorders>
              <w:right w:val="single" w:sz="8" w:color="E0E0E0"/>
            </w:tcBorders>
          </w:tcPr>
          <w:p>
            <w:pPr>
              <w:spacing w:after="0"/>
              <w:rPr>
                <w:sz w:val="24"/>
                <w:szCs w:val="24"/>
                <w:color w:val="auto"/>
              </w:rPr>
            </w:pPr>
          </w:p>
        </w:tc>
        <w:tc>
          <w:tcPr>
            <w:tcW w:w="1320" w:type="dxa"/>
            <w:vAlign w:val="bottom"/>
            <w:shd w:val="clear" w:color="auto" w:fill="8C8C8C"/>
          </w:tcPr>
          <w:p>
            <w:pPr>
              <w:ind w:left="220"/>
              <w:spacing w:after="0"/>
              <w:rPr>
                <w:sz w:val="20"/>
                <w:szCs w:val="20"/>
                <w:color w:val="auto"/>
              </w:rPr>
            </w:pPr>
            <w:r>
              <w:rPr>
                <w:rFonts w:ascii="Arial" w:cs="Arial" w:eastAsia="Arial" w:hAnsi="Arial"/>
                <w:sz w:val="44"/>
                <w:szCs w:val="44"/>
                <w:color w:val="FFFFFF"/>
                <w:w w:val="98"/>
              </w:rPr>
              <w:t>$1.36</w:t>
            </w:r>
          </w:p>
        </w:tc>
        <w:tc>
          <w:tcPr>
            <w:tcW w:w="2080" w:type="dxa"/>
            <w:vAlign w:val="bottom"/>
            <w:shd w:val="clear" w:color="auto" w:fill="8C8C8C"/>
          </w:tcPr>
          <w:p>
            <w:pPr>
              <w:spacing w:after="0"/>
              <w:rPr>
                <w:sz w:val="24"/>
                <w:szCs w:val="24"/>
                <w:color w:val="auto"/>
              </w:rPr>
            </w:pPr>
          </w:p>
        </w:tc>
        <w:tc>
          <w:tcPr>
            <w:tcW w:w="3400" w:type="dxa"/>
            <w:vAlign w:val="bottom"/>
            <w:gridSpan w:val="2"/>
            <w:shd w:val="clear" w:color="auto" w:fill="E0E0E0"/>
          </w:tcPr>
          <w:p>
            <w:pPr>
              <w:ind w:left="140"/>
              <w:spacing w:after="0"/>
              <w:rPr>
                <w:sz w:val="20"/>
                <w:szCs w:val="20"/>
                <w:color w:val="auto"/>
              </w:rPr>
            </w:pPr>
            <w:r>
              <w:rPr>
                <w:rFonts w:ascii="Arial" w:cs="Arial" w:eastAsia="Arial" w:hAnsi="Arial"/>
                <w:sz w:val="44"/>
                <w:szCs w:val="44"/>
                <w:color w:val="161616"/>
              </w:rPr>
              <w:t xml:space="preserve">$96.6 </w:t>
            </w:r>
            <w:r>
              <w:rPr>
                <w:rFonts w:ascii="Arial" w:cs="Arial" w:eastAsia="Arial" w:hAnsi="Arial"/>
                <w:sz w:val="32"/>
                <w:szCs w:val="32"/>
                <w:color w:val="161616"/>
              </w:rPr>
              <w:t>m</w:t>
            </w:r>
          </w:p>
        </w:tc>
        <w:tc>
          <w:tcPr>
            <w:tcW w:w="3360" w:type="dxa"/>
            <w:vAlign w:val="bottom"/>
            <w:gridSpan w:val="2"/>
          </w:tcPr>
          <w:p>
            <w:pPr>
              <w:ind w:left="240"/>
              <w:spacing w:after="0"/>
              <w:rPr>
                <w:sz w:val="20"/>
                <w:szCs w:val="20"/>
                <w:color w:val="auto"/>
              </w:rPr>
            </w:pPr>
            <w:r>
              <w:rPr>
                <w:rFonts w:ascii="Arial" w:cs="Arial" w:eastAsia="Arial" w:hAnsi="Arial"/>
                <w:sz w:val="44"/>
                <w:szCs w:val="44"/>
                <w:color w:val="161616"/>
              </w:rPr>
              <w:t xml:space="preserve">$100–$110 </w:t>
            </w:r>
            <w:r>
              <w:rPr>
                <w:rFonts w:ascii="Arial" w:cs="Arial" w:eastAsia="Arial" w:hAnsi="Arial"/>
                <w:sz w:val="32"/>
                <w:szCs w:val="32"/>
                <w:color w:val="161616"/>
              </w:rPr>
              <w:t>m</w:t>
            </w:r>
          </w:p>
        </w:tc>
      </w:tr>
      <w:tr>
        <w:trPr>
          <w:trHeight w:val="310"/>
        </w:trPr>
        <w:tc>
          <w:tcPr>
            <w:tcW w:w="240" w:type="dxa"/>
            <w:vAlign w:val="bottom"/>
            <w:tcBorders>
              <w:right w:val="single" w:sz="8" w:color="E0E0E0"/>
            </w:tcBorders>
          </w:tcPr>
          <w:p>
            <w:pPr>
              <w:spacing w:after="0"/>
              <w:rPr>
                <w:sz w:val="24"/>
                <w:szCs w:val="24"/>
                <w:color w:val="auto"/>
              </w:rPr>
            </w:pPr>
          </w:p>
        </w:tc>
        <w:tc>
          <w:tcPr>
            <w:tcW w:w="3400" w:type="dxa"/>
            <w:vAlign w:val="bottom"/>
            <w:gridSpan w:val="2"/>
            <w:shd w:val="clear" w:color="auto" w:fill="8C8C8C"/>
          </w:tcPr>
          <w:p>
            <w:pPr>
              <w:ind w:left="220"/>
              <w:spacing w:after="0"/>
              <w:rPr>
                <w:sz w:val="20"/>
                <w:szCs w:val="20"/>
                <w:color w:val="auto"/>
              </w:rPr>
            </w:pPr>
            <w:r>
              <w:rPr>
                <w:rFonts w:ascii="Times New Roman" w:cs="Times New Roman" w:eastAsia="Times New Roman" w:hAnsi="Times New Roman"/>
                <w:sz w:val="18"/>
                <w:szCs w:val="18"/>
                <w:color w:val="FFFFFF"/>
              </w:rPr>
              <w:t>Earnings per Share</w:t>
            </w:r>
          </w:p>
        </w:tc>
        <w:tc>
          <w:tcPr>
            <w:tcW w:w="3400" w:type="dxa"/>
            <w:vAlign w:val="bottom"/>
            <w:gridSpan w:val="2"/>
            <w:shd w:val="clear" w:color="auto" w:fill="E0E0E0"/>
          </w:tcPr>
          <w:p>
            <w:pPr>
              <w:ind w:left="140"/>
              <w:spacing w:after="0"/>
              <w:rPr>
                <w:sz w:val="20"/>
                <w:szCs w:val="20"/>
                <w:color w:val="auto"/>
              </w:rPr>
            </w:pPr>
            <w:r>
              <w:rPr>
                <w:rFonts w:ascii="Times New Roman" w:cs="Times New Roman" w:eastAsia="Times New Roman" w:hAnsi="Times New Roman"/>
                <w:sz w:val="18"/>
                <w:szCs w:val="18"/>
                <w:color w:val="161616"/>
              </w:rPr>
              <w:t>Depreciation &amp; Amortization</w:t>
            </w:r>
          </w:p>
        </w:tc>
        <w:tc>
          <w:tcPr>
            <w:tcW w:w="3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161616"/>
              </w:rPr>
              <w:t>Depreciation &amp; Amortization</w:t>
            </w:r>
          </w:p>
        </w:tc>
      </w:tr>
      <w:tr>
        <w:trPr>
          <w:trHeight w:val="83"/>
        </w:trPr>
        <w:tc>
          <w:tcPr>
            <w:tcW w:w="240" w:type="dxa"/>
            <w:vAlign w:val="bottom"/>
            <w:tcBorders>
              <w:right w:val="single" w:sz="8" w:color="E0E0E0"/>
            </w:tcBorders>
          </w:tcPr>
          <w:p>
            <w:pPr>
              <w:spacing w:after="0"/>
              <w:rPr>
                <w:sz w:val="7"/>
                <w:szCs w:val="7"/>
                <w:color w:val="auto"/>
              </w:rPr>
            </w:pPr>
          </w:p>
        </w:tc>
        <w:tc>
          <w:tcPr>
            <w:tcW w:w="1320" w:type="dxa"/>
            <w:vAlign w:val="bottom"/>
            <w:shd w:val="clear" w:color="auto" w:fill="8C8C8C"/>
          </w:tcPr>
          <w:p>
            <w:pPr>
              <w:spacing w:after="0"/>
              <w:rPr>
                <w:sz w:val="7"/>
                <w:szCs w:val="7"/>
                <w:color w:val="auto"/>
              </w:rPr>
            </w:pPr>
          </w:p>
        </w:tc>
        <w:tc>
          <w:tcPr>
            <w:tcW w:w="2080" w:type="dxa"/>
            <w:vAlign w:val="bottom"/>
            <w:shd w:val="clear" w:color="auto" w:fill="8C8C8C"/>
          </w:tcPr>
          <w:p>
            <w:pPr>
              <w:spacing w:after="0"/>
              <w:rPr>
                <w:sz w:val="7"/>
                <w:szCs w:val="7"/>
                <w:color w:val="auto"/>
              </w:rPr>
            </w:pPr>
          </w:p>
        </w:tc>
        <w:tc>
          <w:tcPr>
            <w:tcW w:w="3180" w:type="dxa"/>
            <w:vAlign w:val="bottom"/>
            <w:shd w:val="clear" w:color="auto" w:fill="E0E0E0"/>
          </w:tcPr>
          <w:p>
            <w:pPr>
              <w:spacing w:after="0"/>
              <w:rPr>
                <w:sz w:val="7"/>
                <w:szCs w:val="7"/>
                <w:color w:val="auto"/>
              </w:rPr>
            </w:pPr>
          </w:p>
        </w:tc>
        <w:tc>
          <w:tcPr>
            <w:tcW w:w="220" w:type="dxa"/>
            <w:vAlign w:val="bottom"/>
            <w:shd w:val="clear" w:color="auto" w:fill="E0E0E0"/>
          </w:tcPr>
          <w:p>
            <w:pPr>
              <w:spacing w:after="0"/>
              <w:rPr>
                <w:sz w:val="7"/>
                <w:szCs w:val="7"/>
                <w:color w:val="auto"/>
              </w:rPr>
            </w:pPr>
          </w:p>
        </w:tc>
        <w:tc>
          <w:tcPr>
            <w:tcW w:w="1340" w:type="dxa"/>
            <w:vAlign w:val="bottom"/>
          </w:tcPr>
          <w:p>
            <w:pPr>
              <w:spacing w:after="0"/>
              <w:rPr>
                <w:sz w:val="7"/>
                <w:szCs w:val="7"/>
                <w:color w:val="auto"/>
              </w:rPr>
            </w:pPr>
          </w:p>
        </w:tc>
        <w:tc>
          <w:tcPr>
            <w:tcW w:w="2020" w:type="dxa"/>
            <w:vAlign w:val="bottom"/>
          </w:tcPr>
          <w:p>
            <w:pPr>
              <w:spacing w:after="0"/>
              <w:rPr>
                <w:sz w:val="7"/>
                <w:szCs w:val="7"/>
                <w:color w:val="auto"/>
              </w:rPr>
            </w:pPr>
          </w:p>
        </w:tc>
      </w:tr>
      <w:tr>
        <w:trPr>
          <w:trHeight w:val="218"/>
        </w:trPr>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01"/>
        </w:trPr>
        <w:tc>
          <w:tcPr>
            <w:tcW w:w="240" w:type="dxa"/>
            <w:vAlign w:val="bottom"/>
            <w:tcBorders>
              <w:right w:val="single" w:sz="8" w:color="8C8C8C"/>
            </w:tcBorders>
            <w:shd w:val="clear" w:color="auto" w:fill="8C8C8C"/>
          </w:tcPr>
          <w:p>
            <w:pPr>
              <w:spacing w:after="0"/>
              <w:rPr>
                <w:sz w:val="8"/>
                <w:szCs w:val="8"/>
                <w:color w:val="auto"/>
              </w:rPr>
            </w:pPr>
          </w:p>
        </w:tc>
        <w:tc>
          <w:tcPr>
            <w:tcW w:w="1320" w:type="dxa"/>
            <w:vAlign w:val="bottom"/>
            <w:shd w:val="clear" w:color="auto" w:fill="8C8C8C"/>
          </w:tcPr>
          <w:p>
            <w:pPr>
              <w:spacing w:after="0"/>
              <w:rPr>
                <w:sz w:val="8"/>
                <w:szCs w:val="8"/>
                <w:color w:val="auto"/>
              </w:rPr>
            </w:pPr>
          </w:p>
        </w:tc>
        <w:tc>
          <w:tcPr>
            <w:tcW w:w="2080" w:type="dxa"/>
            <w:vAlign w:val="bottom"/>
            <w:shd w:val="clear" w:color="auto" w:fill="8C8C8C"/>
          </w:tcPr>
          <w:p>
            <w:pPr>
              <w:spacing w:after="0"/>
              <w:rPr>
                <w:sz w:val="8"/>
                <w:szCs w:val="8"/>
                <w:color w:val="auto"/>
              </w:rPr>
            </w:pPr>
          </w:p>
        </w:tc>
        <w:tc>
          <w:tcPr>
            <w:tcW w:w="3180" w:type="dxa"/>
            <w:vAlign w:val="bottom"/>
            <w:shd w:val="clear" w:color="auto" w:fill="8C8C8C"/>
          </w:tcPr>
          <w:p>
            <w:pPr>
              <w:spacing w:after="0"/>
              <w:rPr>
                <w:sz w:val="8"/>
                <w:szCs w:val="8"/>
                <w:color w:val="auto"/>
              </w:rPr>
            </w:pPr>
          </w:p>
        </w:tc>
        <w:tc>
          <w:tcPr>
            <w:tcW w:w="220" w:type="dxa"/>
            <w:vAlign w:val="bottom"/>
            <w:shd w:val="clear" w:color="auto" w:fill="8C8C8C"/>
          </w:tcPr>
          <w:p>
            <w:pPr>
              <w:spacing w:after="0"/>
              <w:rPr>
                <w:sz w:val="8"/>
                <w:szCs w:val="8"/>
                <w:color w:val="auto"/>
              </w:rPr>
            </w:pPr>
          </w:p>
        </w:tc>
        <w:tc>
          <w:tcPr>
            <w:tcW w:w="1340" w:type="dxa"/>
            <w:vAlign w:val="bottom"/>
            <w:shd w:val="clear" w:color="auto" w:fill="8C8C8C"/>
          </w:tcPr>
          <w:p>
            <w:pPr>
              <w:spacing w:after="0"/>
              <w:rPr>
                <w:sz w:val="8"/>
                <w:szCs w:val="8"/>
                <w:color w:val="auto"/>
              </w:rPr>
            </w:pPr>
          </w:p>
        </w:tc>
        <w:tc>
          <w:tcPr>
            <w:tcW w:w="2020" w:type="dxa"/>
            <w:vAlign w:val="bottom"/>
            <w:shd w:val="clear" w:color="auto" w:fill="8C8C8C"/>
          </w:tcPr>
          <w:p>
            <w:pPr>
              <w:spacing w:after="0"/>
              <w:rPr>
                <w:sz w:val="8"/>
                <w:szCs w:val="8"/>
                <w:color w:val="auto"/>
              </w:rPr>
            </w:pPr>
          </w:p>
        </w:tc>
      </w:tr>
    </w:tbl>
    <w:p>
      <w:pPr>
        <w:spacing w:after="0" w:line="322" w:lineRule="exact"/>
        <w:rPr>
          <w:sz w:val="20"/>
          <w:szCs w:val="20"/>
          <w:color w:val="auto"/>
        </w:rPr>
      </w:pPr>
    </w:p>
    <w:p>
      <w:pPr>
        <w:ind w:left="6040"/>
        <w:spacing w:after="0"/>
        <w:rPr>
          <w:sz w:val="20"/>
          <w:szCs w:val="20"/>
          <w:color w:val="auto"/>
        </w:rPr>
      </w:pPr>
      <w:r>
        <w:rPr>
          <w:rFonts w:ascii="Arial" w:cs="Arial" w:eastAsia="Arial" w:hAnsi="Arial"/>
          <w:sz w:val="61"/>
          <w:szCs w:val="61"/>
          <w:color w:val="FFFFFF"/>
        </w:rPr>
        <w:t xml:space="preserve">2024 </w:t>
      </w:r>
      <w:r>
        <w:rPr>
          <w:rFonts w:ascii="Arial" w:cs="Arial" w:eastAsia="Arial" w:hAnsi="Arial"/>
          <w:sz w:val="39"/>
          <w:szCs w:val="39"/>
          <w:color w:val="FFFFFF"/>
        </w:rPr>
        <w:t>+10%</w:t>
      </w:r>
      <w:r>
        <w:rPr>
          <w:rFonts w:ascii="Arial" w:cs="Arial" w:eastAsia="Arial" w:hAnsi="Arial"/>
          <w:sz w:val="61"/>
          <w:szCs w:val="61"/>
          <w:color w:val="FFFFFF"/>
        </w:rPr>
        <w:t xml:space="preserve"> </w:t>
      </w:r>
      <w:r>
        <w:rPr>
          <w:rFonts w:ascii="Arial" w:cs="Arial" w:eastAsia="Arial" w:hAnsi="Arial"/>
          <w:sz w:val="21"/>
          <w:szCs w:val="21"/>
          <w:b w:val="1"/>
          <w:bCs w:val="1"/>
          <w:color w:val="FFFFFF"/>
        </w:rPr>
        <w:t>SALES GROWTH</w:t>
      </w:r>
    </w:p>
    <w:p>
      <w:pPr>
        <w:ind w:left="7360"/>
        <w:spacing w:after="0"/>
        <w:rPr>
          <w:sz w:val="20"/>
          <w:szCs w:val="20"/>
          <w:color w:val="auto"/>
        </w:rPr>
      </w:pPr>
      <w:r>
        <w:rPr>
          <w:rFonts w:ascii="Times New Roman" w:cs="Times New Roman" w:eastAsia="Times New Roman" w:hAnsi="Times New Roman"/>
          <w:sz w:val="18"/>
          <w:szCs w:val="18"/>
          <w:color w:val="FFFFFF"/>
        </w:rPr>
        <w:t>Above 2023 revenue guidance</w:t>
      </w:r>
    </w:p>
    <w:p>
      <w:pPr>
        <w:sectPr>
          <w:pgSz w:w="12240" w:h="15840" w:orient="portrait"/>
          <w:cols w:equalWidth="0" w:num="1">
            <w:col w:w="10480"/>
          </w:cols>
          <w:pgMar w:left="640" w:top="45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340" w:val="left"/>
        </w:tabs>
        <w:rPr>
          <w:sz w:val="20"/>
          <w:szCs w:val="20"/>
          <w:color w:val="auto"/>
        </w:rPr>
      </w:pPr>
      <w:r>
        <w:rPr>
          <w:rFonts w:ascii="Arial" w:cs="Arial" w:eastAsia="Arial" w:hAnsi="Arial"/>
          <w:sz w:val="24"/>
          <w:szCs w:val="24"/>
          <w:b w:val="1"/>
          <w:bCs w:val="1"/>
          <w:color w:val="161616"/>
        </w:rPr>
        <w:t>8</w:t>
      </w:r>
      <w:r>
        <w:rPr>
          <w:rFonts w:ascii="Arial" w:cs="Arial" w:eastAsia="Arial" w:hAnsi="Arial"/>
          <w:sz w:val="24"/>
          <w:szCs w:val="24"/>
          <w:b w:val="1"/>
          <w:bCs w:val="1"/>
          <w:color w:val="FFFFFF"/>
        </w:rPr>
        <w:t>8</w:t>
      </w:r>
      <w:r>
        <w:rPr>
          <w:sz w:val="20"/>
          <w:szCs w:val="20"/>
          <w:color w:val="auto"/>
        </w:rPr>
        <w:tab/>
      </w:r>
      <w:r>
        <w:rPr>
          <w:rFonts w:ascii="Times New Roman" w:cs="Times New Roman" w:eastAsia="Times New Roman" w:hAnsi="Times New Roman"/>
          <w:sz w:val="6"/>
          <w:szCs w:val="6"/>
          <w:color w:val="161616"/>
        </w:rPr>
        <w:t>GENTEX</w:t>
      </w:r>
      <w:r>
        <w:rPr>
          <w:rFonts w:ascii="Times New Roman" w:cs="Times New Roman" w:eastAsia="Times New Roman" w:hAnsi="Times New Roman"/>
          <w:sz w:val="6"/>
          <w:szCs w:val="6"/>
          <w:color w:val="FFFFFF"/>
        </w:rPr>
        <w:t>GENTEX</w:t>
      </w:r>
      <w:r>
        <w:rPr>
          <w:rFonts w:ascii="Times New Roman" w:cs="Times New Roman" w:eastAsia="Times New Roman" w:hAnsi="Times New Roman"/>
          <w:sz w:val="6"/>
          <w:szCs w:val="6"/>
          <w:color w:val="161616"/>
        </w:rPr>
        <w:t xml:space="preserve"> CORPORATION</w:t>
      </w:r>
      <w:r>
        <w:rPr>
          <w:rFonts w:ascii="Times New Roman" w:cs="Times New Roman" w:eastAsia="Times New Roman" w:hAnsi="Times New Roman"/>
          <w:sz w:val="6"/>
          <w:szCs w:val="6"/>
          <w:color w:val="FFFFFF"/>
        </w:rPr>
        <w:t>CORPORATION</w:t>
      </w:r>
    </w:p>
    <w:p>
      <w:pPr>
        <w:sectPr>
          <w:pgSz w:w="12240" w:h="15840" w:orient="portrait"/>
          <w:cols w:equalWidth="0" w:num="1">
            <w:col w:w="10480"/>
          </w:cols>
          <w:pgMar w:left="640" w:top="454" w:right="1120" w:bottom="0" w:gutter="0" w:footer="0" w:header="0"/>
          <w:type w:val="continuous"/>
        </w:sectPr>
      </w:pPr>
    </w:p>
    <w:bookmarkStart w:id="8" w:name="page9"/>
    <w:bookmarkEnd w:id="8"/>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161616"/>
        </w:rPr>
        <w:t>FUTURE GUIDANCE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376" w:lineRule="auto"/>
        <w:rPr>
          <w:sz w:val="20"/>
          <w:szCs w:val="20"/>
          <w:color w:val="auto"/>
        </w:rPr>
      </w:pPr>
      <w:r>
        <w:rPr>
          <w:rFonts w:ascii="Times New Roman" w:cs="Times New Roman" w:eastAsia="Times New Roman" w:hAnsi="Times New Roman"/>
          <w:sz w:val="18"/>
          <w:szCs w:val="18"/>
          <w:color w:val="161616"/>
        </w:rPr>
        <w:t>Our 2023 and 2024 guidance is based on the S&amp;P Global Mobility mid-January 2023 forecast for light vehicle production in North America, Europe, Japan/Korea, and China and is detailed in the accompanying table.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161616"/>
        </w:rPr>
        <w:t>LIGHT VEHICLE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-1332865</wp:posOffset>
            </wp:positionV>
            <wp:extent cx="7772400" cy="10057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61616"/>
        </w:rPr>
        <w:t>(per S&amp;P Global Mobility light vehicle production forecast) —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460" w:type="dxa"/>
            <w:vAlign w:val="bottom"/>
            <w:vMerge w:val="restart"/>
          </w:tcPr>
          <w:p>
            <w:pPr>
              <w:spacing w:after="0"/>
              <w:rPr>
                <w:sz w:val="20"/>
                <w:szCs w:val="20"/>
                <w:color w:val="auto"/>
              </w:rPr>
            </w:pPr>
            <w:r>
              <w:rPr>
                <w:rFonts w:ascii="Arial" w:cs="Arial" w:eastAsia="Arial" w:hAnsi="Arial"/>
                <w:sz w:val="18"/>
                <w:szCs w:val="18"/>
                <w:b w:val="1"/>
                <w:bCs w:val="1"/>
                <w:color w:val="161616"/>
              </w:rPr>
              <w:t>Region</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161616"/>
              </w:rPr>
              <w:t>Actual</w:t>
            </w: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161616"/>
              </w:rPr>
              <w:t>Actual</w:t>
            </w: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161616"/>
              </w:rPr>
              <w:t>Actual</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161616"/>
              </w:rPr>
              <w:t>Forecast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161616"/>
              </w:rPr>
              <w:t>Forecast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161616"/>
              </w:rPr>
              <w:t>Variance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161616"/>
              </w:rPr>
              <w:t>Variance</w:t>
            </w:r>
          </w:p>
        </w:tc>
        <w:tc>
          <w:tcPr>
            <w:tcW w:w="0" w:type="dxa"/>
            <w:vAlign w:val="bottom"/>
          </w:tcPr>
          <w:p>
            <w:pPr>
              <w:spacing w:after="0"/>
              <w:rPr>
                <w:sz w:val="1"/>
                <w:szCs w:val="1"/>
                <w:color w:val="auto"/>
              </w:rPr>
            </w:pPr>
          </w:p>
        </w:tc>
      </w:tr>
      <w:tr>
        <w:trPr>
          <w:trHeight w:val="304"/>
        </w:trPr>
        <w:tc>
          <w:tcPr>
            <w:tcW w:w="1460" w:type="dxa"/>
            <w:vAlign w:val="bottom"/>
            <w:vMerge w:val="continue"/>
          </w:tcPr>
          <w:p>
            <w:pPr>
              <w:spacing w:after="0"/>
              <w:rPr>
                <w:sz w:val="24"/>
                <w:szCs w:val="24"/>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b w:val="1"/>
                <w:bCs w:val="1"/>
                <w:color w:val="161616"/>
              </w:rPr>
              <w:t>2020</w:t>
            </w:r>
          </w:p>
        </w:tc>
        <w:tc>
          <w:tcPr>
            <w:tcW w:w="680" w:type="dxa"/>
            <w:vAlign w:val="bottom"/>
          </w:tcPr>
          <w:p>
            <w:pPr>
              <w:jc w:val="right"/>
              <w:ind w:right="73"/>
              <w:spacing w:after="0"/>
              <w:rPr>
                <w:sz w:val="20"/>
                <w:szCs w:val="20"/>
                <w:color w:val="auto"/>
              </w:rPr>
            </w:pPr>
            <w:r>
              <w:rPr>
                <w:rFonts w:ascii="Arial" w:cs="Arial" w:eastAsia="Arial" w:hAnsi="Arial"/>
                <w:sz w:val="18"/>
                <w:szCs w:val="18"/>
                <w:b w:val="1"/>
                <w:bCs w:val="1"/>
                <w:color w:val="161616"/>
              </w:rPr>
              <w:t>2021</w:t>
            </w:r>
          </w:p>
        </w:tc>
        <w:tc>
          <w:tcPr>
            <w:tcW w:w="620" w:type="dxa"/>
            <w:vAlign w:val="bottom"/>
          </w:tcPr>
          <w:p>
            <w:pPr>
              <w:jc w:val="right"/>
              <w:ind w:right="13"/>
              <w:spacing w:after="0"/>
              <w:rPr>
                <w:sz w:val="20"/>
                <w:szCs w:val="20"/>
                <w:color w:val="auto"/>
              </w:rPr>
            </w:pPr>
            <w:r>
              <w:rPr>
                <w:rFonts w:ascii="Arial" w:cs="Arial" w:eastAsia="Arial" w:hAnsi="Arial"/>
                <w:sz w:val="18"/>
                <w:szCs w:val="18"/>
                <w:b w:val="1"/>
                <w:bCs w:val="1"/>
                <w:color w:val="161616"/>
              </w:rPr>
              <w:t>2022</w:t>
            </w:r>
          </w:p>
        </w:tc>
        <w:tc>
          <w:tcPr>
            <w:tcW w:w="660" w:type="dxa"/>
            <w:vAlign w:val="bottom"/>
          </w:tcPr>
          <w:p>
            <w:pPr>
              <w:jc w:val="right"/>
              <w:ind w:right="13"/>
              <w:spacing w:after="0"/>
              <w:rPr>
                <w:sz w:val="20"/>
                <w:szCs w:val="20"/>
                <w:color w:val="auto"/>
              </w:rPr>
            </w:pPr>
            <w:r>
              <w:rPr>
                <w:rFonts w:ascii="Arial" w:cs="Arial" w:eastAsia="Arial" w:hAnsi="Arial"/>
                <w:sz w:val="18"/>
                <w:szCs w:val="18"/>
                <w:b w:val="1"/>
                <w:bCs w:val="1"/>
                <w:color w:val="161616"/>
              </w:rPr>
              <w:t>2023</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161616"/>
              </w:rPr>
              <w:t>2024</w:t>
            </w:r>
          </w:p>
        </w:tc>
        <w:tc>
          <w:tcPr>
            <w:tcW w:w="680" w:type="dxa"/>
            <w:vAlign w:val="bottom"/>
          </w:tcPr>
          <w:p>
            <w:pPr>
              <w:jc w:val="right"/>
              <w:ind w:right="13"/>
              <w:spacing w:after="0"/>
              <w:rPr>
                <w:sz w:val="20"/>
                <w:szCs w:val="20"/>
                <w:color w:val="auto"/>
              </w:rPr>
            </w:pPr>
            <w:r>
              <w:rPr>
                <w:rFonts w:ascii="Arial" w:cs="Arial" w:eastAsia="Arial" w:hAnsi="Arial"/>
                <w:sz w:val="18"/>
                <w:szCs w:val="18"/>
                <w:b w:val="1"/>
                <w:bCs w:val="1"/>
                <w:color w:val="161616"/>
              </w:rPr>
              <w:t>‘23/‘22</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161616"/>
              </w:rPr>
              <w:t>‘24/‘23</w:t>
            </w:r>
          </w:p>
        </w:tc>
        <w:tc>
          <w:tcPr>
            <w:tcW w:w="0" w:type="dxa"/>
            <w:vAlign w:val="bottom"/>
          </w:tcPr>
          <w:p>
            <w:pPr>
              <w:spacing w:after="0"/>
              <w:rPr>
                <w:sz w:val="1"/>
                <w:szCs w:val="1"/>
                <w:color w:val="auto"/>
              </w:rPr>
            </w:pPr>
          </w:p>
        </w:tc>
      </w:tr>
      <w:tr>
        <w:trPr>
          <w:trHeight w:val="309"/>
        </w:trPr>
        <w:tc>
          <w:tcPr>
            <w:tcW w:w="14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161616"/>
              </w:rPr>
              <w:t>North America</w:t>
            </w:r>
          </w:p>
        </w:tc>
        <w:tc>
          <w:tcPr>
            <w:tcW w:w="820" w:type="dxa"/>
            <w:vAlign w:val="bottom"/>
            <w:tcBorders>
              <w:bottom w:val="single" w:sz="8" w:color="808080"/>
            </w:tcBorders>
          </w:tcPr>
          <w:p>
            <w:pPr>
              <w:jc w:val="right"/>
              <w:ind w:right="53"/>
              <w:spacing w:after="0"/>
              <w:rPr>
                <w:sz w:val="20"/>
                <w:szCs w:val="20"/>
                <w:color w:val="auto"/>
              </w:rPr>
            </w:pPr>
            <w:r>
              <w:rPr>
                <w:rFonts w:ascii="Times New Roman" w:cs="Times New Roman" w:eastAsia="Times New Roman" w:hAnsi="Times New Roman"/>
                <w:sz w:val="18"/>
                <w:szCs w:val="18"/>
                <w:color w:val="161616"/>
              </w:rPr>
              <w:t>13</w:t>
            </w:r>
          </w:p>
        </w:tc>
        <w:tc>
          <w:tcPr>
            <w:tcW w:w="680" w:type="dxa"/>
            <w:vAlign w:val="bottom"/>
            <w:tcBorders>
              <w:bottom w:val="single" w:sz="8" w:color="808080"/>
            </w:tcBorders>
          </w:tcPr>
          <w:p>
            <w:pPr>
              <w:jc w:val="right"/>
              <w:ind w:right="73"/>
              <w:spacing w:after="0"/>
              <w:rPr>
                <w:sz w:val="20"/>
                <w:szCs w:val="20"/>
                <w:color w:val="auto"/>
              </w:rPr>
            </w:pPr>
            <w:r>
              <w:rPr>
                <w:rFonts w:ascii="Times New Roman" w:cs="Times New Roman" w:eastAsia="Times New Roman" w:hAnsi="Times New Roman"/>
                <w:sz w:val="18"/>
                <w:szCs w:val="18"/>
                <w:color w:val="161616"/>
              </w:rPr>
              <w:t>13</w:t>
            </w:r>
          </w:p>
        </w:tc>
        <w:tc>
          <w:tcPr>
            <w:tcW w:w="620" w:type="dxa"/>
            <w:vAlign w:val="bottom"/>
            <w:tcBorders>
              <w:bottom w:val="single" w:sz="8" w:color="808080"/>
            </w:tcBorders>
          </w:tcPr>
          <w:p>
            <w:pPr>
              <w:jc w:val="right"/>
              <w:ind w:right="13"/>
              <w:spacing w:after="0"/>
              <w:rPr>
                <w:sz w:val="20"/>
                <w:szCs w:val="20"/>
                <w:color w:val="auto"/>
              </w:rPr>
            </w:pPr>
            <w:r>
              <w:rPr>
                <w:rFonts w:ascii="Times New Roman" w:cs="Times New Roman" w:eastAsia="Times New Roman" w:hAnsi="Times New Roman"/>
                <w:sz w:val="18"/>
                <w:szCs w:val="18"/>
                <w:color w:val="161616"/>
              </w:rPr>
              <w:t>14.3</w:t>
            </w:r>
          </w:p>
        </w:tc>
        <w:tc>
          <w:tcPr>
            <w:tcW w:w="660" w:type="dxa"/>
            <w:vAlign w:val="bottom"/>
            <w:tcBorders>
              <w:bottom w:val="single" w:sz="8" w:color="808080"/>
            </w:tcBorders>
          </w:tcPr>
          <w:p>
            <w:pPr>
              <w:jc w:val="right"/>
              <w:ind w:right="13"/>
              <w:spacing w:after="0"/>
              <w:rPr>
                <w:sz w:val="20"/>
                <w:szCs w:val="20"/>
                <w:color w:val="auto"/>
              </w:rPr>
            </w:pPr>
            <w:r>
              <w:rPr>
                <w:rFonts w:ascii="Times New Roman" w:cs="Times New Roman" w:eastAsia="Times New Roman" w:hAnsi="Times New Roman"/>
                <w:sz w:val="18"/>
                <w:szCs w:val="18"/>
                <w:color w:val="161616"/>
              </w:rPr>
              <w:t>15.1</w:t>
            </w:r>
          </w:p>
        </w:tc>
        <w:tc>
          <w:tcPr>
            <w:tcW w:w="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161616"/>
              </w:rPr>
              <w:t>15.8</w:t>
            </w:r>
          </w:p>
        </w:tc>
        <w:tc>
          <w:tcPr>
            <w:tcW w:w="680" w:type="dxa"/>
            <w:vAlign w:val="bottom"/>
            <w:tcBorders>
              <w:bottom w:val="single" w:sz="8" w:color="808080"/>
            </w:tcBorders>
          </w:tcPr>
          <w:p>
            <w:pPr>
              <w:jc w:val="right"/>
              <w:ind w:right="13"/>
              <w:spacing w:after="0"/>
              <w:rPr>
                <w:sz w:val="20"/>
                <w:szCs w:val="20"/>
                <w:color w:val="auto"/>
              </w:rPr>
            </w:pPr>
            <w:r>
              <w:rPr>
                <w:rFonts w:ascii="Times New Roman" w:cs="Times New Roman" w:eastAsia="Times New Roman" w:hAnsi="Times New Roman"/>
                <w:sz w:val="18"/>
                <w:szCs w:val="18"/>
                <w:color w:val="161616"/>
              </w:rPr>
              <w:t>6%</w:t>
            </w: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161616"/>
              </w:rPr>
              <w:t>5%</w:t>
            </w:r>
          </w:p>
        </w:tc>
        <w:tc>
          <w:tcPr>
            <w:tcW w:w="0" w:type="dxa"/>
            <w:vAlign w:val="bottom"/>
          </w:tcPr>
          <w:p>
            <w:pPr>
              <w:spacing w:after="0"/>
              <w:rPr>
                <w:sz w:val="1"/>
                <w:szCs w:val="1"/>
                <w:color w:val="auto"/>
              </w:rPr>
            </w:pPr>
          </w:p>
        </w:tc>
      </w:tr>
      <w:tr>
        <w:trPr>
          <w:trHeight w:val="340"/>
        </w:trPr>
        <w:tc>
          <w:tcPr>
            <w:tcW w:w="14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161616"/>
              </w:rPr>
              <w:t>Europe</w:t>
            </w:r>
          </w:p>
        </w:tc>
        <w:tc>
          <w:tcPr>
            <w:tcW w:w="820" w:type="dxa"/>
            <w:vAlign w:val="bottom"/>
            <w:tcBorders>
              <w:bottom w:val="single" w:sz="8" w:color="808080"/>
            </w:tcBorders>
          </w:tcPr>
          <w:p>
            <w:pPr>
              <w:jc w:val="right"/>
              <w:ind w:right="53"/>
              <w:spacing w:after="0"/>
              <w:rPr>
                <w:sz w:val="20"/>
                <w:szCs w:val="20"/>
                <w:color w:val="auto"/>
              </w:rPr>
            </w:pPr>
            <w:r>
              <w:rPr>
                <w:rFonts w:ascii="Times New Roman" w:cs="Times New Roman" w:eastAsia="Times New Roman" w:hAnsi="Times New Roman"/>
                <w:sz w:val="18"/>
                <w:szCs w:val="18"/>
                <w:color w:val="161616"/>
              </w:rPr>
              <w:t>16.6</w:t>
            </w:r>
          </w:p>
        </w:tc>
        <w:tc>
          <w:tcPr>
            <w:tcW w:w="680" w:type="dxa"/>
            <w:vAlign w:val="bottom"/>
            <w:tcBorders>
              <w:bottom w:val="single" w:sz="8" w:color="808080"/>
            </w:tcBorders>
          </w:tcPr>
          <w:p>
            <w:pPr>
              <w:jc w:val="right"/>
              <w:ind w:right="73"/>
              <w:spacing w:after="0"/>
              <w:rPr>
                <w:sz w:val="20"/>
                <w:szCs w:val="20"/>
                <w:color w:val="auto"/>
              </w:rPr>
            </w:pPr>
            <w:r>
              <w:rPr>
                <w:rFonts w:ascii="Times New Roman" w:cs="Times New Roman" w:eastAsia="Times New Roman" w:hAnsi="Times New Roman"/>
                <w:sz w:val="18"/>
                <w:szCs w:val="18"/>
                <w:color w:val="161616"/>
              </w:rPr>
              <w:t>15.9</w:t>
            </w:r>
          </w:p>
        </w:tc>
        <w:tc>
          <w:tcPr>
            <w:tcW w:w="620" w:type="dxa"/>
            <w:vAlign w:val="bottom"/>
            <w:tcBorders>
              <w:bottom w:val="single" w:sz="8" w:color="808080"/>
            </w:tcBorders>
          </w:tcPr>
          <w:p>
            <w:pPr>
              <w:jc w:val="right"/>
              <w:ind w:right="13"/>
              <w:spacing w:after="0"/>
              <w:rPr>
                <w:sz w:val="20"/>
                <w:szCs w:val="20"/>
                <w:color w:val="auto"/>
              </w:rPr>
            </w:pPr>
            <w:r>
              <w:rPr>
                <w:rFonts w:ascii="Times New Roman" w:cs="Times New Roman" w:eastAsia="Times New Roman" w:hAnsi="Times New Roman"/>
                <w:sz w:val="18"/>
                <w:szCs w:val="18"/>
                <w:color w:val="161616"/>
              </w:rPr>
              <w:t>15.7</w:t>
            </w:r>
          </w:p>
        </w:tc>
        <w:tc>
          <w:tcPr>
            <w:tcW w:w="660" w:type="dxa"/>
            <w:vAlign w:val="bottom"/>
            <w:tcBorders>
              <w:bottom w:val="single" w:sz="8" w:color="808080"/>
            </w:tcBorders>
          </w:tcPr>
          <w:p>
            <w:pPr>
              <w:jc w:val="right"/>
              <w:ind w:right="13"/>
              <w:spacing w:after="0"/>
              <w:rPr>
                <w:sz w:val="20"/>
                <w:szCs w:val="20"/>
                <w:color w:val="auto"/>
              </w:rPr>
            </w:pPr>
            <w:r>
              <w:rPr>
                <w:rFonts w:ascii="Times New Roman" w:cs="Times New Roman" w:eastAsia="Times New Roman" w:hAnsi="Times New Roman"/>
                <w:sz w:val="18"/>
                <w:szCs w:val="18"/>
                <w:color w:val="161616"/>
              </w:rPr>
              <w:t>16.5</w:t>
            </w:r>
          </w:p>
        </w:tc>
        <w:tc>
          <w:tcPr>
            <w:tcW w:w="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161616"/>
              </w:rPr>
              <w:t>17.5</w:t>
            </w:r>
          </w:p>
        </w:tc>
        <w:tc>
          <w:tcPr>
            <w:tcW w:w="680" w:type="dxa"/>
            <w:vAlign w:val="bottom"/>
            <w:tcBorders>
              <w:bottom w:val="single" w:sz="8" w:color="808080"/>
            </w:tcBorders>
          </w:tcPr>
          <w:p>
            <w:pPr>
              <w:jc w:val="right"/>
              <w:ind w:right="13"/>
              <w:spacing w:after="0"/>
              <w:rPr>
                <w:sz w:val="20"/>
                <w:szCs w:val="20"/>
                <w:color w:val="auto"/>
              </w:rPr>
            </w:pPr>
            <w:r>
              <w:rPr>
                <w:rFonts w:ascii="Times New Roman" w:cs="Times New Roman" w:eastAsia="Times New Roman" w:hAnsi="Times New Roman"/>
                <w:sz w:val="18"/>
                <w:szCs w:val="18"/>
                <w:color w:val="161616"/>
              </w:rPr>
              <w:t>5%</w:t>
            </w: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161616"/>
              </w:rPr>
              <w:t>6%</w:t>
            </w:r>
          </w:p>
        </w:tc>
        <w:tc>
          <w:tcPr>
            <w:tcW w:w="0" w:type="dxa"/>
            <w:vAlign w:val="bottom"/>
          </w:tcPr>
          <w:p>
            <w:pPr>
              <w:spacing w:after="0"/>
              <w:rPr>
                <w:sz w:val="1"/>
                <w:szCs w:val="1"/>
                <w:color w:val="auto"/>
              </w:rPr>
            </w:pPr>
          </w:p>
        </w:tc>
      </w:tr>
      <w:tr>
        <w:trPr>
          <w:trHeight w:val="340"/>
        </w:trPr>
        <w:tc>
          <w:tcPr>
            <w:tcW w:w="14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161616"/>
              </w:rPr>
              <w:t>Japan &amp; Korea</w:t>
            </w:r>
          </w:p>
        </w:tc>
        <w:tc>
          <w:tcPr>
            <w:tcW w:w="820" w:type="dxa"/>
            <w:vAlign w:val="bottom"/>
            <w:tcBorders>
              <w:bottom w:val="single" w:sz="8" w:color="808080"/>
            </w:tcBorders>
          </w:tcPr>
          <w:p>
            <w:pPr>
              <w:jc w:val="right"/>
              <w:ind w:right="53"/>
              <w:spacing w:after="0"/>
              <w:rPr>
                <w:sz w:val="20"/>
                <w:szCs w:val="20"/>
                <w:color w:val="auto"/>
              </w:rPr>
            </w:pPr>
            <w:r>
              <w:rPr>
                <w:rFonts w:ascii="Times New Roman" w:cs="Times New Roman" w:eastAsia="Times New Roman" w:hAnsi="Times New Roman"/>
                <w:sz w:val="18"/>
                <w:szCs w:val="18"/>
                <w:color w:val="161616"/>
              </w:rPr>
              <w:t>11.2</w:t>
            </w:r>
          </w:p>
        </w:tc>
        <w:tc>
          <w:tcPr>
            <w:tcW w:w="680" w:type="dxa"/>
            <w:vAlign w:val="bottom"/>
            <w:tcBorders>
              <w:bottom w:val="single" w:sz="8" w:color="808080"/>
            </w:tcBorders>
          </w:tcPr>
          <w:p>
            <w:pPr>
              <w:jc w:val="right"/>
              <w:ind w:right="73"/>
              <w:spacing w:after="0"/>
              <w:rPr>
                <w:sz w:val="20"/>
                <w:szCs w:val="20"/>
                <w:color w:val="auto"/>
              </w:rPr>
            </w:pPr>
            <w:r>
              <w:rPr>
                <w:rFonts w:ascii="Times New Roman" w:cs="Times New Roman" w:eastAsia="Times New Roman" w:hAnsi="Times New Roman"/>
                <w:sz w:val="18"/>
                <w:szCs w:val="18"/>
                <w:color w:val="161616"/>
              </w:rPr>
              <w:t>10.9</w:t>
            </w:r>
          </w:p>
        </w:tc>
        <w:tc>
          <w:tcPr>
            <w:tcW w:w="620" w:type="dxa"/>
            <w:vAlign w:val="bottom"/>
            <w:tcBorders>
              <w:bottom w:val="single" w:sz="8" w:color="808080"/>
            </w:tcBorders>
          </w:tcPr>
          <w:p>
            <w:pPr>
              <w:jc w:val="right"/>
              <w:ind w:right="13"/>
              <w:spacing w:after="0"/>
              <w:rPr>
                <w:sz w:val="20"/>
                <w:szCs w:val="20"/>
                <w:color w:val="auto"/>
              </w:rPr>
            </w:pPr>
            <w:r>
              <w:rPr>
                <w:rFonts w:ascii="Times New Roman" w:cs="Times New Roman" w:eastAsia="Times New Roman" w:hAnsi="Times New Roman"/>
                <w:sz w:val="18"/>
                <w:szCs w:val="18"/>
                <w:color w:val="161616"/>
              </w:rPr>
              <w:t>11.1</w:t>
            </w:r>
          </w:p>
        </w:tc>
        <w:tc>
          <w:tcPr>
            <w:tcW w:w="660" w:type="dxa"/>
            <w:vAlign w:val="bottom"/>
            <w:tcBorders>
              <w:bottom w:val="single" w:sz="8" w:color="808080"/>
            </w:tcBorders>
          </w:tcPr>
          <w:p>
            <w:pPr>
              <w:jc w:val="right"/>
              <w:ind w:right="13"/>
              <w:spacing w:after="0"/>
              <w:rPr>
                <w:sz w:val="20"/>
                <w:szCs w:val="20"/>
                <w:color w:val="auto"/>
              </w:rPr>
            </w:pPr>
            <w:r>
              <w:rPr>
                <w:rFonts w:ascii="Times New Roman" w:cs="Times New Roman" w:eastAsia="Times New Roman" w:hAnsi="Times New Roman"/>
                <w:sz w:val="18"/>
                <w:szCs w:val="18"/>
                <w:color w:val="161616"/>
              </w:rPr>
              <w:t>11.7</w:t>
            </w:r>
          </w:p>
        </w:tc>
        <w:tc>
          <w:tcPr>
            <w:tcW w:w="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161616"/>
              </w:rPr>
              <w:t>11.4</w:t>
            </w:r>
          </w:p>
        </w:tc>
        <w:tc>
          <w:tcPr>
            <w:tcW w:w="680" w:type="dxa"/>
            <w:vAlign w:val="bottom"/>
            <w:tcBorders>
              <w:bottom w:val="single" w:sz="8" w:color="808080"/>
            </w:tcBorders>
          </w:tcPr>
          <w:p>
            <w:pPr>
              <w:jc w:val="right"/>
              <w:ind w:right="13"/>
              <w:spacing w:after="0"/>
              <w:rPr>
                <w:sz w:val="20"/>
                <w:szCs w:val="20"/>
                <w:color w:val="auto"/>
              </w:rPr>
            </w:pPr>
            <w:r>
              <w:rPr>
                <w:rFonts w:ascii="Times New Roman" w:cs="Times New Roman" w:eastAsia="Times New Roman" w:hAnsi="Times New Roman"/>
                <w:sz w:val="18"/>
                <w:szCs w:val="18"/>
                <w:color w:val="161616"/>
              </w:rPr>
              <w:t>5%</w:t>
            </w: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161616"/>
              </w:rPr>
              <w:t>(3)%</w:t>
            </w:r>
          </w:p>
        </w:tc>
        <w:tc>
          <w:tcPr>
            <w:tcW w:w="0" w:type="dxa"/>
            <w:vAlign w:val="bottom"/>
          </w:tcPr>
          <w:p>
            <w:pPr>
              <w:spacing w:after="0"/>
              <w:rPr>
                <w:sz w:val="1"/>
                <w:szCs w:val="1"/>
                <w:color w:val="auto"/>
              </w:rPr>
            </w:pPr>
          </w:p>
        </w:tc>
      </w:tr>
      <w:tr>
        <w:trPr>
          <w:trHeight w:val="355"/>
        </w:trPr>
        <w:tc>
          <w:tcPr>
            <w:tcW w:w="14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161616"/>
              </w:rPr>
              <w:t>China</w:t>
            </w:r>
          </w:p>
        </w:tc>
        <w:tc>
          <w:tcPr>
            <w:tcW w:w="820" w:type="dxa"/>
            <w:vAlign w:val="bottom"/>
            <w:tcBorders>
              <w:bottom w:val="single" w:sz="8" w:color="8C8C8C"/>
            </w:tcBorders>
          </w:tcPr>
          <w:p>
            <w:pPr>
              <w:jc w:val="right"/>
              <w:ind w:right="53"/>
              <w:spacing w:after="0"/>
              <w:rPr>
                <w:sz w:val="20"/>
                <w:szCs w:val="20"/>
                <w:color w:val="auto"/>
              </w:rPr>
            </w:pPr>
            <w:r>
              <w:rPr>
                <w:rFonts w:ascii="Times New Roman" w:cs="Times New Roman" w:eastAsia="Times New Roman" w:hAnsi="Times New Roman"/>
                <w:sz w:val="18"/>
                <w:szCs w:val="18"/>
                <w:color w:val="161616"/>
              </w:rPr>
              <w:t>23.6</w:t>
            </w:r>
          </w:p>
        </w:tc>
        <w:tc>
          <w:tcPr>
            <w:tcW w:w="680" w:type="dxa"/>
            <w:vAlign w:val="bottom"/>
            <w:tcBorders>
              <w:bottom w:val="single" w:sz="8" w:color="8C8C8C"/>
            </w:tcBorders>
          </w:tcPr>
          <w:p>
            <w:pPr>
              <w:jc w:val="right"/>
              <w:ind w:right="53"/>
              <w:spacing w:after="0"/>
              <w:rPr>
                <w:sz w:val="20"/>
                <w:szCs w:val="20"/>
                <w:color w:val="auto"/>
              </w:rPr>
            </w:pPr>
            <w:r>
              <w:rPr>
                <w:rFonts w:ascii="Times New Roman" w:cs="Times New Roman" w:eastAsia="Times New Roman" w:hAnsi="Times New Roman"/>
                <w:sz w:val="18"/>
                <w:szCs w:val="18"/>
                <w:color w:val="161616"/>
              </w:rPr>
              <w:t>24.8</w:t>
            </w:r>
          </w:p>
        </w:tc>
        <w:tc>
          <w:tcPr>
            <w:tcW w:w="620" w:type="dxa"/>
            <w:vAlign w:val="bottom"/>
            <w:tcBorders>
              <w:bottom w:val="single" w:sz="8" w:color="8C8C8C"/>
            </w:tcBorders>
          </w:tcPr>
          <w:p>
            <w:pPr>
              <w:jc w:val="right"/>
              <w:ind w:right="13"/>
              <w:spacing w:after="0"/>
              <w:rPr>
                <w:sz w:val="20"/>
                <w:szCs w:val="20"/>
                <w:color w:val="auto"/>
              </w:rPr>
            </w:pPr>
            <w:r>
              <w:rPr>
                <w:rFonts w:ascii="Times New Roman" w:cs="Times New Roman" w:eastAsia="Times New Roman" w:hAnsi="Times New Roman"/>
                <w:sz w:val="18"/>
                <w:szCs w:val="18"/>
                <w:color w:val="161616"/>
              </w:rPr>
              <w:t>26.3</w:t>
            </w:r>
          </w:p>
        </w:tc>
        <w:tc>
          <w:tcPr>
            <w:tcW w:w="660" w:type="dxa"/>
            <w:vAlign w:val="bottom"/>
            <w:tcBorders>
              <w:bottom w:val="single" w:sz="8" w:color="8C8C8C"/>
            </w:tcBorders>
          </w:tcPr>
          <w:p>
            <w:pPr>
              <w:jc w:val="right"/>
              <w:ind w:right="13"/>
              <w:spacing w:after="0"/>
              <w:rPr>
                <w:sz w:val="20"/>
                <w:szCs w:val="20"/>
                <w:color w:val="auto"/>
              </w:rPr>
            </w:pPr>
            <w:r>
              <w:rPr>
                <w:rFonts w:ascii="Times New Roman" w:cs="Times New Roman" w:eastAsia="Times New Roman" w:hAnsi="Times New Roman"/>
                <w:sz w:val="18"/>
                <w:szCs w:val="18"/>
                <w:color w:val="161616"/>
              </w:rPr>
              <w:t>26.6</w:t>
            </w:r>
          </w:p>
        </w:tc>
        <w:tc>
          <w:tcPr>
            <w:tcW w:w="660" w:type="dxa"/>
            <w:vAlign w:val="bottom"/>
            <w:tcBorders>
              <w:bottom w:val="single" w:sz="8" w:color="8C8C8C"/>
            </w:tcBorders>
          </w:tcPr>
          <w:p>
            <w:pPr>
              <w:jc w:val="right"/>
              <w:spacing w:after="0"/>
              <w:rPr>
                <w:sz w:val="20"/>
                <w:szCs w:val="20"/>
                <w:color w:val="auto"/>
              </w:rPr>
            </w:pPr>
            <w:r>
              <w:rPr>
                <w:rFonts w:ascii="Times New Roman" w:cs="Times New Roman" w:eastAsia="Times New Roman" w:hAnsi="Times New Roman"/>
                <w:sz w:val="18"/>
                <w:szCs w:val="18"/>
                <w:color w:val="161616"/>
              </w:rPr>
              <w:t>28.1</w:t>
            </w:r>
          </w:p>
        </w:tc>
        <w:tc>
          <w:tcPr>
            <w:tcW w:w="680" w:type="dxa"/>
            <w:vAlign w:val="bottom"/>
            <w:tcBorders>
              <w:bottom w:val="single" w:sz="8" w:color="8C8C8C"/>
            </w:tcBorders>
          </w:tcPr>
          <w:p>
            <w:pPr>
              <w:jc w:val="right"/>
              <w:ind w:right="13"/>
              <w:spacing w:after="0"/>
              <w:rPr>
                <w:sz w:val="20"/>
                <w:szCs w:val="20"/>
                <w:color w:val="auto"/>
              </w:rPr>
            </w:pPr>
            <w:r>
              <w:rPr>
                <w:rFonts w:ascii="Times New Roman" w:cs="Times New Roman" w:eastAsia="Times New Roman" w:hAnsi="Times New Roman"/>
                <w:sz w:val="18"/>
                <w:szCs w:val="18"/>
                <w:color w:val="161616"/>
              </w:rPr>
              <w:t>1%</w:t>
            </w:r>
          </w:p>
        </w:tc>
        <w:tc>
          <w:tcPr>
            <w:tcW w:w="580" w:type="dxa"/>
            <w:vAlign w:val="bottom"/>
            <w:tcBorders>
              <w:bottom w:val="single" w:sz="8" w:color="8C8C8C"/>
            </w:tcBorders>
          </w:tcPr>
          <w:p>
            <w:pPr>
              <w:jc w:val="right"/>
              <w:spacing w:after="0"/>
              <w:rPr>
                <w:sz w:val="20"/>
                <w:szCs w:val="20"/>
                <w:color w:val="auto"/>
              </w:rPr>
            </w:pPr>
            <w:r>
              <w:rPr>
                <w:rFonts w:ascii="Times New Roman" w:cs="Times New Roman" w:eastAsia="Times New Roman" w:hAnsi="Times New Roman"/>
                <w:sz w:val="18"/>
                <w:szCs w:val="18"/>
                <w:color w:val="161616"/>
              </w:rPr>
              <w:t>6%</w:t>
            </w:r>
          </w:p>
        </w:tc>
        <w:tc>
          <w:tcPr>
            <w:tcW w:w="0" w:type="dxa"/>
            <w:vAlign w:val="bottom"/>
          </w:tcPr>
          <w:p>
            <w:pPr>
              <w:spacing w:after="0"/>
              <w:rPr>
                <w:sz w:val="1"/>
                <w:szCs w:val="1"/>
                <w:color w:val="auto"/>
              </w:rPr>
            </w:pPr>
          </w:p>
        </w:tc>
      </w:tr>
      <w:tr>
        <w:trPr>
          <w:trHeight w:val="34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161616"/>
              </w:rPr>
              <w:t>Total Light</w:t>
            </w:r>
          </w:p>
        </w:tc>
        <w:tc>
          <w:tcPr>
            <w:tcW w:w="82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161616"/>
              </w:rPr>
              <w:t>64.4</w:t>
            </w:r>
          </w:p>
        </w:tc>
        <w:tc>
          <w:tcPr>
            <w:tcW w:w="68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161616"/>
              </w:rPr>
              <w:t>64.6</w:t>
            </w:r>
          </w:p>
        </w:tc>
        <w:tc>
          <w:tcPr>
            <w:tcW w:w="62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161616"/>
              </w:rPr>
              <w:t>67.4</w:t>
            </w:r>
          </w:p>
        </w:tc>
        <w:tc>
          <w:tcPr>
            <w:tcW w:w="66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161616"/>
              </w:rPr>
              <w:t>69.9</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161616"/>
              </w:rPr>
              <w:t>72.8</w:t>
            </w:r>
          </w:p>
        </w:tc>
        <w:tc>
          <w:tcPr>
            <w:tcW w:w="68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161616"/>
              </w:rPr>
              <w:t>4%</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161616"/>
              </w:rPr>
              <w:t>4%</w:t>
            </w:r>
          </w:p>
        </w:tc>
        <w:tc>
          <w:tcPr>
            <w:tcW w:w="0" w:type="dxa"/>
            <w:vAlign w:val="bottom"/>
          </w:tcPr>
          <w:p>
            <w:pPr>
              <w:spacing w:after="0"/>
              <w:rPr>
                <w:sz w:val="1"/>
                <w:szCs w:val="1"/>
                <w:color w:val="auto"/>
              </w:rPr>
            </w:pPr>
          </w:p>
        </w:tc>
      </w:tr>
      <w:tr>
        <w:trPr>
          <w:trHeight w:val="180"/>
        </w:trPr>
        <w:tc>
          <w:tcPr>
            <w:tcW w:w="1460" w:type="dxa"/>
            <w:vAlign w:val="bottom"/>
            <w:vMerge w:val="restart"/>
          </w:tcPr>
          <w:p>
            <w:pPr>
              <w:spacing w:after="0"/>
              <w:rPr>
                <w:sz w:val="20"/>
                <w:szCs w:val="20"/>
                <w:color w:val="auto"/>
              </w:rPr>
            </w:pPr>
            <w:r>
              <w:rPr>
                <w:rFonts w:ascii="Times New Roman" w:cs="Times New Roman" w:eastAsia="Times New Roman" w:hAnsi="Times New Roman"/>
                <w:sz w:val="18"/>
                <w:szCs w:val="18"/>
                <w:color w:val="161616"/>
              </w:rPr>
              <w:t>Vehicle Production</w:t>
            </w:r>
          </w:p>
        </w:tc>
        <w:tc>
          <w:tcPr>
            <w:tcW w:w="8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2">
            <w:col w:w="3540" w:space="660"/>
            <w:col w:w="6600"/>
          </w:cols>
          <w:pgMar w:left="940" w:top="1440"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000"/>
        <w:spacing w:after="0"/>
        <w:tabs>
          <w:tab w:leader="none" w:pos="10700" w:val="left"/>
        </w:tabs>
        <w:rPr>
          <w:sz w:val="20"/>
          <w:szCs w:val="20"/>
          <w:color w:val="auto"/>
        </w:rPr>
      </w:pPr>
      <w:r>
        <w:rPr>
          <w:rFonts w:ascii="Times New Roman" w:cs="Times New Roman" w:eastAsia="Times New Roman" w:hAnsi="Times New Roman"/>
          <w:sz w:val="10"/>
          <w:szCs w:val="10"/>
          <w:color w:val="FFFFFF"/>
        </w:rPr>
        <w:t>2022 ANNUAL REPORT</w:t>
      </w:r>
      <w:r>
        <w:rPr>
          <w:sz w:val="20"/>
          <w:szCs w:val="20"/>
          <w:color w:val="auto"/>
        </w:rPr>
        <w:tab/>
      </w:r>
      <w:r>
        <w:rPr>
          <w:rFonts w:ascii="Arial" w:cs="Arial" w:eastAsia="Arial" w:hAnsi="Arial"/>
          <w:sz w:val="14"/>
          <w:szCs w:val="14"/>
          <w:b w:val="1"/>
          <w:bCs w:val="1"/>
          <w:color w:val="FFFFFF"/>
        </w:rPr>
        <w:t>9</w:t>
      </w:r>
    </w:p>
    <w:p>
      <w:pPr>
        <w:sectPr>
          <w:pgSz w:w="12240" w:h="15840" w:orient="portrait"/>
          <w:cols w:equalWidth="0" w:num="1">
            <w:col w:w="10800"/>
          </w:cols>
          <w:pgMar w:left="940" w:top="1440" w:right="500" w:bottom="0" w:gutter="0" w:footer="0" w:header="0"/>
          <w:type w:val="continuous"/>
        </w:sectPr>
      </w:pPr>
    </w:p>
    <w:bookmarkStart w:id="9" w:name="page10"/>
    <w:bookmarkEnd w:id="9"/>
    <w:p>
      <w:pPr>
        <w:ind w:left="36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DIMMABLE DEVICES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140"/>
        <w:spacing w:after="0" w:line="246" w:lineRule="auto"/>
        <w:tabs>
          <w:tab w:leader="none" w:pos="1150" w:val="left"/>
        </w:tabs>
        <w:numPr>
          <w:ilvl w:val="0"/>
          <w:numId w:val="4"/>
        </w:numPr>
        <w:rPr>
          <w:rFonts w:ascii="Arial" w:cs="Arial" w:eastAsia="Arial" w:hAnsi="Arial"/>
          <w:sz w:val="114"/>
          <w:szCs w:val="114"/>
          <w:color w:val="FFFFFF"/>
        </w:rPr>
      </w:pPr>
      <w:r>
        <w:rPr>
          <w:rFonts w:ascii="Arial" w:cs="Arial" w:eastAsia="Arial" w:hAnsi="Arial"/>
          <w:sz w:val="114"/>
          <w:szCs w:val="114"/>
          <w:color w:val="FFFFFF"/>
        </w:rPr>
        <w:t>Platform for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40" w:right="120"/>
        <w:spacing w:after="0" w:line="405" w:lineRule="auto"/>
        <w:rPr>
          <w:sz w:val="20"/>
          <w:szCs w:val="20"/>
          <w:color w:val="auto"/>
        </w:rPr>
      </w:pPr>
      <w:r>
        <w:rPr>
          <w:rFonts w:ascii="Times New Roman" w:cs="Times New Roman" w:eastAsia="Times New Roman" w:hAnsi="Times New Roman"/>
          <w:sz w:val="16"/>
          <w:szCs w:val="16"/>
          <w:b w:val="1"/>
          <w:bCs w:val="1"/>
          <w:color w:val="FFFFFF"/>
        </w:rPr>
        <w:t>Gentex is the leading supplier of electrochromic mirrors and dimmable devices in the automotive and aerospace industries. Within the global automotive market, our interior auto-dimming mirror penetration has grown over the last 10 years from approximately 23% in 2012 to approximately 35% of the vehicles produced in 2022. Our primary markets of North America and Europe average above 50% penetration, and our newer markets (including China) hold the most opportunity for core electrochromic (EC) mirror growth. These newer markets account for the majority of the remaining 65% of the world’s vehicles which still utilize prismatic, non-auto-dimming mirrors. While we have a commanding share of the electrochromic market (≈ 89%), there is room to grow by replacing these prismatic mirrors with our advanced technology.</w:t>
      </w:r>
    </w:p>
    <w:p>
      <w:pPr>
        <w:spacing w:after="0" w:line="55" w:lineRule="exact"/>
        <w:rPr>
          <w:sz w:val="20"/>
          <w:szCs w:val="20"/>
          <w:color w:val="auto"/>
        </w:rPr>
      </w:pPr>
    </w:p>
    <w:p>
      <w:pPr>
        <w:ind w:left="140" w:right="420"/>
        <w:spacing w:after="0" w:line="430" w:lineRule="auto"/>
        <w:rPr>
          <w:sz w:val="20"/>
          <w:szCs w:val="20"/>
          <w:color w:val="auto"/>
        </w:rPr>
      </w:pPr>
      <w:r>
        <w:rPr>
          <w:rFonts w:ascii="Times New Roman" w:cs="Times New Roman" w:eastAsia="Times New Roman" w:hAnsi="Times New Roman"/>
          <w:sz w:val="16"/>
          <w:szCs w:val="16"/>
          <w:b w:val="1"/>
          <w:bCs w:val="1"/>
          <w:color w:val="FFFFFF"/>
        </w:rPr>
        <w:t>As such, the continued penetration of our core interior auto-dimming mirror product continues to underpin our outperformance versus the market. In the past several years we have seen continued growth in our new markets, with the majority of our new base-EC mirror platforms being launched in China, Japan, Korea, India, and other new markets.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383" w:lineRule="auto"/>
        <w:rPr>
          <w:sz w:val="20"/>
          <w:szCs w:val="20"/>
          <w:color w:val="auto"/>
        </w:rPr>
      </w:pPr>
      <w:r>
        <w:rPr>
          <w:rFonts w:ascii="Times New Roman" w:cs="Times New Roman" w:eastAsia="Times New Roman" w:hAnsi="Times New Roman"/>
          <w:sz w:val="17"/>
          <w:szCs w:val="17"/>
          <w:b w:val="1"/>
          <w:bCs w:val="1"/>
          <w:color w:val="FFFFFF"/>
        </w:rPr>
        <w:t>The shift from internal combustion engines toward hybrid and battery-electric (BEV) drivetrains has also encouraged OEMs to focus on technology that can help them differentiate from traditional vehicle offerings, and has brought continued growth for our exterior electrochromic mirrors. By partnering with the leading EV vehicle makers, Gentex has helped spread EC technology widely enough that new entrants consider outside auto-dimming mirrors to be more than just a nice-to-have feature. Developing and emerging markets like China are taking note as well, with new programs being launched throughout 2022.</w:t>
      </w:r>
    </w:p>
    <w:p>
      <w:pPr>
        <w:spacing w:after="0" w:line="61" w:lineRule="exact"/>
        <w:rPr>
          <w:sz w:val="20"/>
          <w:szCs w:val="20"/>
          <w:color w:val="auto"/>
        </w:rPr>
      </w:pPr>
    </w:p>
    <w:p>
      <w:pPr>
        <w:ind w:right="100"/>
        <w:spacing w:after="0" w:line="470" w:lineRule="auto"/>
        <w:rPr>
          <w:sz w:val="20"/>
          <w:szCs w:val="20"/>
          <w:color w:val="auto"/>
        </w:rPr>
      </w:pPr>
      <w:r>
        <w:rPr>
          <w:rFonts w:ascii="Times New Roman" w:cs="Times New Roman" w:eastAsia="Times New Roman" w:hAnsi="Times New Roman"/>
          <w:sz w:val="16"/>
          <w:szCs w:val="16"/>
          <w:b w:val="1"/>
          <w:bCs w:val="1"/>
          <w:color w:val="FFFFFF"/>
        </w:rPr>
        <w:t>We believe that our core EC technology will continue to grow in new and developed markets, while our advanced feature mirrors and technology will continue to be the key driver of growth in more developed markets.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20"/>
        <w:spacing w:after="0"/>
        <w:rPr>
          <w:sz w:val="20"/>
          <w:szCs w:val="20"/>
          <w:color w:val="auto"/>
        </w:rPr>
      </w:pPr>
      <w:r>
        <w:rPr>
          <w:rFonts w:ascii="Arial" w:cs="Arial" w:eastAsia="Arial" w:hAnsi="Arial"/>
          <w:sz w:val="24"/>
          <w:szCs w:val="24"/>
          <w:color w:val="FFFFFF"/>
        </w:rPr>
        <w:t>Use cases for dimmable devices</w:t>
      </w:r>
    </w:p>
    <w:p>
      <w:pPr>
        <w:spacing w:after="0" w:line="102" w:lineRule="exact"/>
        <w:rPr>
          <w:sz w:val="20"/>
          <w:szCs w:val="20"/>
          <w:color w:val="auto"/>
        </w:rPr>
      </w:pPr>
    </w:p>
    <w:tbl>
      <w:tblPr>
        <w:tblLayout w:type="fixed"/>
        <w:tblInd w:w="1320" w:type="dxa"/>
        <w:tblCellMar>
          <w:top w:w="0" w:type="dxa"/>
          <w:left w:w="0" w:type="dxa"/>
          <w:bottom w:w="0" w:type="dxa"/>
          <w:right w:w="0" w:type="dxa"/>
        </w:tblCellMar>
      </w:tblPr>
      <w:tr>
        <w:trPr>
          <w:trHeight w:val="283"/>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FFFFFF"/>
              </w:rPr>
              <w:t>•</w:t>
            </w:r>
          </w:p>
        </w:tc>
        <w:tc>
          <w:tcPr>
            <w:tcW w:w="1640" w:type="dxa"/>
            <w:vAlign w:val="bottom"/>
          </w:tcPr>
          <w:p>
            <w:pPr>
              <w:ind w:left="60"/>
              <w:spacing w:after="0"/>
              <w:rPr>
                <w:sz w:val="20"/>
                <w:szCs w:val="20"/>
                <w:color w:val="auto"/>
              </w:rPr>
            </w:pPr>
            <w:r>
              <w:rPr>
                <w:rFonts w:ascii="Times New Roman" w:cs="Times New Roman" w:eastAsia="Times New Roman" w:hAnsi="Times New Roman"/>
                <w:sz w:val="18"/>
                <w:szCs w:val="18"/>
                <w:color w:val="FFFFFF"/>
              </w:rPr>
              <w:t>Glare Control</w:t>
            </w:r>
          </w:p>
        </w:tc>
        <w:tc>
          <w:tcPr>
            <w:tcW w:w="340" w:type="dxa"/>
            <w:vAlign w:val="bottom"/>
          </w:tcPr>
          <w:p>
            <w:pPr>
              <w:ind w:left="220"/>
              <w:spacing w:after="0"/>
              <w:rPr>
                <w:sz w:val="20"/>
                <w:szCs w:val="20"/>
                <w:color w:val="auto"/>
              </w:rPr>
            </w:pPr>
            <w:r>
              <w:rPr>
                <w:rFonts w:ascii="Times New Roman" w:cs="Times New Roman" w:eastAsia="Times New Roman" w:hAnsi="Times New Roman"/>
                <w:sz w:val="18"/>
                <w:szCs w:val="18"/>
                <w:color w:val="FFFFFF"/>
              </w:rPr>
              <w:t>•</w:t>
            </w:r>
          </w:p>
        </w:tc>
        <w:tc>
          <w:tcPr>
            <w:tcW w:w="1860" w:type="dxa"/>
            <w:vAlign w:val="bottom"/>
          </w:tcPr>
          <w:p>
            <w:pPr>
              <w:ind w:left="60"/>
              <w:spacing w:after="0"/>
              <w:rPr>
                <w:sz w:val="20"/>
                <w:szCs w:val="20"/>
                <w:color w:val="auto"/>
              </w:rPr>
            </w:pPr>
            <w:r>
              <w:rPr>
                <w:rFonts w:ascii="Times New Roman" w:cs="Times New Roman" w:eastAsia="Times New Roman" w:hAnsi="Times New Roman"/>
                <w:sz w:val="18"/>
                <w:szCs w:val="18"/>
                <w:color w:val="FFFFFF"/>
              </w:rPr>
              <w:t>Aesthetics</w:t>
            </w:r>
          </w:p>
        </w:tc>
      </w:tr>
      <w:tr>
        <w:trPr>
          <w:trHeight w:val="24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FFFFFF"/>
              </w:rPr>
              <w:t>•</w:t>
            </w:r>
          </w:p>
        </w:tc>
        <w:tc>
          <w:tcPr>
            <w:tcW w:w="1640" w:type="dxa"/>
            <w:vAlign w:val="bottom"/>
          </w:tcPr>
          <w:p>
            <w:pPr>
              <w:ind w:left="60"/>
              <w:spacing w:after="0"/>
              <w:rPr>
                <w:sz w:val="20"/>
                <w:szCs w:val="20"/>
                <w:color w:val="auto"/>
              </w:rPr>
            </w:pPr>
            <w:r>
              <w:rPr>
                <w:rFonts w:ascii="Times New Roman" w:cs="Times New Roman" w:eastAsia="Times New Roman" w:hAnsi="Times New Roman"/>
                <w:sz w:val="18"/>
                <w:szCs w:val="18"/>
                <w:color w:val="FFFFFF"/>
              </w:rPr>
              <w:t>Cabin Lighting &amp;</w:t>
            </w:r>
          </w:p>
        </w:tc>
        <w:tc>
          <w:tcPr>
            <w:tcW w:w="340" w:type="dxa"/>
            <w:vAlign w:val="bottom"/>
          </w:tcPr>
          <w:p>
            <w:pPr>
              <w:ind w:left="220"/>
              <w:spacing w:after="0"/>
              <w:rPr>
                <w:sz w:val="20"/>
                <w:szCs w:val="20"/>
                <w:color w:val="auto"/>
              </w:rPr>
            </w:pPr>
            <w:r>
              <w:rPr>
                <w:rFonts w:ascii="Times New Roman" w:cs="Times New Roman" w:eastAsia="Times New Roman" w:hAnsi="Times New Roman"/>
                <w:sz w:val="18"/>
                <w:szCs w:val="18"/>
                <w:color w:val="FFFFFF"/>
              </w:rPr>
              <w:t>•</w:t>
            </w:r>
          </w:p>
        </w:tc>
        <w:tc>
          <w:tcPr>
            <w:tcW w:w="1860" w:type="dxa"/>
            <w:vAlign w:val="bottom"/>
          </w:tcPr>
          <w:p>
            <w:pPr>
              <w:ind w:left="60"/>
              <w:spacing w:after="0"/>
              <w:rPr>
                <w:sz w:val="20"/>
                <w:szCs w:val="20"/>
                <w:color w:val="auto"/>
              </w:rPr>
            </w:pPr>
            <w:r>
              <w:rPr>
                <w:rFonts w:ascii="Times New Roman" w:cs="Times New Roman" w:eastAsia="Times New Roman" w:hAnsi="Times New Roman"/>
                <w:sz w:val="18"/>
                <w:szCs w:val="18"/>
                <w:color w:val="FFFFFF"/>
              </w:rPr>
              <w:t>Device Concealment</w:t>
            </w:r>
          </w:p>
        </w:tc>
      </w:tr>
      <w:tr>
        <w:trPr>
          <w:trHeight w:val="329"/>
        </w:trPr>
        <w:tc>
          <w:tcPr>
            <w:tcW w:w="120" w:type="dxa"/>
            <w:vAlign w:val="bottom"/>
          </w:tcPr>
          <w:p>
            <w:pPr>
              <w:spacing w:after="0"/>
              <w:rPr>
                <w:sz w:val="24"/>
                <w:szCs w:val="24"/>
                <w:color w:val="auto"/>
              </w:rPr>
            </w:pPr>
          </w:p>
        </w:tc>
        <w:tc>
          <w:tcPr>
            <w:tcW w:w="1640" w:type="dxa"/>
            <w:vAlign w:val="bottom"/>
          </w:tcPr>
          <w:p>
            <w:pPr>
              <w:ind w:left="60"/>
              <w:spacing w:after="0"/>
              <w:rPr>
                <w:sz w:val="20"/>
                <w:szCs w:val="20"/>
                <w:color w:val="auto"/>
              </w:rPr>
            </w:pPr>
            <w:r>
              <w:rPr>
                <w:rFonts w:ascii="Times New Roman" w:cs="Times New Roman" w:eastAsia="Times New Roman" w:hAnsi="Times New Roman"/>
                <w:sz w:val="18"/>
                <w:szCs w:val="18"/>
                <w:color w:val="FFFFFF"/>
              </w:rPr>
              <w:t>Saturation Control</w:t>
            </w:r>
          </w:p>
        </w:tc>
        <w:tc>
          <w:tcPr>
            <w:tcW w:w="340" w:type="dxa"/>
            <w:vAlign w:val="bottom"/>
          </w:tcPr>
          <w:p>
            <w:pPr>
              <w:ind w:left="220"/>
              <w:spacing w:after="0"/>
              <w:rPr>
                <w:sz w:val="20"/>
                <w:szCs w:val="20"/>
                <w:color w:val="auto"/>
              </w:rPr>
            </w:pPr>
            <w:r>
              <w:rPr>
                <w:rFonts w:ascii="Times New Roman" w:cs="Times New Roman" w:eastAsia="Times New Roman" w:hAnsi="Times New Roman"/>
                <w:sz w:val="18"/>
                <w:szCs w:val="18"/>
                <w:color w:val="FFFFFF"/>
              </w:rPr>
              <w:t>•</w:t>
            </w:r>
          </w:p>
        </w:tc>
        <w:tc>
          <w:tcPr>
            <w:tcW w:w="1860" w:type="dxa"/>
            <w:vAlign w:val="bottom"/>
          </w:tcPr>
          <w:p>
            <w:pPr>
              <w:ind w:left="60"/>
              <w:spacing w:after="0"/>
              <w:rPr>
                <w:sz w:val="20"/>
                <w:szCs w:val="20"/>
                <w:color w:val="auto"/>
              </w:rPr>
            </w:pPr>
            <w:r>
              <w:rPr>
                <w:rFonts w:ascii="Times New Roman" w:cs="Times New Roman" w:eastAsia="Times New Roman" w:hAnsi="Times New Roman"/>
                <w:sz w:val="18"/>
                <w:szCs w:val="18"/>
                <w:color w:val="FFFFFF"/>
                <w:w w:val="96"/>
              </w:rPr>
              <w:t>Camera Aperture Control</w:t>
            </w:r>
          </w:p>
        </w:tc>
      </w:tr>
    </w:tbl>
    <w:p>
      <w:pPr>
        <w:ind w:left="1500" w:right="2620" w:hanging="190"/>
        <w:spacing w:after="0" w:line="337" w:lineRule="auto"/>
        <w:tabs>
          <w:tab w:leader="none" w:pos="1500" w:val="left"/>
        </w:tabs>
        <w:numPr>
          <w:ilvl w:val="0"/>
          <w:numId w:val="5"/>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FFFFFF"/>
        </w:rPr>
        <w:t>Supplementing HVAC Systems</w:t>
      </w:r>
    </w:p>
    <w:p>
      <w:pPr>
        <w:spacing w:after="0" w:line="200" w:lineRule="exact"/>
        <w:rPr>
          <w:sz w:val="20"/>
          <w:szCs w:val="20"/>
          <w:color w:val="auto"/>
        </w:rPr>
      </w:pPr>
    </w:p>
    <w:p>
      <w:pPr>
        <w:sectPr>
          <w:pgSz w:w="12240" w:h="15840" w:orient="portrait"/>
          <w:cols w:equalWidth="0" w:num="2">
            <w:col w:w="5480" w:space="180"/>
            <w:col w:w="5280"/>
          </w:cols>
          <w:pgMar w:left="580" w:top="454" w:right="720" w:bottom="0" w:gutter="0" w:footer="0" w:header="0"/>
        </w:sectPr>
      </w:pPr>
    </w:p>
    <w:p>
      <w:pPr>
        <w:spacing w:after="0" w:line="143"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FFFFFF"/>
        </w:rPr>
        <w:t>10</w:t>
      </w:r>
      <w:r>
        <w:rPr>
          <w:sz w:val="20"/>
          <w:szCs w:val="20"/>
          <w:color w:val="auto"/>
        </w:rPr>
        <w:tab/>
      </w:r>
      <w:r>
        <w:rPr>
          <w:rFonts w:ascii="Times New Roman" w:cs="Times New Roman" w:eastAsia="Times New Roman" w:hAnsi="Times New Roman"/>
          <w:sz w:val="10"/>
          <w:szCs w:val="10"/>
          <w:color w:val="FFFFFF"/>
        </w:rPr>
        <w:t>GENTEX CORPORATION</w:t>
      </w:r>
    </w:p>
    <w:p>
      <w:pPr>
        <w:sectPr>
          <w:pgSz w:w="12240" w:h="15840" w:orient="portrait"/>
          <w:cols w:equalWidth="0" w:num="1">
            <w:col w:w="10940"/>
          </w:cols>
          <w:pgMar w:left="580" w:top="454" w:right="720" w:bottom="0" w:gutter="0" w:footer="0" w:header="0"/>
          <w:type w:val="continuous"/>
        </w:sectPr>
      </w:pPr>
    </w:p>
    <w:bookmarkStart w:id="10" w:name="page11"/>
    <w:bookmarkEnd w:id="10"/>
    <w:p>
      <w:pPr>
        <w:ind w:left="80"/>
        <w:spacing w:after="0"/>
        <w:rPr>
          <w:sz w:val="20"/>
          <w:szCs w:val="20"/>
          <w:color w:val="auto"/>
        </w:rPr>
      </w:pPr>
      <w:r>
        <w:rPr>
          <w:rFonts w:ascii="Arial" w:cs="Arial" w:eastAsia="Arial" w:hAnsi="Arial"/>
          <w:sz w:val="24"/>
          <w:szCs w:val="24"/>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Dimmable Device concepts and products</w:t>
      </w:r>
    </w:p>
    <w:p>
      <w:pPr>
        <w:spacing w:after="0" w:line="1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FFFFFF"/>
        </w:rPr>
        <w:t>1. Auto Dimming Mirror 2. Dimmable Visor 3. Dimmable Sunroof 4. Camera Concealment 5. Aperture Control 6. Contrast Control</w:t>
      </w:r>
    </w:p>
    <w:p>
      <w:pPr>
        <w:spacing w:after="0" w:line="200" w:lineRule="exact"/>
        <w:rPr>
          <w:sz w:val="20"/>
          <w:szCs w:val="20"/>
          <w:color w:val="auto"/>
        </w:rPr>
      </w:pPr>
    </w:p>
    <w:p>
      <w:pPr>
        <w:spacing w:after="0" w:line="242" w:lineRule="exact"/>
        <w:rPr>
          <w:sz w:val="20"/>
          <w:szCs w:val="20"/>
          <w:color w:val="auto"/>
        </w:rPr>
      </w:pPr>
    </w:p>
    <w:p>
      <w:pPr>
        <w:jc w:val="center"/>
        <w:ind w:left="5540"/>
        <w:spacing w:after="0"/>
        <w:rPr>
          <w:sz w:val="20"/>
          <w:szCs w:val="20"/>
          <w:color w:val="auto"/>
        </w:rPr>
      </w:pPr>
      <w:r>
        <w:rPr>
          <w:rFonts w:ascii="Arial" w:cs="Arial" w:eastAsia="Arial" w:hAnsi="Arial"/>
          <w:sz w:val="18"/>
          <w:szCs w:val="18"/>
          <w:color w:val="FFFFFF"/>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340" w:type="dxa"/>
        <w:tblCellMar>
          <w:top w:w="0" w:type="dxa"/>
          <w:left w:w="0" w:type="dxa"/>
          <w:bottom w:w="0" w:type="dxa"/>
          <w:right w:w="0" w:type="dxa"/>
        </w:tblCellMar>
      </w:tblPr>
      <w:tr>
        <w:trPr>
          <w:trHeight w:val="230"/>
        </w:trPr>
        <w:tc>
          <w:tcPr>
            <w:tcW w:w="240" w:type="dxa"/>
            <w:vAlign w:val="bottom"/>
            <w:shd w:val="clear" w:color="auto" w:fill="8C8C8C"/>
          </w:tcPr>
          <w:p>
            <w:pPr>
              <w:jc w:val="right"/>
              <w:spacing w:after="0"/>
              <w:rPr>
                <w:sz w:val="20"/>
                <w:szCs w:val="20"/>
                <w:color w:val="auto"/>
              </w:rPr>
            </w:pPr>
            <w:r>
              <w:rPr>
                <w:rFonts w:ascii="Arial" w:cs="Arial" w:eastAsia="Arial" w:hAnsi="Arial"/>
                <w:sz w:val="18"/>
                <w:szCs w:val="18"/>
                <w:color w:val="FFFFFF"/>
              </w:rPr>
              <w:t>1</w:t>
            </w:r>
          </w:p>
        </w:tc>
        <w:tc>
          <w:tcPr>
            <w:tcW w:w="5100" w:type="dxa"/>
            <w:vAlign w:val="bottom"/>
          </w:tcPr>
          <w:p>
            <w:pPr>
              <w:spacing w:after="0"/>
              <w:rPr>
                <w:sz w:val="20"/>
                <w:szCs w:val="20"/>
                <w:color w:val="auto"/>
              </w:rPr>
            </w:pPr>
          </w:p>
        </w:tc>
        <w:tc>
          <w:tcPr>
            <w:tcW w:w="240" w:type="dxa"/>
            <w:vAlign w:val="bottom"/>
            <w:shd w:val="clear" w:color="auto" w:fill="8C8C8C"/>
          </w:tcPr>
          <w:p>
            <w:pPr>
              <w:jc w:val="right"/>
              <w:ind w:right="10"/>
              <w:spacing w:after="0"/>
              <w:rPr>
                <w:sz w:val="20"/>
                <w:szCs w:val="20"/>
                <w:color w:val="auto"/>
              </w:rPr>
            </w:pPr>
            <w:r>
              <w:rPr>
                <w:rFonts w:ascii="Arial" w:cs="Arial" w:eastAsia="Arial" w:hAnsi="Arial"/>
                <w:sz w:val="18"/>
                <w:szCs w:val="18"/>
                <w:color w:val="FFFFFF"/>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2340" w:type="dxa"/>
        <w:tblCellMar>
          <w:top w:w="0" w:type="dxa"/>
          <w:left w:w="0" w:type="dxa"/>
          <w:bottom w:w="0" w:type="dxa"/>
          <w:right w:w="0" w:type="dxa"/>
        </w:tblCellMar>
      </w:tblPr>
      <w:tr>
        <w:trPr>
          <w:trHeight w:val="230"/>
        </w:trPr>
        <w:tc>
          <w:tcPr>
            <w:tcW w:w="240" w:type="dxa"/>
            <w:vAlign w:val="bottom"/>
            <w:shd w:val="clear" w:color="auto" w:fill="8C8C8C"/>
          </w:tcPr>
          <w:p>
            <w:pPr>
              <w:jc w:val="right"/>
              <w:spacing w:after="0"/>
              <w:rPr>
                <w:sz w:val="20"/>
                <w:szCs w:val="20"/>
                <w:color w:val="auto"/>
              </w:rPr>
            </w:pPr>
            <w:r>
              <w:rPr>
                <w:rFonts w:ascii="Arial" w:cs="Arial" w:eastAsia="Arial" w:hAnsi="Arial"/>
                <w:sz w:val="18"/>
                <w:szCs w:val="18"/>
                <w:color w:val="FFFFFF"/>
              </w:rPr>
              <w:t>3</w:t>
            </w:r>
          </w:p>
        </w:tc>
        <w:tc>
          <w:tcPr>
            <w:tcW w:w="5260" w:type="dxa"/>
            <w:vAlign w:val="bottom"/>
          </w:tcPr>
          <w:p>
            <w:pPr>
              <w:jc w:val="right"/>
              <w:spacing w:after="0"/>
              <w:rPr>
                <w:sz w:val="20"/>
                <w:szCs w:val="20"/>
                <w:color w:val="auto"/>
              </w:rPr>
            </w:pPr>
            <w:r>
              <w:rPr>
                <w:rFonts w:ascii="Arial" w:cs="Arial" w:eastAsia="Arial" w:hAnsi="Arial"/>
                <w:sz w:val="18"/>
                <w:szCs w:val="18"/>
                <w:color w:val="FFFFFF"/>
              </w:rPr>
              <w:t>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340" w:type="dxa"/>
        <w:tblCellMar>
          <w:top w:w="0" w:type="dxa"/>
          <w:left w:w="0" w:type="dxa"/>
          <w:bottom w:w="0" w:type="dxa"/>
          <w:right w:w="0" w:type="dxa"/>
        </w:tblCellMar>
      </w:tblPr>
      <w:tr>
        <w:trPr>
          <w:trHeight w:val="230"/>
        </w:trPr>
        <w:tc>
          <w:tcPr>
            <w:tcW w:w="240" w:type="dxa"/>
            <w:vAlign w:val="bottom"/>
            <w:shd w:val="clear" w:color="auto" w:fill="8C8C8C"/>
          </w:tcPr>
          <w:p>
            <w:pPr>
              <w:jc w:val="right"/>
              <w:spacing w:after="0"/>
              <w:rPr>
                <w:sz w:val="20"/>
                <w:szCs w:val="20"/>
                <w:color w:val="auto"/>
              </w:rPr>
            </w:pPr>
            <w:r>
              <w:rPr>
                <w:rFonts w:ascii="Arial" w:cs="Arial" w:eastAsia="Arial" w:hAnsi="Arial"/>
                <w:sz w:val="18"/>
                <w:szCs w:val="18"/>
                <w:color w:val="FFFFFF"/>
              </w:rPr>
              <w:t>5</w:t>
            </w:r>
          </w:p>
        </w:tc>
        <w:tc>
          <w:tcPr>
            <w:tcW w:w="5100" w:type="dxa"/>
            <w:vAlign w:val="bottom"/>
          </w:tcPr>
          <w:p>
            <w:pPr>
              <w:spacing w:after="0"/>
              <w:rPr>
                <w:sz w:val="20"/>
                <w:szCs w:val="20"/>
                <w:color w:val="auto"/>
              </w:rPr>
            </w:pPr>
          </w:p>
        </w:tc>
        <w:tc>
          <w:tcPr>
            <w:tcW w:w="240" w:type="dxa"/>
            <w:vAlign w:val="bottom"/>
            <w:shd w:val="clear" w:color="auto" w:fill="8C8C8C"/>
          </w:tcPr>
          <w:p>
            <w:pPr>
              <w:jc w:val="right"/>
              <w:spacing w:after="0"/>
              <w:rPr>
                <w:sz w:val="20"/>
                <w:szCs w:val="20"/>
                <w:color w:val="auto"/>
              </w:rPr>
            </w:pPr>
            <w:r>
              <w:rPr>
                <w:rFonts w:ascii="Arial" w:cs="Arial" w:eastAsia="Arial" w:hAnsi="Arial"/>
                <w:sz w:val="18"/>
                <w:szCs w:val="18"/>
                <w:color w:val="FFFFFF"/>
              </w:rPr>
              <w:t>6</w:t>
            </w:r>
          </w:p>
        </w:tc>
      </w:tr>
    </w:tbl>
    <w:p>
      <w:pPr>
        <w:spacing w:after="0" w:line="200" w:lineRule="exact"/>
        <w:rPr>
          <w:sz w:val="20"/>
          <w:szCs w:val="20"/>
          <w:color w:val="auto"/>
        </w:rPr>
      </w:pPr>
    </w:p>
    <w:p>
      <w:pPr>
        <w:sectPr>
          <w:pgSz w:w="12240" w:h="15840" w:orient="portrait"/>
          <w:cols w:equalWidth="0" w:num="1">
            <w:col w:w="10640"/>
          </w:cols>
          <w:pgMar w:left="1020" w:top="417" w:right="580" w:bottom="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04"/>
          <w:szCs w:val="104"/>
          <w:color w:val="FFFFFF"/>
        </w:rPr>
        <w:t>Q1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04"/>
          <w:szCs w:val="104"/>
          <w:color w:val="FFFFFF"/>
        </w:rPr>
        <w:t>Q2</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04"/>
          <w:szCs w:val="104"/>
          <w:color w:val="FFFFFF"/>
        </w:rPr>
        <w:t>Q3</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04"/>
          <w:szCs w:val="104"/>
          <w:color w:val="FFFFFF"/>
        </w:rPr>
        <w:t>Q4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right="380"/>
        <w:spacing w:after="0" w:line="406" w:lineRule="auto"/>
        <w:rPr>
          <w:sz w:val="20"/>
          <w:szCs w:val="20"/>
          <w:color w:val="auto"/>
        </w:rPr>
      </w:pPr>
      <w:r>
        <w:rPr>
          <w:rFonts w:ascii="Arial" w:cs="Arial" w:eastAsia="Arial" w:hAnsi="Arial"/>
          <w:sz w:val="13"/>
          <w:szCs w:val="13"/>
          <w:b w:val="1"/>
          <w:bCs w:val="1"/>
          <w:color w:val="161616"/>
        </w:rPr>
        <w:t>21 NET NEW NAMEPLATE LAUNCHES OF OUR INTERIOR (IEC) AND EXTERIOR (OEC) AUTO-DIMMING MIRRORS AND ELECTRONIC FEATURES.</w:t>
      </w:r>
    </w:p>
    <w:p>
      <w:pPr>
        <w:spacing w:after="0" w:line="200" w:lineRule="exact"/>
        <w:rPr>
          <w:sz w:val="20"/>
          <w:szCs w:val="20"/>
          <w:color w:val="auto"/>
        </w:rPr>
      </w:pPr>
    </w:p>
    <w:p>
      <w:pPr>
        <w:spacing w:after="0" w:line="343" w:lineRule="exact"/>
        <w:rPr>
          <w:sz w:val="20"/>
          <w:szCs w:val="20"/>
          <w:color w:val="auto"/>
        </w:rPr>
      </w:pPr>
    </w:p>
    <w:p>
      <w:pPr>
        <w:ind w:right="140"/>
        <w:spacing w:after="0" w:line="400" w:lineRule="auto"/>
        <w:rPr>
          <w:sz w:val="20"/>
          <w:szCs w:val="20"/>
          <w:color w:val="auto"/>
        </w:rPr>
      </w:pPr>
      <w:r>
        <w:rPr>
          <w:rFonts w:ascii="Arial" w:cs="Arial" w:eastAsia="Arial" w:hAnsi="Arial"/>
          <w:sz w:val="13"/>
          <w:szCs w:val="13"/>
          <w:b w:val="1"/>
          <w:bCs w:val="1"/>
          <w:color w:val="161616"/>
        </w:rPr>
        <w:t>44 TOTAL NEW LAUNCHES OF OUR IEC AND OEC MIRRORS AND ELECTRONIC FEATURES WITH OUR BASE INTERIOR AUTO-DIMMING MIRROR, HOMELINK AND FULL DISPLAY MIRROR LEADING THE WAY.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378" w:lineRule="auto"/>
        <w:rPr>
          <w:sz w:val="20"/>
          <w:szCs w:val="20"/>
          <w:color w:val="auto"/>
        </w:rPr>
      </w:pPr>
      <w:r>
        <w:rPr>
          <w:rFonts w:ascii="Arial" w:cs="Arial" w:eastAsia="Arial" w:hAnsi="Arial"/>
          <w:sz w:val="14"/>
          <w:szCs w:val="14"/>
          <w:b w:val="1"/>
          <w:bCs w:val="1"/>
          <w:color w:val="161616"/>
        </w:rPr>
        <w:t>HIGHEST LAUNCH CADENCE IN PAST 3 YEARS, WITH 50 LAUNCHES, AND X &gt; 50% ADVANCED FEATURE LAUNCHES.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60"/>
        <w:spacing w:after="0" w:line="371" w:lineRule="auto"/>
        <w:rPr>
          <w:sz w:val="20"/>
          <w:szCs w:val="20"/>
          <w:color w:val="auto"/>
        </w:rPr>
      </w:pPr>
      <w:r>
        <w:rPr>
          <w:rFonts w:ascii="Arial" w:cs="Arial" w:eastAsia="Arial" w:hAnsi="Arial"/>
          <w:sz w:val="14"/>
          <w:szCs w:val="14"/>
          <w:b w:val="1"/>
          <w:bCs w:val="1"/>
          <w:color w:val="161616"/>
        </w:rPr>
        <w:t>27 NEW LAUNCHES OF OUR INTERIOR AND EXTERIOR AUTO-DIMMING MIRRORS, WITH APPROXIMATELY 50% ADVANCED FEATURE LAUNCHES.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161616"/>
        </w:rPr>
        <w:t xml:space="preserve">MIRROR SHIPMENTS </w:t>
      </w:r>
      <w:r>
        <w:rPr>
          <w:rFonts w:ascii="Arial" w:cs="Arial" w:eastAsia="Arial" w:hAnsi="Arial"/>
          <w:sz w:val="18"/>
          <w:szCs w:val="18"/>
          <w:i w:val="1"/>
          <w:iCs w:val="1"/>
          <w:color w:val="161616"/>
        </w:rPr>
        <w:t>(in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306"/>
        </w:trPr>
        <w:tc>
          <w:tcPr>
            <w:tcW w:w="2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161616"/>
              </w:rPr>
              <w:t>2022</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161616"/>
              </w:rPr>
              <w:t>Q1</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161616"/>
              </w:rPr>
              <w:t>Q2</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161616"/>
              </w:rPr>
              <w:t>Q3</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161616"/>
              </w:rPr>
              <w:t>Q4</w:t>
            </w:r>
          </w:p>
        </w:tc>
      </w:tr>
      <w:tr>
        <w:trPr>
          <w:trHeight w:val="343"/>
        </w:trPr>
        <w:tc>
          <w:tcPr>
            <w:tcW w:w="23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161616"/>
              </w:rPr>
              <w:t>Interior Auto-Dimming (IEC)</w:t>
            </w:r>
          </w:p>
        </w:tc>
        <w:tc>
          <w:tcPr>
            <w:tcW w:w="6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161616"/>
              </w:rPr>
              <w:t>28,686</w:t>
            </w: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161616"/>
              </w:rPr>
              <w:t>7,248</w:t>
            </w: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161616"/>
              </w:rPr>
              <w:t>7,036</w:t>
            </w: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161616"/>
              </w:rPr>
              <w:t>7,443</w:t>
            </w:r>
          </w:p>
        </w:tc>
        <w:tc>
          <w:tcPr>
            <w:tcW w:w="5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161616"/>
              </w:rPr>
              <w:t>6,959</w:t>
            </w:r>
          </w:p>
        </w:tc>
      </w:tr>
      <w:tr>
        <w:trPr>
          <w:trHeight w:val="355"/>
        </w:trPr>
        <w:tc>
          <w:tcPr>
            <w:tcW w:w="23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161616"/>
              </w:rPr>
              <w:t>Exterior Auto-Dimming (OEC)</w:t>
            </w:r>
          </w:p>
        </w:tc>
        <w:tc>
          <w:tcPr>
            <w:tcW w:w="620" w:type="dxa"/>
            <w:vAlign w:val="bottom"/>
            <w:tcBorders>
              <w:bottom w:val="single" w:sz="8" w:color="8C8C8C"/>
            </w:tcBorders>
          </w:tcPr>
          <w:p>
            <w:pPr>
              <w:jc w:val="right"/>
              <w:spacing w:after="0"/>
              <w:rPr>
                <w:sz w:val="20"/>
                <w:szCs w:val="20"/>
                <w:color w:val="auto"/>
              </w:rPr>
            </w:pPr>
            <w:r>
              <w:rPr>
                <w:rFonts w:ascii="Times New Roman" w:cs="Times New Roman" w:eastAsia="Times New Roman" w:hAnsi="Times New Roman"/>
                <w:sz w:val="18"/>
                <w:szCs w:val="18"/>
                <w:color w:val="161616"/>
              </w:rPr>
              <w:t>15,502</w:t>
            </w:r>
          </w:p>
        </w:tc>
        <w:tc>
          <w:tcPr>
            <w:tcW w:w="580" w:type="dxa"/>
            <w:vAlign w:val="bottom"/>
            <w:tcBorders>
              <w:bottom w:val="single" w:sz="8" w:color="8C8C8C"/>
            </w:tcBorders>
          </w:tcPr>
          <w:p>
            <w:pPr>
              <w:jc w:val="right"/>
              <w:spacing w:after="0"/>
              <w:rPr>
                <w:sz w:val="20"/>
                <w:szCs w:val="20"/>
                <w:color w:val="auto"/>
              </w:rPr>
            </w:pPr>
            <w:r>
              <w:rPr>
                <w:rFonts w:ascii="Times New Roman" w:cs="Times New Roman" w:eastAsia="Times New Roman" w:hAnsi="Times New Roman"/>
                <w:sz w:val="18"/>
                <w:szCs w:val="18"/>
                <w:color w:val="161616"/>
              </w:rPr>
              <w:t>3,755</w:t>
            </w:r>
          </w:p>
        </w:tc>
        <w:tc>
          <w:tcPr>
            <w:tcW w:w="580" w:type="dxa"/>
            <w:vAlign w:val="bottom"/>
            <w:tcBorders>
              <w:bottom w:val="single" w:sz="8" w:color="8C8C8C"/>
            </w:tcBorders>
          </w:tcPr>
          <w:p>
            <w:pPr>
              <w:jc w:val="right"/>
              <w:spacing w:after="0"/>
              <w:rPr>
                <w:sz w:val="20"/>
                <w:szCs w:val="20"/>
                <w:color w:val="auto"/>
              </w:rPr>
            </w:pPr>
            <w:r>
              <w:rPr>
                <w:rFonts w:ascii="Times New Roman" w:cs="Times New Roman" w:eastAsia="Times New Roman" w:hAnsi="Times New Roman"/>
                <w:sz w:val="18"/>
                <w:szCs w:val="18"/>
                <w:color w:val="161616"/>
              </w:rPr>
              <w:t>3,656</w:t>
            </w:r>
          </w:p>
        </w:tc>
        <w:tc>
          <w:tcPr>
            <w:tcW w:w="580" w:type="dxa"/>
            <w:vAlign w:val="bottom"/>
            <w:tcBorders>
              <w:bottom w:val="single" w:sz="8" w:color="8C8C8C"/>
            </w:tcBorders>
          </w:tcPr>
          <w:p>
            <w:pPr>
              <w:jc w:val="right"/>
              <w:spacing w:after="0"/>
              <w:rPr>
                <w:sz w:val="20"/>
                <w:szCs w:val="20"/>
                <w:color w:val="auto"/>
              </w:rPr>
            </w:pPr>
            <w:r>
              <w:rPr>
                <w:rFonts w:ascii="Times New Roman" w:cs="Times New Roman" w:eastAsia="Times New Roman" w:hAnsi="Times New Roman"/>
                <w:sz w:val="18"/>
                <w:szCs w:val="18"/>
                <w:color w:val="161616"/>
              </w:rPr>
              <w:t>4,046</w:t>
            </w:r>
          </w:p>
        </w:tc>
        <w:tc>
          <w:tcPr>
            <w:tcW w:w="540" w:type="dxa"/>
            <w:vAlign w:val="bottom"/>
            <w:tcBorders>
              <w:bottom w:val="single" w:sz="8" w:color="8C8C8C"/>
            </w:tcBorders>
          </w:tcPr>
          <w:p>
            <w:pPr>
              <w:jc w:val="right"/>
              <w:spacing w:after="0"/>
              <w:rPr>
                <w:sz w:val="20"/>
                <w:szCs w:val="20"/>
                <w:color w:val="auto"/>
              </w:rPr>
            </w:pPr>
            <w:r>
              <w:rPr>
                <w:rFonts w:ascii="Times New Roman" w:cs="Times New Roman" w:eastAsia="Times New Roman" w:hAnsi="Times New Roman"/>
                <w:sz w:val="18"/>
                <w:szCs w:val="18"/>
                <w:color w:val="161616"/>
              </w:rPr>
              <w:t>4,045</w:t>
            </w:r>
          </w:p>
        </w:tc>
      </w:tr>
      <w:tr>
        <w:trPr>
          <w:trHeight w:val="34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161616"/>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161616"/>
              </w:rPr>
              <w:t>44,198</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161616"/>
              </w:rPr>
              <w:t>11,003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161616"/>
              </w:rPr>
              <w:t>10,692</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161616"/>
              </w:rPr>
              <w:t>11,489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161616"/>
              </w:rPr>
              <w:t>11,004</w:t>
            </w:r>
          </w:p>
        </w:tc>
      </w:tr>
    </w:tbl>
    <w:p>
      <w:pPr>
        <w:spacing w:after="0" w:line="360" w:lineRule="exact"/>
        <w:rPr>
          <w:sz w:val="20"/>
          <w:szCs w:val="20"/>
          <w:color w:val="auto"/>
        </w:rPr>
      </w:pPr>
    </w:p>
    <w:p>
      <w:pPr>
        <w:jc w:val="center"/>
        <w:ind w:right="480"/>
        <w:spacing w:after="0"/>
        <w:rPr>
          <w:sz w:val="20"/>
          <w:szCs w:val="20"/>
          <w:color w:val="auto"/>
        </w:rPr>
      </w:pPr>
      <w:r>
        <w:rPr>
          <w:rFonts w:ascii="Arial" w:cs="Arial" w:eastAsia="Arial" w:hAnsi="Arial"/>
          <w:sz w:val="27"/>
          <w:szCs w:val="27"/>
          <w:b w:val="1"/>
          <w:bCs w:val="1"/>
          <w:color w:val="161616"/>
        </w:rPr>
        <w:t xml:space="preserve">ANNUAL MIRROR SHIPMENTS </w:t>
      </w:r>
      <w:r>
        <w:rPr>
          <w:rFonts w:ascii="Arial" w:cs="Arial" w:eastAsia="Arial" w:hAnsi="Arial"/>
          <w:sz w:val="17"/>
          <w:szCs w:val="17"/>
          <w:i w:val="1"/>
          <w:iCs w:val="1"/>
          <w:color w:val="161616"/>
        </w:rPr>
        <w:t>(in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161616"/>
              </w:rPr>
              <w:t>2022</w:t>
            </w: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161616"/>
              </w:rPr>
              <w:t>2021</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161616"/>
              </w:rPr>
              <w:t>2020</w:t>
            </w:r>
          </w:p>
        </w:tc>
      </w:tr>
      <w:tr>
        <w:trPr>
          <w:trHeight w:val="343"/>
        </w:trPr>
        <w:tc>
          <w:tcPr>
            <w:tcW w:w="240" w:type="dxa"/>
            <w:vAlign w:val="bottom"/>
          </w:tcPr>
          <w:p>
            <w:pPr>
              <w:spacing w:after="0"/>
              <w:rPr>
                <w:sz w:val="24"/>
                <w:szCs w:val="24"/>
                <w:color w:val="auto"/>
              </w:rPr>
            </w:pPr>
          </w:p>
        </w:tc>
        <w:tc>
          <w:tcPr>
            <w:tcW w:w="2280" w:type="dxa"/>
            <w:vAlign w:val="bottom"/>
            <w:tcBorders>
              <w:bottom w:val="single" w:sz="8" w:color="808080"/>
            </w:tcBorders>
            <w:gridSpan w:val="2"/>
          </w:tcPr>
          <w:p>
            <w:pPr>
              <w:spacing w:after="0"/>
              <w:rPr>
                <w:sz w:val="20"/>
                <w:szCs w:val="20"/>
                <w:color w:val="auto"/>
              </w:rPr>
            </w:pPr>
            <w:r>
              <w:rPr>
                <w:rFonts w:ascii="Times New Roman" w:cs="Times New Roman" w:eastAsia="Times New Roman" w:hAnsi="Times New Roman"/>
                <w:sz w:val="18"/>
                <w:szCs w:val="18"/>
                <w:color w:val="161616"/>
              </w:rPr>
              <w:t>Interior Auto-Dimming</w:t>
            </w:r>
          </w:p>
        </w:tc>
        <w:tc>
          <w:tcPr>
            <w:tcW w:w="1260" w:type="dxa"/>
            <w:vAlign w:val="bottom"/>
            <w:tcBorders>
              <w:bottom w:val="single" w:sz="8" w:color="808080"/>
            </w:tcBorders>
          </w:tcPr>
          <w:p>
            <w:pPr>
              <w:jc w:val="right"/>
              <w:ind w:right="210"/>
              <w:spacing w:after="0"/>
              <w:rPr>
                <w:sz w:val="20"/>
                <w:szCs w:val="20"/>
                <w:color w:val="auto"/>
              </w:rPr>
            </w:pPr>
            <w:r>
              <w:rPr>
                <w:rFonts w:ascii="Times New Roman" w:cs="Times New Roman" w:eastAsia="Times New Roman" w:hAnsi="Times New Roman"/>
                <w:sz w:val="18"/>
                <w:szCs w:val="18"/>
                <w:color w:val="161616"/>
              </w:rPr>
              <w:t>28.7</w:t>
            </w:r>
          </w:p>
        </w:tc>
        <w:tc>
          <w:tcPr>
            <w:tcW w:w="980" w:type="dxa"/>
            <w:vAlign w:val="bottom"/>
            <w:tcBorders>
              <w:bottom w:val="single" w:sz="8" w:color="808080"/>
            </w:tcBorders>
          </w:tcPr>
          <w:p>
            <w:pPr>
              <w:jc w:val="right"/>
              <w:ind w:right="210"/>
              <w:spacing w:after="0"/>
              <w:rPr>
                <w:sz w:val="20"/>
                <w:szCs w:val="20"/>
                <w:color w:val="auto"/>
              </w:rPr>
            </w:pPr>
            <w:r>
              <w:rPr>
                <w:rFonts w:ascii="Times New Roman" w:cs="Times New Roman" w:eastAsia="Times New Roman" w:hAnsi="Times New Roman"/>
                <w:sz w:val="18"/>
                <w:szCs w:val="18"/>
                <w:color w:val="161616"/>
              </w:rPr>
              <w:t>27.2</w:t>
            </w:r>
          </w:p>
        </w:tc>
        <w:tc>
          <w:tcPr>
            <w:tcW w:w="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161616"/>
              </w:rPr>
              <w:t>26.1</w:t>
            </w:r>
          </w:p>
        </w:tc>
      </w:tr>
      <w:tr>
        <w:trPr>
          <w:trHeight w:val="355"/>
        </w:trPr>
        <w:tc>
          <w:tcPr>
            <w:tcW w:w="240" w:type="dxa"/>
            <w:vAlign w:val="bottom"/>
          </w:tcPr>
          <w:p>
            <w:pPr>
              <w:spacing w:after="0"/>
              <w:rPr>
                <w:sz w:val="24"/>
                <w:szCs w:val="24"/>
                <w:color w:val="auto"/>
              </w:rPr>
            </w:pPr>
          </w:p>
        </w:tc>
        <w:tc>
          <w:tcPr>
            <w:tcW w:w="2280" w:type="dxa"/>
            <w:vAlign w:val="bottom"/>
            <w:tcBorders>
              <w:bottom w:val="single" w:sz="8" w:color="808080"/>
            </w:tcBorders>
            <w:gridSpan w:val="2"/>
          </w:tcPr>
          <w:p>
            <w:pPr>
              <w:spacing w:after="0"/>
              <w:rPr>
                <w:sz w:val="20"/>
                <w:szCs w:val="20"/>
                <w:color w:val="auto"/>
              </w:rPr>
            </w:pPr>
            <w:r>
              <w:rPr>
                <w:rFonts w:ascii="Times New Roman" w:cs="Times New Roman" w:eastAsia="Times New Roman" w:hAnsi="Times New Roman"/>
                <w:sz w:val="18"/>
                <w:szCs w:val="18"/>
                <w:color w:val="161616"/>
              </w:rPr>
              <w:t>Exterior Auto-Dimming</w:t>
            </w:r>
          </w:p>
        </w:tc>
        <w:tc>
          <w:tcPr>
            <w:tcW w:w="1260" w:type="dxa"/>
            <w:vAlign w:val="bottom"/>
            <w:tcBorders>
              <w:bottom w:val="single" w:sz="8" w:color="8C8C8C"/>
            </w:tcBorders>
          </w:tcPr>
          <w:p>
            <w:pPr>
              <w:jc w:val="right"/>
              <w:ind w:right="210"/>
              <w:spacing w:after="0"/>
              <w:rPr>
                <w:sz w:val="20"/>
                <w:szCs w:val="20"/>
                <w:color w:val="auto"/>
              </w:rPr>
            </w:pPr>
            <w:r>
              <w:rPr>
                <w:rFonts w:ascii="Times New Roman" w:cs="Times New Roman" w:eastAsia="Times New Roman" w:hAnsi="Times New Roman"/>
                <w:sz w:val="18"/>
                <w:szCs w:val="18"/>
                <w:color w:val="161616"/>
              </w:rPr>
              <w:t>15.5</w:t>
            </w:r>
          </w:p>
        </w:tc>
        <w:tc>
          <w:tcPr>
            <w:tcW w:w="980" w:type="dxa"/>
            <w:vAlign w:val="bottom"/>
            <w:tcBorders>
              <w:bottom w:val="single" w:sz="8" w:color="8C8C8C"/>
            </w:tcBorders>
          </w:tcPr>
          <w:p>
            <w:pPr>
              <w:jc w:val="right"/>
              <w:ind w:right="210"/>
              <w:spacing w:after="0"/>
              <w:rPr>
                <w:sz w:val="20"/>
                <w:szCs w:val="20"/>
                <w:color w:val="auto"/>
              </w:rPr>
            </w:pPr>
            <w:r>
              <w:rPr>
                <w:rFonts w:ascii="Times New Roman" w:cs="Times New Roman" w:eastAsia="Times New Roman" w:hAnsi="Times New Roman"/>
                <w:sz w:val="18"/>
                <w:szCs w:val="18"/>
                <w:color w:val="161616"/>
              </w:rPr>
              <w:t>14.6</w:t>
            </w:r>
          </w:p>
        </w:tc>
        <w:tc>
          <w:tcPr>
            <w:tcW w:w="660" w:type="dxa"/>
            <w:vAlign w:val="bottom"/>
            <w:tcBorders>
              <w:bottom w:val="single" w:sz="8" w:color="8C8C8C"/>
            </w:tcBorders>
          </w:tcPr>
          <w:p>
            <w:pPr>
              <w:jc w:val="right"/>
              <w:spacing w:after="0"/>
              <w:rPr>
                <w:sz w:val="20"/>
                <w:szCs w:val="20"/>
                <w:color w:val="auto"/>
              </w:rPr>
            </w:pPr>
            <w:r>
              <w:rPr>
                <w:rFonts w:ascii="Times New Roman" w:cs="Times New Roman" w:eastAsia="Times New Roman" w:hAnsi="Times New Roman"/>
                <w:sz w:val="18"/>
                <w:szCs w:val="18"/>
                <w:color w:val="161616"/>
              </w:rPr>
              <w:t>12.1</w:t>
            </w:r>
          </w:p>
        </w:tc>
      </w:tr>
      <w:tr>
        <w:trPr>
          <w:trHeight w:val="345"/>
        </w:trPr>
        <w:tc>
          <w:tcPr>
            <w:tcW w:w="2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161616"/>
              </w:rPr>
              <w:t>Total</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161616"/>
              </w:rPr>
              <w:t>44.2</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161616"/>
              </w:rPr>
              <w:t>41.8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161616"/>
              </w:rPr>
              <w:t>38.2</w:t>
            </w:r>
          </w:p>
        </w:tc>
      </w:tr>
      <w:tr>
        <w:trPr>
          <w:trHeight w:val="247"/>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01"/>
        </w:trPr>
        <w:tc>
          <w:tcPr>
            <w:tcW w:w="240" w:type="dxa"/>
            <w:vAlign w:val="bottom"/>
            <w:tcBorders>
              <w:right w:val="single" w:sz="8" w:color="auto"/>
            </w:tcBorders>
            <w:shd w:val="clear" w:color="auto" w:fill="000000"/>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9"/>
        </w:trPr>
        <w:tc>
          <w:tcPr>
            <w:tcW w:w="240" w:type="dxa"/>
            <w:vAlign w:val="bottom"/>
          </w:tcPr>
          <w:p>
            <w:pPr>
              <w:spacing w:after="0"/>
              <w:rPr>
                <w:sz w:val="17"/>
                <w:szCs w:val="17"/>
                <w:color w:val="auto"/>
              </w:rPr>
            </w:pPr>
          </w:p>
        </w:tc>
        <w:tc>
          <w:tcPr>
            <w:tcW w:w="240" w:type="dxa"/>
            <w:vAlign w:val="bottom"/>
            <w:shd w:val="clear" w:color="auto" w:fill="000000"/>
          </w:tcPr>
          <w:p>
            <w:pPr>
              <w:spacing w:after="0"/>
              <w:rPr>
                <w:sz w:val="17"/>
                <w:szCs w:val="17"/>
                <w:color w:val="auto"/>
              </w:rPr>
            </w:pPr>
          </w:p>
        </w:tc>
        <w:tc>
          <w:tcPr>
            <w:tcW w:w="2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398"/>
        </w:trPr>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9"/>
        </w:trPr>
        <w:tc>
          <w:tcPr>
            <w:tcW w:w="240" w:type="dxa"/>
            <w:vAlign w:val="bottom"/>
          </w:tcPr>
          <w:p>
            <w:pPr>
              <w:spacing w:after="0"/>
              <w:rPr>
                <w:sz w:val="17"/>
                <w:szCs w:val="17"/>
                <w:color w:val="auto"/>
              </w:rPr>
            </w:pPr>
          </w:p>
        </w:tc>
        <w:tc>
          <w:tcPr>
            <w:tcW w:w="240" w:type="dxa"/>
            <w:vAlign w:val="bottom"/>
            <w:shd w:val="clear" w:color="auto" w:fill="000000"/>
          </w:tcPr>
          <w:p>
            <w:pPr>
              <w:spacing w:after="0"/>
              <w:rPr>
                <w:sz w:val="17"/>
                <w:szCs w:val="17"/>
                <w:color w:val="auto"/>
              </w:rPr>
            </w:pPr>
          </w:p>
        </w:tc>
        <w:tc>
          <w:tcPr>
            <w:tcW w:w="2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r>
    </w:tbl>
    <w:p>
      <w:pPr>
        <w:spacing w:after="0" w:line="920" w:lineRule="exact"/>
        <w:rPr>
          <w:sz w:val="20"/>
          <w:szCs w:val="20"/>
          <w:color w:val="auto"/>
        </w:rPr>
      </w:pPr>
    </w:p>
    <w:p>
      <w:pPr>
        <w:sectPr>
          <w:pgSz w:w="12240" w:h="15840" w:orient="portrait"/>
          <w:cols w:equalWidth="0" w:num="3">
            <w:col w:w="1400" w:space="200"/>
            <w:col w:w="2960" w:space="520"/>
            <w:col w:w="5560"/>
          </w:cols>
          <w:pgMar w:left="1020" w:top="417" w:right="580" w:bottom="0" w:gutter="0" w:footer="0" w:header="0"/>
          <w:type w:val="continuous"/>
        </w:sectPr>
      </w:pPr>
    </w:p>
    <w:p>
      <w:pPr>
        <w:spacing w:after="0" w:line="318" w:lineRule="exact"/>
        <w:rPr>
          <w:sz w:val="20"/>
          <w:szCs w:val="20"/>
          <w:color w:val="auto"/>
        </w:rPr>
      </w:pPr>
    </w:p>
    <w:p>
      <w:pPr>
        <w:ind w:left="8920"/>
        <w:spacing w:after="0"/>
        <w:tabs>
          <w:tab w:leader="none" w:pos="10480" w:val="left"/>
        </w:tabs>
        <w:rPr>
          <w:sz w:val="20"/>
          <w:szCs w:val="20"/>
          <w:color w:val="auto"/>
        </w:rPr>
      </w:pPr>
      <w:r>
        <w:rPr>
          <w:rFonts w:ascii="Times New Roman" w:cs="Times New Roman" w:eastAsia="Times New Roman" w:hAnsi="Times New Roman"/>
          <w:sz w:val="10"/>
          <w:szCs w:val="10"/>
          <w:color w:val="FFFFFF"/>
        </w:rPr>
        <w:t>2022 ANNUAL REPORT</w:t>
      </w:r>
      <w:r>
        <w:rPr>
          <w:sz w:val="20"/>
          <w:szCs w:val="20"/>
          <w:color w:val="auto"/>
        </w:rPr>
        <w:tab/>
      </w:r>
      <w:r>
        <w:rPr>
          <w:rFonts w:ascii="Arial" w:cs="Arial" w:eastAsia="Arial" w:hAnsi="Arial"/>
          <w:sz w:val="12"/>
          <w:szCs w:val="12"/>
          <w:b w:val="1"/>
          <w:bCs w:val="1"/>
          <w:color w:val="FFFFFF"/>
        </w:rPr>
        <w:t>11</w:t>
      </w:r>
    </w:p>
    <w:p>
      <w:pPr>
        <w:sectPr>
          <w:pgSz w:w="12240" w:h="15840" w:orient="portrait"/>
          <w:cols w:equalWidth="0" w:num="1">
            <w:col w:w="10640"/>
          </w:cols>
          <w:pgMar w:left="1020" w:top="417" w:right="580" w:bottom="0" w:gutter="0" w:footer="0" w:header="0"/>
          <w:type w:val="continuous"/>
        </w:sectPr>
      </w:pPr>
    </w:p>
    <w:bookmarkStart w:id="11" w:name="page12"/>
    <w:bookmarkEnd w:id="11"/>
    <w:p>
      <w:pPr>
        <w:ind w:left="36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DIGITAL VISION</w:t>
      </w:r>
    </w:p>
    <w:p>
      <w:pPr>
        <w:spacing w:after="0" w:line="347" w:lineRule="exact"/>
        <w:rPr>
          <w:sz w:val="20"/>
          <w:szCs w:val="20"/>
          <w:color w:val="auto"/>
        </w:rPr>
      </w:pPr>
    </w:p>
    <w:p>
      <w:pPr>
        <w:ind w:left="140" w:right="3620"/>
        <w:spacing w:after="0" w:line="255" w:lineRule="auto"/>
        <w:rPr>
          <w:sz w:val="20"/>
          <w:szCs w:val="20"/>
          <w:color w:val="auto"/>
        </w:rPr>
      </w:pPr>
      <w:r>
        <w:rPr>
          <w:rFonts w:ascii="Arial" w:cs="Arial" w:eastAsia="Arial" w:hAnsi="Arial"/>
          <w:sz w:val="105"/>
          <w:szCs w:val="105"/>
          <w:color w:val="FFFFFF"/>
        </w:rPr>
        <w:t>Managing the Evolution of Automotive Vision Systems</w:t>
      </w:r>
    </w:p>
    <w:p>
      <w:pPr>
        <w:sectPr>
          <w:pgSz w:w="12240" w:h="15840" w:orient="portrait"/>
          <w:cols w:equalWidth="0" w:num="1">
            <w:col w:w="10940"/>
          </w:cols>
          <w:pgMar w:left="580" w:top="45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40"/>
        <w:spacing w:after="0"/>
        <w:rPr>
          <w:sz w:val="20"/>
          <w:szCs w:val="20"/>
          <w:color w:val="auto"/>
        </w:rPr>
      </w:pPr>
      <w:r>
        <w:rPr>
          <w:rFonts w:ascii="Arial" w:cs="Arial" w:eastAsia="Arial" w:hAnsi="Arial"/>
          <w:sz w:val="26"/>
          <w:szCs w:val="26"/>
          <w:b w:val="1"/>
          <w:bCs w:val="1"/>
          <w:color w:val="161616"/>
        </w:rPr>
        <w:t>FDM LAUNCHES IN 2022</w:t>
      </w:r>
    </w:p>
    <w:p>
      <w:pPr>
        <w:spacing w:after="0" w:line="78" w:lineRule="exact"/>
        <w:rPr>
          <w:sz w:val="20"/>
          <w:szCs w:val="20"/>
          <w:color w:val="auto"/>
        </w:rPr>
      </w:pPr>
    </w:p>
    <w:p>
      <w:pPr>
        <w:jc w:val="right"/>
        <w:ind w:left="80" w:right="660"/>
        <w:spacing w:after="0" w:line="272" w:lineRule="auto"/>
        <w:rPr>
          <w:sz w:val="20"/>
          <w:szCs w:val="20"/>
          <w:color w:val="auto"/>
        </w:rPr>
      </w:pPr>
      <w:r>
        <w:rPr>
          <w:rFonts w:ascii="Arial" w:cs="Arial" w:eastAsia="Arial" w:hAnsi="Arial"/>
          <w:sz w:val="59"/>
          <w:szCs w:val="59"/>
          <w:color w:val="FFFFFF"/>
        </w:rPr>
        <w:t xml:space="preserve">Q1 </w:t>
      </w:r>
      <w:r>
        <w:rPr>
          <w:rFonts w:ascii="Arial" w:cs="Arial" w:eastAsia="Arial" w:hAnsi="Arial"/>
          <w:sz w:val="13"/>
          <w:szCs w:val="13"/>
          <w:b w:val="1"/>
          <w:bCs w:val="1"/>
          <w:color w:val="161616"/>
        </w:rPr>
        <w:t>ASTON MARTIN</w:t>
      </w:r>
      <w:r>
        <w:rPr>
          <w:rFonts w:ascii="Arial" w:cs="Arial" w:eastAsia="Arial" w:hAnsi="Arial"/>
          <w:sz w:val="59"/>
          <w:szCs w:val="59"/>
          <w:color w:val="FFFFFF"/>
        </w:rPr>
        <w:t xml:space="preserve"> </w:t>
      </w:r>
      <w:r>
        <w:rPr>
          <w:rFonts w:ascii="Times New Roman" w:cs="Times New Roman" w:eastAsia="Times New Roman" w:hAnsi="Times New Roman"/>
          <w:sz w:val="13"/>
          <w:szCs w:val="13"/>
          <w:color w:val="161616"/>
        </w:rPr>
        <w:t>Valkyrie</w:t>
      </w:r>
      <w:r>
        <w:rPr>
          <w:rFonts w:ascii="Arial" w:cs="Arial" w:eastAsia="Arial" w:hAnsi="Arial"/>
          <w:sz w:val="59"/>
          <w:szCs w:val="59"/>
          <w:color w:val="FFFFFF"/>
        </w:rPr>
        <w:t xml:space="preserve"> </w:t>
      </w:r>
      <w:r>
        <w:rPr>
          <w:rFonts w:ascii="Arial" w:cs="Arial" w:eastAsia="Arial" w:hAnsi="Arial"/>
          <w:sz w:val="13"/>
          <w:szCs w:val="13"/>
          <w:b w:val="1"/>
          <w:bCs w:val="1"/>
          <w:color w:val="161616"/>
        </w:rPr>
        <w:t xml:space="preserve">FORD </w:t>
      </w:r>
      <w:r>
        <w:rPr>
          <w:rFonts w:ascii="Times New Roman" w:cs="Times New Roman" w:eastAsia="Times New Roman" w:hAnsi="Times New Roman"/>
          <w:sz w:val="13"/>
          <w:szCs w:val="13"/>
          <w:color w:val="161616"/>
        </w:rPr>
        <w:t>Transit Custom</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3"/>
          <w:szCs w:val="13"/>
          <w:b w:val="1"/>
          <w:bCs w:val="1"/>
          <w:color w:val="161616"/>
        </w:rPr>
        <w:t xml:space="preserve">LAND ROVER </w:t>
      </w:r>
      <w:r>
        <w:rPr>
          <w:rFonts w:ascii="Times New Roman" w:cs="Times New Roman" w:eastAsia="Times New Roman" w:hAnsi="Times New Roman"/>
          <w:sz w:val="13"/>
          <w:szCs w:val="13"/>
          <w:color w:val="161616"/>
        </w:rPr>
        <w:t>Range Rover</w:t>
      </w:r>
    </w:p>
    <w:p>
      <w:pPr>
        <w:spacing w:after="0" w:line="50"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161616"/>
        </w:rPr>
        <w:t xml:space="preserve">FERRARI </w:t>
      </w:r>
      <w:r>
        <w:rPr>
          <w:rFonts w:ascii="Times New Roman" w:cs="Times New Roman" w:eastAsia="Times New Roman" w:hAnsi="Times New Roman"/>
          <w:sz w:val="14"/>
          <w:szCs w:val="14"/>
          <w:color w:val="161616"/>
        </w:rPr>
        <w:t>812, SF90</w:t>
      </w:r>
    </w:p>
    <w:p>
      <w:pPr>
        <w:spacing w:after="0" w:line="229" w:lineRule="exact"/>
        <w:rPr>
          <w:sz w:val="20"/>
          <w:szCs w:val="20"/>
          <w:color w:val="auto"/>
        </w:rPr>
      </w:pPr>
    </w:p>
    <w:p>
      <w:pPr>
        <w:jc w:val="right"/>
        <w:ind w:left="60" w:right="800"/>
        <w:spacing w:after="0" w:line="182" w:lineRule="auto"/>
        <w:rPr>
          <w:sz w:val="20"/>
          <w:szCs w:val="20"/>
          <w:color w:val="auto"/>
        </w:rPr>
      </w:pPr>
      <w:r>
        <w:rPr>
          <w:rFonts w:ascii="Arial" w:cs="Arial" w:eastAsia="Arial" w:hAnsi="Arial"/>
          <w:sz w:val="73"/>
          <w:szCs w:val="73"/>
          <w:color w:val="FFFFFF"/>
        </w:rPr>
        <w:t xml:space="preserve">Q2 </w:t>
      </w:r>
      <w:r>
        <w:rPr>
          <w:rFonts w:ascii="Arial" w:cs="Arial" w:eastAsia="Arial" w:hAnsi="Arial"/>
          <w:sz w:val="13"/>
          <w:szCs w:val="13"/>
          <w:b w:val="1"/>
          <w:bCs w:val="1"/>
          <w:color w:val="161616"/>
        </w:rPr>
        <w:t>RANGE ROVER</w:t>
      </w:r>
      <w:r>
        <w:rPr>
          <w:rFonts w:ascii="Arial" w:cs="Arial" w:eastAsia="Arial" w:hAnsi="Arial"/>
          <w:sz w:val="73"/>
          <w:szCs w:val="73"/>
          <w:color w:val="FFFFFF"/>
        </w:rPr>
        <w:t xml:space="preserve"> </w:t>
      </w:r>
      <w:r>
        <w:rPr>
          <w:rFonts w:ascii="Times New Roman" w:cs="Times New Roman" w:eastAsia="Times New Roman" w:hAnsi="Times New Roman"/>
          <w:sz w:val="13"/>
          <w:szCs w:val="13"/>
          <w:color w:val="161616"/>
        </w:rPr>
        <w:t>Sport</w:t>
      </w:r>
      <w:r>
        <w:rPr>
          <w:rFonts w:ascii="Arial" w:cs="Arial" w:eastAsia="Arial" w:hAnsi="Arial"/>
          <w:sz w:val="73"/>
          <w:szCs w:val="73"/>
          <w:color w:val="FFFFFF"/>
        </w:rPr>
        <w:t xml:space="preserve"> </w:t>
      </w:r>
      <w:r>
        <w:rPr>
          <w:rFonts w:ascii="Arial" w:cs="Arial" w:eastAsia="Arial" w:hAnsi="Arial"/>
          <w:sz w:val="13"/>
          <w:szCs w:val="13"/>
          <w:b w:val="1"/>
          <w:bCs w:val="1"/>
          <w:color w:val="161616"/>
        </w:rPr>
        <w:t xml:space="preserve">MERCEDES </w:t>
      </w:r>
      <w:r>
        <w:rPr>
          <w:rFonts w:ascii="Times New Roman" w:cs="Times New Roman" w:eastAsia="Times New Roman" w:hAnsi="Times New Roman"/>
          <w:sz w:val="13"/>
          <w:szCs w:val="13"/>
          <w:color w:val="161616"/>
        </w:rPr>
        <w:t>AMG One</w:t>
      </w:r>
    </w:p>
    <w:p>
      <w:pPr>
        <w:spacing w:after="0" w:line="258" w:lineRule="exact"/>
        <w:rPr>
          <w:sz w:val="20"/>
          <w:szCs w:val="20"/>
          <w:color w:val="auto"/>
        </w:rPr>
      </w:pPr>
    </w:p>
    <w:p>
      <w:pPr>
        <w:jc w:val="right"/>
        <w:ind w:left="60" w:right="1060"/>
        <w:spacing w:after="0" w:line="292" w:lineRule="auto"/>
        <w:rPr>
          <w:sz w:val="20"/>
          <w:szCs w:val="20"/>
          <w:color w:val="auto"/>
        </w:rPr>
      </w:pPr>
      <w:r>
        <w:rPr>
          <w:rFonts w:ascii="Arial" w:cs="Arial" w:eastAsia="Arial" w:hAnsi="Arial"/>
          <w:sz w:val="54"/>
          <w:szCs w:val="54"/>
          <w:color w:val="FFFFFF"/>
        </w:rPr>
        <w:t xml:space="preserve">Q3 </w:t>
      </w:r>
      <w:r>
        <w:rPr>
          <w:rFonts w:ascii="Arial" w:cs="Arial" w:eastAsia="Arial" w:hAnsi="Arial"/>
          <w:sz w:val="13"/>
          <w:szCs w:val="13"/>
          <w:b w:val="1"/>
          <w:bCs w:val="1"/>
          <w:color w:val="161616"/>
        </w:rPr>
        <w:t>CADILLAC</w:t>
      </w:r>
      <w:r>
        <w:rPr>
          <w:rFonts w:ascii="Arial" w:cs="Arial" w:eastAsia="Arial" w:hAnsi="Arial"/>
          <w:sz w:val="54"/>
          <w:szCs w:val="54"/>
          <w:color w:val="FFFFFF"/>
        </w:rPr>
        <w:t xml:space="preserve"> </w:t>
      </w:r>
      <w:r>
        <w:rPr>
          <w:rFonts w:ascii="Times New Roman" w:cs="Times New Roman" w:eastAsia="Times New Roman" w:hAnsi="Times New Roman"/>
          <w:sz w:val="13"/>
          <w:szCs w:val="13"/>
          <w:color w:val="161616"/>
        </w:rPr>
        <w:t>Lyriq</w:t>
      </w:r>
      <w:r>
        <w:rPr>
          <w:rFonts w:ascii="Arial" w:cs="Arial" w:eastAsia="Arial" w:hAnsi="Arial"/>
          <w:sz w:val="54"/>
          <w:szCs w:val="54"/>
          <w:color w:val="FFFFFF"/>
        </w:rPr>
        <w:t xml:space="preserve"> </w:t>
      </w:r>
      <w:r>
        <w:rPr>
          <w:rFonts w:ascii="Arial" w:cs="Arial" w:eastAsia="Arial" w:hAnsi="Arial"/>
          <w:sz w:val="13"/>
          <w:szCs w:val="13"/>
          <w:b w:val="1"/>
          <w:bCs w:val="1"/>
          <w:color w:val="161616"/>
        </w:rPr>
        <w:t xml:space="preserve">HYUNDAI </w:t>
      </w:r>
      <w:r>
        <w:rPr>
          <w:rFonts w:ascii="Times New Roman" w:cs="Times New Roman" w:eastAsia="Times New Roman" w:hAnsi="Times New Roman"/>
          <w:sz w:val="13"/>
          <w:szCs w:val="13"/>
          <w:color w:val="161616"/>
        </w:rPr>
        <w:t>Palisade</w:t>
      </w:r>
    </w:p>
    <w:p>
      <w:pPr>
        <w:spacing w:after="0" w:line="2"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161616"/>
        </w:rPr>
        <w:t xml:space="preserve">MERCEDES </w:t>
      </w:r>
      <w:r>
        <w:rPr>
          <w:rFonts w:ascii="Times New Roman" w:cs="Times New Roman" w:eastAsia="Times New Roman" w:hAnsi="Times New Roman"/>
          <w:sz w:val="14"/>
          <w:szCs w:val="14"/>
          <w:color w:val="161616"/>
        </w:rPr>
        <w:t>Metris</w:t>
      </w:r>
    </w:p>
    <w:p>
      <w:pPr>
        <w:spacing w:after="0" w:line="39"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161616"/>
        </w:rPr>
        <w:t xml:space="preserve">SUBARU </w:t>
      </w:r>
      <w:r>
        <w:rPr>
          <w:rFonts w:ascii="Times New Roman" w:cs="Times New Roman" w:eastAsia="Times New Roman" w:hAnsi="Times New Roman"/>
          <w:sz w:val="14"/>
          <w:szCs w:val="14"/>
          <w:color w:val="161616"/>
        </w:rPr>
        <w:t>Outback</w:t>
      </w:r>
    </w:p>
    <w:p>
      <w:pPr>
        <w:spacing w:after="0" w:line="393"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161616"/>
        </w:rPr>
        <w:t xml:space="preserve">CHEVY </w:t>
      </w:r>
      <w:r>
        <w:rPr>
          <w:rFonts w:ascii="Times New Roman" w:cs="Times New Roman" w:eastAsia="Times New Roman" w:hAnsi="Times New Roman"/>
          <w:sz w:val="14"/>
          <w:szCs w:val="14"/>
          <w:color w:val="161616"/>
        </w:rPr>
        <w:t>Bolt EUV</w:t>
      </w:r>
    </w:p>
    <w:p>
      <w:pPr>
        <w:ind w:left="60"/>
        <w:spacing w:after="0" w:line="182" w:lineRule="auto"/>
        <w:rPr>
          <w:sz w:val="20"/>
          <w:szCs w:val="20"/>
          <w:color w:val="auto"/>
        </w:rPr>
      </w:pPr>
      <w:r>
        <w:rPr>
          <w:rFonts w:ascii="Arial" w:cs="Arial" w:eastAsia="Arial" w:hAnsi="Arial"/>
          <w:sz w:val="43"/>
          <w:szCs w:val="43"/>
          <w:color w:val="FFFFFF"/>
        </w:rPr>
        <w:t xml:space="preserve">Q4 </w:t>
      </w:r>
      <w:r>
        <w:rPr>
          <w:rFonts w:ascii="Arial" w:cs="Arial" w:eastAsia="Arial" w:hAnsi="Arial"/>
          <w:sz w:val="12"/>
          <w:szCs w:val="12"/>
          <w:b w:val="1"/>
          <w:bCs w:val="1"/>
          <w:color w:val="161616"/>
        </w:rPr>
        <w:t>KIA</w:t>
      </w:r>
      <w:r>
        <w:rPr>
          <w:rFonts w:ascii="Arial" w:cs="Arial" w:eastAsia="Arial" w:hAnsi="Arial"/>
          <w:sz w:val="43"/>
          <w:szCs w:val="43"/>
          <w:color w:val="FFFFFF"/>
        </w:rPr>
        <w:t xml:space="preserve"> </w:t>
      </w:r>
      <w:r>
        <w:rPr>
          <w:rFonts w:ascii="Times New Roman" w:cs="Times New Roman" w:eastAsia="Times New Roman" w:hAnsi="Times New Roman"/>
          <w:sz w:val="12"/>
          <w:szCs w:val="12"/>
          <w:color w:val="161616"/>
        </w:rPr>
        <w:t>Telluride</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161616"/>
        </w:rPr>
        <w:t xml:space="preserve">LEXUS </w:t>
      </w:r>
      <w:r>
        <w:rPr>
          <w:rFonts w:ascii="Times New Roman" w:cs="Times New Roman" w:eastAsia="Times New Roman" w:hAnsi="Times New Roman"/>
          <w:sz w:val="14"/>
          <w:szCs w:val="14"/>
          <w:color w:val="161616"/>
        </w:rPr>
        <w:t>RX</w:t>
      </w:r>
    </w:p>
    <w:p>
      <w:pPr>
        <w:spacing w:after="0" w:line="41"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161616"/>
        </w:rPr>
        <w:t xml:space="preserve">MERCEDES </w:t>
      </w:r>
      <w:r>
        <w:rPr>
          <w:rFonts w:ascii="Times New Roman" w:cs="Times New Roman" w:eastAsia="Times New Roman" w:hAnsi="Times New Roman"/>
          <w:sz w:val="14"/>
          <w:szCs w:val="14"/>
          <w:color w:val="161616"/>
        </w:rPr>
        <w:t>Sprinter</w:t>
      </w:r>
    </w:p>
    <w:p>
      <w:pPr>
        <w:spacing w:after="0" w:line="78"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161616"/>
        </w:rPr>
        <w:t xml:space="preserve">SUBARU </w:t>
      </w:r>
      <w:r>
        <w:rPr>
          <w:rFonts w:ascii="Times New Roman" w:cs="Times New Roman" w:eastAsia="Times New Roman" w:hAnsi="Times New Roman"/>
          <w:sz w:val="14"/>
          <w:szCs w:val="14"/>
          <w:color w:val="161616"/>
        </w:rPr>
        <w:t>Solterra</w:t>
      </w:r>
    </w:p>
    <w:p>
      <w:pPr>
        <w:spacing w:after="0" w:line="78"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161616"/>
        </w:rPr>
        <w:t xml:space="preserve">TOYOTA </w:t>
      </w:r>
      <w:r>
        <w:rPr>
          <w:rFonts w:ascii="Times New Roman" w:cs="Times New Roman" w:eastAsia="Times New Roman" w:hAnsi="Times New Roman"/>
          <w:sz w:val="14"/>
          <w:szCs w:val="14"/>
          <w:color w:val="161616"/>
        </w:rPr>
        <w:t>Prius, Sequoia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8"/>
          <w:szCs w:val="28"/>
          <w:b w:val="1"/>
          <w:bCs w:val="1"/>
          <w:color w:val="161616"/>
        </w:rPr>
        <w:t>GLOBAL FDM PLATFORMS</w:t>
      </w:r>
    </w:p>
    <w:p>
      <w:pPr>
        <w:spacing w:after="0" w:line="200" w:lineRule="exact"/>
        <w:rPr>
          <w:sz w:val="20"/>
          <w:szCs w:val="20"/>
          <w:color w:val="auto"/>
        </w:rPr>
      </w:pPr>
    </w:p>
    <w:p>
      <w:pPr>
        <w:spacing w:after="0" w:line="219" w:lineRule="exact"/>
        <w:rPr>
          <w:sz w:val="20"/>
          <w:szCs w:val="20"/>
          <w:color w:val="auto"/>
        </w:rPr>
      </w:pPr>
    </w:p>
    <w:p>
      <w:pPr>
        <w:jc w:val="both"/>
        <w:spacing w:after="0" w:line="403" w:lineRule="auto"/>
        <w:rPr>
          <w:sz w:val="20"/>
          <w:szCs w:val="20"/>
          <w:color w:val="auto"/>
        </w:rPr>
      </w:pPr>
      <w:r>
        <w:rPr>
          <w:rFonts w:ascii="Arial" w:cs="Arial" w:eastAsia="Arial" w:hAnsi="Arial"/>
          <w:sz w:val="13"/>
          <w:szCs w:val="13"/>
          <w:b w:val="1"/>
          <w:bCs w:val="1"/>
          <w:color w:val="161616"/>
        </w:rPr>
        <w:t xml:space="preserve">ASTON MARTIN </w:t>
      </w:r>
      <w:r>
        <w:rPr>
          <w:rFonts w:ascii="Times New Roman" w:cs="Times New Roman" w:eastAsia="Times New Roman" w:hAnsi="Times New Roman"/>
          <w:sz w:val="13"/>
          <w:szCs w:val="13"/>
          <w:color w:val="161616"/>
        </w:rPr>
        <w:t>DBS GT Zagato, Valkyrie</w:t>
      </w:r>
      <w:r>
        <w:rPr>
          <w:rFonts w:ascii="Arial" w:cs="Arial" w:eastAsia="Arial" w:hAnsi="Arial"/>
          <w:sz w:val="13"/>
          <w:szCs w:val="13"/>
          <w:b w:val="1"/>
          <w:bCs w:val="1"/>
          <w:color w:val="161616"/>
        </w:rPr>
        <w:t xml:space="preserve"> BUICK </w:t>
      </w:r>
      <w:r>
        <w:rPr>
          <w:rFonts w:ascii="Times New Roman" w:cs="Times New Roman" w:eastAsia="Times New Roman" w:hAnsi="Times New Roman"/>
          <w:sz w:val="13"/>
          <w:szCs w:val="13"/>
          <w:color w:val="161616"/>
        </w:rPr>
        <w:t>Enclave, Encore GX, Envision, Envision Plus, Velite 7</w:t>
      </w:r>
      <w:r>
        <w:rPr>
          <w:rFonts w:ascii="Arial" w:cs="Arial" w:eastAsia="Arial" w:hAnsi="Arial"/>
          <w:sz w:val="13"/>
          <w:szCs w:val="13"/>
          <w:b w:val="1"/>
          <w:bCs w:val="1"/>
          <w:color w:val="161616"/>
        </w:rPr>
        <w:t xml:space="preserve"> CADILLAC </w:t>
      </w:r>
      <w:r>
        <w:rPr>
          <w:rFonts w:ascii="Times New Roman" w:cs="Times New Roman" w:eastAsia="Times New Roman" w:hAnsi="Times New Roman"/>
          <w:sz w:val="13"/>
          <w:szCs w:val="13"/>
          <w:color w:val="161616"/>
        </w:rPr>
        <w:t>CT5, Escalade, Escalade ESV, LYRIQ, XT4, XT5, XT6</w:t>
      </w:r>
      <w:r>
        <w:rPr>
          <w:rFonts w:ascii="Arial" w:cs="Arial" w:eastAsia="Arial" w:hAnsi="Arial"/>
          <w:sz w:val="13"/>
          <w:szCs w:val="13"/>
          <w:b w:val="1"/>
          <w:bCs w:val="1"/>
          <w:color w:val="161616"/>
        </w:rPr>
        <w:t xml:space="preserve"> CHEVROLET </w:t>
      </w:r>
      <w:r>
        <w:rPr>
          <w:rFonts w:ascii="Times New Roman" w:cs="Times New Roman" w:eastAsia="Times New Roman" w:hAnsi="Times New Roman"/>
          <w:sz w:val="13"/>
          <w:szCs w:val="13"/>
          <w:color w:val="161616"/>
        </w:rPr>
        <w:t>Blazer, Bolt, Bolt EUV, Camaro,</w:t>
      </w:r>
      <w:r>
        <w:rPr>
          <w:rFonts w:ascii="Arial" w:cs="Arial" w:eastAsia="Arial" w:hAnsi="Arial"/>
          <w:sz w:val="13"/>
          <w:szCs w:val="13"/>
          <w:b w:val="1"/>
          <w:bCs w:val="1"/>
          <w:color w:val="161616"/>
        </w:rPr>
        <w:t xml:space="preserve"> </w:t>
      </w:r>
      <w:r>
        <w:rPr>
          <w:rFonts w:ascii="Times New Roman" w:cs="Times New Roman" w:eastAsia="Times New Roman" w:hAnsi="Times New Roman"/>
          <w:sz w:val="13"/>
          <w:szCs w:val="13"/>
          <w:color w:val="161616"/>
        </w:rPr>
        <w:t xml:space="preserve">Corvette, Silverado 1500, Silverado HD, Suburban, Tahoe, Traverse </w:t>
      </w:r>
      <w:r>
        <w:rPr>
          <w:rFonts w:ascii="Arial" w:cs="Arial" w:eastAsia="Arial" w:hAnsi="Arial"/>
          <w:sz w:val="13"/>
          <w:szCs w:val="13"/>
          <w:b w:val="1"/>
          <w:bCs w:val="1"/>
          <w:color w:val="161616"/>
        </w:rPr>
        <w:t>FIAT</w:t>
      </w:r>
      <w:r>
        <w:rPr>
          <w:rFonts w:ascii="Times New Roman" w:cs="Times New Roman" w:eastAsia="Times New Roman" w:hAnsi="Times New Roman"/>
          <w:sz w:val="13"/>
          <w:szCs w:val="13"/>
          <w:color w:val="161616"/>
        </w:rPr>
        <w:t xml:space="preserve"> Ducato </w:t>
      </w:r>
      <w:r>
        <w:rPr>
          <w:rFonts w:ascii="Arial" w:cs="Arial" w:eastAsia="Arial" w:hAnsi="Arial"/>
          <w:sz w:val="13"/>
          <w:szCs w:val="13"/>
          <w:b w:val="1"/>
          <w:bCs w:val="1"/>
          <w:color w:val="161616"/>
        </w:rPr>
        <w:t>FERRARI</w:t>
      </w:r>
      <w:r>
        <w:rPr>
          <w:rFonts w:ascii="Times New Roman" w:cs="Times New Roman" w:eastAsia="Times New Roman" w:hAnsi="Times New Roman"/>
          <w:sz w:val="13"/>
          <w:szCs w:val="13"/>
          <w:color w:val="161616"/>
        </w:rPr>
        <w:t xml:space="preserve"> 812, SF90 </w:t>
      </w:r>
      <w:r>
        <w:rPr>
          <w:rFonts w:ascii="Arial" w:cs="Arial" w:eastAsia="Arial" w:hAnsi="Arial"/>
          <w:sz w:val="13"/>
          <w:szCs w:val="13"/>
          <w:b w:val="1"/>
          <w:bCs w:val="1"/>
          <w:color w:val="161616"/>
        </w:rPr>
        <w:t>FORD</w:t>
      </w:r>
      <w:r>
        <w:rPr>
          <w:rFonts w:ascii="Times New Roman" w:cs="Times New Roman" w:eastAsia="Times New Roman" w:hAnsi="Times New Roman"/>
          <w:sz w:val="13"/>
          <w:szCs w:val="13"/>
          <w:color w:val="161616"/>
        </w:rPr>
        <w:t xml:space="preserve"> Transit Custom </w:t>
      </w:r>
      <w:r>
        <w:rPr>
          <w:rFonts w:ascii="Arial" w:cs="Arial" w:eastAsia="Arial" w:hAnsi="Arial"/>
          <w:sz w:val="13"/>
          <w:szCs w:val="13"/>
          <w:b w:val="1"/>
          <w:bCs w:val="1"/>
          <w:color w:val="161616"/>
        </w:rPr>
        <w:t>GMC</w:t>
      </w:r>
      <w:r>
        <w:rPr>
          <w:rFonts w:ascii="Times New Roman" w:cs="Times New Roman" w:eastAsia="Times New Roman" w:hAnsi="Times New Roman"/>
          <w:sz w:val="13"/>
          <w:szCs w:val="13"/>
          <w:color w:val="161616"/>
        </w:rPr>
        <w:t xml:space="preserve"> Acadia, Sierra 1500, Sierra HD, Yukon, Yukon XL </w:t>
      </w:r>
      <w:r>
        <w:rPr>
          <w:rFonts w:ascii="Arial" w:cs="Arial" w:eastAsia="Arial" w:hAnsi="Arial"/>
          <w:sz w:val="13"/>
          <w:szCs w:val="13"/>
          <w:b w:val="1"/>
          <w:bCs w:val="1"/>
          <w:color w:val="161616"/>
        </w:rPr>
        <w:t>HYUNDAI</w:t>
      </w:r>
      <w:r>
        <w:rPr>
          <w:rFonts w:ascii="Times New Roman" w:cs="Times New Roman" w:eastAsia="Times New Roman" w:hAnsi="Times New Roman"/>
          <w:sz w:val="13"/>
          <w:szCs w:val="13"/>
          <w:color w:val="161616"/>
        </w:rPr>
        <w:t xml:space="preserve"> Palisade </w:t>
      </w:r>
      <w:r>
        <w:rPr>
          <w:rFonts w:ascii="Arial" w:cs="Arial" w:eastAsia="Arial" w:hAnsi="Arial"/>
          <w:sz w:val="13"/>
          <w:szCs w:val="13"/>
          <w:b w:val="1"/>
          <w:bCs w:val="1"/>
          <w:color w:val="161616"/>
        </w:rPr>
        <w:t>INFINITI</w:t>
      </w:r>
      <w:r>
        <w:rPr>
          <w:rFonts w:ascii="Times New Roman" w:cs="Times New Roman" w:eastAsia="Times New Roman" w:hAnsi="Times New Roman"/>
          <w:sz w:val="13"/>
          <w:szCs w:val="13"/>
          <w:color w:val="161616"/>
        </w:rPr>
        <w:t xml:space="preserve"> QX60, QX80 </w:t>
      </w:r>
      <w:r>
        <w:rPr>
          <w:rFonts w:ascii="Arial" w:cs="Arial" w:eastAsia="Arial" w:hAnsi="Arial"/>
          <w:sz w:val="13"/>
          <w:szCs w:val="13"/>
          <w:b w:val="1"/>
          <w:bCs w:val="1"/>
          <w:color w:val="161616"/>
        </w:rPr>
        <w:t>JAGUAR</w:t>
      </w:r>
      <w:r>
        <w:rPr>
          <w:rFonts w:ascii="Times New Roman" w:cs="Times New Roman" w:eastAsia="Times New Roman" w:hAnsi="Times New Roman"/>
          <w:sz w:val="13"/>
          <w:szCs w:val="13"/>
          <w:color w:val="161616"/>
        </w:rPr>
        <w:t xml:space="preserve"> E-PACE, I-PACE, XE, XF </w:t>
      </w:r>
      <w:r>
        <w:rPr>
          <w:rFonts w:ascii="Arial" w:cs="Arial" w:eastAsia="Arial" w:hAnsi="Arial"/>
          <w:sz w:val="13"/>
          <w:szCs w:val="13"/>
          <w:b w:val="1"/>
          <w:bCs w:val="1"/>
          <w:color w:val="161616"/>
        </w:rPr>
        <w:t>JEEP</w:t>
      </w:r>
      <w:r>
        <w:rPr>
          <w:rFonts w:ascii="Times New Roman" w:cs="Times New Roman" w:eastAsia="Times New Roman" w:hAnsi="Times New Roman"/>
          <w:sz w:val="13"/>
          <w:szCs w:val="13"/>
          <w:color w:val="161616"/>
        </w:rPr>
        <w:t xml:space="preserve"> Grand Cherokee L, Grand Wagoneer </w:t>
      </w:r>
      <w:r>
        <w:rPr>
          <w:rFonts w:ascii="Arial" w:cs="Arial" w:eastAsia="Arial" w:hAnsi="Arial"/>
          <w:sz w:val="13"/>
          <w:szCs w:val="13"/>
          <w:b w:val="1"/>
          <w:bCs w:val="1"/>
          <w:color w:val="161616"/>
        </w:rPr>
        <w:t>KIA</w:t>
      </w:r>
      <w:r>
        <w:rPr>
          <w:rFonts w:ascii="Times New Roman" w:cs="Times New Roman" w:eastAsia="Times New Roman" w:hAnsi="Times New Roman"/>
          <w:sz w:val="13"/>
          <w:szCs w:val="13"/>
          <w:color w:val="161616"/>
        </w:rPr>
        <w:t xml:space="preserve"> Telluride </w:t>
      </w:r>
      <w:r>
        <w:rPr>
          <w:rFonts w:ascii="Arial" w:cs="Arial" w:eastAsia="Arial" w:hAnsi="Arial"/>
          <w:sz w:val="13"/>
          <w:szCs w:val="13"/>
          <w:b w:val="1"/>
          <w:bCs w:val="1"/>
          <w:color w:val="161616"/>
        </w:rPr>
        <w:t>LAND</w:t>
      </w:r>
      <w:r>
        <w:rPr>
          <w:rFonts w:ascii="Times New Roman" w:cs="Times New Roman" w:eastAsia="Times New Roman" w:hAnsi="Times New Roman"/>
          <w:sz w:val="13"/>
          <w:szCs w:val="13"/>
          <w:color w:val="161616"/>
        </w:rPr>
        <w:t xml:space="preserve"> </w:t>
      </w:r>
      <w:r>
        <w:rPr>
          <w:rFonts w:ascii="Arial" w:cs="Arial" w:eastAsia="Arial" w:hAnsi="Arial"/>
          <w:sz w:val="13"/>
          <w:szCs w:val="13"/>
          <w:b w:val="1"/>
          <w:bCs w:val="1"/>
          <w:color w:val="161616"/>
        </w:rPr>
        <w:t xml:space="preserve">ROVER </w:t>
      </w:r>
      <w:r>
        <w:rPr>
          <w:rFonts w:ascii="Times New Roman" w:cs="Times New Roman" w:eastAsia="Times New Roman" w:hAnsi="Times New Roman"/>
          <w:sz w:val="13"/>
          <w:szCs w:val="13"/>
          <w:color w:val="161616"/>
        </w:rPr>
        <w:t>Defender, Discovery Sport, Evoque, Range Rover, Range Rover Sport</w:t>
      </w:r>
      <w:r>
        <w:rPr>
          <w:rFonts w:ascii="Arial" w:cs="Arial" w:eastAsia="Arial" w:hAnsi="Arial"/>
          <w:sz w:val="13"/>
          <w:szCs w:val="13"/>
          <w:b w:val="1"/>
          <w:bCs w:val="1"/>
          <w:color w:val="161616"/>
        </w:rPr>
        <w:t xml:space="preserve"> LEXUS </w:t>
      </w:r>
      <w:r>
        <w:rPr>
          <w:rFonts w:ascii="Times New Roman" w:cs="Times New Roman" w:eastAsia="Times New Roman" w:hAnsi="Times New Roman"/>
          <w:sz w:val="13"/>
          <w:szCs w:val="13"/>
          <w:color w:val="161616"/>
        </w:rPr>
        <w:t>ES, LM, LS, LX, NX,</w:t>
      </w:r>
      <w:r>
        <w:rPr>
          <w:rFonts w:ascii="Arial" w:cs="Arial" w:eastAsia="Arial" w:hAnsi="Arial"/>
          <w:sz w:val="13"/>
          <w:szCs w:val="13"/>
          <w:b w:val="1"/>
          <w:bCs w:val="1"/>
          <w:color w:val="161616"/>
        </w:rPr>
        <w:t xml:space="preserve"> </w:t>
      </w:r>
      <w:r>
        <w:rPr>
          <w:rFonts w:ascii="Times New Roman" w:cs="Times New Roman" w:eastAsia="Times New Roman" w:hAnsi="Times New Roman"/>
          <w:sz w:val="13"/>
          <w:szCs w:val="13"/>
          <w:color w:val="161616"/>
        </w:rPr>
        <w:t xml:space="preserve">RX </w:t>
      </w:r>
      <w:r>
        <w:rPr>
          <w:rFonts w:ascii="Arial" w:cs="Arial" w:eastAsia="Arial" w:hAnsi="Arial"/>
          <w:sz w:val="13"/>
          <w:szCs w:val="13"/>
          <w:b w:val="1"/>
          <w:bCs w:val="1"/>
          <w:color w:val="161616"/>
        </w:rPr>
        <w:t>MASERATI</w:t>
      </w:r>
      <w:r>
        <w:rPr>
          <w:rFonts w:ascii="Times New Roman" w:cs="Times New Roman" w:eastAsia="Times New Roman" w:hAnsi="Times New Roman"/>
          <w:sz w:val="13"/>
          <w:szCs w:val="13"/>
          <w:color w:val="161616"/>
        </w:rPr>
        <w:t xml:space="preserve"> MC20 </w:t>
      </w:r>
      <w:r>
        <w:rPr>
          <w:rFonts w:ascii="Arial" w:cs="Arial" w:eastAsia="Arial" w:hAnsi="Arial"/>
          <w:sz w:val="13"/>
          <w:szCs w:val="13"/>
          <w:b w:val="1"/>
          <w:bCs w:val="1"/>
          <w:color w:val="161616"/>
        </w:rPr>
        <w:t>MERCEDES</w:t>
      </w:r>
      <w:r>
        <w:rPr>
          <w:rFonts w:ascii="Times New Roman" w:cs="Times New Roman" w:eastAsia="Times New Roman" w:hAnsi="Times New Roman"/>
          <w:sz w:val="13"/>
          <w:szCs w:val="13"/>
          <w:color w:val="161616"/>
        </w:rPr>
        <w:t xml:space="preserve"> AMG One, Metris, Sprinter, Vito </w:t>
      </w:r>
      <w:r>
        <w:rPr>
          <w:rFonts w:ascii="Arial" w:cs="Arial" w:eastAsia="Arial" w:hAnsi="Arial"/>
          <w:sz w:val="13"/>
          <w:szCs w:val="13"/>
          <w:b w:val="1"/>
          <w:bCs w:val="1"/>
          <w:color w:val="161616"/>
        </w:rPr>
        <w:t>MITSUBISHI</w:t>
      </w:r>
      <w:r>
        <w:rPr>
          <w:rFonts w:ascii="Times New Roman" w:cs="Times New Roman" w:eastAsia="Times New Roman" w:hAnsi="Times New Roman"/>
          <w:sz w:val="13"/>
          <w:szCs w:val="13"/>
          <w:color w:val="161616"/>
        </w:rPr>
        <w:t xml:space="preserve"> eK Wagon, eK X </w:t>
      </w:r>
      <w:r>
        <w:rPr>
          <w:rFonts w:ascii="Arial" w:cs="Arial" w:eastAsia="Arial" w:hAnsi="Arial"/>
          <w:sz w:val="13"/>
          <w:szCs w:val="13"/>
          <w:b w:val="1"/>
          <w:bCs w:val="1"/>
          <w:color w:val="161616"/>
        </w:rPr>
        <w:t>NISSAN</w:t>
      </w:r>
      <w:r>
        <w:rPr>
          <w:rFonts w:ascii="Times New Roman" w:cs="Times New Roman" w:eastAsia="Times New Roman" w:hAnsi="Times New Roman"/>
          <w:sz w:val="13"/>
          <w:szCs w:val="13"/>
          <w:color w:val="161616"/>
        </w:rPr>
        <w:t xml:space="preserve"> Armada </w:t>
      </w:r>
      <w:r>
        <w:rPr>
          <w:rFonts w:ascii="Arial" w:cs="Arial" w:eastAsia="Arial" w:hAnsi="Arial"/>
          <w:sz w:val="13"/>
          <w:szCs w:val="13"/>
          <w:b w:val="1"/>
          <w:bCs w:val="1"/>
          <w:color w:val="161616"/>
        </w:rPr>
        <w:t>RAM</w:t>
      </w:r>
      <w:r>
        <w:rPr>
          <w:rFonts w:ascii="Times New Roman" w:cs="Times New Roman" w:eastAsia="Times New Roman" w:hAnsi="Times New Roman"/>
          <w:sz w:val="13"/>
          <w:szCs w:val="13"/>
          <w:color w:val="161616"/>
        </w:rPr>
        <w:t xml:space="preserve"> 1500, 1500 TRX, 2500/3500, ProMaster </w:t>
      </w:r>
      <w:r>
        <w:rPr>
          <w:rFonts w:ascii="Arial" w:cs="Arial" w:eastAsia="Arial" w:hAnsi="Arial"/>
          <w:sz w:val="13"/>
          <w:szCs w:val="13"/>
          <w:b w:val="1"/>
          <w:bCs w:val="1"/>
          <w:color w:val="161616"/>
        </w:rPr>
        <w:t>SUBARU</w:t>
      </w:r>
      <w:r>
        <w:rPr>
          <w:rFonts w:ascii="Times New Roman" w:cs="Times New Roman" w:eastAsia="Times New Roman" w:hAnsi="Times New Roman"/>
          <w:sz w:val="13"/>
          <w:szCs w:val="13"/>
          <w:color w:val="161616"/>
        </w:rPr>
        <w:t xml:space="preserve"> Ascent, Forester, Levorg, Outback, Solterra </w:t>
      </w:r>
      <w:r>
        <w:rPr>
          <w:rFonts w:ascii="Arial" w:cs="Arial" w:eastAsia="Arial" w:hAnsi="Arial"/>
          <w:sz w:val="13"/>
          <w:szCs w:val="13"/>
          <w:b w:val="1"/>
          <w:bCs w:val="1"/>
          <w:color w:val="161616"/>
        </w:rPr>
        <w:t xml:space="preserve">TOYOTA </w:t>
      </w:r>
      <w:r>
        <w:rPr>
          <w:rFonts w:ascii="Times New Roman" w:cs="Times New Roman" w:eastAsia="Times New Roman" w:hAnsi="Times New Roman"/>
          <w:sz w:val="13"/>
          <w:szCs w:val="13"/>
          <w:color w:val="161616"/>
        </w:rPr>
        <w:t>Alphard, Crown, Harrier, Hiace, Highlander, Mirai, Prius, RAV4, Sequoia, Sienna, Tundra, Venza, Wildlander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8"/>
          <w:szCs w:val="28"/>
          <w:b w:val="1"/>
          <w:bCs w:val="1"/>
          <w:color w:val="FFFFFF"/>
        </w:rPr>
        <w:t>FDM SHIPMENTS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 xml:space="preserve">2018 | </w:t>
      </w:r>
      <w:r>
        <w:rPr>
          <w:rFonts w:ascii="Times New Roman" w:cs="Times New Roman" w:eastAsia="Times New Roman" w:hAnsi="Times New Roman"/>
          <w:sz w:val="18"/>
          <w:szCs w:val="18"/>
          <w:color w:val="FFFFFF"/>
        </w:rPr>
        <w:t>382 K</w:t>
      </w:r>
    </w:p>
    <w:p>
      <w:pPr>
        <w:spacing w:after="0" w:line="24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FFFFFF"/>
        </w:rPr>
        <w:t xml:space="preserve">2019 | </w:t>
      </w:r>
      <w:r>
        <w:rPr>
          <w:rFonts w:ascii="Times New Roman" w:cs="Times New Roman" w:eastAsia="Times New Roman" w:hAnsi="Times New Roman"/>
          <w:sz w:val="18"/>
          <w:szCs w:val="18"/>
          <w:color w:val="FFFFFF"/>
        </w:rPr>
        <w:t>739 K</w:t>
      </w:r>
    </w:p>
    <w:p>
      <w:pPr>
        <w:spacing w:after="0" w:line="24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FFFFFF"/>
        </w:rPr>
        <w:t xml:space="preserve">2020 | </w:t>
      </w:r>
      <w:r>
        <w:rPr>
          <w:rFonts w:ascii="Times New Roman" w:cs="Times New Roman" w:eastAsia="Times New Roman" w:hAnsi="Times New Roman"/>
          <w:sz w:val="18"/>
          <w:szCs w:val="18"/>
          <w:color w:val="FFFFFF"/>
        </w:rPr>
        <w:t>1.05 M</w:t>
      </w:r>
    </w:p>
    <w:p>
      <w:pPr>
        <w:spacing w:after="0" w:line="24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FFFFFF"/>
        </w:rPr>
        <w:t xml:space="preserve">2021 | </w:t>
      </w:r>
      <w:r>
        <w:rPr>
          <w:rFonts w:ascii="Times New Roman" w:cs="Times New Roman" w:eastAsia="Times New Roman" w:hAnsi="Times New Roman"/>
          <w:sz w:val="18"/>
          <w:szCs w:val="18"/>
          <w:color w:val="FFFFFF"/>
        </w:rPr>
        <w:t>1.123 M</w:t>
      </w: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FFFFFF"/>
        </w:rPr>
        <w:t xml:space="preserve">2022 | </w:t>
      </w:r>
      <w:r>
        <w:rPr>
          <w:rFonts w:ascii="Times New Roman" w:cs="Times New Roman" w:eastAsia="Times New Roman" w:hAnsi="Times New Roman"/>
          <w:sz w:val="18"/>
          <w:szCs w:val="18"/>
          <w:color w:val="FFFFFF"/>
        </w:rPr>
        <w:t>1.68 M</w:t>
      </w:r>
    </w:p>
    <w:p>
      <w:pPr>
        <w:spacing w:after="0" w:line="251" w:lineRule="exact"/>
        <w:rPr>
          <w:sz w:val="20"/>
          <w:szCs w:val="20"/>
          <w:color w:val="auto"/>
        </w:rPr>
      </w:pPr>
    </w:p>
    <w:p>
      <w:pPr>
        <w:sectPr>
          <w:pgSz w:w="12240" w:h="15840" w:orient="portrait"/>
          <w:cols w:equalWidth="0" w:num="2">
            <w:col w:w="3840" w:space="720"/>
            <w:col w:w="6380"/>
          </w:cols>
          <w:pgMar w:left="580" w:top="454" w:right="720" w:bottom="0" w:gutter="0" w:footer="0" w:header="0"/>
          <w:type w:val="continuous"/>
        </w:sectPr>
      </w:pPr>
    </w:p>
    <w:p>
      <w:pPr>
        <w:spacing w:after="0" w:line="152"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161616"/>
        </w:rPr>
        <w:t>12</w:t>
      </w:r>
      <w:r>
        <w:rPr>
          <w:sz w:val="20"/>
          <w:szCs w:val="20"/>
          <w:color w:val="auto"/>
        </w:rPr>
        <w:tab/>
      </w:r>
      <w:r>
        <w:rPr>
          <w:rFonts w:ascii="Times New Roman" w:cs="Times New Roman" w:eastAsia="Times New Roman" w:hAnsi="Times New Roman"/>
          <w:sz w:val="10"/>
          <w:szCs w:val="10"/>
          <w:color w:val="161616"/>
        </w:rPr>
        <w:t>GENTEX CORPORATION</w:t>
      </w:r>
    </w:p>
    <w:p>
      <w:pPr>
        <w:sectPr>
          <w:pgSz w:w="12240" w:h="15840" w:orient="portrait"/>
          <w:cols w:equalWidth="0" w:num="1">
            <w:col w:w="10940"/>
          </w:cols>
          <w:pgMar w:left="580" w:top="454" w:right="720" w:bottom="0" w:gutter="0" w:footer="0" w:header="0"/>
          <w:type w:val="continuous"/>
        </w:sectPr>
      </w:pPr>
    </w:p>
    <w:bookmarkStart w:id="12" w:name="page13"/>
    <w:bookmarkEnd w:id="12"/>
    <w:p>
      <w:pPr>
        <w:ind w:left="3440" w:right="300"/>
        <w:spacing w:after="0" w:line="375" w:lineRule="auto"/>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Cameras and digital video systems continue to make headway into the automotive market, and Gentex is leading this innovative charge with our full display mirror (FDM). By combining camera-based rearward visibility with the fail-safe, traditional comfort and convenience of our core auto-dimming mirrors, Gentex is providing OEMs and consumers with an easy technology upgrade that is quickly spreading across the market.</w:t>
      </w:r>
    </w:p>
    <w:p>
      <w:pPr>
        <w:spacing w:after="0" w:line="63" w:lineRule="exact"/>
        <w:rPr>
          <w:sz w:val="20"/>
          <w:szCs w:val="20"/>
          <w:color w:val="auto"/>
        </w:rPr>
      </w:pPr>
    </w:p>
    <w:p>
      <w:pPr>
        <w:ind w:left="3440" w:right="360"/>
        <w:spacing w:after="0" w:line="430" w:lineRule="auto"/>
        <w:rPr>
          <w:sz w:val="20"/>
          <w:szCs w:val="20"/>
          <w:color w:val="auto"/>
        </w:rPr>
      </w:pPr>
      <w:r>
        <w:rPr>
          <w:rFonts w:ascii="Times New Roman" w:cs="Times New Roman" w:eastAsia="Times New Roman" w:hAnsi="Times New Roman"/>
          <w:sz w:val="16"/>
          <w:szCs w:val="16"/>
          <w:b w:val="1"/>
          <w:bCs w:val="1"/>
          <w:color w:val="FFFFFF"/>
        </w:rPr>
        <w:t>Now available on more than 80 nameplates at 14 different OEMs, FDM unit shipments accounted for 1.6M of the 28.7M interior auto-dimming mirrors we shipped in 2022. With additional launches in queue for 2023 and beyond, FDM is quickly becoming an industry-leading option and a must-have for consumers. Its success and use case are not limited to the premium vehicle market, and it has continued to gain traction across the globe on more mass-market and commercial vehicle platforms.</w:t>
      </w:r>
    </w:p>
    <w:p>
      <w:pPr>
        <w:spacing w:after="0" w:line="32" w:lineRule="exact"/>
        <w:rPr>
          <w:sz w:val="20"/>
          <w:szCs w:val="20"/>
          <w:color w:val="auto"/>
        </w:rPr>
      </w:pPr>
    </w:p>
    <w:p>
      <w:pPr>
        <w:ind w:left="3440" w:right="360"/>
        <w:spacing w:after="0" w:line="375" w:lineRule="auto"/>
        <w:rPr>
          <w:sz w:val="20"/>
          <w:szCs w:val="20"/>
          <w:color w:val="auto"/>
        </w:rPr>
      </w:pPr>
      <w:r>
        <w:rPr>
          <w:rFonts w:ascii="Times New Roman" w:cs="Times New Roman" w:eastAsia="Times New Roman" w:hAnsi="Times New Roman"/>
          <w:sz w:val="18"/>
          <w:szCs w:val="18"/>
          <w:b w:val="1"/>
          <w:bCs w:val="1"/>
          <w:color w:val="FFFFFF"/>
        </w:rPr>
        <w:t>As FDM utilizes a significant amount of electronics, it was directly impacted by the chip shortages and constraints that plagued 2022. Through the incredible work of our engineering, manufacturing and supply chain teams, Gentex was able to re-design circuit boards, find alternative approved components, and bring new suppliers on-line for 2022 that allowed FDM to remain a key growth driver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040"/>
        <w:spacing w:after="0"/>
        <w:rPr>
          <w:sz w:val="20"/>
          <w:szCs w:val="20"/>
          <w:color w:val="auto"/>
        </w:rPr>
      </w:pPr>
      <w:r>
        <w:rPr>
          <w:sz w:val="1"/>
          <w:szCs w:val="1"/>
          <w:color w:val="auto"/>
        </w:rPr>
        <w:drawing>
          <wp:inline distT="0" distB="0" distL="0" distR="0">
            <wp:extent cx="445770" cy="4286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5770" cy="428625"/>
                    </a:xfrm>
                    <a:prstGeom prst="rect">
                      <a:avLst/>
                    </a:prstGeom>
                    <a:noFill/>
                    <a:ln>
                      <a:noFill/>
                    </a:ln>
                  </pic:spPr>
                </pic:pic>
              </a:graphicData>
            </a:graphic>
          </wp:inline>
        </w:drawing>
      </w:r>
      <w:r>
        <w:rPr>
          <w:rFonts w:ascii="Arial" w:cs="Arial" w:eastAsia="Arial" w:hAnsi="Arial"/>
          <w:sz w:val="45"/>
          <w:szCs w:val="45"/>
          <w:b w:val="1"/>
          <w:bCs w:val="1"/>
          <w:color w:val="242424"/>
        </w:rPr>
        <w:t xml:space="preserve"> ReVu</w:t>
      </w:r>
      <w:r>
        <w:rPr>
          <w:rFonts w:ascii="Arial" w:cs="Arial" w:eastAsia="Arial" w:hAnsi="Arial"/>
          <w:sz w:val="2"/>
          <w:szCs w:val="2"/>
          <w:b w:val="1"/>
          <w:bCs w:val="1"/>
          <w:color w:val="242424"/>
        </w:rPr>
        <w:t>TM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7500" w:val="left"/>
        </w:tabs>
        <w:rPr>
          <w:sz w:val="20"/>
          <w:szCs w:val="20"/>
          <w:color w:val="auto"/>
        </w:rPr>
      </w:pPr>
      <w:r>
        <w:rPr>
          <w:rFonts w:ascii="Arial" w:cs="Arial" w:eastAsia="Arial" w:hAnsi="Arial"/>
          <w:sz w:val="28"/>
          <w:szCs w:val="28"/>
          <w:b w:val="1"/>
          <w:bCs w:val="1"/>
          <w:color w:val="161616"/>
        </w:rPr>
        <w:t>DIGITAL VIDEO RECORDING</w:t>
      </w:r>
      <w:r>
        <w:rPr>
          <w:sz w:val="20"/>
          <w:szCs w:val="20"/>
          <w:color w:val="auto"/>
        </w:rPr>
        <w:tab/>
      </w:r>
      <w:r>
        <w:rPr>
          <w:rFonts w:ascii="Arial" w:cs="Arial" w:eastAsia="Arial" w:hAnsi="Arial"/>
          <w:sz w:val="25"/>
          <w:szCs w:val="25"/>
          <w:b w:val="1"/>
          <w:bCs w:val="1"/>
          <w:color w:val="161616"/>
        </w:rPr>
        <w:t>CONNECT AND DOWNLOAD</w:t>
      </w:r>
    </w:p>
    <w:p>
      <w:pPr>
        <w:sectPr>
          <w:pgSz w:w="12240" w:h="15840" w:orient="portrait"/>
          <w:cols w:equalWidth="0" w:num="1">
            <w:col w:w="11040"/>
          </w:cols>
          <w:pgMar w:left="720" w:top="1427" w:right="480" w:bottom="0" w:gutter="0" w:footer="0" w:header="0"/>
        </w:sectPr>
      </w:pPr>
    </w:p>
    <w:p>
      <w:pPr>
        <w:spacing w:after="0" w:line="250" w:lineRule="exact"/>
        <w:rPr>
          <w:sz w:val="20"/>
          <w:szCs w:val="20"/>
          <w:color w:val="auto"/>
        </w:rPr>
      </w:pPr>
    </w:p>
    <w:p>
      <w:pPr>
        <w:spacing w:after="0" w:line="351" w:lineRule="auto"/>
        <w:rPr>
          <w:sz w:val="20"/>
          <w:szCs w:val="20"/>
          <w:color w:val="auto"/>
        </w:rPr>
      </w:pPr>
      <w:r>
        <w:rPr>
          <w:rFonts w:ascii="Times New Roman" w:cs="Times New Roman" w:eastAsia="Times New Roman" w:hAnsi="Times New Roman"/>
          <w:sz w:val="18"/>
          <w:szCs w:val="18"/>
          <w:color w:val="161616"/>
        </w:rPr>
        <w:t>Gentex has continued to launch digital video recording systems on additional Toyota platforms, including a base auto-dimming mirror with DVR capability. We believe this product’s success is indicative of the existing demand for multi-camera recording systems, and has the potential to expand into other vehicle platforms and regions.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350" w:lineRule="auto"/>
        <w:rPr>
          <w:sz w:val="20"/>
          <w:szCs w:val="20"/>
          <w:color w:val="auto"/>
        </w:rPr>
      </w:pPr>
      <w:r>
        <w:rPr>
          <w:rFonts w:ascii="Times New Roman" w:cs="Times New Roman" w:eastAsia="Times New Roman" w:hAnsi="Times New Roman"/>
          <w:sz w:val="17"/>
          <w:szCs w:val="17"/>
          <w:color w:val="161616"/>
        </w:rPr>
        <w:t>For this new product, we deployed the first Gentex DVR with app integration, allowing the consumer to download recorded information from the mirror to their phone. The app integration creates a more user-friendly experience, and can enable our DVR system to be deployed on lower-cost vehicles, or vehicles which lack the necessary in-cabin interfaces for a DVR system.</w:t>
      </w:r>
    </w:p>
    <w:p>
      <w:pPr>
        <w:spacing w:after="0" w:line="200" w:lineRule="exact"/>
        <w:rPr>
          <w:sz w:val="20"/>
          <w:szCs w:val="20"/>
          <w:color w:val="auto"/>
        </w:rPr>
      </w:pPr>
    </w:p>
    <w:p>
      <w:pPr>
        <w:sectPr>
          <w:pgSz w:w="12240" w:h="15840" w:orient="portrait"/>
          <w:cols w:equalWidth="0" w:num="2">
            <w:col w:w="6880" w:space="640"/>
            <w:col w:w="3520"/>
          </w:cols>
          <w:pgMar w:left="720" w:top="1427" w:right="480" w:bottom="0" w:gutter="0" w:footer="0" w:header="0"/>
          <w:type w:val="continuous"/>
        </w:sectPr>
      </w:pPr>
    </w:p>
    <w:p>
      <w:pPr>
        <w:spacing w:after="0" w:line="68" w:lineRule="exact"/>
        <w:rPr>
          <w:sz w:val="20"/>
          <w:szCs w:val="20"/>
          <w:color w:val="auto"/>
        </w:rPr>
      </w:pPr>
    </w:p>
    <w:p>
      <w:pPr>
        <w:ind w:left="9220"/>
        <w:spacing w:after="0"/>
        <w:tabs>
          <w:tab w:leader="none" w:pos="10780" w:val="left"/>
        </w:tabs>
        <w:rPr>
          <w:sz w:val="20"/>
          <w:szCs w:val="20"/>
          <w:color w:val="auto"/>
        </w:rPr>
      </w:pPr>
      <w:r>
        <w:rPr>
          <w:rFonts w:ascii="Times New Roman" w:cs="Times New Roman" w:eastAsia="Times New Roman" w:hAnsi="Times New Roman"/>
          <w:sz w:val="10"/>
          <w:szCs w:val="10"/>
          <w:color w:val="161616"/>
        </w:rPr>
        <w:t>2022 ANNUAL REPORT</w:t>
      </w:r>
      <w:r>
        <w:rPr>
          <w:sz w:val="20"/>
          <w:szCs w:val="20"/>
          <w:color w:val="auto"/>
        </w:rPr>
        <w:tab/>
      </w:r>
      <w:r>
        <w:rPr>
          <w:rFonts w:ascii="Arial" w:cs="Arial" w:eastAsia="Arial" w:hAnsi="Arial"/>
          <w:sz w:val="12"/>
          <w:szCs w:val="12"/>
          <w:b w:val="1"/>
          <w:bCs w:val="1"/>
          <w:color w:val="161616"/>
        </w:rPr>
        <w:t>13</w:t>
      </w:r>
    </w:p>
    <w:p>
      <w:pPr>
        <w:sectPr>
          <w:pgSz w:w="12240" w:h="15840" w:orient="portrait"/>
          <w:cols w:equalWidth="0" w:num="1">
            <w:col w:w="11040"/>
          </w:cols>
          <w:pgMar w:left="720" w:top="1427" w:right="480" w:bottom="0" w:gutter="0" w:footer="0" w:header="0"/>
          <w:type w:val="continuous"/>
        </w:sectPr>
      </w:pPr>
    </w:p>
    <w:bookmarkStart w:id="13" w:name="page14"/>
    <w:bookmarkEnd w:id="13"/>
    <w:p>
      <w:pPr>
        <w:ind w:left="36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CONNECTIVITY</w:t>
      </w:r>
    </w:p>
    <w:p>
      <w:pPr>
        <w:sectPr>
          <w:pgSz w:w="12240" w:h="15840" w:orient="portrait"/>
          <w:cols w:equalWidth="0" w:num="1">
            <w:col w:w="10220"/>
          </w:cols>
          <w:pgMar w:left="580" w:top="45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FFFFFF"/>
        </w:rPr>
        <w:t>14</w:t>
      </w:r>
      <w:r>
        <w:rPr>
          <w:sz w:val="20"/>
          <w:szCs w:val="20"/>
          <w:color w:val="auto"/>
        </w:rPr>
        <w:tab/>
      </w:r>
      <w:r>
        <w:rPr>
          <w:rFonts w:ascii="Times New Roman" w:cs="Times New Roman" w:eastAsia="Times New Roman" w:hAnsi="Times New Roman"/>
          <w:sz w:val="10"/>
          <w:szCs w:val="10"/>
          <w:color w:val="FFFFFF"/>
        </w:rPr>
        <w:t>GENTEX CORPORATION</w:t>
      </w:r>
    </w:p>
    <w:p>
      <w:pPr>
        <w:sectPr>
          <w:pgSz w:w="12240" w:h="15840" w:orient="portrait"/>
          <w:cols w:equalWidth="0" w:num="1">
            <w:col w:w="10220"/>
          </w:cols>
          <w:pgMar w:left="580" w:top="454" w:right="1440" w:bottom="0" w:gutter="0" w:footer="0" w:header="0"/>
          <w:type w:val="continuous"/>
        </w:sectPr>
      </w:pPr>
    </w:p>
    <w:bookmarkStart w:id="14" w:name="page15"/>
    <w:bookmarkEnd w:id="14"/>
    <w:p>
      <w:pPr>
        <w:spacing w:after="0"/>
        <w:rPr>
          <w:sz w:val="20"/>
          <w:szCs w:val="20"/>
          <w:color w:val="auto"/>
        </w:rPr>
      </w:pPr>
      <w:r>
        <w:rPr>
          <w:rFonts w:ascii="Arial" w:cs="Arial" w:eastAsia="Arial" w:hAnsi="Arial"/>
          <w:sz w:val="89"/>
          <w:szCs w:val="89"/>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3255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72400" cy="3255010"/>
                    </a:xfrm>
                    <a:prstGeom prst="rect">
                      <a:avLst/>
                    </a:prstGeom>
                    <a:noFill/>
                  </pic:spPr>
                </pic:pic>
              </a:graphicData>
            </a:graphic>
          </wp:anchor>
        </w:drawing>
        <w:t>Secure, Reliable, &amp; Robust</w:t>
      </w:r>
    </w:p>
    <w:p>
      <w:pPr>
        <w:spacing w:after="0" w:line="200" w:lineRule="exact"/>
        <w:rPr>
          <w:sz w:val="20"/>
          <w:szCs w:val="20"/>
          <w:color w:val="auto"/>
        </w:rPr>
      </w:pPr>
    </w:p>
    <w:p>
      <w:pPr>
        <w:spacing w:after="0" w:line="354" w:lineRule="exact"/>
        <w:rPr>
          <w:sz w:val="20"/>
          <w:szCs w:val="20"/>
          <w:color w:val="auto"/>
        </w:rPr>
      </w:pPr>
    </w:p>
    <w:p>
      <w:pPr>
        <w:ind w:left="4420" w:right="300"/>
        <w:spacing w:after="0" w:line="390" w:lineRule="auto"/>
        <w:rPr>
          <w:sz w:val="20"/>
          <w:szCs w:val="20"/>
          <w:color w:val="auto"/>
        </w:rPr>
      </w:pPr>
      <w:r>
        <w:rPr>
          <w:rFonts w:ascii="Times New Roman" w:cs="Times New Roman" w:eastAsia="Times New Roman" w:hAnsi="Times New Roman"/>
          <w:sz w:val="17"/>
          <w:szCs w:val="17"/>
          <w:b w:val="1"/>
          <w:bCs w:val="1"/>
          <w:color w:val="FFFFFF"/>
        </w:rPr>
        <w:t>HomeLink® is leading the industry toward a more connected future. By maintaining the existing compatibility with older RF garage doors, while also continually adding additional partners in the wi-fi enabled device space, HomeLink is perfectly positioned to maximize user experience for car-to-home connectivity. As the market continues to develop, users will enjoy longer range control for RF and Bluetooth enabled devices, and with wi-fi enabled control through HomeLink Connect®, users will be able to operate an entire suite of products at the press of a single button.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4725670</wp:posOffset>
            </wp:positionH>
            <wp:positionV relativeFrom="paragraph">
              <wp:posOffset>258445</wp:posOffset>
            </wp:positionV>
            <wp:extent cx="2589530" cy="2002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89530" cy="200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8"/>
          <w:szCs w:val="28"/>
          <w:b w:val="1"/>
          <w:bCs w:val="1"/>
          <w:color w:val="161616"/>
        </w:rPr>
        <w:t>A SMART HOME SOLUTION PROVIDER</w:t>
      </w:r>
    </w:p>
    <w:p>
      <w:pPr>
        <w:spacing w:after="0" w:line="280" w:lineRule="exact"/>
        <w:rPr>
          <w:sz w:val="20"/>
          <w:szCs w:val="20"/>
          <w:color w:val="auto"/>
        </w:rPr>
      </w:pPr>
    </w:p>
    <w:p>
      <w:pPr>
        <w:ind w:right="2780"/>
        <w:spacing w:after="0" w:line="349" w:lineRule="auto"/>
        <w:rPr>
          <w:sz w:val="20"/>
          <w:szCs w:val="20"/>
          <w:color w:val="auto"/>
        </w:rPr>
      </w:pPr>
      <w:r>
        <w:rPr>
          <w:rFonts w:ascii="Times New Roman" w:cs="Times New Roman" w:eastAsia="Times New Roman" w:hAnsi="Times New Roman"/>
          <w:sz w:val="18"/>
          <w:szCs w:val="18"/>
          <w:color w:val="161616"/>
        </w:rPr>
        <w:t>Many OEMs utilize embedded apps in their vehicles today and they are actively pursuing additional capabilities which seek to improve user interaction rates. By leveraging our connected network capabilities and functionality, HomeLink Connect can be included with these OEM apps to control connected home devices that users already enjoy. Our app can exist in a standalone format, or could be integrated into an OEMs vehicle app for seamless</w:t>
      </w:r>
    </w:p>
    <w:p>
      <w:pPr>
        <w:spacing w:after="0" w:line="1" w:lineRule="exact"/>
        <w:rPr>
          <w:sz w:val="20"/>
          <w:szCs w:val="20"/>
          <w:color w:val="auto"/>
        </w:rPr>
      </w:pPr>
    </w:p>
    <w:p>
      <w:pPr>
        <w:spacing w:after="0"/>
        <w:tabs>
          <w:tab w:leader="none" w:pos="9180" w:val="left"/>
        </w:tabs>
        <w:rPr>
          <w:sz w:val="20"/>
          <w:szCs w:val="20"/>
          <w:color w:val="auto"/>
        </w:rPr>
      </w:pPr>
      <w:r>
        <w:rPr>
          <w:rFonts w:ascii="Times New Roman" w:cs="Times New Roman" w:eastAsia="Times New Roman" w:hAnsi="Times New Roman"/>
          <w:sz w:val="18"/>
          <w:szCs w:val="18"/>
          <w:color w:val="161616"/>
        </w:rPr>
        <w:t>smart home interactions.</w:t>
      </w:r>
      <w:r>
        <w:rPr>
          <w:sz w:val="20"/>
          <w:szCs w:val="20"/>
          <w:color w:val="auto"/>
        </w:rPr>
        <w:tab/>
      </w:r>
      <w:r>
        <w:rPr>
          <w:rFonts w:ascii="Arial" w:cs="Arial" w:eastAsia="Arial" w:hAnsi="Arial"/>
          <w:sz w:val="13"/>
          <w:szCs w:val="13"/>
          <w:color w:val="FFFFFF"/>
        </w:rPr>
        <w:t>Scan for more Info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149860</wp:posOffset>
            </wp:positionV>
            <wp:extent cx="7470775" cy="5026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70775" cy="5026025"/>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149860</wp:posOffset>
            </wp:positionV>
            <wp:extent cx="7470775" cy="5026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70775" cy="502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8"/>
          <w:szCs w:val="28"/>
          <w:b w:val="1"/>
          <w:bCs w:val="1"/>
          <w:color w:val="FFFFFF"/>
        </w:rPr>
        <w:t>IN-VEHICLE PAYMENTS AND BOOKING</w:t>
      </w:r>
    </w:p>
    <w:p>
      <w:pPr>
        <w:spacing w:after="0" w:line="200" w:lineRule="exact"/>
        <w:rPr>
          <w:sz w:val="20"/>
          <w:szCs w:val="20"/>
          <w:color w:val="auto"/>
        </w:rPr>
      </w:pPr>
    </w:p>
    <w:p>
      <w:pPr>
        <w:spacing w:after="0" w:line="345" w:lineRule="exact"/>
        <w:rPr>
          <w:sz w:val="20"/>
          <w:szCs w:val="20"/>
          <w:color w:val="auto"/>
        </w:rPr>
      </w:pPr>
    </w:p>
    <w:p>
      <w:pPr>
        <w:ind w:left="1720" w:right="2780"/>
        <w:spacing w:after="0" w:line="444" w:lineRule="auto"/>
        <w:rPr>
          <w:sz w:val="20"/>
          <w:szCs w:val="20"/>
          <w:color w:val="auto"/>
        </w:rPr>
      </w:pPr>
      <w:r>
        <w:rPr>
          <w:rFonts w:ascii="Times New Roman" w:cs="Times New Roman" w:eastAsia="Times New Roman" w:hAnsi="Times New Roman"/>
          <w:sz w:val="16"/>
          <w:szCs w:val="16"/>
          <w:b w:val="1"/>
          <w:bCs w:val="1"/>
          <w:color w:val="FFFFFF"/>
        </w:rPr>
        <w:t>With our integrated toll module (ITM®), Audi and Mercedes drivers can travel across North America without having to have separate toll transponders for each region’s tolling authority. Our ITM system gets rid of the need for clumsy, windscreen-mounted toll transponders, and gives OEMs more control over their vehicles aesthetics and performance.</w:t>
      </w:r>
    </w:p>
    <w:p>
      <w:pPr>
        <w:spacing w:after="0" w:line="200" w:lineRule="exact"/>
        <w:rPr>
          <w:sz w:val="20"/>
          <w:szCs w:val="20"/>
          <w:color w:val="auto"/>
        </w:rPr>
      </w:pPr>
    </w:p>
    <w:p>
      <w:pPr>
        <w:spacing w:after="0" w:line="239" w:lineRule="exact"/>
        <w:rPr>
          <w:sz w:val="20"/>
          <w:szCs w:val="20"/>
          <w:color w:val="auto"/>
        </w:rPr>
      </w:pPr>
    </w:p>
    <w:p>
      <w:pPr>
        <w:ind w:left="1720" w:right="2780"/>
        <w:spacing w:after="0" w:line="402" w:lineRule="auto"/>
        <w:rPr>
          <w:sz w:val="20"/>
          <w:szCs w:val="20"/>
          <w:color w:val="auto"/>
        </w:rPr>
      </w:pPr>
      <w:r>
        <w:rPr>
          <w:rFonts w:ascii="Times New Roman" w:cs="Times New Roman" w:eastAsia="Times New Roman" w:hAnsi="Times New Roman"/>
          <w:sz w:val="17"/>
          <w:szCs w:val="17"/>
          <w:b w:val="1"/>
          <w:bCs w:val="1"/>
          <w:color w:val="FFFFFF"/>
        </w:rPr>
        <w:t>In our partnership with PayByCar™, we demonstrated a simple, contact-free way to enable in-vehicle payment processing so that drivers never have to get out their credit card to pay for gas. Our PayByCar integration demonstrated how OEMs could help their busy drivers spend less time at the pump, in drive throughs, or at parking payment gates, so they can get where they’re going sooner and with a more secure transaction.</w:t>
      </w:r>
    </w:p>
    <w:p>
      <w:pPr>
        <w:spacing w:after="0" w:line="163" w:lineRule="exact"/>
        <w:rPr>
          <w:sz w:val="20"/>
          <w:szCs w:val="20"/>
          <w:color w:val="auto"/>
        </w:rPr>
      </w:pPr>
    </w:p>
    <w:p>
      <w:pPr>
        <w:ind w:left="1720" w:right="2880"/>
        <w:spacing w:after="0" w:line="370" w:lineRule="auto"/>
        <w:rPr>
          <w:sz w:val="20"/>
          <w:szCs w:val="20"/>
          <w:color w:val="auto"/>
        </w:rPr>
      </w:pPr>
      <w:r>
        <w:rPr>
          <w:rFonts w:ascii="Times New Roman" w:cs="Times New Roman" w:eastAsia="Times New Roman" w:hAnsi="Times New Roman"/>
          <w:sz w:val="18"/>
          <w:szCs w:val="18"/>
          <w:b w:val="1"/>
          <w:bCs w:val="1"/>
          <w:color w:val="FFFFFF"/>
        </w:rPr>
        <w:t>Alongside ITM and HomeLink Connect, our addition of Simplenight® can provide OEMs with additional user functionality and convenience. Simplenight provides users with a fast and easy way to get access to discounted hotels, restaurants, experiences, and other products in more than 30 categories across 2,000 cities in 190 countries. This feature set can also be included in either an embedded app on the vehicle or in a mobile format inside an OEM app.</w:t>
      </w:r>
    </w:p>
    <w:p>
      <w:pPr>
        <w:sectPr>
          <w:pgSz w:w="12240" w:h="15840" w:orient="portrait"/>
          <w:cols w:equalWidth="0" w:num="1">
            <w:col w:w="10940"/>
          </w:cols>
          <w:pgMar w:left="720" w:top="1111" w:right="580" w:bottom="0" w:gutter="0" w:footer="0" w:header="0"/>
        </w:sectPr>
      </w:pPr>
    </w:p>
    <w:p>
      <w:pPr>
        <w:spacing w:after="0" w:line="180" w:lineRule="exact"/>
        <w:rPr>
          <w:sz w:val="20"/>
          <w:szCs w:val="20"/>
          <w:color w:val="auto"/>
        </w:rPr>
      </w:pPr>
    </w:p>
    <w:p>
      <w:pPr>
        <w:ind w:left="9220"/>
        <w:spacing w:after="0"/>
        <w:tabs>
          <w:tab w:leader="none" w:pos="10780" w:val="left"/>
        </w:tabs>
        <w:rPr>
          <w:sz w:val="20"/>
          <w:szCs w:val="20"/>
          <w:color w:val="auto"/>
        </w:rPr>
      </w:pPr>
      <w:r>
        <w:rPr>
          <w:rFonts w:ascii="Times New Roman" w:cs="Times New Roman" w:eastAsia="Times New Roman" w:hAnsi="Times New Roman"/>
          <w:sz w:val="8"/>
          <w:szCs w:val="8"/>
          <w:color w:val="161616"/>
        </w:rPr>
        <w:t>2022</w:t>
      </w:r>
      <w:r>
        <w:rPr>
          <w:rFonts w:ascii="Times New Roman" w:cs="Times New Roman" w:eastAsia="Times New Roman" w:hAnsi="Times New Roman"/>
          <w:sz w:val="8"/>
          <w:szCs w:val="8"/>
          <w:color w:val="FFFFFF"/>
        </w:rPr>
        <w:t>2022</w:t>
      </w:r>
      <w:r>
        <w:rPr>
          <w:rFonts w:ascii="Times New Roman" w:cs="Times New Roman" w:eastAsia="Times New Roman" w:hAnsi="Times New Roman"/>
          <w:sz w:val="8"/>
          <w:szCs w:val="8"/>
          <w:color w:val="161616"/>
        </w:rPr>
        <w:t xml:space="preserve"> ANNUAL</w:t>
      </w:r>
      <w:r>
        <w:rPr>
          <w:rFonts w:ascii="Times New Roman" w:cs="Times New Roman" w:eastAsia="Times New Roman" w:hAnsi="Times New Roman"/>
          <w:sz w:val="8"/>
          <w:szCs w:val="8"/>
          <w:color w:val="FFFFFF"/>
        </w:rPr>
        <w:t>ANNUAL</w:t>
      </w:r>
      <w:r>
        <w:rPr>
          <w:rFonts w:ascii="Times New Roman" w:cs="Times New Roman" w:eastAsia="Times New Roman" w:hAnsi="Times New Roman"/>
          <w:sz w:val="8"/>
          <w:szCs w:val="8"/>
          <w:color w:val="161616"/>
        </w:rPr>
        <w:t xml:space="preserve"> REPORT</w:t>
      </w:r>
      <w:r>
        <w:rPr>
          <w:rFonts w:ascii="Times New Roman" w:cs="Times New Roman" w:eastAsia="Times New Roman" w:hAnsi="Times New Roman"/>
          <w:sz w:val="8"/>
          <w:szCs w:val="8"/>
          <w:color w:val="FFFFFF"/>
        </w:rPr>
        <w:t>REPORT</w:t>
      </w:r>
      <w:r>
        <w:rPr>
          <w:sz w:val="20"/>
          <w:szCs w:val="20"/>
          <w:color w:val="auto"/>
        </w:rPr>
        <w:tab/>
      </w:r>
      <w:r>
        <w:rPr>
          <w:rFonts w:ascii="Arial" w:cs="Arial" w:eastAsia="Arial" w:hAnsi="Arial"/>
          <w:sz w:val="6"/>
          <w:szCs w:val="6"/>
          <w:b w:val="1"/>
          <w:bCs w:val="1"/>
          <w:color w:val="161616"/>
        </w:rPr>
        <w:t>15</w:t>
      </w:r>
      <w:r>
        <w:rPr>
          <w:rFonts w:ascii="Arial" w:cs="Arial" w:eastAsia="Arial" w:hAnsi="Arial"/>
          <w:sz w:val="6"/>
          <w:szCs w:val="6"/>
          <w:b w:val="1"/>
          <w:bCs w:val="1"/>
          <w:color w:val="FFFFFF"/>
        </w:rPr>
        <w:t>15</w:t>
      </w:r>
    </w:p>
    <w:p>
      <w:pPr>
        <w:sectPr>
          <w:pgSz w:w="12240" w:h="15840" w:orient="portrait"/>
          <w:cols w:equalWidth="0" w:num="1">
            <w:col w:w="10940"/>
          </w:cols>
          <w:pgMar w:left="720" w:top="1111" w:right="580" w:bottom="0" w:gutter="0" w:footer="0" w:header="0"/>
          <w:type w:val="continuous"/>
        </w:sectPr>
      </w:pPr>
    </w:p>
    <w:bookmarkStart w:id="15" w:name="page16"/>
    <w:bookmarkEnd w:id="15"/>
    <w:p>
      <w:pPr>
        <w:ind w:left="36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SENSING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40" w:right="4300"/>
        <w:spacing w:after="0" w:line="270" w:lineRule="auto"/>
        <w:rPr>
          <w:sz w:val="20"/>
          <w:szCs w:val="20"/>
          <w:color w:val="auto"/>
        </w:rPr>
      </w:pPr>
      <w:r>
        <w:rPr>
          <w:rFonts w:ascii="Arial" w:cs="Arial" w:eastAsia="Arial" w:hAnsi="Arial"/>
          <w:sz w:val="103"/>
          <w:szCs w:val="103"/>
          <w:color w:val="FFFFFF"/>
        </w:rPr>
        <w:t>The Future of In-Vehicle Sensing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0" w:right="4940"/>
        <w:spacing w:after="0" w:line="384" w:lineRule="auto"/>
        <w:rPr>
          <w:sz w:val="20"/>
          <w:szCs w:val="20"/>
          <w:color w:val="auto"/>
        </w:rPr>
      </w:pPr>
      <w:r>
        <w:rPr>
          <w:rFonts w:ascii="Times New Roman" w:cs="Times New Roman" w:eastAsia="Times New Roman" w:hAnsi="Times New Roman"/>
          <w:sz w:val="17"/>
          <w:szCs w:val="17"/>
          <w:b w:val="1"/>
          <w:bCs w:val="1"/>
          <w:color w:val="FFFFFF"/>
        </w:rPr>
        <w:t>Gentex has a rich history in the sensor world. From our initial inception as a smoke and fire detection company to our glare sensors in every auto-dimming mirror, we’ve been incorporating sensors into our devices for nearly 50 years. As we continue to grow our expertise and capabilities, our sensor systems have become more complex, and more capable. Our camera based automotive solutions, alongside our Vaporsens and Guardian Optical Technology acquisitions, enable many of the functions needed for limited driver involvement or complete autonomous functionality in future vehicles.</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FFFFFF"/>
        </w:rPr>
        <w:t>DRIVER AND CABIN MONITORING</w:t>
      </w:r>
    </w:p>
    <w:p>
      <w:pPr>
        <w:spacing w:after="0" w:line="280" w:lineRule="exact"/>
        <w:rPr>
          <w:sz w:val="20"/>
          <w:szCs w:val="20"/>
          <w:color w:val="auto"/>
        </w:rPr>
      </w:pPr>
    </w:p>
    <w:p>
      <w:pPr>
        <w:ind w:left="140" w:right="4880"/>
        <w:spacing w:after="0" w:line="392" w:lineRule="auto"/>
        <w:rPr>
          <w:sz w:val="20"/>
          <w:szCs w:val="20"/>
          <w:color w:val="auto"/>
        </w:rPr>
      </w:pPr>
      <w:r>
        <w:rPr>
          <w:rFonts w:ascii="Times New Roman" w:cs="Times New Roman" w:eastAsia="Times New Roman" w:hAnsi="Times New Roman"/>
          <w:sz w:val="16"/>
          <w:szCs w:val="16"/>
          <w:b w:val="1"/>
          <w:bCs w:val="1"/>
          <w:color w:val="FFFFFF"/>
        </w:rPr>
        <w:t>As more OEMs push toward higher levels of autonomous driving and the New Car Assessment Program (NCAP) regulations evolve, automakers are working to implement safety systems to monitor the driver and vehicle occupants. The high-angle and unobstructed location of Gentex’s auto-dimming interior mirror makes our technology’s location ideal for meeting this need. At CES, we demonstrated a scalable and holistic</w:t>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FFFFFF"/>
        </w:rPr>
        <w:t>approach to driver and in-cabin monitoring, built from our acquisition</w:t>
      </w:r>
    </w:p>
    <w:p>
      <w:pPr>
        <w:spacing w:after="0" w:line="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FFFFFF"/>
        </w:rPr>
        <w:t>of Guardian Optical Technology’s (now Gentex Technologies Israel)</w:t>
      </w:r>
    </w:p>
    <w:p>
      <w:pPr>
        <w:spacing w:after="0" w:line="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FFFFFF"/>
        </w:rPr>
        <w:t>in-vehicle driver monitoring system.</w:t>
      </w:r>
    </w:p>
    <w:p>
      <w:pPr>
        <w:spacing w:after="0" w:line="268" w:lineRule="exact"/>
        <w:rPr>
          <w:sz w:val="20"/>
          <w:szCs w:val="20"/>
          <w:color w:val="auto"/>
        </w:rPr>
      </w:pPr>
    </w:p>
    <w:p>
      <w:pPr>
        <w:ind w:left="140" w:right="4960"/>
        <w:spacing w:after="0" w:line="394" w:lineRule="auto"/>
        <w:rPr>
          <w:sz w:val="20"/>
          <w:szCs w:val="20"/>
          <w:color w:val="auto"/>
        </w:rPr>
      </w:pPr>
      <w:r>
        <w:rPr>
          <w:rFonts w:ascii="Times New Roman" w:cs="Times New Roman" w:eastAsia="Times New Roman" w:hAnsi="Times New Roman"/>
          <w:sz w:val="17"/>
          <w:szCs w:val="17"/>
          <w:b w:val="1"/>
          <w:bCs w:val="1"/>
          <w:color w:val="FFFFFF"/>
        </w:rPr>
        <w:t>With our technology, OEMs can gather data for tracking driver head pose, eye gaze, and other metrics to determine distraction, drowsiness, sudden sickness, and help decide when to return manual control to the driver in a semi-autonomous vehicle. The system can be expanded to include both 2D and 3D cabin monitoring for detecting passengers, behavior, objects, and even presence of life.</w:t>
      </w:r>
    </w:p>
    <w:p>
      <w:pPr>
        <w:sectPr>
          <w:pgSz w:w="12240" w:h="15840" w:orient="portrait"/>
          <w:cols w:equalWidth="0" w:num="1">
            <w:col w:w="10220"/>
          </w:cols>
          <w:pgMar w:left="580" w:top="45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FFFFFF"/>
        </w:rPr>
        <w:t>16</w:t>
      </w:r>
      <w:r>
        <w:rPr>
          <w:sz w:val="20"/>
          <w:szCs w:val="20"/>
          <w:color w:val="auto"/>
        </w:rPr>
        <w:tab/>
      </w:r>
      <w:r>
        <w:rPr>
          <w:rFonts w:ascii="Times New Roman" w:cs="Times New Roman" w:eastAsia="Times New Roman" w:hAnsi="Times New Roman"/>
          <w:sz w:val="10"/>
          <w:szCs w:val="10"/>
          <w:color w:val="FFFFFF"/>
        </w:rPr>
        <w:t>GENTEX CORPORATION</w:t>
      </w:r>
    </w:p>
    <w:p>
      <w:pPr>
        <w:sectPr>
          <w:pgSz w:w="12240" w:h="15840" w:orient="portrait"/>
          <w:cols w:equalWidth="0" w:num="1">
            <w:col w:w="10220"/>
          </w:cols>
          <w:pgMar w:left="580" w:top="454" w:right="1440" w:bottom="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900"/>
        <w:spacing w:after="0"/>
        <w:rPr>
          <w:sz w:val="20"/>
          <w:szCs w:val="20"/>
          <w:color w:val="auto"/>
        </w:rPr>
      </w:pPr>
      <w:r>
        <w:rPr>
          <w:rFonts w:ascii="Arial" w:cs="Arial" w:eastAsia="Arial" w:hAnsi="Arial"/>
          <w:sz w:val="18"/>
          <w:szCs w:val="18"/>
          <w:color w:val="FFFFFF"/>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0"/>
        <w:spacing w:after="0"/>
        <w:tabs>
          <w:tab w:leader="none" w:pos="3180" w:val="left"/>
        </w:tabs>
        <w:rPr>
          <w:sz w:val="20"/>
          <w:szCs w:val="20"/>
          <w:color w:val="auto"/>
        </w:rPr>
      </w:pPr>
      <w:r>
        <w:rPr>
          <w:rFonts w:ascii="Arial" w:cs="Arial" w:eastAsia="Arial" w:hAnsi="Arial"/>
          <w:sz w:val="18"/>
          <w:szCs w:val="18"/>
          <w:color w:val="FFFFFF"/>
        </w:rPr>
        <w:t>2</w:t>
      </w:r>
      <w:r>
        <w:rPr>
          <w:sz w:val="20"/>
          <w:szCs w:val="20"/>
          <w:color w:val="auto"/>
        </w:rPr>
        <w:tab/>
      </w:r>
      <w:r>
        <w:rPr>
          <w:rFonts w:ascii="Arial" w:cs="Arial" w:eastAsia="Arial" w:hAnsi="Arial"/>
          <w:sz w:val="18"/>
          <w:szCs w:val="18"/>
          <w:color w:val="FFFFFF"/>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60"/>
        <w:spacing w:after="0"/>
        <w:tabs>
          <w:tab w:leader="none" w:pos="3180" w:val="left"/>
        </w:tabs>
        <w:rPr>
          <w:sz w:val="20"/>
          <w:szCs w:val="20"/>
          <w:color w:val="auto"/>
        </w:rPr>
      </w:pPr>
      <w:r>
        <w:rPr>
          <w:rFonts w:ascii="Arial" w:cs="Arial" w:eastAsia="Arial" w:hAnsi="Arial"/>
          <w:sz w:val="18"/>
          <w:szCs w:val="18"/>
          <w:color w:val="FFFFFF"/>
        </w:rPr>
        <w:t>4</w:t>
      </w:r>
      <w:r>
        <w:rPr>
          <w:sz w:val="20"/>
          <w:szCs w:val="20"/>
          <w:color w:val="auto"/>
        </w:rPr>
        <w:tab/>
      </w:r>
      <w:r>
        <w:rPr>
          <w:rFonts w:ascii="Arial" w:cs="Arial" w:eastAsia="Arial" w:hAnsi="Arial"/>
          <w:sz w:val="18"/>
          <w:szCs w:val="18"/>
          <w:color w:val="FFFFFF"/>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60"/>
        <w:spacing w:after="0"/>
        <w:tabs>
          <w:tab w:leader="none" w:pos="3180" w:val="left"/>
        </w:tabs>
        <w:rPr>
          <w:sz w:val="20"/>
          <w:szCs w:val="20"/>
          <w:color w:val="auto"/>
        </w:rPr>
      </w:pPr>
      <w:r>
        <w:rPr>
          <w:rFonts w:ascii="Arial" w:cs="Arial" w:eastAsia="Arial" w:hAnsi="Arial"/>
          <w:sz w:val="18"/>
          <w:szCs w:val="18"/>
          <w:color w:val="FFFFFF"/>
        </w:rPr>
        <w:t>6</w:t>
      </w:r>
      <w:r>
        <w:rPr>
          <w:sz w:val="20"/>
          <w:szCs w:val="20"/>
          <w:color w:val="auto"/>
        </w:rPr>
        <w:tab/>
      </w:r>
      <w:r>
        <w:rPr>
          <w:rFonts w:ascii="Arial" w:cs="Arial" w:eastAsia="Arial" w:hAnsi="Arial"/>
          <w:sz w:val="18"/>
          <w:szCs w:val="18"/>
          <w:color w:val="FFFFFF"/>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900"/>
        <w:spacing w:after="0"/>
        <w:rPr>
          <w:sz w:val="20"/>
          <w:szCs w:val="20"/>
          <w:color w:val="auto"/>
        </w:rPr>
      </w:pPr>
      <w:r>
        <w:rPr>
          <w:rFonts w:ascii="Arial" w:cs="Arial" w:eastAsia="Arial" w:hAnsi="Arial"/>
          <w:sz w:val="18"/>
          <w:szCs w:val="18"/>
          <w:color w:val="FFFFFF"/>
        </w:rPr>
        <w:t>8</w:t>
      </w:r>
    </w:p>
    <w:p>
      <w:pPr>
        <w:spacing w:after="0" w:line="218" w:lineRule="exact"/>
        <w:rPr>
          <w:sz w:val="20"/>
          <w:szCs w:val="20"/>
          <w:color w:val="auto"/>
        </w:rPr>
      </w:pPr>
    </w:p>
    <w:p>
      <w:pPr>
        <w:ind w:left="600"/>
        <w:spacing w:after="0"/>
        <w:rPr>
          <w:sz w:val="20"/>
          <w:szCs w:val="20"/>
          <w:color w:val="auto"/>
        </w:rPr>
      </w:pPr>
      <w:r>
        <w:rPr>
          <w:rFonts w:ascii="Arial" w:cs="Arial" w:eastAsia="Arial" w:hAnsi="Arial"/>
          <w:sz w:val="22"/>
          <w:szCs w:val="22"/>
          <w:color w:val="FFFFFF"/>
        </w:rPr>
        <w:t>Driver &amp; Cabin Monitoring Products</w:t>
      </w:r>
    </w:p>
    <w:p>
      <w:pPr>
        <w:spacing w:after="0" w:line="108" w:lineRule="exact"/>
        <w:rPr>
          <w:sz w:val="20"/>
          <w:szCs w:val="20"/>
          <w:color w:val="auto"/>
        </w:rPr>
      </w:pPr>
    </w:p>
    <w:tbl>
      <w:tblPr>
        <w:tblLayout w:type="fixed"/>
        <w:tblInd w:w="600" w:type="dxa"/>
        <w:tblCellMar>
          <w:top w:w="0" w:type="dxa"/>
          <w:left w:w="0" w:type="dxa"/>
          <w:bottom w:w="0" w:type="dxa"/>
          <w:right w:w="0" w:type="dxa"/>
        </w:tblCellMar>
      </w:tblPr>
      <w:tr>
        <w:trPr>
          <w:trHeight w:val="283"/>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FFFFFF"/>
                <w:w w:val="88"/>
              </w:rPr>
              <w:t>1.</w:t>
            </w:r>
          </w:p>
        </w:tc>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FFFFFF"/>
              </w:rPr>
              <w:t>Driver Monitoring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FFFF"/>
              </w:rPr>
              <w:t>5.</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FFFFFF"/>
              </w:rPr>
              <w:t>Hands on Wheel</w:t>
            </w:r>
          </w:p>
        </w:tc>
      </w:tr>
      <w:tr>
        <w:trPr>
          <w:trHeight w:val="283"/>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FFFFFF"/>
                <w:w w:val="88"/>
              </w:rPr>
              <w:t>2.</w:t>
            </w:r>
          </w:p>
        </w:tc>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FFFFFF"/>
              </w:rPr>
              <w:t>Body Pose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FFFF"/>
              </w:rPr>
              <w:t>6.</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FFFFFF"/>
              </w:rPr>
              <w:t>Object Left Behind</w:t>
            </w:r>
          </w:p>
        </w:tc>
      </w:tr>
      <w:tr>
        <w:trPr>
          <w:trHeight w:val="240"/>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FFFFFF"/>
                <w:w w:val="88"/>
              </w:rPr>
              <w:t>3.</w:t>
            </w:r>
          </w:p>
        </w:tc>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FFFFFF"/>
              </w:rPr>
              <w:t>Infotainment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FFFF"/>
              </w:rPr>
              <w:t>7.</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FFFFFF"/>
              </w:rPr>
              <w:t>Motion Detection/</w:t>
            </w:r>
          </w:p>
        </w:tc>
      </w:tr>
      <w:tr>
        <w:trPr>
          <w:trHeight w:val="283"/>
        </w:trPr>
        <w:tc>
          <w:tcPr>
            <w:tcW w:w="160" w:type="dxa"/>
            <w:vAlign w:val="bottom"/>
          </w:tcPr>
          <w:p>
            <w:pPr>
              <w:spacing w:after="0"/>
              <w:rPr>
                <w:sz w:val="24"/>
                <w:szCs w:val="24"/>
                <w:color w:val="auto"/>
              </w:rPr>
            </w:pPr>
          </w:p>
        </w:tc>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FFFFFF"/>
              </w:rPr>
              <w:t>Interaction</w:t>
            </w:r>
          </w:p>
        </w:tc>
        <w:tc>
          <w:tcPr>
            <w:tcW w:w="28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FFFFFF"/>
              </w:rPr>
              <w:t>Presence of Life</w:t>
            </w:r>
          </w:p>
        </w:tc>
      </w:tr>
      <w:tr>
        <w:trPr>
          <w:trHeight w:val="30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FFFFFF"/>
                <w:w w:val="88"/>
              </w:rPr>
              <w:t>4.</w:t>
            </w:r>
          </w:p>
        </w:tc>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FFFFFF"/>
              </w:rPr>
              <w:t>Distance from Airbag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FFFF"/>
              </w:rPr>
              <w:t>8.</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FFFFFF"/>
              </w:rPr>
              <w:t>3D Point Cloud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320"/>
        <w:spacing w:after="0" w:line="398" w:lineRule="auto"/>
        <w:rPr>
          <w:sz w:val="20"/>
          <w:szCs w:val="20"/>
          <w:color w:val="auto"/>
        </w:rPr>
      </w:pPr>
      <w:r>
        <w:rPr>
          <w:rFonts w:ascii="Arial" w:cs="Arial" w:eastAsia="Arial" w:hAnsi="Arial"/>
          <w:sz w:val="24"/>
          <w:szCs w:val="24"/>
          <w:b w:val="1"/>
          <w:bCs w:val="1"/>
          <w:color w:val="161616"/>
        </w:rPr>
        <w:t>PARTICULATE AND CHEMICAL SENSING SYSTEMS</w:t>
      </w:r>
    </w:p>
    <w:p>
      <w:pPr>
        <w:spacing w:after="0" w:line="46" w:lineRule="exact"/>
        <w:rPr>
          <w:sz w:val="20"/>
          <w:szCs w:val="20"/>
          <w:color w:val="auto"/>
        </w:rPr>
      </w:pPr>
    </w:p>
    <w:p>
      <w:pPr>
        <w:jc w:val="both"/>
        <w:ind w:right="820"/>
        <w:spacing w:after="0" w:line="370" w:lineRule="auto"/>
        <w:rPr>
          <w:sz w:val="20"/>
          <w:szCs w:val="20"/>
          <w:color w:val="auto"/>
        </w:rPr>
      </w:pPr>
      <w:r>
        <w:rPr>
          <w:rFonts w:ascii="Times New Roman" w:cs="Times New Roman" w:eastAsia="Times New Roman" w:hAnsi="Times New Roman"/>
          <w:sz w:val="17"/>
          <w:szCs w:val="17"/>
          <w:color w:val="161616"/>
        </w:rPr>
        <w:t>For complete cabin monitoring, Gentex also demonstrated our machine olfaction sensors, built from our acquisition of the Vaporsens technology, to provide a digital sense of smell enabling detection of airborne chemicals and particulates.</w:t>
      </w:r>
    </w:p>
    <w:p>
      <w:pPr>
        <w:spacing w:after="0" w:line="1" w:lineRule="exact"/>
        <w:rPr>
          <w:sz w:val="20"/>
          <w:szCs w:val="20"/>
          <w:color w:val="auto"/>
        </w:rPr>
      </w:pPr>
    </w:p>
    <w:p>
      <w:pPr>
        <w:ind w:right="680"/>
        <w:spacing w:after="0" w:line="431" w:lineRule="auto"/>
        <w:rPr>
          <w:sz w:val="20"/>
          <w:szCs w:val="20"/>
          <w:color w:val="auto"/>
        </w:rPr>
      </w:pPr>
      <w:r>
        <w:rPr>
          <w:rFonts w:ascii="Times New Roman" w:cs="Times New Roman" w:eastAsia="Times New Roman" w:hAnsi="Times New Roman"/>
          <w:sz w:val="17"/>
          <w:szCs w:val="17"/>
          <w:color w:val="161616"/>
        </w:rPr>
        <w:t>This machine olfaction system could be utilized to ensure that shared vehicles are kept clean, that passengers are safe, and that vehicles can in a fleet are able to maximize running time.</w:t>
      </w:r>
    </w:p>
    <w:p>
      <w:pPr>
        <w:spacing w:after="0" w:line="200" w:lineRule="exact"/>
        <w:rPr>
          <w:sz w:val="20"/>
          <w:szCs w:val="20"/>
          <w:color w:val="auto"/>
        </w:rPr>
      </w:pPr>
    </w:p>
    <w:p>
      <w:pPr>
        <w:sectPr>
          <w:pgSz w:w="12240" w:h="15840" w:orient="portrait"/>
          <w:cols w:equalWidth="0" w:num="2">
            <w:col w:w="4440" w:space="720"/>
            <w:col w:w="5060"/>
          </w:cols>
          <w:pgMar w:left="1440" w:top="1440" w:right="580" w:bottom="0" w:gutter="0" w:footer="0" w:header="0"/>
        </w:sectPr>
      </w:pPr>
    </w:p>
    <w:p>
      <w:pPr>
        <w:spacing w:after="0" w:line="200" w:lineRule="exact"/>
        <w:rPr>
          <w:sz w:val="20"/>
          <w:szCs w:val="20"/>
          <w:color w:val="auto"/>
        </w:rPr>
      </w:pPr>
    </w:p>
    <w:p>
      <w:pPr>
        <w:spacing w:after="0" w:line="396" w:lineRule="exact"/>
        <w:rPr>
          <w:sz w:val="20"/>
          <w:szCs w:val="20"/>
          <w:color w:val="auto"/>
        </w:rPr>
      </w:pPr>
    </w:p>
    <w:p>
      <w:pPr>
        <w:ind w:left="8500"/>
        <w:spacing w:after="0"/>
        <w:tabs>
          <w:tab w:leader="none" w:pos="10060" w:val="left"/>
        </w:tabs>
        <w:rPr>
          <w:sz w:val="20"/>
          <w:szCs w:val="20"/>
          <w:color w:val="auto"/>
        </w:rPr>
      </w:pPr>
      <w:r>
        <w:rPr>
          <w:rFonts w:ascii="Times New Roman" w:cs="Times New Roman" w:eastAsia="Times New Roman" w:hAnsi="Times New Roman"/>
          <w:sz w:val="8"/>
          <w:szCs w:val="8"/>
          <w:color w:val="161616"/>
        </w:rPr>
        <w:t>2022</w:t>
      </w:r>
      <w:r>
        <w:rPr>
          <w:rFonts w:ascii="Times New Roman" w:cs="Times New Roman" w:eastAsia="Times New Roman" w:hAnsi="Times New Roman"/>
          <w:sz w:val="8"/>
          <w:szCs w:val="8"/>
          <w:color w:val="FFFFFF"/>
        </w:rPr>
        <w:t>2022</w:t>
      </w:r>
      <w:r>
        <w:rPr>
          <w:rFonts w:ascii="Times New Roman" w:cs="Times New Roman" w:eastAsia="Times New Roman" w:hAnsi="Times New Roman"/>
          <w:sz w:val="8"/>
          <w:szCs w:val="8"/>
          <w:color w:val="161616"/>
        </w:rPr>
        <w:t xml:space="preserve"> ANNUAL</w:t>
      </w:r>
      <w:r>
        <w:rPr>
          <w:rFonts w:ascii="Times New Roman" w:cs="Times New Roman" w:eastAsia="Times New Roman" w:hAnsi="Times New Roman"/>
          <w:sz w:val="8"/>
          <w:szCs w:val="8"/>
          <w:color w:val="FFFFFF"/>
        </w:rPr>
        <w:t>ANNUAL</w:t>
      </w:r>
      <w:r>
        <w:rPr>
          <w:rFonts w:ascii="Times New Roman" w:cs="Times New Roman" w:eastAsia="Times New Roman" w:hAnsi="Times New Roman"/>
          <w:sz w:val="8"/>
          <w:szCs w:val="8"/>
          <w:color w:val="161616"/>
        </w:rPr>
        <w:t xml:space="preserve"> REPORT</w:t>
      </w:r>
      <w:r>
        <w:rPr>
          <w:rFonts w:ascii="Times New Roman" w:cs="Times New Roman" w:eastAsia="Times New Roman" w:hAnsi="Times New Roman"/>
          <w:sz w:val="8"/>
          <w:szCs w:val="8"/>
          <w:color w:val="FFFFFF"/>
        </w:rPr>
        <w:t>REPORT</w:t>
      </w:r>
      <w:r>
        <w:rPr>
          <w:sz w:val="20"/>
          <w:szCs w:val="20"/>
          <w:color w:val="auto"/>
        </w:rPr>
        <w:tab/>
      </w:r>
      <w:r>
        <w:rPr>
          <w:rFonts w:ascii="Arial" w:cs="Arial" w:eastAsia="Arial" w:hAnsi="Arial"/>
          <w:sz w:val="6"/>
          <w:szCs w:val="6"/>
          <w:b w:val="1"/>
          <w:bCs w:val="1"/>
          <w:color w:val="161616"/>
        </w:rPr>
        <w:t>17</w:t>
      </w:r>
      <w:r>
        <w:rPr>
          <w:rFonts w:ascii="Arial" w:cs="Arial" w:eastAsia="Arial" w:hAnsi="Arial"/>
          <w:sz w:val="6"/>
          <w:szCs w:val="6"/>
          <w:b w:val="1"/>
          <w:bCs w:val="1"/>
          <w:color w:val="FFFFFF"/>
        </w:rPr>
        <w:t>17</w:t>
      </w:r>
    </w:p>
    <w:p>
      <w:pPr>
        <w:sectPr>
          <w:pgSz w:w="12240" w:h="15840" w:orient="portrait"/>
          <w:cols w:equalWidth="0" w:num="1">
            <w:col w:w="10220"/>
          </w:cols>
          <w:pgMar w:left="1440" w:top="1440" w:right="580" w:bottom="0" w:gutter="0" w:footer="0" w:header="0"/>
          <w:type w:val="continuous"/>
        </w:sectPr>
      </w:pPr>
    </w:p>
    <w:bookmarkStart w:id="17" w:name="page18"/>
    <w:bookmarkEnd w:id="17"/>
    <w:p>
      <w:pPr>
        <w:ind w:left="36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COMMUNITY IN ACTION</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04"/>
          <w:szCs w:val="104"/>
          <w:color w:val="FFFFFF"/>
        </w:rPr>
        <w:t>Removing Barriers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760"/>
        <w:spacing w:after="0"/>
        <w:rPr>
          <w:sz w:val="20"/>
          <w:szCs w:val="20"/>
          <w:color w:val="auto"/>
        </w:rPr>
      </w:pPr>
      <w:r>
        <w:rPr>
          <w:rFonts w:ascii="Arial" w:cs="Arial" w:eastAsia="Arial" w:hAnsi="Arial"/>
          <w:sz w:val="28"/>
          <w:szCs w:val="28"/>
          <w:b w:val="1"/>
          <w:bCs w:val="1"/>
          <w:color w:val="161616"/>
        </w:rPr>
        <w:t>FOR OUR TEAM</w:t>
      </w:r>
    </w:p>
    <w:p>
      <w:pPr>
        <w:spacing w:after="0" w:line="190" w:lineRule="exact"/>
        <w:rPr>
          <w:sz w:val="20"/>
          <w:szCs w:val="20"/>
          <w:color w:val="auto"/>
        </w:rPr>
      </w:pPr>
    </w:p>
    <w:p>
      <w:pPr>
        <w:ind w:left="6760" w:right="20"/>
        <w:spacing w:after="0" w:line="395" w:lineRule="auto"/>
        <w:rPr>
          <w:sz w:val="20"/>
          <w:szCs w:val="20"/>
          <w:color w:val="auto"/>
        </w:rPr>
      </w:pPr>
      <w:r>
        <w:rPr>
          <w:rFonts w:ascii="Times New Roman" w:cs="Times New Roman" w:eastAsia="Times New Roman" w:hAnsi="Times New Roman"/>
          <w:sz w:val="17"/>
          <w:szCs w:val="17"/>
          <w:color w:val="161616"/>
        </w:rPr>
        <w:t>For existing Gentex employees, this meant increasing the base pay for our hourly teams, adding stock based compensation for all of our full-time employees, and kicking off the project for our childcare and preschool facility for first and second shift employees through a partnership with the ODC Network, which is slated to open in 2024.</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680"/>
        <w:spacing w:after="0"/>
        <w:rPr>
          <w:sz w:val="20"/>
          <w:szCs w:val="20"/>
          <w:color w:val="auto"/>
        </w:rPr>
      </w:pPr>
      <w:r>
        <w:rPr>
          <w:rFonts w:ascii="Arial" w:cs="Arial" w:eastAsia="Arial" w:hAnsi="Arial"/>
          <w:sz w:val="16"/>
          <w:szCs w:val="16"/>
          <w:color w:val="808080"/>
        </w:rPr>
        <w:t>Scan for</w:t>
      </w:r>
    </w:p>
    <w:p>
      <w:pPr>
        <w:spacing w:after="0" w:line="16" w:lineRule="exact"/>
        <w:rPr>
          <w:sz w:val="20"/>
          <w:szCs w:val="20"/>
          <w:color w:val="auto"/>
        </w:rPr>
      </w:pPr>
    </w:p>
    <w:p>
      <w:pPr>
        <w:ind w:left="7680"/>
        <w:spacing w:after="0"/>
        <w:rPr>
          <w:sz w:val="20"/>
          <w:szCs w:val="20"/>
          <w:color w:val="auto"/>
        </w:rPr>
      </w:pPr>
      <w:r>
        <w:rPr>
          <w:rFonts w:ascii="Arial" w:cs="Arial" w:eastAsia="Arial" w:hAnsi="Arial"/>
          <w:sz w:val="16"/>
          <w:szCs w:val="16"/>
          <w:color w:val="808080"/>
        </w:rPr>
        <w:t>more Info</w:t>
      </w:r>
    </w:p>
    <w:p>
      <w:pPr>
        <w:spacing w:after="0" w:line="200" w:lineRule="exact"/>
        <w:rPr>
          <w:sz w:val="20"/>
          <w:szCs w:val="20"/>
          <w:color w:val="auto"/>
        </w:rPr>
      </w:pPr>
    </w:p>
    <w:p>
      <w:pPr>
        <w:spacing w:after="0" w:line="332" w:lineRule="exact"/>
        <w:rPr>
          <w:sz w:val="20"/>
          <w:szCs w:val="20"/>
          <w:color w:val="auto"/>
        </w:rPr>
      </w:pPr>
    </w:p>
    <w:p>
      <w:pPr>
        <w:ind w:left="400" w:right="280"/>
        <w:spacing w:after="0" w:line="427" w:lineRule="auto"/>
        <w:rPr>
          <w:sz w:val="20"/>
          <w:szCs w:val="20"/>
          <w:color w:val="auto"/>
        </w:rPr>
      </w:pPr>
      <w:r>
        <w:rPr>
          <w:rFonts w:ascii="Arial" w:cs="Arial" w:eastAsia="Arial" w:hAnsi="Arial"/>
          <w:sz w:val="20"/>
          <w:szCs w:val="20"/>
          <w:color w:val="161616"/>
        </w:rPr>
        <w:t>“The data shows that the absence of childcare is a barrier to workforce participation,” said ODC’s CEO Travis Williams. “Locating childcare centers where employees work is an investment in talent attraction that also supports economic growth and expansion. Additionally, it’s an investment in children, because quality childcare can balance the achievement gap, reduce long-term educational costs, improve health outcomes, and much more.”</w:t>
      </w:r>
    </w:p>
    <w:p>
      <w:pPr>
        <w:spacing w:after="0" w:line="200" w:lineRule="exact"/>
        <w:rPr>
          <w:sz w:val="20"/>
          <w:szCs w:val="20"/>
          <w:color w:val="auto"/>
        </w:rPr>
      </w:pPr>
    </w:p>
    <w:p>
      <w:pPr>
        <w:spacing w:after="0" w:line="205"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161616"/>
        </w:rPr>
        <w:t>FOR OUR COMMUNITY</w:t>
      </w:r>
    </w:p>
    <w:p>
      <w:pPr>
        <w:spacing w:after="0" w:line="190" w:lineRule="exact"/>
        <w:rPr>
          <w:sz w:val="20"/>
          <w:szCs w:val="20"/>
          <w:color w:val="auto"/>
        </w:rPr>
      </w:pPr>
    </w:p>
    <w:p>
      <w:pPr>
        <w:ind w:left="140" w:right="6620"/>
        <w:spacing w:after="0" w:line="370" w:lineRule="auto"/>
        <w:rPr>
          <w:sz w:val="20"/>
          <w:szCs w:val="20"/>
          <w:color w:val="auto"/>
        </w:rPr>
      </w:pPr>
      <w:r>
        <w:rPr>
          <w:rFonts w:ascii="Times New Roman" w:cs="Times New Roman" w:eastAsia="Times New Roman" w:hAnsi="Times New Roman"/>
          <w:sz w:val="18"/>
          <w:szCs w:val="18"/>
          <w:color w:val="161616"/>
        </w:rPr>
        <w:t>For new and potential employees, this meant expanding our manufacturing footprint into new locations like Grand Rapids, Michigan and Shanghai, China. Through this expansion, we hope to boost our employee base and provide greater access to well-paying jobs, by reducing transportation to work barriers.</w:t>
      </w:r>
    </w:p>
    <w:p>
      <w:pPr>
        <w:spacing w:after="0" w:line="369" w:lineRule="exact"/>
        <w:rPr>
          <w:sz w:val="20"/>
          <w:szCs w:val="20"/>
          <w:color w:val="auto"/>
        </w:rPr>
      </w:pPr>
    </w:p>
    <w:p>
      <w:pPr>
        <w:ind w:left="1060"/>
        <w:spacing w:after="0"/>
        <w:rPr>
          <w:sz w:val="20"/>
          <w:szCs w:val="20"/>
          <w:color w:val="auto"/>
        </w:rPr>
      </w:pPr>
      <w:r>
        <w:rPr>
          <w:rFonts w:ascii="Arial" w:cs="Arial" w:eastAsia="Arial" w:hAnsi="Arial"/>
          <w:sz w:val="16"/>
          <w:szCs w:val="16"/>
          <w:color w:val="808080"/>
        </w:rPr>
        <w:t>Scan for</w:t>
      </w:r>
    </w:p>
    <w:p>
      <w:pPr>
        <w:spacing w:after="0" w:line="16" w:lineRule="exact"/>
        <w:rPr>
          <w:sz w:val="20"/>
          <w:szCs w:val="20"/>
          <w:color w:val="auto"/>
        </w:rPr>
      </w:pPr>
    </w:p>
    <w:p>
      <w:pPr>
        <w:ind w:left="1060"/>
        <w:spacing w:after="0"/>
        <w:rPr>
          <w:sz w:val="20"/>
          <w:szCs w:val="20"/>
          <w:color w:val="auto"/>
        </w:rPr>
      </w:pPr>
      <w:r>
        <w:rPr>
          <w:rFonts w:ascii="Arial" w:cs="Arial" w:eastAsia="Arial" w:hAnsi="Arial"/>
          <w:sz w:val="16"/>
          <w:szCs w:val="16"/>
          <w:color w:val="808080"/>
        </w:rPr>
        <w:t>more Info</w:t>
      </w:r>
    </w:p>
    <w:p>
      <w:pPr>
        <w:spacing w:after="0" w:line="200" w:lineRule="exact"/>
        <w:rPr>
          <w:sz w:val="20"/>
          <w:szCs w:val="20"/>
          <w:color w:val="auto"/>
        </w:rPr>
      </w:pPr>
    </w:p>
    <w:p>
      <w:pPr>
        <w:spacing w:after="0" w:line="343" w:lineRule="exact"/>
        <w:rPr>
          <w:sz w:val="20"/>
          <w:szCs w:val="20"/>
          <w:color w:val="auto"/>
        </w:rPr>
      </w:pPr>
    </w:p>
    <w:p>
      <w:pPr>
        <w:jc w:val="both"/>
        <w:ind w:left="360" w:right="500"/>
        <w:spacing w:after="0" w:line="403" w:lineRule="auto"/>
        <w:rPr>
          <w:sz w:val="20"/>
          <w:szCs w:val="20"/>
          <w:color w:val="auto"/>
        </w:rPr>
      </w:pPr>
      <w:r>
        <w:rPr>
          <w:rFonts w:ascii="Arial" w:cs="Arial" w:eastAsia="Arial" w:hAnsi="Arial"/>
          <w:sz w:val="21"/>
          <w:szCs w:val="21"/>
          <w:color w:val="161616"/>
        </w:rPr>
        <w:t>“Rising transportation costs make commuting increasingly difficult, so if Gentex wants to recruit employees from Grand Rapids, we need to be here,” said Gentex President and CEO Steve Downing. “And by locating a satellite plant and creating jobs in a neighborhood near city center, our goal is to strengthen not only Gentex, but also the surrounding community, and we look forward to future opportunities to do so.”</w:t>
      </w:r>
    </w:p>
    <w:p>
      <w:pPr>
        <w:sectPr>
          <w:pgSz w:w="12240" w:h="15840" w:orient="portrait"/>
          <w:cols w:equalWidth="0" w:num="1">
            <w:col w:w="10940"/>
          </w:cols>
          <w:pgMar w:left="580" w:top="454" w:right="720" w:bottom="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161616"/>
        </w:rPr>
        <w:t>18</w:t>
      </w:r>
      <w:r>
        <w:rPr>
          <w:sz w:val="20"/>
          <w:szCs w:val="20"/>
          <w:color w:val="auto"/>
        </w:rPr>
        <w:tab/>
      </w:r>
      <w:r>
        <w:rPr>
          <w:rFonts w:ascii="Times New Roman" w:cs="Times New Roman" w:eastAsia="Times New Roman" w:hAnsi="Times New Roman"/>
          <w:sz w:val="10"/>
          <w:szCs w:val="10"/>
          <w:color w:val="161616"/>
        </w:rPr>
        <w:t>GENTEX CORPORATION</w:t>
      </w:r>
    </w:p>
    <w:p>
      <w:pPr>
        <w:sectPr>
          <w:pgSz w:w="12240" w:h="15840" w:orient="portrait"/>
          <w:cols w:equalWidth="0" w:num="1">
            <w:col w:w="10940"/>
          </w:cols>
          <w:pgMar w:left="580" w:top="454" w:right="720" w:bottom="0" w:gutter="0" w:footer="0" w:header="0"/>
          <w:type w:val="continuous"/>
        </w:sectPr>
      </w:pPr>
    </w:p>
    <w:bookmarkStart w:id="18" w:name="page19"/>
    <w:bookmarkEnd w:id="18"/>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ind w:left="40" w:right="580"/>
        <w:spacing w:after="0" w:line="309" w:lineRule="auto"/>
        <w:rPr>
          <w:sz w:val="20"/>
          <w:szCs w:val="20"/>
          <w:color w:val="auto"/>
        </w:rPr>
      </w:pPr>
      <w:r>
        <w:rPr>
          <w:rFonts w:ascii="Arial" w:cs="Arial" w:eastAsia="Arial" w:hAnsi="Arial"/>
          <w:sz w:val="28"/>
          <w:szCs w:val="28"/>
          <w:color w:val="FFFFFF"/>
        </w:rPr>
        <w:t>Over the past year, Gentex has continued to focus on removing barriers to employment in four key areas within our community.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161616"/>
        </w:rPr>
        <w:t>FOR MORE LANGUAGES</w:t>
      </w:r>
    </w:p>
    <w:p>
      <w:pPr>
        <w:spacing w:after="0" w:line="190" w:lineRule="exact"/>
        <w:rPr>
          <w:sz w:val="20"/>
          <w:szCs w:val="20"/>
          <w:color w:val="auto"/>
        </w:rPr>
      </w:pPr>
    </w:p>
    <w:p>
      <w:pPr>
        <w:ind w:left="40" w:right="6980"/>
        <w:spacing w:after="0" w:line="385" w:lineRule="auto"/>
        <w:rPr>
          <w:sz w:val="20"/>
          <w:szCs w:val="20"/>
          <w:color w:val="auto"/>
        </w:rPr>
      </w:pPr>
      <w:r>
        <w:rPr>
          <w:rFonts w:ascii="Times New Roman" w:cs="Times New Roman" w:eastAsia="Times New Roman" w:hAnsi="Times New Roman"/>
          <w:sz w:val="18"/>
          <w:szCs w:val="18"/>
          <w:color w:val="161616"/>
        </w:rPr>
        <w:t>For our non-native English speaking employees, it meant continuing to expand our Spanish speaking lines and support programs, so that employees can be trained and work safely in their native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60" w:right="780"/>
        <w:spacing w:after="0" w:line="484" w:lineRule="auto"/>
        <w:rPr>
          <w:sz w:val="20"/>
          <w:szCs w:val="20"/>
          <w:color w:val="auto"/>
        </w:rPr>
      </w:pPr>
      <w:r>
        <w:rPr>
          <w:rFonts w:ascii="Arial" w:cs="Arial" w:eastAsia="Arial" w:hAnsi="Arial"/>
          <w:sz w:val="19"/>
          <w:szCs w:val="19"/>
          <w:color w:val="161616"/>
        </w:rPr>
        <w:t>“Gentex is working to be a world-class employer, and this means expanding our language and support programs to attract key talent in the regions where we work and live.” Daniel Quintanilla, Director of Talent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60"/>
        <w:spacing w:after="0"/>
        <w:rPr>
          <w:sz w:val="20"/>
          <w:szCs w:val="20"/>
          <w:color w:val="auto"/>
        </w:rPr>
      </w:pPr>
      <w:r>
        <w:rPr>
          <w:rFonts w:ascii="Arial" w:cs="Arial" w:eastAsia="Arial" w:hAnsi="Arial"/>
          <w:sz w:val="28"/>
          <w:szCs w:val="28"/>
          <w:b w:val="1"/>
          <w:bCs w:val="1"/>
          <w:color w:val="161616"/>
        </w:rPr>
        <w:t>FOR EDUCATION</w:t>
      </w:r>
    </w:p>
    <w:p>
      <w:pPr>
        <w:spacing w:after="0" w:line="190" w:lineRule="exact"/>
        <w:rPr>
          <w:sz w:val="20"/>
          <w:szCs w:val="20"/>
          <w:color w:val="auto"/>
        </w:rPr>
      </w:pPr>
    </w:p>
    <w:p>
      <w:pPr>
        <w:ind w:left="6660" w:right="140"/>
        <w:spacing w:after="0" w:line="390" w:lineRule="auto"/>
        <w:rPr>
          <w:sz w:val="20"/>
          <w:szCs w:val="20"/>
          <w:color w:val="auto"/>
        </w:rPr>
      </w:pPr>
      <w:r>
        <w:rPr>
          <w:rFonts w:ascii="Times New Roman" w:cs="Times New Roman" w:eastAsia="Times New Roman" w:hAnsi="Times New Roman"/>
          <w:sz w:val="17"/>
          <w:szCs w:val="17"/>
          <w:color w:val="161616"/>
        </w:rPr>
        <w:t>And for the children and future work force in our community, this meant investing in literacy and STEM programs, contributing to the Grand Rapids Gold’s Reading Elevate Program, and even setting up a charitable giving foundation. We seek to encourage youth development from early childhood through college and beyond, and continue to support our local schools, colleges and learning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00" w:right="560"/>
        <w:spacing w:after="0" w:line="494" w:lineRule="auto"/>
        <w:rPr>
          <w:sz w:val="20"/>
          <w:szCs w:val="20"/>
          <w:color w:val="auto"/>
        </w:rPr>
      </w:pPr>
      <w:r>
        <w:rPr>
          <w:rFonts w:ascii="Arial" w:cs="Arial" w:eastAsia="Arial" w:hAnsi="Arial"/>
          <w:sz w:val="18"/>
          <w:szCs w:val="18"/>
          <w:color w:val="161616"/>
        </w:rPr>
        <w:t>We’re being very intentional about how we invest in the community.” Said Joe Matthews, Gentex VP of Diversity, Equity and Inclusion. “DEI Programs with literacy and STEM involvement are our primary target right now, and we’re trying to make sure that any students who have interest in those fields know who Gentex is and how we can help them learn and grow.”</w:t>
      </w:r>
    </w:p>
    <w:p>
      <w:pPr>
        <w:spacing w:after="0" w:line="127" w:lineRule="exact"/>
        <w:rPr>
          <w:sz w:val="20"/>
          <w:szCs w:val="20"/>
          <w:color w:val="auto"/>
        </w:rPr>
      </w:pPr>
    </w:p>
    <w:p>
      <w:pPr>
        <w:spacing w:after="0"/>
        <w:rPr>
          <w:sz w:val="20"/>
          <w:szCs w:val="20"/>
          <w:color w:val="auto"/>
        </w:rPr>
      </w:pPr>
      <w:r>
        <w:rPr>
          <w:rFonts w:ascii="Arial" w:cs="Arial" w:eastAsia="Arial" w:hAnsi="Arial"/>
          <w:sz w:val="23"/>
          <w:szCs w:val="23"/>
          <w:b w:val="1"/>
          <w:bCs w:val="1"/>
          <w:color w:val="FFFFFF"/>
        </w:rPr>
        <w:t>SUPPORTING NONPROFIT ORGANIZATIONS WHERE OUR EMPLOYEES LIVE, WORK, &amp; SERVE.</w:t>
      </w:r>
    </w:p>
    <w:p>
      <w:pPr>
        <w:spacing w:after="0" w:line="223" w:lineRule="exact"/>
        <w:rPr>
          <w:sz w:val="20"/>
          <w:szCs w:val="20"/>
          <w:color w:val="auto"/>
        </w:rPr>
      </w:pPr>
    </w:p>
    <w:tbl>
      <w:tblPr>
        <w:tblLayout w:type="fixed"/>
        <w:tblInd w:w="3600" w:type="dxa"/>
        <w:tblCellMar>
          <w:top w:w="0" w:type="dxa"/>
          <w:left w:w="0" w:type="dxa"/>
          <w:bottom w:w="0" w:type="dxa"/>
          <w:right w:w="0" w:type="dxa"/>
        </w:tblCellMar>
      </w:tblPr>
      <w:tr>
        <w:trPr>
          <w:trHeight w:val="379"/>
        </w:trPr>
        <w:tc>
          <w:tcPr>
            <w:tcW w:w="1940" w:type="dxa"/>
            <w:vAlign w:val="bottom"/>
            <w:gridSpan w:val="3"/>
          </w:tcPr>
          <w:p>
            <w:pPr>
              <w:spacing w:after="0"/>
              <w:rPr>
                <w:sz w:val="20"/>
                <w:szCs w:val="20"/>
                <w:color w:val="auto"/>
              </w:rPr>
            </w:pPr>
            <w:r>
              <w:rPr>
                <w:rFonts w:ascii="Arial" w:cs="Arial" w:eastAsia="Arial" w:hAnsi="Arial"/>
                <w:sz w:val="24"/>
                <w:szCs w:val="24"/>
                <w:color w:val="161616"/>
              </w:rPr>
              <w:t>Amanda Clark</w:t>
            </w:r>
          </w:p>
        </w:tc>
        <w:tc>
          <w:tcPr>
            <w:tcW w:w="3340" w:type="dxa"/>
            <w:vAlign w:val="bottom"/>
            <w:shd w:val="clear" w:color="auto" w:fill="808080"/>
          </w:tcPr>
          <w:p>
            <w:pPr>
              <w:spacing w:after="0"/>
              <w:rPr>
                <w:sz w:val="24"/>
                <w:szCs w:val="24"/>
                <w:color w:val="auto"/>
              </w:rPr>
            </w:pPr>
          </w:p>
        </w:tc>
        <w:tc>
          <w:tcPr>
            <w:tcW w:w="1760" w:type="dxa"/>
            <w:vAlign w:val="bottom"/>
            <w:gridSpan w:val="5"/>
          </w:tcPr>
          <w:p>
            <w:pPr>
              <w:ind w:left="240"/>
              <w:spacing w:after="0"/>
              <w:rPr>
                <w:sz w:val="20"/>
                <w:szCs w:val="20"/>
                <w:color w:val="auto"/>
              </w:rPr>
            </w:pPr>
            <w:r>
              <w:rPr>
                <w:rFonts w:ascii="Arial" w:cs="Arial" w:eastAsia="Arial" w:hAnsi="Arial"/>
                <w:sz w:val="24"/>
                <w:szCs w:val="24"/>
                <w:color w:val="161616"/>
              </w:rPr>
              <w:t>Gentex</w:t>
            </w:r>
          </w:p>
        </w:tc>
        <w:tc>
          <w:tcPr>
            <w:tcW w:w="0" w:type="dxa"/>
            <w:vAlign w:val="bottom"/>
          </w:tcPr>
          <w:p>
            <w:pPr>
              <w:spacing w:after="0"/>
              <w:rPr>
                <w:sz w:val="1"/>
                <w:szCs w:val="1"/>
                <w:color w:val="auto"/>
              </w:rPr>
            </w:pPr>
          </w:p>
        </w:tc>
      </w:tr>
      <w:tr>
        <w:trPr>
          <w:trHeight w:val="300"/>
        </w:trPr>
        <w:tc>
          <w:tcPr>
            <w:tcW w:w="1940" w:type="dxa"/>
            <w:vAlign w:val="bottom"/>
            <w:gridSpan w:val="3"/>
          </w:tcPr>
          <w:p>
            <w:pPr>
              <w:spacing w:after="0"/>
              <w:rPr>
                <w:sz w:val="20"/>
                <w:szCs w:val="20"/>
                <w:color w:val="auto"/>
              </w:rPr>
            </w:pPr>
            <w:r>
              <w:rPr>
                <w:rFonts w:ascii="Arial" w:cs="Arial" w:eastAsia="Arial" w:hAnsi="Arial"/>
                <w:sz w:val="24"/>
                <w:szCs w:val="24"/>
                <w:color w:val="161616"/>
              </w:rPr>
              <w:t>Scholarship</w:t>
            </w:r>
          </w:p>
        </w:tc>
        <w:tc>
          <w:tcPr>
            <w:tcW w:w="3340" w:type="dxa"/>
            <w:vAlign w:val="bottom"/>
            <w:shd w:val="clear" w:color="auto" w:fill="808080"/>
          </w:tcPr>
          <w:p>
            <w:pPr>
              <w:spacing w:after="0"/>
              <w:rPr>
                <w:sz w:val="24"/>
                <w:szCs w:val="24"/>
                <w:color w:val="auto"/>
              </w:rPr>
            </w:pPr>
          </w:p>
        </w:tc>
        <w:tc>
          <w:tcPr>
            <w:tcW w:w="1760" w:type="dxa"/>
            <w:vAlign w:val="bottom"/>
            <w:gridSpan w:val="5"/>
          </w:tcPr>
          <w:p>
            <w:pPr>
              <w:ind w:left="240"/>
              <w:spacing w:after="0"/>
              <w:rPr>
                <w:sz w:val="20"/>
                <w:szCs w:val="20"/>
                <w:color w:val="auto"/>
              </w:rPr>
            </w:pPr>
            <w:r>
              <w:rPr>
                <w:rFonts w:ascii="Arial" w:cs="Arial" w:eastAsia="Arial" w:hAnsi="Arial"/>
                <w:sz w:val="24"/>
                <w:szCs w:val="24"/>
                <w:color w:val="161616"/>
              </w:rPr>
              <w:t>Foundation</w:t>
            </w: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vMerge w:val="restart"/>
          </w:tcPr>
          <w:p>
            <w:pPr>
              <w:ind w:left="240"/>
              <w:spacing w:after="0"/>
              <w:rPr>
                <w:sz w:val="20"/>
                <w:szCs w:val="20"/>
                <w:color w:val="auto"/>
              </w:rPr>
            </w:pPr>
            <w:r>
              <w:rPr>
                <w:rFonts w:ascii="Arial" w:cs="Arial" w:eastAsia="Arial" w:hAnsi="Arial"/>
                <w:sz w:val="16"/>
                <w:szCs w:val="16"/>
                <w:color w:val="808080"/>
              </w:rPr>
              <w:t>Scan for</w:t>
            </w:r>
          </w:p>
        </w:tc>
        <w:tc>
          <w:tcPr>
            <w:tcW w:w="3340" w:type="dxa"/>
            <w:vAlign w:val="bottom"/>
            <w:shd w:val="clear" w:color="auto" w:fill="808080"/>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restart"/>
          </w:tcPr>
          <w:p>
            <w:pPr>
              <w:ind w:left="240"/>
              <w:spacing w:after="0"/>
              <w:rPr>
                <w:sz w:val="20"/>
                <w:szCs w:val="20"/>
                <w:color w:val="auto"/>
              </w:rPr>
            </w:pPr>
            <w:r>
              <w:rPr>
                <w:rFonts w:ascii="Arial" w:cs="Arial" w:eastAsia="Arial" w:hAnsi="Arial"/>
                <w:sz w:val="16"/>
                <w:szCs w:val="16"/>
                <w:color w:val="808080"/>
                <w:w w:val="93"/>
              </w:rPr>
              <w:t>Scan for</w:t>
            </w:r>
          </w:p>
        </w:tc>
        <w:tc>
          <w:tcPr>
            <w:tcW w:w="0" w:type="dxa"/>
            <w:vAlign w:val="bottom"/>
          </w:tcPr>
          <w:p>
            <w:pPr>
              <w:spacing w:after="0"/>
              <w:rPr>
                <w:sz w:val="1"/>
                <w:szCs w:val="1"/>
                <w:color w:val="auto"/>
              </w:rPr>
            </w:pPr>
          </w:p>
        </w:tc>
      </w:tr>
      <w:tr>
        <w:trPr>
          <w:trHeight w:val="77"/>
        </w:trPr>
        <w:tc>
          <w:tcPr>
            <w:tcW w:w="1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260" w:type="dxa"/>
            <w:vAlign w:val="bottom"/>
            <w:vMerge w:val="continue"/>
          </w:tcPr>
          <w:p>
            <w:pPr>
              <w:spacing w:after="0"/>
              <w:rPr>
                <w:sz w:val="6"/>
                <w:szCs w:val="6"/>
                <w:color w:val="auto"/>
              </w:rPr>
            </w:pPr>
          </w:p>
        </w:tc>
        <w:tc>
          <w:tcPr>
            <w:tcW w:w="334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2"/>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3340" w:type="dxa"/>
            <w:vAlign w:val="bottom"/>
            <w:shd w:val="clear" w:color="auto" w:fill="808080"/>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vMerge w:val="restart"/>
          </w:tcPr>
          <w:p>
            <w:pPr>
              <w:ind w:left="240"/>
              <w:spacing w:after="0"/>
              <w:rPr>
                <w:sz w:val="20"/>
                <w:szCs w:val="20"/>
                <w:color w:val="auto"/>
              </w:rPr>
            </w:pPr>
            <w:r>
              <w:rPr>
                <w:rFonts w:ascii="Arial" w:cs="Arial" w:eastAsia="Arial" w:hAnsi="Arial"/>
                <w:sz w:val="16"/>
                <w:szCs w:val="16"/>
                <w:color w:val="808080"/>
              </w:rPr>
              <w:t>more Info</w:t>
            </w:r>
          </w:p>
        </w:tc>
        <w:tc>
          <w:tcPr>
            <w:tcW w:w="3340" w:type="dxa"/>
            <w:vAlign w:val="bottom"/>
            <w:tcBorders>
              <w:bottom w:val="single" w:sz="8" w:color="808080"/>
            </w:tcBorders>
            <w:shd w:val="clear" w:color="auto" w:fill="808080"/>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ind w:left="240"/>
              <w:spacing w:after="0"/>
              <w:rPr>
                <w:sz w:val="20"/>
                <w:szCs w:val="20"/>
                <w:color w:val="auto"/>
              </w:rPr>
            </w:pPr>
            <w:r>
              <w:rPr>
                <w:rFonts w:ascii="Arial" w:cs="Arial" w:eastAsia="Arial" w:hAnsi="Arial"/>
                <w:sz w:val="16"/>
                <w:szCs w:val="16"/>
                <w:color w:val="808080"/>
                <w:w w:val="82"/>
              </w:rPr>
              <w:t>more Info</w:t>
            </w:r>
          </w:p>
        </w:tc>
        <w:tc>
          <w:tcPr>
            <w:tcW w:w="0" w:type="dxa"/>
            <w:vAlign w:val="bottom"/>
          </w:tcPr>
          <w:p>
            <w:pPr>
              <w:spacing w:after="0"/>
              <w:rPr>
                <w:sz w:val="1"/>
                <w:szCs w:val="1"/>
                <w:color w:val="auto"/>
              </w:rPr>
            </w:pPr>
          </w:p>
        </w:tc>
      </w:tr>
      <w:tr>
        <w:trPr>
          <w:trHeight w:val="35"/>
        </w:trPr>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3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980"/>
          </w:cols>
          <w:pgMar w:left="680" w:top="1440" w:right="580" w:bottom="0" w:gutter="0" w:footer="0" w:header="0"/>
        </w:sectPr>
      </w:pPr>
    </w:p>
    <w:p>
      <w:pPr>
        <w:spacing w:after="0" w:line="245" w:lineRule="exact"/>
        <w:rPr>
          <w:sz w:val="20"/>
          <w:szCs w:val="20"/>
          <w:color w:val="auto"/>
        </w:rPr>
      </w:pPr>
    </w:p>
    <w:p>
      <w:pPr>
        <w:ind w:left="9260"/>
        <w:spacing w:after="0"/>
        <w:tabs>
          <w:tab w:leader="none" w:pos="10820" w:val="left"/>
        </w:tabs>
        <w:rPr>
          <w:sz w:val="20"/>
          <w:szCs w:val="20"/>
          <w:color w:val="auto"/>
        </w:rPr>
      </w:pPr>
      <w:r>
        <w:rPr>
          <w:rFonts w:ascii="Times New Roman" w:cs="Times New Roman" w:eastAsia="Times New Roman" w:hAnsi="Times New Roman"/>
          <w:sz w:val="10"/>
          <w:szCs w:val="10"/>
          <w:color w:val="161616"/>
        </w:rPr>
        <w:t>2022 ANNUAL REPORT</w:t>
      </w:r>
      <w:r>
        <w:rPr>
          <w:sz w:val="20"/>
          <w:szCs w:val="20"/>
          <w:color w:val="auto"/>
        </w:rPr>
        <w:tab/>
      </w:r>
      <w:r>
        <w:rPr>
          <w:rFonts w:ascii="Arial" w:cs="Arial" w:eastAsia="Arial" w:hAnsi="Arial"/>
          <w:sz w:val="12"/>
          <w:szCs w:val="12"/>
          <w:b w:val="1"/>
          <w:bCs w:val="1"/>
          <w:color w:val="161616"/>
        </w:rPr>
        <w:t>19</w:t>
      </w:r>
    </w:p>
    <w:p>
      <w:pPr>
        <w:sectPr>
          <w:pgSz w:w="12240" w:h="15840" w:orient="portrait"/>
          <w:cols w:equalWidth="0" w:num="1">
            <w:col w:w="10980"/>
          </w:cols>
          <w:pgMar w:left="680" w:top="1440" w:right="580" w:bottom="0" w:gutter="0" w:footer="0" w:header="0"/>
          <w:type w:val="continuous"/>
        </w:sectPr>
      </w:pPr>
    </w:p>
    <w:bookmarkStart w:id="19" w:name="page20"/>
    <w:bookmarkEnd w:id="19"/>
    <w:p>
      <w:pPr>
        <w:ind w:left="36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SUSTAINABILITY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40"/>
        <w:spacing w:after="0"/>
        <w:rPr>
          <w:sz w:val="20"/>
          <w:szCs w:val="20"/>
          <w:color w:val="auto"/>
        </w:rPr>
      </w:pPr>
      <w:r>
        <w:rPr>
          <w:rFonts w:ascii="Arial" w:cs="Arial" w:eastAsia="Arial" w:hAnsi="Arial"/>
          <w:sz w:val="80"/>
          <w:szCs w:val="80"/>
          <w:color w:val="FFFFFF"/>
        </w:rPr>
        <w:t>Building Potential</w:t>
      </w:r>
    </w:p>
    <w:p>
      <w:pPr>
        <w:spacing w:after="0" w:line="287" w:lineRule="exact"/>
        <w:rPr>
          <w:sz w:val="20"/>
          <w:szCs w:val="20"/>
          <w:color w:val="auto"/>
        </w:rPr>
      </w:pPr>
    </w:p>
    <w:p>
      <w:pPr>
        <w:ind w:left="140" w:right="940"/>
        <w:spacing w:after="0" w:line="297" w:lineRule="auto"/>
        <w:rPr>
          <w:sz w:val="20"/>
          <w:szCs w:val="20"/>
          <w:color w:val="auto"/>
        </w:rPr>
      </w:pPr>
      <w:r>
        <w:rPr>
          <w:rFonts w:ascii="Arial" w:cs="Arial" w:eastAsia="Arial" w:hAnsi="Arial"/>
          <w:sz w:val="46"/>
          <w:szCs w:val="46"/>
          <w:color w:val="FFFFFF"/>
        </w:rPr>
        <w:t>Throughout 2022, Gentex continued to focus on improving our manufacturing eﬃciency, performance, and the reliability of our products.</w:t>
      </w:r>
    </w:p>
    <w:p>
      <w:pPr>
        <w:sectPr>
          <w:pgSz w:w="12240" w:h="15840" w:orient="portrait"/>
          <w:cols w:equalWidth="0" w:num="1">
            <w:col w:w="10840"/>
          </w:cols>
          <w:pgMar w:left="580" w:top="454" w:right="820" w:bottom="0" w:gutter="0" w:footer="0" w:header="0"/>
        </w:sectPr>
      </w:pPr>
    </w:p>
    <w:p>
      <w:pPr>
        <w:spacing w:after="0" w:line="247" w:lineRule="exact"/>
        <w:rPr>
          <w:sz w:val="20"/>
          <w:szCs w:val="20"/>
          <w:color w:val="auto"/>
        </w:rPr>
      </w:pPr>
    </w:p>
    <w:p>
      <w:pPr>
        <w:ind w:left="140" w:right="260"/>
        <w:spacing w:after="0" w:line="370" w:lineRule="auto"/>
        <w:rPr>
          <w:sz w:val="20"/>
          <w:szCs w:val="20"/>
          <w:color w:val="auto"/>
        </w:rPr>
      </w:pPr>
      <w:r>
        <w:rPr>
          <w:rFonts w:ascii="Times New Roman" w:cs="Times New Roman" w:eastAsia="Times New Roman" w:hAnsi="Times New Roman"/>
          <w:sz w:val="17"/>
          <w:szCs w:val="17"/>
          <w:b w:val="1"/>
          <w:bCs w:val="1"/>
          <w:color w:val="FFFFFF"/>
        </w:rPr>
        <w:t>To track our performance and give our investors consistent metrics, we update our sustainability report each year and publish it on our website at gentex.com/about/sustainability/ and on our investor site</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FFFFFF"/>
        </w:rPr>
        <w:t>at ir.gentex.com/financials-and-filings/annual-reports-and-proxy-</w:t>
      </w:r>
    </w:p>
    <w:p>
      <w:pPr>
        <w:spacing w:after="0" w:line="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FFFFFF"/>
        </w:rPr>
        <w:t>statements. As more investors focus on ESG performance, we have</w:t>
      </w:r>
    </w:p>
    <w:p>
      <w:pPr>
        <w:spacing w:after="0" w:line="93" w:lineRule="exact"/>
        <w:rPr>
          <w:sz w:val="20"/>
          <w:szCs w:val="20"/>
          <w:color w:val="auto"/>
        </w:rPr>
      </w:pPr>
    </w:p>
    <w:p>
      <w:pPr>
        <w:ind w:left="140" w:right="220"/>
        <w:spacing w:after="0" w:line="401" w:lineRule="auto"/>
        <w:rPr>
          <w:sz w:val="20"/>
          <w:szCs w:val="20"/>
          <w:color w:val="auto"/>
        </w:rPr>
      </w:pPr>
      <w:r>
        <w:rPr>
          <w:rFonts w:ascii="Times New Roman" w:cs="Times New Roman" w:eastAsia="Times New Roman" w:hAnsi="Times New Roman"/>
          <w:sz w:val="18"/>
          <w:szCs w:val="18"/>
          <w:b w:val="1"/>
          <w:bCs w:val="1"/>
          <w:color w:val="FFFFFF"/>
        </w:rPr>
        <w:t>continued to add additional supplemental metrics, disclosures, and performance measures in our reporting and will incorporate these data sets into our future sustainability reports.</w:t>
      </w:r>
    </w:p>
    <w:p>
      <w:pPr>
        <w:spacing w:after="0" w:line="39" w:lineRule="exact"/>
        <w:rPr>
          <w:sz w:val="20"/>
          <w:szCs w:val="20"/>
          <w:color w:val="auto"/>
        </w:rPr>
      </w:pPr>
    </w:p>
    <w:p>
      <w:pPr>
        <w:ind w:left="140"/>
        <w:spacing w:after="0" w:line="430" w:lineRule="auto"/>
        <w:rPr>
          <w:sz w:val="20"/>
          <w:szCs w:val="20"/>
          <w:color w:val="auto"/>
        </w:rPr>
      </w:pPr>
      <w:r>
        <w:rPr>
          <w:rFonts w:ascii="Times New Roman" w:cs="Times New Roman" w:eastAsia="Times New Roman" w:hAnsi="Times New Roman"/>
          <w:sz w:val="16"/>
          <w:szCs w:val="16"/>
          <w:b w:val="1"/>
          <w:bCs w:val="1"/>
          <w:color w:val="FFFFFF"/>
        </w:rPr>
        <w:t>Our targets and performance include feedback from our employees, the communities we live and work in, and shareholder feedback. As there are multiple ESG measurement standards, we do not adhere to a single ESG disclosure platform, and instead welcome our investors’ feedback on what metrics and goals they are focused on, and will work to align those goals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375" w:lineRule="auto"/>
        <w:rPr>
          <w:sz w:val="20"/>
          <w:szCs w:val="20"/>
          <w:color w:val="auto"/>
        </w:rPr>
      </w:pPr>
      <w:r>
        <w:rPr>
          <w:rFonts w:ascii="Times New Roman" w:cs="Times New Roman" w:eastAsia="Times New Roman" w:hAnsi="Times New Roman"/>
          <w:sz w:val="18"/>
          <w:szCs w:val="18"/>
          <w:b w:val="1"/>
          <w:bCs w:val="1"/>
          <w:color w:val="FFFFFF"/>
        </w:rPr>
        <w:t>where possible. Our commitment to sustainable initiatives and standards extends to our supply base. In 2023, we are increasing our engagement with our supply chain so we can begin to report on additional metrics in an effort to have our environmental, social and governance standards make a greater impact.</w:t>
      </w:r>
    </w:p>
    <w:p>
      <w:pPr>
        <w:spacing w:after="0" w:line="63" w:lineRule="exact"/>
        <w:rPr>
          <w:sz w:val="20"/>
          <w:szCs w:val="20"/>
          <w:color w:val="auto"/>
        </w:rPr>
      </w:pPr>
    </w:p>
    <w:p>
      <w:pPr>
        <w:ind w:right="220"/>
        <w:spacing w:after="0" w:line="403" w:lineRule="auto"/>
        <w:rPr>
          <w:sz w:val="20"/>
          <w:szCs w:val="20"/>
          <w:color w:val="auto"/>
        </w:rPr>
      </w:pPr>
      <w:r>
        <w:rPr>
          <w:rFonts w:ascii="Times New Roman" w:cs="Times New Roman" w:eastAsia="Times New Roman" w:hAnsi="Times New Roman"/>
          <w:sz w:val="18"/>
          <w:szCs w:val="18"/>
          <w:b w:val="1"/>
          <w:bCs w:val="1"/>
          <w:color w:val="FFFFFF"/>
        </w:rPr>
        <w:t>As in prior years, our approach to sustainability continues to focus on making decisions that result in meaningful change that positively supports our stakeholders.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FFFF"/>
        </w:rPr>
        <w:t>Scott Ryan</w:t>
      </w:r>
    </w:p>
    <w:p>
      <w:pPr>
        <w:spacing w:after="0" w:line="264" w:lineRule="exact"/>
        <w:rPr>
          <w:sz w:val="20"/>
          <w:szCs w:val="20"/>
          <w:color w:val="auto"/>
        </w:rPr>
      </w:pPr>
    </w:p>
    <w:p>
      <w:pPr>
        <w:ind w:right="1680"/>
        <w:spacing w:after="0" w:line="491" w:lineRule="auto"/>
        <w:rPr>
          <w:sz w:val="20"/>
          <w:szCs w:val="20"/>
          <w:color w:val="auto"/>
        </w:rPr>
      </w:pPr>
      <w:r>
        <w:rPr>
          <w:rFonts w:ascii="Arial" w:cs="Arial" w:eastAsia="Arial" w:hAnsi="Arial"/>
          <w:sz w:val="17"/>
          <w:szCs w:val="17"/>
          <w:i w:val="1"/>
          <w:iCs w:val="1"/>
          <w:color w:val="FFFFFF"/>
        </w:rPr>
        <w:t>Vice President, General Counsel, Corporate Secretary, &amp; Sustainability Officer</w:t>
      </w:r>
    </w:p>
    <w:p>
      <w:pPr>
        <w:spacing w:after="0" w:line="200" w:lineRule="exact"/>
        <w:rPr>
          <w:sz w:val="20"/>
          <w:szCs w:val="20"/>
          <w:color w:val="auto"/>
        </w:rPr>
      </w:pPr>
    </w:p>
    <w:p>
      <w:pPr>
        <w:sectPr>
          <w:pgSz w:w="12240" w:h="15840" w:orient="portrait"/>
          <w:cols w:equalWidth="0" w:num="2">
            <w:col w:w="5340" w:space="320"/>
            <w:col w:w="5180"/>
          </w:cols>
          <w:pgMar w:left="580" w:top="454" w:right="8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20" w:right="2080"/>
        <w:spacing w:after="0" w:line="406" w:lineRule="auto"/>
        <w:rPr>
          <w:sz w:val="20"/>
          <w:szCs w:val="20"/>
          <w:color w:val="auto"/>
        </w:rPr>
      </w:pPr>
      <w:r>
        <w:rPr>
          <w:rFonts w:ascii="Arial" w:cs="Arial" w:eastAsia="Arial" w:hAnsi="Arial"/>
          <w:sz w:val="17"/>
          <w:szCs w:val="17"/>
          <w:color w:val="FFFFFF"/>
        </w:rPr>
        <w:t>Read our Code of Business Conduct and Ethics</w:t>
      </w:r>
    </w:p>
    <w:p>
      <w:pPr>
        <w:ind w:left="6620"/>
        <w:spacing w:after="0" w:line="223" w:lineRule="auto"/>
        <w:rPr>
          <w:sz w:val="20"/>
          <w:szCs w:val="20"/>
          <w:color w:val="auto"/>
        </w:rPr>
      </w:pPr>
      <w:r>
        <w:rPr>
          <w:rFonts w:ascii="Arial" w:cs="Arial" w:eastAsia="Arial" w:hAnsi="Arial"/>
          <w:sz w:val="16"/>
          <w:szCs w:val="16"/>
          <w:color w:val="FFFFFF"/>
        </w:rPr>
        <w:t>Scan for more Info</w:t>
      </w:r>
    </w:p>
    <w:p>
      <w:pPr>
        <w:sectPr>
          <w:pgSz w:w="12240" w:h="15840" w:orient="portrait"/>
          <w:cols w:equalWidth="0" w:num="1">
            <w:col w:w="10840"/>
          </w:cols>
          <w:pgMar w:left="580" w:top="454" w:right="820" w:bottom="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161616"/>
        </w:rPr>
        <w:t>20</w:t>
      </w:r>
      <w:r>
        <w:rPr>
          <w:rFonts w:ascii="Arial" w:cs="Arial" w:eastAsia="Arial" w:hAnsi="Arial"/>
          <w:sz w:val="24"/>
          <w:szCs w:val="24"/>
          <w:b w:val="1"/>
          <w:bCs w:val="1"/>
          <w:color w:val="FFFFFF"/>
        </w:rPr>
        <w:t>20</w:t>
      </w:r>
      <w:r>
        <w:rPr>
          <w:sz w:val="20"/>
          <w:szCs w:val="20"/>
          <w:color w:val="auto"/>
        </w:rPr>
        <w:tab/>
      </w:r>
      <w:r>
        <w:rPr>
          <w:rFonts w:ascii="Times New Roman" w:cs="Times New Roman" w:eastAsia="Times New Roman" w:hAnsi="Times New Roman"/>
          <w:sz w:val="6"/>
          <w:szCs w:val="6"/>
          <w:color w:val="161616"/>
        </w:rPr>
        <w:t>GENTEX</w:t>
      </w:r>
      <w:r>
        <w:rPr>
          <w:rFonts w:ascii="Times New Roman" w:cs="Times New Roman" w:eastAsia="Times New Roman" w:hAnsi="Times New Roman"/>
          <w:sz w:val="6"/>
          <w:szCs w:val="6"/>
          <w:color w:val="FFFFFF"/>
        </w:rPr>
        <w:t>GENTEX</w:t>
      </w:r>
      <w:r>
        <w:rPr>
          <w:rFonts w:ascii="Times New Roman" w:cs="Times New Roman" w:eastAsia="Times New Roman" w:hAnsi="Times New Roman"/>
          <w:sz w:val="6"/>
          <w:szCs w:val="6"/>
          <w:color w:val="161616"/>
        </w:rPr>
        <w:t xml:space="preserve"> CORPORATION</w:t>
      </w:r>
      <w:r>
        <w:rPr>
          <w:rFonts w:ascii="Times New Roman" w:cs="Times New Roman" w:eastAsia="Times New Roman" w:hAnsi="Times New Roman"/>
          <w:sz w:val="6"/>
          <w:szCs w:val="6"/>
          <w:color w:val="FFFFFF"/>
        </w:rPr>
        <w:t>CORPORATION</w:t>
      </w:r>
    </w:p>
    <w:p>
      <w:pPr>
        <w:sectPr>
          <w:pgSz w:w="12240" w:h="15840" w:orient="portrait"/>
          <w:cols w:equalWidth="0" w:num="1">
            <w:col w:w="10840"/>
          </w:cols>
          <w:pgMar w:left="580" w:top="454" w:right="820" w:bottom="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sz w:val="1"/>
          <w:szCs w:val="1"/>
          <w:color w:val="auto"/>
        </w:rPr>
        <w:drawing>
          <wp:inline distT="0" distB="0" distL="0" distR="0">
            <wp:extent cx="516255" cy="51625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6255" cy="516255"/>
                    </a:xfrm>
                    <a:prstGeom prst="rect">
                      <a:avLst/>
                    </a:prstGeom>
                    <a:noFill/>
                    <a:ln>
                      <a:noFill/>
                    </a:ln>
                  </pic:spPr>
                </pic:pic>
              </a:graphicData>
            </a:graphic>
          </wp:inline>
        </w:drawing>
        <w:drawing>
          <wp:inline distT="0" distB="0" distL="0" distR="0">
            <wp:extent cx="17145" cy="1714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 cy="17145"/>
                    </a:xfrm>
                    <a:prstGeom prst="rect">
                      <a:avLst/>
                    </a:prstGeom>
                    <a:noFill/>
                    <a:ln>
                      <a:noFill/>
                    </a:ln>
                  </pic:spPr>
                </pic:pic>
              </a:graphicData>
            </a:graphic>
          </wp:inline>
        </w:drawing>
      </w:r>
      <w:r>
        <w:rPr>
          <w:rFonts w:ascii="Arial" w:cs="Arial" w:eastAsia="Arial" w:hAnsi="Arial"/>
          <w:sz w:val="45"/>
          <w:szCs w:val="45"/>
          <w:color w:val="161616"/>
        </w:rPr>
        <w:t xml:space="preserve"> Read our latest sustainability report </w:t>
      </w:r>
      <w:r>
        <w:rPr>
          <w:sz w:val="1"/>
          <w:szCs w:val="1"/>
          <w:color w:val="auto"/>
        </w:rPr>
        <w:drawing>
          <wp:inline distT="0" distB="0" distL="0" distR="0">
            <wp:extent cx="429895" cy="4064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9895" cy="406400"/>
                    </a:xfrm>
                    <a:prstGeom prst="rect">
                      <a:avLst/>
                    </a:prstGeom>
                    <a:noFill/>
                    <a:ln>
                      <a:noFill/>
                    </a:ln>
                  </pic:spPr>
                </pic:pic>
              </a:graphicData>
            </a:graphic>
          </wp:inline>
        </w:drawing>
      </w:r>
    </w:p>
    <w:p>
      <w:pPr>
        <w:sectPr>
          <w:pgSz w:w="12240" w:h="15840" w:orient="portrait"/>
          <w:cols w:equalWidth="0" w:num="1">
            <w:col w:w="10840"/>
          </w:cols>
          <w:pgMar w:left="820" w:top="1440" w:right="580" w:bottom="0" w:gutter="0" w:footer="0" w:header="0"/>
        </w:sectPr>
      </w:pPr>
    </w:p>
    <w:p>
      <w:pPr>
        <w:spacing w:after="0" w:line="200" w:lineRule="exact"/>
        <w:rPr>
          <w:sz w:val="20"/>
          <w:szCs w:val="20"/>
          <w:color w:val="auto"/>
        </w:rPr>
      </w:pPr>
    </w:p>
    <w:p>
      <w:pPr>
        <w:spacing w:after="0" w:line="386" w:lineRule="exact"/>
        <w:rPr>
          <w:sz w:val="20"/>
          <w:szCs w:val="20"/>
          <w:color w:val="auto"/>
        </w:rPr>
      </w:pPr>
    </w:p>
    <w:p>
      <w:pPr>
        <w:ind w:left="9120"/>
        <w:spacing w:after="0"/>
        <w:tabs>
          <w:tab w:leader="none" w:pos="10680" w:val="left"/>
        </w:tabs>
        <w:rPr>
          <w:sz w:val="20"/>
          <w:szCs w:val="20"/>
          <w:color w:val="auto"/>
        </w:rPr>
      </w:pPr>
      <w:r>
        <w:rPr>
          <w:rFonts w:ascii="Times New Roman" w:cs="Times New Roman" w:eastAsia="Times New Roman" w:hAnsi="Times New Roman"/>
          <w:sz w:val="10"/>
          <w:szCs w:val="10"/>
          <w:color w:val="FFFFFF"/>
        </w:rPr>
        <w:t>2022 ANNUAL REPORT</w:t>
      </w:r>
      <w:r>
        <w:rPr>
          <w:sz w:val="20"/>
          <w:szCs w:val="20"/>
          <w:color w:val="auto"/>
        </w:rPr>
        <w:tab/>
      </w:r>
      <w:r>
        <w:rPr>
          <w:rFonts w:ascii="Arial" w:cs="Arial" w:eastAsia="Arial" w:hAnsi="Arial"/>
          <w:sz w:val="12"/>
          <w:szCs w:val="12"/>
          <w:b w:val="1"/>
          <w:bCs w:val="1"/>
          <w:color w:val="FFFFFF"/>
        </w:rPr>
        <w:t>21</w:t>
      </w:r>
    </w:p>
    <w:p>
      <w:pPr>
        <w:sectPr>
          <w:pgSz w:w="12240" w:h="15840" w:orient="portrait"/>
          <w:cols w:equalWidth="0" w:num="1">
            <w:col w:w="10840"/>
          </w:cols>
          <w:pgMar w:left="820" w:top="1440" w:right="580" w:bottom="0" w:gutter="0" w:footer="0" w:header="0"/>
          <w:type w:val="continuous"/>
        </w:sectPr>
      </w:pPr>
    </w:p>
    <w:bookmarkStart w:id="21" w:name="page22"/>
    <w:bookmarkEnd w:id="21"/>
    <w:p>
      <w:pPr>
        <w:spacing w:after="0" w:line="224"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571500</wp:posOffset>
                </wp:positionV>
                <wp:extent cx="480060" cy="91440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 cy="914400"/>
                        </a:xfrm>
                        <a:prstGeom prst="rect">
                          <a:avLst/>
                        </a:prstGeom>
                        <a:solidFill>
                          <a:srgbClr val="555555"/>
                        </a:solidFill>
                      </wps:spPr>
                      <wps:bodyPr/>
                    </wps:wsp>
                  </a:graphicData>
                </a:graphic>
              </wp:anchor>
            </w:drawing>
          </mc:Choice>
          <mc:Fallback>
            <w:pict>
              <v:rect id="Shape 29" o:spid="_x0000_s1054" style="position:absolute;margin-left:0pt;margin-top:45pt;width:37.8pt;height:7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55555" stroked="f">
                <w10:wrap anchorx="page" anchory="page"/>
              </v:rect>
            </w:pict>
          </mc:Fallback>
        </mc:AlternateContent>
      </w:r>
    </w:p>
    <w:tbl>
      <w:tblPr>
        <w:tblLayout w:type="fixed"/>
        <w:tblInd w:w="0" w:type="dxa"/>
        <w:tblCellMar>
          <w:top w:w="0" w:type="dxa"/>
          <w:left w:w="0" w:type="dxa"/>
          <w:bottom w:w="0" w:type="dxa"/>
          <w:right w:w="0" w:type="dxa"/>
        </w:tblCellMar>
      </w:tblPr>
      <w:tr>
        <w:trPr>
          <w:trHeight w:val="1160"/>
        </w:trPr>
        <w:tc>
          <w:tcPr>
            <w:tcW w:w="230" w:type="dxa"/>
            <w:vAlign w:val="bottom"/>
            <w:textDirection w:val="btLr"/>
          </w:tcPr>
          <w:p>
            <w:pPr>
              <w:spacing w:after="0"/>
              <w:rPr>
                <w:sz w:val="20"/>
                <w:szCs w:val="20"/>
                <w:color w:val="auto"/>
              </w:rPr>
            </w:pPr>
            <w:r>
              <w:rPr>
                <w:rFonts w:ascii="Arial" w:cs="Arial" w:eastAsia="Arial" w:hAnsi="Arial"/>
                <w:sz w:val="20"/>
                <w:szCs w:val="20"/>
                <w:color w:val="FFFFFF"/>
              </w:rPr>
              <w:t>10-K PART I</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2"/>
          <w:szCs w:val="32"/>
          <w:color w:val="838383"/>
        </w:rPr>
        <w:t xml:space="preserve">Item 1. </w:t>
      </w:r>
      <w:r>
        <w:rPr>
          <w:rFonts w:ascii="Arial" w:cs="Arial" w:eastAsia="Arial" w:hAnsi="Arial"/>
          <w:sz w:val="32"/>
          <w:szCs w:val="32"/>
          <w:color w:val="262626"/>
        </w:rPr>
        <w:t>Business.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838383"/>
        </w:rPr>
        <w:t>G E N E R A L  D E V E L O P M E N T  O F  B U S I N E S 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Gentex Corporation (the “Company”) was incorporated as a Michigan corporation in 1974. The Company designs, develops, manufactures,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markets, and supplies digital vision, connected car, dimmable glass, and fire protection products, including: automatic-dimming rearview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and non-dimming mirrors and electronics for the automotive industry; dimmable aircraft windows for the aviation industry; and commercial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smoke alarms and signaling devices for the fire protection industry. The Company’s largest business segment involves designing, developing,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manufacturing and marketing interior and exterior automatic-dimming automotive rearview mirrors that utilize proprietary electrochromic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technology to dim in proportion to the amount of headlight glare from trailing vehicle headlamps. Within this business segment, the Company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62626"/>
        </w:rPr>
        <w:t>also designs, develops and manufactures various electronics that are value added features to the interior and exterior automotive rearview mirrors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62626"/>
        </w:rPr>
        <w:t>as well as electronics for interior visors, overhead consoles, and other locations in the vehicle. The Company ships its products to all of the major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automotive producing regions worldwide, which it supports with numerous sales, engineering and distribution locations worldwide.</w:t>
      </w:r>
    </w:p>
    <w:p>
      <w:pPr>
        <w:spacing w:after="0" w:line="229" w:lineRule="exact"/>
        <w:rPr>
          <w:sz w:val="20"/>
          <w:szCs w:val="20"/>
          <w:color w:val="auto"/>
        </w:rPr>
      </w:pPr>
    </w:p>
    <w:p>
      <w:pPr>
        <w:spacing w:after="0" w:line="336" w:lineRule="auto"/>
        <w:rPr>
          <w:sz w:val="20"/>
          <w:szCs w:val="20"/>
          <w:color w:val="auto"/>
        </w:rPr>
      </w:pPr>
      <w:r>
        <w:rPr>
          <w:rFonts w:ascii="Times New Roman" w:cs="Times New Roman" w:eastAsia="Times New Roman" w:hAnsi="Times New Roman"/>
          <w:sz w:val="18"/>
          <w:szCs w:val="18"/>
          <w:color w:val="262626"/>
        </w:rPr>
        <w:t>At its inception, the Company manufactured smoke detectors, a product line that has since evolved to include a variety of fire protection products. In the early 1980’s, the Company introduced an interior electromechanical automatic-dimming rearview mirror as an alternative to the manual day/night rearview mirrors for automotive applications. In the late 1980’s, the Company introduced an interior electrochromic automatic-dimming rearview mirror for automotive applications. In the early 1990’s, the Company introduced an exterior electrochromic automatic-dimming rearview mirror for automotive applications. In the late 1990’s, the Company began making volume shipments of three new exterior mirror sub-assembly products: thin glass flat; convex; and aspheric. In 2005, the Company began making volume shipments of its bezel-free exterior automatic dimming mirror. In 2010 the Company began delivering electrochromic dimmable aircraft windows for the aviation industry. In 2013, the Company acquired HomeLink®, a wireless vehicle/home communications product that enables drivers to remotely activate garage door openers, entry door locks, home lighting, security systems, entry gates and other radio frequency convenience products for automotive applications, wherein the Company had previously been a licensee of HomeLink® and had been, since 2003, integrating HomeLink® into its interior automatic-dimming rearview mirrors.</w:t>
      </w:r>
    </w:p>
    <w:p>
      <w:pPr>
        <w:spacing w:after="0" w:line="73" w:lineRule="exact"/>
        <w:rPr>
          <w:sz w:val="20"/>
          <w:szCs w:val="20"/>
          <w:color w:val="auto"/>
        </w:rPr>
      </w:pPr>
    </w:p>
    <w:p>
      <w:pPr>
        <w:ind w:right="80"/>
        <w:spacing w:after="0" w:line="388" w:lineRule="auto"/>
        <w:rPr>
          <w:sz w:val="20"/>
          <w:szCs w:val="20"/>
          <w:color w:val="auto"/>
        </w:rPr>
      </w:pPr>
      <w:r>
        <w:rPr>
          <w:rFonts w:ascii="Times New Roman" w:cs="Times New Roman" w:eastAsia="Times New Roman" w:hAnsi="Times New Roman"/>
          <w:sz w:val="17"/>
          <w:szCs w:val="17"/>
          <w:color w:val="262626"/>
        </w:rPr>
        <w:t>In 2015, the Company began making shipments of the Full Display Mirror® (“FDM®”), which is an on-demand, mirror-borne LCD display that streams live, panoramic video of the vehicle’s rearward view in order to improve driver rear vision. Also in 2015, the Company introduced the integration of toll module technology into the vehicle in a first-to-market application referred to as Integrated Toll Module® or “ITM®”. The interior mirror is an optimal location for a vehicle-integrated toll transponder and it eliminates the need to affix multiple toll tags to the windshield.</w:t>
      </w:r>
    </w:p>
    <w:p>
      <w:pPr>
        <w:spacing w:after="0" w:line="36" w:lineRule="exact"/>
        <w:rPr>
          <w:sz w:val="20"/>
          <w:szCs w:val="20"/>
          <w:color w:val="auto"/>
        </w:rPr>
      </w:pPr>
    </w:p>
    <w:p>
      <w:pPr>
        <w:ind w:right="180"/>
        <w:spacing w:after="0" w:line="334" w:lineRule="auto"/>
        <w:rPr>
          <w:sz w:val="20"/>
          <w:szCs w:val="20"/>
          <w:color w:val="auto"/>
        </w:rPr>
      </w:pPr>
      <w:r>
        <w:rPr>
          <w:rFonts w:ascii="Times New Roman" w:cs="Times New Roman" w:eastAsia="Times New Roman" w:hAnsi="Times New Roman"/>
          <w:sz w:val="18"/>
          <w:szCs w:val="18"/>
          <w:color w:val="262626"/>
        </w:rPr>
        <w:t>In 2017, the Company announced an agreement entered into during the ordinary course of business with VOXX International Corporation to become the exclusive aftermarket distributor of the Gentex Aftermarket Full Display Mirror® in North America. The Company has also displayed a new three-camera rear vision system that streams rear video – in multiple composite views – to a rearview-mirror-integrated display. Further, the Company has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many of its other electronic features, including HomeLink® and HomeLink Connect® or the ITM®. The biometric system allows for added security and convenience for multiple drivers by adding an additional factor of authentication for increased security, when a driver (or passenger) enters a vehicle. The Company announced in January 2018 that it entered into an exclusive licensing agreement, in the ordinary course of business, with Fingerprint Cards AB to deploy its ActiveIRIS® iris-scanning biometric technology in automotive applications.</w:t>
      </w:r>
    </w:p>
    <w:p>
      <w:pPr>
        <w:spacing w:after="0" w:line="76" w:lineRule="exact"/>
        <w:rPr>
          <w:sz w:val="20"/>
          <w:szCs w:val="20"/>
          <w:color w:val="auto"/>
        </w:rPr>
      </w:pPr>
    </w:p>
    <w:p>
      <w:pPr>
        <w:ind w:right="80"/>
        <w:spacing w:after="0" w:line="363" w:lineRule="auto"/>
        <w:rPr>
          <w:sz w:val="20"/>
          <w:szCs w:val="20"/>
          <w:color w:val="auto"/>
        </w:rPr>
      </w:pPr>
      <w:r>
        <w:rPr>
          <w:rFonts w:ascii="Times New Roman" w:cs="Times New Roman" w:eastAsia="Times New Roman" w:hAnsi="Times New Roman"/>
          <w:sz w:val="18"/>
          <w:szCs w:val="18"/>
          <w:color w:val="262626"/>
        </w:rPr>
        <w:t>In January 2019, the Company announced that it would be offering, as optional content, its latest generation of variable dimmable windows on the Boeing 777X aircraft. During the third quarter of 2019, the first production shipments of variably dimmable windows were made to Boeing for the 777X program. In January 2020, the Company announced that Airbus will also be offering the Company’s dimmable aircraft windows on its aircraft, with production having begun in 2021.</w:t>
      </w:r>
    </w:p>
    <w:p>
      <w:pPr>
        <w:spacing w:after="0" w:line="200" w:lineRule="exact"/>
        <w:rPr>
          <w:sz w:val="20"/>
          <w:szCs w:val="20"/>
          <w:color w:val="auto"/>
        </w:rPr>
      </w:pPr>
    </w:p>
    <w:p>
      <w:pPr>
        <w:sectPr>
          <w:pgSz w:w="12240" w:h="15840" w:orient="portrait"/>
          <w:cols w:equalWidth="0" w:num="2">
            <w:col w:w="230" w:space="382"/>
            <w:col w:w="10440"/>
          </w:cols>
          <w:pgMar w:left="288" w:top="836" w:right="900" w:bottom="0" w:gutter="0" w:footer="0" w:header="0"/>
        </w:sectPr>
      </w:pPr>
    </w:p>
    <w:p>
      <w:pPr>
        <w:spacing w:after="0" w:line="200" w:lineRule="exact"/>
        <w:rPr>
          <w:sz w:val="20"/>
          <w:szCs w:val="20"/>
          <w:color w:val="auto"/>
        </w:rPr>
      </w:pPr>
    </w:p>
    <w:p>
      <w:pPr>
        <w:spacing w:after="0" w:line="335" w:lineRule="exact"/>
        <w:rPr>
          <w:sz w:val="20"/>
          <w:szCs w:val="20"/>
          <w:color w:val="auto"/>
        </w:rPr>
      </w:pPr>
    </w:p>
    <w:p>
      <w:pPr>
        <w:ind w:left="292"/>
        <w:spacing w:after="0"/>
        <w:tabs>
          <w:tab w:leader="none" w:pos="691" w:val="left"/>
        </w:tabs>
        <w:rPr>
          <w:sz w:val="20"/>
          <w:szCs w:val="20"/>
          <w:color w:val="auto"/>
        </w:rPr>
      </w:pPr>
      <w:r>
        <w:rPr>
          <w:rFonts w:ascii="Arial" w:cs="Arial" w:eastAsia="Arial" w:hAnsi="Arial"/>
          <w:sz w:val="24"/>
          <w:szCs w:val="24"/>
          <w:b w:val="1"/>
          <w:bCs w:val="1"/>
          <w:color w:val="262626"/>
        </w:rPr>
        <w:t>22</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1052"/>
          </w:cols>
          <w:pgMar w:left="288" w:top="836" w:right="900" w:bottom="0" w:gutter="0" w:footer="0" w:header="0"/>
          <w:type w:val="continuous"/>
        </w:sectPr>
      </w:pPr>
    </w:p>
    <w:bookmarkStart w:id="22" w:name="page23"/>
    <w:bookmarkEnd w:id="22"/>
    <w:p>
      <w:pPr>
        <w:ind w:right="320"/>
        <w:spacing w:after="0" w:line="343" w:lineRule="auto"/>
        <w:rPr>
          <w:sz w:val="20"/>
          <w:szCs w:val="20"/>
          <w:color w:val="auto"/>
        </w:rPr>
      </w:pPr>
      <w:r>
        <w:rPr>
          <w:rFonts w:ascii="Times New Roman" w:cs="Times New Roman" w:eastAsia="Times New Roman" w:hAnsi="Times New Roman"/>
          <w:sz w:val="18"/>
          <w:szCs w:val="18"/>
          <w:color w:val="262626"/>
        </w:rPr>
        <w:t>In January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18-month period of collaboration between Company engineers and Mayo Clinic surgeons, scientists, and operating room staff. The teams researched, designed, and rapidly iterated multiple prototypes in order to develop unique features that address major gaps in current surgical lighting solutions. In 2023, the Company will continue to work on the intelligent medical lighting system in order to assess system performance and work toward obtaining any necessary approvals.</w:t>
      </w:r>
    </w:p>
    <w:p>
      <w:pPr>
        <w:spacing w:after="0" w:line="70" w:lineRule="exact"/>
        <w:rPr>
          <w:sz w:val="20"/>
          <w:szCs w:val="20"/>
          <w:color w:val="auto"/>
        </w:rPr>
      </w:pPr>
    </w:p>
    <w:p>
      <w:pPr>
        <w:ind w:right="340"/>
        <w:spacing w:after="0" w:line="340" w:lineRule="auto"/>
        <w:rPr>
          <w:sz w:val="20"/>
          <w:szCs w:val="20"/>
          <w:color w:val="auto"/>
        </w:rPr>
      </w:pPr>
      <w:r>
        <w:rPr>
          <w:rFonts w:ascii="Times New Roman" w:cs="Times New Roman" w:eastAsia="Times New Roman" w:hAnsi="Times New Roman"/>
          <w:sz w:val="18"/>
          <w:szCs w:val="18"/>
          <w:color w:val="262626"/>
        </w:rPr>
        <w:t>In April 2020, the Company, in the ordinary course of business, acquired Vaporsens, Inc. (“Vaporsens”), which specializes in nanofiber chemical sensing research and development. This new nanofiber technology can detect a wide variety of chemicals, including explosives, drugs, volatile organic compounds (“VOCs”), toxic industrial chemicals, amines, and more. The core of Vaporsens’ chemical sensor technology is a net of nanofibers approximately one thousand times smaller in size than human hair. Their porous structure allows them to absorb targeted molecules from sampled gas and identify them via changes in their electrical resistance. The technology allows for the rapid detection of target chemicals with high sensitivity in the parts per billion and parts per trillion ranges. The Vaporsens technology has a wide variety of use cases in various markets and industries, with potential applications for automotive, aerospace, agriculture, chemical manufacturing, military and first responders, worker safety, food and beverage processing, and medical.</w:t>
      </w:r>
    </w:p>
    <w:p>
      <w:pPr>
        <w:spacing w:after="0" w:line="75" w:lineRule="exact"/>
        <w:rPr>
          <w:sz w:val="20"/>
          <w:szCs w:val="20"/>
          <w:color w:val="auto"/>
        </w:rPr>
      </w:pPr>
    </w:p>
    <w:p>
      <w:pPr>
        <w:ind w:right="500"/>
        <w:spacing w:after="0" w:line="362" w:lineRule="auto"/>
        <w:rPr>
          <w:sz w:val="20"/>
          <w:szCs w:val="20"/>
          <w:color w:val="auto"/>
        </w:rPr>
      </w:pPr>
      <w:r>
        <w:rPr>
          <w:rFonts w:ascii="Times New Roman" w:cs="Times New Roman" w:eastAsia="Times New Roman" w:hAnsi="Times New Roman"/>
          <w:sz w:val="18"/>
          <w:szCs w:val="18"/>
          <w:color w:val="262626"/>
        </w:rPr>
        <w:t>In November 2020, the Company announced a partnership, in the ordinary course of business, with PayByCar™, to pursue compatibility between the Company’s ITM® and PayByCar’s innovative payment solution that allows drivers to use their smart phones and toll transponder to fuel up at certain gas stations without using cash or a credit card. Compatibility between these two technologies can help to grow each company’s respective consumer base while introducing new users to the benefits of the transactional vehicle.</w:t>
      </w:r>
    </w:p>
    <w:p>
      <w:pPr>
        <w:spacing w:after="0" w:line="52" w:lineRule="exact"/>
        <w:rPr>
          <w:sz w:val="20"/>
          <w:szCs w:val="20"/>
          <w:color w:val="auto"/>
        </w:rPr>
      </w:pPr>
    </w:p>
    <w:p>
      <w:pPr>
        <w:ind w:right="380"/>
        <w:spacing w:after="0" w:line="339" w:lineRule="auto"/>
        <w:rPr>
          <w:sz w:val="20"/>
          <w:szCs w:val="20"/>
          <w:color w:val="auto"/>
        </w:rPr>
      </w:pPr>
      <w:r>
        <w:rPr>
          <w:rFonts w:ascii="Times New Roman" w:cs="Times New Roman" w:eastAsia="Times New Roman" w:hAnsi="Times New Roman"/>
          <w:sz w:val="18"/>
          <w:szCs w:val="18"/>
          <w:color w:val="262626"/>
        </w:rPr>
        <w:t>In January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 the automotive industry’s leading car-to-home automation system. HomeLink® consists of vehicle-integrated buttons that can be programmed to operate a myriad of home automation devices. Integration of Simplenight into the Company’s HomeLink Connect® app is underway. The HomeLink Connect® allows users to program their HomeLink® buttons and control cloud-based devices from their vehicles.</w:t>
      </w:r>
    </w:p>
    <w:p>
      <w:pPr>
        <w:spacing w:after="0" w:line="69" w:lineRule="exact"/>
        <w:rPr>
          <w:sz w:val="20"/>
          <w:szCs w:val="20"/>
          <w:color w:val="auto"/>
        </w:rPr>
      </w:pPr>
    </w:p>
    <w:p>
      <w:pPr>
        <w:ind w:right="460"/>
        <w:spacing w:after="0" w:line="366" w:lineRule="auto"/>
        <w:rPr>
          <w:sz w:val="20"/>
          <w:szCs w:val="20"/>
          <w:color w:val="auto"/>
        </w:rPr>
      </w:pPr>
      <w:r>
        <w:rPr>
          <w:rFonts w:ascii="Times New Roman" w:cs="Times New Roman" w:eastAsia="Times New Roman" w:hAnsi="Times New Roman"/>
          <w:sz w:val="17"/>
          <w:szCs w:val="17"/>
          <w:color w:val="262626"/>
        </w:rPr>
        <w:t>In September 2021, the Company announced the acquisition of Guardian Optical Technologies (“Guardian”), an Israeli startup that pioneered a unique, multi-modal sensor technology designed to provide a comprehensive suite of driver- and cabin-monitoring solutions for the automotive industry. The core of Guardian’s technology is an infrared-sensitive, high-resolution camera that combines machine vision, depth perception, and micro-vibration detection. This proprietary sensor configuration allows the system to not only monitor the driver, but also the entire vehicle cabin, including objects and other occupants, even assessing the occupant’s behaviors, gestures, and activities. The system continuously scans, tracks and determines the physical location of every vehicle occupant and object, even without a direct line of sight, by combining two-dimensional video image recognition with 3D depth mapping and optical motion analysis. It is able to detect even slight movements, including heartbeats.</w:t>
      </w:r>
    </w:p>
    <w:p>
      <w:pPr>
        <w:spacing w:after="0" w:line="54" w:lineRule="exact"/>
        <w:rPr>
          <w:sz w:val="20"/>
          <w:szCs w:val="20"/>
          <w:color w:val="auto"/>
        </w:rPr>
      </w:pPr>
    </w:p>
    <w:p>
      <w:pPr>
        <w:ind w:right="460"/>
        <w:spacing w:after="0" w:line="389" w:lineRule="auto"/>
        <w:rPr>
          <w:sz w:val="20"/>
          <w:szCs w:val="20"/>
          <w:color w:val="auto"/>
        </w:rPr>
      </w:pPr>
      <w:r>
        <w:rPr>
          <w:rFonts w:ascii="Times New Roman" w:cs="Times New Roman" w:eastAsia="Times New Roman" w:hAnsi="Times New Roman"/>
          <w:sz w:val="17"/>
          <w:szCs w:val="17"/>
          <w:color w:val="262626"/>
        </w:rPr>
        <w:t>In January 2022, the Company announced a partnership, in the ordinary course of business, with eSight, a leading provider of vision enhancement technology, to develop and manufacture the next generation of mobile electronic eyewear designed to help people living with visual impairments. The Company plans to utilize its expertise in digital vision, software development and industrial design to help eSight develop the next generation of eyewear, with a focus on reducing device size, enhancing its form factor, and optimizing overall system performance.</w:t>
      </w:r>
    </w:p>
    <w:p>
      <w:pPr>
        <w:spacing w:after="0" w:line="33" w:lineRule="exact"/>
        <w:rPr>
          <w:sz w:val="20"/>
          <w:szCs w:val="20"/>
          <w:color w:val="auto"/>
        </w:rPr>
      </w:pPr>
    </w:p>
    <w:p>
      <w:pPr>
        <w:ind w:right="600"/>
        <w:spacing w:after="0" w:line="382" w:lineRule="auto"/>
        <w:rPr>
          <w:sz w:val="20"/>
          <w:szCs w:val="20"/>
          <w:color w:val="auto"/>
        </w:rPr>
      </w:pPr>
      <w:r>
        <w:rPr>
          <w:rFonts w:ascii="Times New Roman" w:cs="Times New Roman" w:eastAsia="Times New Roman" w:hAnsi="Times New Roman"/>
          <w:sz w:val="18"/>
          <w:szCs w:val="18"/>
          <w:color w:val="262626"/>
        </w:rPr>
        <w:t>In 2022, the Company obtained an approximate 20% equity share in GreenMarbles in the ordinary course of business. GreenMarbles is a leading provider of sustainable solutions for integration into properties. The Company plans to utilize this relationship to promote the HomeLink Connect® App with property developers and contractors.</w:t>
      </w:r>
    </w:p>
    <w:p>
      <w:pPr>
        <w:spacing w:after="0" w:line="32" w:lineRule="exact"/>
        <w:rPr>
          <w:sz w:val="20"/>
          <w:szCs w:val="20"/>
          <w:color w:val="auto"/>
        </w:rPr>
      </w:pPr>
    </w:p>
    <w:p>
      <w:pPr>
        <w:ind w:right="1180"/>
        <w:spacing w:after="0" w:line="437" w:lineRule="auto"/>
        <w:rPr>
          <w:sz w:val="20"/>
          <w:szCs w:val="20"/>
          <w:color w:val="auto"/>
        </w:rPr>
      </w:pPr>
      <w:r>
        <w:rPr>
          <w:rFonts w:ascii="Times New Roman" w:cs="Times New Roman" w:eastAsia="Times New Roman" w:hAnsi="Times New Roman"/>
          <w:sz w:val="18"/>
          <w:szCs w:val="18"/>
          <w:color w:val="262626"/>
        </w:rPr>
        <w:t>Automotive revenues represent approximately 97% of the Company’s total revenue in 2022, mostly consisting of interior and exterior electrochromic automatic-dimming rearview mirrors and automotive electronics.</w:t>
      </w: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23</w:t>
      </w:r>
    </w:p>
    <w:p>
      <w:pPr>
        <w:sectPr>
          <w:pgSz w:w="12240" w:h="15840" w:orient="portrait"/>
          <w:cols w:equalWidth="0" w:num="1">
            <w:col w:w="10760"/>
          </w:cols>
          <w:pgMar w:left="900" w:top="852" w:right="580" w:bottom="0" w:gutter="0" w:footer="0" w:header="0"/>
          <w:type w:val="continuous"/>
        </w:sectPr>
      </w:pPr>
    </w:p>
    <w:bookmarkStart w:id="23" w:name="page24"/>
    <w:bookmarkEnd w:id="23"/>
    <w:p>
      <w:pPr>
        <w:ind w:left="320"/>
        <w:spacing w:after="0"/>
        <w:rPr>
          <w:sz w:val="20"/>
          <w:szCs w:val="20"/>
          <w:color w:val="auto"/>
        </w:rPr>
      </w:pPr>
      <w:r>
        <w:rPr>
          <w:rFonts w:ascii="Arial" w:cs="Arial" w:eastAsia="Arial" w:hAnsi="Arial"/>
          <w:sz w:val="18"/>
          <w:szCs w:val="18"/>
          <w:b w:val="1"/>
          <w:bCs w:val="1"/>
          <w:color w:val="838383"/>
        </w:rPr>
        <w:t>D E S C R I P T I O N  O F  B U S I N E S S</w:t>
      </w:r>
    </w:p>
    <w:p>
      <w:pPr>
        <w:spacing w:after="0" w:line="176" w:lineRule="exact"/>
        <w:rPr>
          <w:sz w:val="20"/>
          <w:szCs w:val="20"/>
          <w:color w:val="auto"/>
        </w:rPr>
      </w:pPr>
    </w:p>
    <w:p>
      <w:pPr>
        <w:ind w:left="320"/>
        <w:spacing w:after="0" w:line="381" w:lineRule="auto"/>
        <w:rPr>
          <w:sz w:val="20"/>
          <w:szCs w:val="20"/>
          <w:color w:val="auto"/>
        </w:rPr>
      </w:pPr>
      <w:r>
        <w:rPr>
          <w:rFonts w:ascii="Times New Roman" w:cs="Times New Roman" w:eastAsia="Times New Roman" w:hAnsi="Times New Roman"/>
          <w:sz w:val="18"/>
          <w:szCs w:val="18"/>
          <w:color w:val="262626"/>
        </w:rPr>
        <w:t>The Company designs, develops, manufactures, markets, and supplies digital vision, connected car, dimmable glass, and fire protection products, including: automatic-dimming and non-automatic-dimming rearview mirrors and electronics for the automotive industry; dimmable aircraft windows for the aviation industry; and commercial smoke alarms and signaling devices for the fire protection industry.</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Automotive Products</w:t>
      </w:r>
    </w:p>
    <w:p>
      <w:pPr>
        <w:spacing w:after="0" w:line="189" w:lineRule="exact"/>
        <w:rPr>
          <w:sz w:val="20"/>
          <w:szCs w:val="20"/>
          <w:color w:val="auto"/>
        </w:rPr>
      </w:pPr>
    </w:p>
    <w:p>
      <w:pPr>
        <w:ind w:left="320" w:right="240"/>
        <w:spacing w:after="0" w:line="343" w:lineRule="auto"/>
        <w:rPr>
          <w:sz w:val="20"/>
          <w:szCs w:val="20"/>
          <w:color w:val="auto"/>
        </w:rPr>
      </w:pPr>
      <w:r>
        <w:rPr>
          <w:rFonts w:ascii="Arial" w:cs="Arial" w:eastAsia="Arial" w:hAnsi="Arial"/>
          <w:sz w:val="17"/>
          <w:szCs w:val="17"/>
          <w:b w:val="1"/>
          <w:bCs w:val="1"/>
          <w:color w:val="858585"/>
        </w:rPr>
        <w:t xml:space="preserve">AUTOMOTIVE REARVIEW MIRRORS AND ELECTRONICS. </w:t>
      </w:r>
      <w:r>
        <w:rPr>
          <w:rFonts w:ascii="Times New Roman" w:cs="Times New Roman" w:eastAsia="Times New Roman" w:hAnsi="Times New Roman"/>
          <w:sz w:val="18"/>
          <w:szCs w:val="18"/>
          <w:color w:val="262626"/>
        </w:rPr>
        <w:t>Automotive applications are the largest business segment for the Company, mostly</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consisting of interior and exterior electrochromic automatic-dimming rearview mirrors and automotive electronics. The Company manufactures interior electrochromic automatic-dimming rearview mirrors that darken to reduce glare and improve visibility for the driver. These electronic interior mirrors can also include additional electronic features such as compass, microphones, HomeLink®, interior driver and cabin monitoring systems, lighting assist and driver assist forward safety camera systems, various lighting systems, various telematics systems, ITM® systems, and a wide variety of displays, including the Full Display Mirror® product. The Company also ships interior non-automatic-dimming rearview mirrors with and without features.</w:t>
      </w:r>
    </w:p>
    <w:p>
      <w:pPr>
        <w:spacing w:after="0" w:line="70" w:lineRule="exact"/>
        <w:rPr>
          <w:sz w:val="20"/>
          <w:szCs w:val="20"/>
          <w:color w:val="auto"/>
        </w:rPr>
      </w:pPr>
    </w:p>
    <w:p>
      <w:pPr>
        <w:ind w:left="320" w:right="20"/>
        <w:spacing w:after="0" w:line="353" w:lineRule="auto"/>
        <w:rPr>
          <w:sz w:val="20"/>
          <w:szCs w:val="20"/>
          <w:color w:val="auto"/>
        </w:rPr>
      </w:pPr>
      <w:r>
        <w:rPr>
          <w:rFonts w:ascii="Times New Roman" w:cs="Times New Roman" w:eastAsia="Times New Roman" w:hAnsi="Times New Roman"/>
          <w:sz w:val="18"/>
          <w:szCs w:val="18"/>
          <w:color w:val="262626"/>
        </w:rPr>
        <w:t>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can also include additional features such as turn signal indicators, side blind zone indicators, and courtesy lighting. The Company also ships exterior non-automatic-dimming rearview mirrors with similar electronic features available in its automatic-dimming applications.</w:t>
      </w:r>
    </w:p>
    <w:p>
      <w:pPr>
        <w:spacing w:after="0" w:line="58" w:lineRule="exact"/>
        <w:rPr>
          <w:sz w:val="20"/>
          <w:szCs w:val="20"/>
          <w:color w:val="auto"/>
        </w:rPr>
      </w:pPr>
    </w:p>
    <w:p>
      <w:pPr>
        <w:ind w:left="320" w:right="140"/>
        <w:spacing w:after="0" w:line="362" w:lineRule="auto"/>
        <w:rPr>
          <w:sz w:val="20"/>
          <w:szCs w:val="20"/>
          <w:color w:val="auto"/>
        </w:rPr>
      </w:pPr>
      <w:r>
        <w:rPr>
          <w:rFonts w:ascii="Times New Roman" w:cs="Times New Roman" w:eastAsia="Times New Roman" w:hAnsi="Times New Roman"/>
          <w:sz w:val="18"/>
          <w:szCs w:val="18"/>
          <w:color w:val="262626"/>
        </w:rPr>
        <w:t>The Company manufactures other automotive electronics products through HomeLink® applications in the vehicle including the rearview mirror, interior visor, overhead console, or center console. Certain of the Company’s newer features can be located either in the rearview mirror or other locations in the vehicle. Additionally, as the Company expands its Full Display Mirror® product and the ITM® system, rearward facing video cameras and integrated toll transponders are being produced and sold.</w:t>
      </w:r>
    </w:p>
    <w:p>
      <w:pPr>
        <w:spacing w:after="0" w:line="52" w:lineRule="exact"/>
        <w:rPr>
          <w:sz w:val="20"/>
          <w:szCs w:val="20"/>
          <w:color w:val="auto"/>
        </w:rPr>
      </w:pPr>
    </w:p>
    <w:p>
      <w:pPr>
        <w:ind w:left="320" w:right="20"/>
        <w:spacing w:after="0" w:line="381" w:lineRule="auto"/>
        <w:rPr>
          <w:sz w:val="20"/>
          <w:szCs w:val="20"/>
          <w:color w:val="auto"/>
        </w:rPr>
      </w:pPr>
      <w:r>
        <w:rPr>
          <w:rFonts w:ascii="Times New Roman" w:cs="Times New Roman" w:eastAsia="Times New Roman" w:hAnsi="Times New Roman"/>
          <w:sz w:val="18"/>
          <w:szCs w:val="18"/>
          <w:color w:val="262626"/>
        </w:rPr>
        <w:t>The Company produces rearview mirrors and electronics globally for automotive passenger cars, light trucks, pickup trucks, sport utility vehicles, and vans for OEMs, automotive suppliers, and various aftermarket and accessory customers. Automotive rearview mirrors and electronics accounted for 97% of the Company’s consolidated net sales in 2022.</w:t>
      </w:r>
    </w:p>
    <w:p>
      <w:pPr>
        <w:spacing w:after="0" w:line="34" w:lineRule="exact"/>
        <w:rPr>
          <w:sz w:val="20"/>
          <w:szCs w:val="20"/>
          <w:color w:val="auto"/>
        </w:rPr>
      </w:pPr>
    </w:p>
    <w:p>
      <w:pPr>
        <w:ind w:left="320" w:right="80"/>
        <w:spacing w:after="0" w:line="353" w:lineRule="auto"/>
        <w:rPr>
          <w:sz w:val="20"/>
          <w:szCs w:val="20"/>
          <w:color w:val="auto"/>
        </w:rPr>
      </w:pPr>
      <w:r>
        <w:rPr>
          <w:rFonts w:ascii="Times New Roman" w:cs="Times New Roman" w:eastAsia="Times New Roman" w:hAnsi="Times New Roman"/>
          <w:sz w:val="18"/>
          <w:szCs w:val="18"/>
          <w:color w:val="262626"/>
        </w:rPr>
        <w:t>The Company is the leading manufacturer of electrochromic automatic-dimming rearview mirrors in the world, and is the largest supplier to the automotive industry. Competitors for automotive rearview mirrors include Magna International, Tokai Rika Company, SMR Automotive, Aolian, Intertech, Kingband, BYD Auto Company, Sincode, Yanfeng Visteon, Xiamen Intertech, Guangdong Yuanfeng, Chongqing Yimei, Murakami, Ultronix, Aizhuo, Alpine Electronics, Inc., Licon, MirrorTech, Ambilight, and others in the Chinese automotive aftermarket. The Company also supplies electrochromic automatic-dimming rearview mirrors to certain of these rearview mirror competitors.</w:t>
      </w:r>
    </w:p>
    <w:p>
      <w:pPr>
        <w:spacing w:after="0" w:line="54" w:lineRule="exact"/>
        <w:rPr>
          <w:sz w:val="20"/>
          <w:szCs w:val="20"/>
          <w:color w:val="auto"/>
        </w:rPr>
      </w:pPr>
    </w:p>
    <w:p>
      <w:pPr>
        <w:ind w:left="320"/>
        <w:spacing w:after="0" w:line="357" w:lineRule="auto"/>
        <w:rPr>
          <w:sz w:val="20"/>
          <w:szCs w:val="20"/>
          <w:color w:val="auto"/>
        </w:rPr>
      </w:pPr>
      <w:r>
        <w:rPr>
          <w:rFonts w:ascii="Arial" w:cs="Arial" w:eastAsia="Arial" w:hAnsi="Arial"/>
          <w:sz w:val="16"/>
          <w:szCs w:val="16"/>
          <w:b w:val="1"/>
          <w:bCs w:val="1"/>
          <w:color w:val="858585"/>
        </w:rPr>
        <w:t xml:space="preserve">AUTOMOTIVE REARVIEW MIRRORS AND ELECTRONICS PRODUCT DEVELOPMENT. </w:t>
      </w:r>
      <w:r>
        <w:rPr>
          <w:rFonts w:ascii="Times New Roman" w:cs="Times New Roman" w:eastAsia="Times New Roman" w:hAnsi="Times New Roman"/>
          <w:sz w:val="17"/>
          <w:szCs w:val="17"/>
          <w:color w:val="262626"/>
        </w:rPr>
        <w:t>The Company continually seeks to develop new products</w:t>
      </w:r>
      <w:r>
        <w:rPr>
          <w:rFonts w:ascii="Arial" w:cs="Arial" w:eastAsia="Arial" w:hAnsi="Arial"/>
          <w:sz w:val="16"/>
          <w:szCs w:val="16"/>
          <w:b w:val="1"/>
          <w:bCs w:val="1"/>
          <w:color w:val="858585"/>
        </w:rPr>
        <w:t xml:space="preserve"> </w:t>
      </w:r>
      <w:r>
        <w:rPr>
          <w:rFonts w:ascii="Times New Roman" w:cs="Times New Roman" w:eastAsia="Times New Roman" w:hAnsi="Times New Roman"/>
          <w:sz w:val="17"/>
          <w:szCs w:val="17"/>
          <w:color w:val="262626"/>
        </w:rPr>
        <w:t>and is currently working to introduce additional advanced-feature automatic-dimming mirrors. Advanced-feature automatic-dimming mirrors currently being offered by the Company include one or more of the following features: SmartBeam®, HomeLink®, HomeLink Connect®, frameless mirror designs, LED map lamps, compass displays, telematics, ITM® systems, hands free communication, Rear Camera Display (“RCD”) interior mirrors, FDM® interior mirrors, digital video recording solutions, exterior turn signals, side blind zone indicators and various other exterior mirror features that improve safety and field of view. Advanced features currently in development include: biometric authentication systems, hybrid and fully digital camera monitoring systems (“CMS”), driver and cabin monitoring systems, cabin sensing systems, touch screen displays for mirrors, and digital enhancements to displays to improve driver safety, among other things. Other automotive products currently in development include large area dimmable devices, which include sunroof and moon roof applications, driver and passenger windows, interior sun-visors and other window surfaces in vehicles, among others. The Company is also in development of small-scale dimmable devices that darken to improve contrast and legibility for transparent displays, concealment of sensors, and to dynamically adjust camera exposure.</w:t>
      </w:r>
    </w:p>
    <w:p>
      <w:pPr>
        <w:spacing w:after="0" w:line="59" w:lineRule="exact"/>
        <w:rPr>
          <w:sz w:val="20"/>
          <w:szCs w:val="20"/>
          <w:color w:val="auto"/>
        </w:rPr>
      </w:pPr>
    </w:p>
    <w:p>
      <w:pPr>
        <w:ind w:left="320" w:right="160"/>
        <w:spacing w:after="0" w:line="353" w:lineRule="auto"/>
        <w:rPr>
          <w:sz w:val="20"/>
          <w:szCs w:val="20"/>
          <w:color w:val="auto"/>
        </w:rPr>
      </w:pPr>
      <w:r>
        <w:rPr>
          <w:rFonts w:ascii="Arial" w:cs="Arial" w:eastAsia="Arial" w:hAnsi="Arial"/>
          <w:sz w:val="17"/>
          <w:szCs w:val="17"/>
          <w:b w:val="1"/>
          <w:bCs w:val="1"/>
          <w:color w:val="858585"/>
        </w:rPr>
        <w:t xml:space="preserve">AUTOMOTIVE REARVIEW MIRRORS AND ELECTRONICS MARKETS AND MARKETING. </w:t>
      </w:r>
      <w:r>
        <w:rPr>
          <w:rFonts w:ascii="Times New Roman" w:cs="Times New Roman" w:eastAsia="Times New Roman" w:hAnsi="Times New Roman"/>
          <w:sz w:val="18"/>
          <w:szCs w:val="18"/>
          <w:color w:val="262626"/>
        </w:rPr>
        <w:t>In North America, Europe and Asia, the Company</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markets its products primarily through a direct sales force utilizing its sales and engineering offices located in Germany, UK, Sweden, France, Japan, South Korea and China, as well as its headquarters in Michigan. The Company generally supplies automatic-dimming mirrors and mirrors with advanced electronic features to its customers worldwide under annual blanket purchase orders with customers, as well as under long-term agreements with certain customers, entered into in the ordinary course of the Company’s business.</w:t>
      </w:r>
    </w:p>
    <w:p>
      <w:pPr>
        <w:sectPr>
          <w:pgSz w:w="12240" w:h="15840" w:orient="portrait"/>
          <w:cols w:equalWidth="0" w:num="1">
            <w:col w:w="10760"/>
          </w:cols>
          <w:pgMar w:left="580" w:top="843" w:right="900" w:bottom="0" w:gutter="0" w:footer="0" w:header="0"/>
        </w:sectPr>
      </w:pPr>
    </w:p>
    <w:p>
      <w:pPr>
        <w:spacing w:after="0" w:line="188" w:lineRule="auto"/>
        <w:tabs>
          <w:tab w:leader="none" w:pos="400" w:val="left"/>
        </w:tabs>
        <w:rPr>
          <w:sz w:val="20"/>
          <w:szCs w:val="20"/>
          <w:color w:val="auto"/>
        </w:rPr>
      </w:pPr>
      <w:r>
        <w:rPr>
          <w:rFonts w:ascii="Arial" w:cs="Arial" w:eastAsia="Arial" w:hAnsi="Arial"/>
          <w:sz w:val="21"/>
          <w:szCs w:val="21"/>
          <w:b w:val="1"/>
          <w:bCs w:val="1"/>
          <w:color w:val="262626"/>
        </w:rPr>
        <w:t>24</w:t>
      </w:r>
      <w:r>
        <w:rPr>
          <w:sz w:val="20"/>
          <w:szCs w:val="20"/>
          <w:color w:val="auto"/>
        </w:rPr>
        <w:tab/>
      </w:r>
      <w:r>
        <w:rPr>
          <w:rFonts w:ascii="Times New Roman" w:cs="Times New Roman" w:eastAsia="Times New Roman" w:hAnsi="Times New Roman"/>
          <w:sz w:val="9"/>
          <w:szCs w:val="9"/>
          <w:color w:val="262626"/>
        </w:rPr>
        <w:t>GENTEX CORPORATION</w:t>
      </w:r>
    </w:p>
    <w:p>
      <w:pPr>
        <w:sectPr>
          <w:pgSz w:w="12240" w:h="15840" w:orient="portrait"/>
          <w:cols w:equalWidth="0" w:num="1">
            <w:col w:w="10760"/>
          </w:cols>
          <w:pgMar w:left="580" w:top="843" w:right="900" w:bottom="0" w:gutter="0" w:footer="0" w:header="0"/>
          <w:type w:val="continuous"/>
        </w:sectPr>
      </w:pPr>
    </w:p>
    <w:bookmarkStart w:id="24" w:name="page25"/>
    <w:bookmarkEnd w:id="24"/>
    <w:p>
      <w:pPr>
        <w:ind w:right="380"/>
        <w:spacing w:after="0" w:line="353" w:lineRule="auto"/>
        <w:rPr>
          <w:sz w:val="20"/>
          <w:szCs w:val="20"/>
          <w:color w:val="auto"/>
        </w:rPr>
      </w:pPr>
      <w:r>
        <w:rPr>
          <w:rFonts w:ascii="Times New Roman" w:cs="Times New Roman" w:eastAsia="Times New Roman" w:hAnsi="Times New Roman"/>
          <w:sz w:val="18"/>
          <w:szCs w:val="18"/>
          <w:color w:val="262626"/>
        </w:rPr>
        <w:t>The Company is currently supplying mirrors and electronic modules for Aston Martin, BMW Group, Daimler Group, Faraday Future, Ferrari, Ford Motor Co., Geely/Volvo, General Motors, Harley Davidson, Honda Motor Co., Hyundai/Kia, Lucid Motors, Mazda, Mahindra &amp; Mahindra, McLaren, Polaris, Renault/Nissan/Mitsubishi Group, Rivian Automotive, Stellantis, Subaru, Suzuki, Tata Motors, Tesla, TOGG Inc., Toyota Motor Company, Volkswagen Group, VOXX International, as well as shipments to domestic China manufacturers (BYD, Chery, Dongfeng, FAW, Great Wall Motors, Human Horizon, King Long, Lixiang Auto, NIO, SAIC, and Xpeng EV).</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Revenues by major geographic area are disclosed in Note 7 of the Consolidated Financial Statements.</w:t>
      </w:r>
    </w:p>
    <w:p>
      <w:pPr>
        <w:spacing w:after="0" w:line="253" w:lineRule="exact"/>
        <w:rPr>
          <w:sz w:val="20"/>
          <w:szCs w:val="20"/>
          <w:color w:val="auto"/>
        </w:rPr>
      </w:pPr>
    </w:p>
    <w:p>
      <w:pPr>
        <w:ind w:right="400"/>
        <w:spacing w:after="0" w:line="336" w:lineRule="auto"/>
        <w:rPr>
          <w:sz w:val="20"/>
          <w:szCs w:val="20"/>
          <w:color w:val="auto"/>
        </w:rPr>
      </w:pPr>
      <w:r>
        <w:rPr>
          <w:rFonts w:ascii="Times New Roman" w:cs="Times New Roman" w:eastAsia="Times New Roman" w:hAnsi="Times New Roman"/>
          <w:sz w:val="18"/>
          <w:szCs w:val="18"/>
          <w:color w:val="262626"/>
        </w:rPr>
        <w:t>Traditionally, new products and technologies have been restricted to high-end vehicles and premium trim/option packages. As consumer demand has continued to pursue the adoption of advanced technology, more OEMs have shifted to offer a variety of trim packages and option packages for each of their vehicles, creating a range of available pricing and technologies across their lineups. In some instances, Company products such as the FDM® appeal to consumers who are interested in new technology, while also resolving rearward vision limitations created by vehicle design changes that increase aerodynamics. The Company has contributed to this differentiation strategy, allowing OEMs to maximize profitability and optionality by providing profitable, mirror-based and in-vehicle technologies that consumers demand. As more consumers have become familiar with interior and exterior dimming mirrors, HomeLink®, FDM®, ITM®, and other Company technologies, consumers have continued to select these technologies in their subsequent vehicles, driving further market and nameplate penetration as OEMs launch new vehicles and expand into new markets. Where OEMs had historically used Company technologies only to differentiate from one another, they have now begun to also use Company technologies to differentiate trim lines across their own nameplates. In new markets, emerging OEMs have recognized the need to include Company products in their vehicles to compete with global OEMs.</w:t>
      </w:r>
    </w:p>
    <w:p>
      <w:pPr>
        <w:spacing w:after="0" w:line="70" w:lineRule="exact"/>
        <w:rPr>
          <w:sz w:val="20"/>
          <w:szCs w:val="20"/>
          <w:color w:val="auto"/>
        </w:rPr>
      </w:pPr>
    </w:p>
    <w:p>
      <w:pPr>
        <w:ind w:right="360"/>
        <w:spacing w:after="0" w:line="333" w:lineRule="auto"/>
        <w:rPr>
          <w:sz w:val="20"/>
          <w:szCs w:val="20"/>
          <w:color w:val="auto"/>
        </w:rPr>
      </w:pPr>
      <w:r>
        <w:rPr>
          <w:rFonts w:ascii="Arial" w:cs="Arial" w:eastAsia="Arial" w:hAnsi="Arial"/>
          <w:sz w:val="17"/>
          <w:szCs w:val="17"/>
          <w:b w:val="1"/>
          <w:bCs w:val="1"/>
          <w:color w:val="858585"/>
        </w:rPr>
        <w:t xml:space="preserve">AUTOMOTIVE REARVIEW MIRRORS AND ELECTRONICS COMPETITION. </w:t>
      </w:r>
      <w:r>
        <w:rPr>
          <w:rFonts w:ascii="Times New Roman" w:cs="Times New Roman" w:eastAsia="Times New Roman" w:hAnsi="Times New Roman"/>
          <w:sz w:val="18"/>
          <w:szCs w:val="18"/>
          <w:color w:val="262626"/>
        </w:rPr>
        <w:t>The Company continues to be the leading producer of automatic-dimming rearview mirrors in the world and currently is the largest supplier to the automotive industry with an approximate 89% market share worldwide in 2022. While the Company believes it will retain a significant position in automatic-dimming rearview mirrors for some time, another U.S. manufacturer, Magna Mirrors, a division of Magna International (“Magna”), continues to compete for sales to domestic and foreign vehicle manufacturers and is supplying a number of domestic and foreign vehicle models with its versions of auto-dimming mirrors and appears to have considerably more resources available to it. As such, Magna may present a formidable competitive threat. The Company also continues to sell automatic-dimming exterior mirror sub-assemblies to Magna Mirrors. In addition, a Japanese manufacturer (Tokai Rika) is currently supplying a few vehicle models in Japan with solid-state electrochromic mirrors. There are also a small number of Chinese domestic mirror suppliers that are marketing and selling automatic-dimming rearview mirrors, in low volume, within the domestic China automotive market. Moreover, other companies have demonstrated products that are competitive to the Company’s Full Display Mirror® system, and a small number of Chinese domestic mirror suppliers have begun marketing and selling these products, in low volume, within the domestic China market. Further, two Japan manufacturers (Murakami and Panasonic) have begun selling and marketing competitive Full Display Mirror® type products in Japan. The Company acknowledges that dimming device (e.g., electrochromic) technology is the subject of research and development efforts by numerous third parties.</w:t>
      </w:r>
    </w:p>
    <w:p>
      <w:pPr>
        <w:spacing w:after="0" w:line="80" w:lineRule="exact"/>
        <w:rPr>
          <w:sz w:val="20"/>
          <w:szCs w:val="20"/>
          <w:color w:val="auto"/>
        </w:rPr>
      </w:pPr>
    </w:p>
    <w:p>
      <w:pPr>
        <w:ind w:right="620"/>
        <w:spacing w:after="0" w:line="359" w:lineRule="auto"/>
        <w:rPr>
          <w:sz w:val="20"/>
          <w:szCs w:val="20"/>
          <w:color w:val="auto"/>
        </w:rPr>
      </w:pPr>
      <w:r>
        <w:rPr>
          <w:rFonts w:ascii="Times New Roman" w:cs="Times New Roman" w:eastAsia="Times New Roman" w:hAnsi="Times New Roman"/>
          <w:sz w:val="17"/>
          <w:szCs w:val="17"/>
          <w:color w:val="262626"/>
        </w:rPr>
        <w:t>In November 2020, the Company announced a partnership, in the ordinary course of business, with PayByCar™, to pursue compatibility between the Company’s ITM® and PayByCar’s innovative payment solution that allows drivers to use their smartphones and toll transponder</w:t>
      </w:r>
    </w:p>
    <w:p>
      <w:pPr>
        <w:spacing w:after="0" w:line="2" w:lineRule="exact"/>
        <w:rPr>
          <w:sz w:val="20"/>
          <w:szCs w:val="20"/>
          <w:color w:val="auto"/>
        </w:rPr>
      </w:pPr>
    </w:p>
    <w:p>
      <w:pPr>
        <w:ind w:right="360"/>
        <w:spacing w:after="0" w:line="409" w:lineRule="auto"/>
        <w:rPr>
          <w:sz w:val="20"/>
          <w:szCs w:val="20"/>
          <w:color w:val="auto"/>
        </w:rPr>
      </w:pPr>
      <w:r>
        <w:rPr>
          <w:rFonts w:ascii="Times New Roman" w:cs="Times New Roman" w:eastAsia="Times New Roman" w:hAnsi="Times New Roman"/>
          <w:sz w:val="18"/>
          <w:szCs w:val="18"/>
          <w:color w:val="262626"/>
        </w:rPr>
        <w:t>to fuel up at certain gas stations without using cash or a credit card and to pay at parking garages. Compatibility between these two technologies can help to grow each company’s respective consumer base while introducing new users to the benefits of the transactional vehicle.</w:t>
      </w:r>
    </w:p>
    <w:p>
      <w:pPr>
        <w:spacing w:after="0" w:line="8" w:lineRule="exact"/>
        <w:rPr>
          <w:sz w:val="20"/>
          <w:szCs w:val="20"/>
          <w:color w:val="auto"/>
        </w:rPr>
      </w:pPr>
    </w:p>
    <w:p>
      <w:pPr>
        <w:ind w:right="500"/>
        <w:spacing w:after="0" w:line="339" w:lineRule="auto"/>
        <w:rPr>
          <w:sz w:val="20"/>
          <w:szCs w:val="20"/>
          <w:color w:val="auto"/>
        </w:rPr>
      </w:pPr>
      <w:r>
        <w:rPr>
          <w:rFonts w:ascii="Times New Roman" w:cs="Times New Roman" w:eastAsia="Times New Roman" w:hAnsi="Times New Roman"/>
          <w:sz w:val="18"/>
          <w:szCs w:val="18"/>
          <w:color w:val="262626"/>
        </w:rPr>
        <w:t>In January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The Company plans to integrate Simplenight into its current and future connected vehicle technologies, including HomeLink®, the automotive industry’s leading car-to-home automation system. HomeLink® consists of vehicle-integrated buttons that can be programmed to operate a myriad of home automation devices. Integration of Simplenight into the Company’s HomeLink Connect® app is underway. The HomeLink Connect app allows users to program their HomeLink® buttons and control cloud-based devices from their vehicles.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In 2022, the Company obtained an approximate 20% equity share in GreenMarbles in the ordinary course of business. GreenMarbles is</w:t>
      </w:r>
    </w:p>
    <w:p>
      <w:pPr>
        <w:spacing w:after="0" w:line="97" w:lineRule="exact"/>
        <w:rPr>
          <w:sz w:val="20"/>
          <w:szCs w:val="20"/>
          <w:color w:val="auto"/>
        </w:rPr>
      </w:pPr>
    </w:p>
    <w:p>
      <w:pPr>
        <w:ind w:right="720"/>
        <w:spacing w:after="0" w:line="393" w:lineRule="auto"/>
        <w:rPr>
          <w:sz w:val="20"/>
          <w:szCs w:val="20"/>
          <w:color w:val="auto"/>
        </w:rPr>
      </w:pPr>
      <w:r>
        <w:rPr>
          <w:rFonts w:ascii="Times New Roman" w:cs="Times New Roman" w:eastAsia="Times New Roman" w:hAnsi="Times New Roman"/>
          <w:sz w:val="18"/>
          <w:szCs w:val="18"/>
          <w:color w:val="262626"/>
        </w:rPr>
        <w:t>a leading provider of sustainable solutions for integration into properties. The Company plans to utilize this relationship to promote the HomeLink Connect® App with property developers and contractors.</w:t>
      </w:r>
    </w:p>
    <w:p>
      <w:pPr>
        <w:sectPr>
          <w:pgSz w:w="12240" w:h="15840" w:orient="portrait"/>
          <w:cols w:equalWidth="0" w:num="1">
            <w:col w:w="10760"/>
          </w:cols>
          <w:pgMar w:left="900" w:top="852" w:right="580" w:bottom="0" w:gutter="0" w:footer="0" w:header="0"/>
        </w:sectPr>
      </w:pPr>
    </w:p>
    <w:p>
      <w:pPr>
        <w:spacing w:after="0" w:line="1"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25</w:t>
      </w:r>
    </w:p>
    <w:p>
      <w:pPr>
        <w:sectPr>
          <w:pgSz w:w="12240" w:h="15840" w:orient="portrait"/>
          <w:cols w:equalWidth="0" w:num="1">
            <w:col w:w="10760"/>
          </w:cols>
          <w:pgMar w:left="900" w:top="852" w:right="580" w:bottom="0" w:gutter="0" w:footer="0" w:header="0"/>
          <w:type w:val="continuous"/>
        </w:sectPr>
      </w:pPr>
    </w:p>
    <w:bookmarkStart w:id="25" w:name="page26"/>
    <w:bookmarkEnd w:id="25"/>
    <w:p>
      <w:pPr>
        <w:ind w:left="320" w:right="540"/>
        <w:spacing w:after="0" w:line="381" w:lineRule="auto"/>
        <w:rPr>
          <w:sz w:val="20"/>
          <w:szCs w:val="20"/>
          <w:color w:val="auto"/>
        </w:rPr>
      </w:pPr>
      <w:r>
        <w:rPr>
          <w:rFonts w:ascii="Times New Roman" w:cs="Times New Roman" w:eastAsia="Times New Roman" w:hAnsi="Times New Roman"/>
          <w:sz w:val="18"/>
          <w:szCs w:val="18"/>
          <w:color w:val="262626"/>
        </w:rPr>
        <w:t>The Company believes its electrochromic automatic-dimming mirrors and mirrors with advanced electronic features offer significant performance advantages over competing products and the Company makes significant research and development investments to continue to increase and improve the performance advantages of its products and to potentially add new products.</w:t>
      </w:r>
    </w:p>
    <w:p>
      <w:pPr>
        <w:spacing w:after="0" w:line="34" w:lineRule="exact"/>
        <w:rPr>
          <w:sz w:val="20"/>
          <w:szCs w:val="20"/>
          <w:color w:val="auto"/>
        </w:rPr>
      </w:pPr>
    </w:p>
    <w:p>
      <w:pPr>
        <w:ind w:left="320" w:right="40"/>
        <w:spacing w:after="0" w:line="340" w:lineRule="auto"/>
        <w:rPr>
          <w:sz w:val="20"/>
          <w:szCs w:val="20"/>
          <w:color w:val="auto"/>
        </w:rPr>
      </w:pPr>
      <w:r>
        <w:rPr>
          <w:rFonts w:ascii="Times New Roman" w:cs="Times New Roman" w:eastAsia="Times New Roman" w:hAnsi="Times New Roman"/>
          <w:sz w:val="18"/>
          <w:szCs w:val="18"/>
          <w:color w:val="262626"/>
        </w:rPr>
        <w:t>There are numerous other companies in the world conducting research on various technologies, including electrochromics, for controlling light transmission and reflection. The Company currently believes that the electrochromic materials and manufacturing process it uses for automotive mirrors remains the most efficient and cost-effective way to produce these products. The Company has also continued to invest in new technologies to improve manufacturing processes. In 2020, the Company, in the ordinary course of business, completed the acquisition of Argil, Inc., which specializes in electrochromic technology and research and development, which the Company anticipates using to complement and expand its product offerings and leverage for manufacturing efficiencies. While automatic-dimming mirrors using other technologies may eliminate glare, the Company currently believes that each of these other technologies have inherent cost or performance limitations as compared to the Company’s technologies.</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62626"/>
        </w:rPr>
        <w:t>As the Company continues to expand its automatic-dimming mirror products with additional advanced electronic features and expands the</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62626"/>
        </w:rPr>
        <w:t>capabilities of its CMOS imager technology for additional features (i.e. SmartBeam®, FDM®, rear video camera, digital video recorder, etc.),</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62626"/>
        </w:rPr>
        <w:t>as well as continuing to expand the capabilities of the Company’s hybrid and fully digital CMS technology, driver and cabin monitoring systems,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62626"/>
        </w:rPr>
        <w:t>the Company recognizes that it is competing with considerably larger and more geographically diverse electronics companies that present</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62626"/>
        </w:rPr>
        <w:t>a formidable competitive threat in the future as new products/features and technologies are brought to market.</w:t>
      </w:r>
    </w:p>
    <w:p>
      <w:pPr>
        <w:spacing w:after="0" w:line="35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Dimmable Aircraft Windows</w:t>
      </w:r>
    </w:p>
    <w:p>
      <w:pPr>
        <w:spacing w:after="0" w:line="191" w:lineRule="exact"/>
        <w:rPr>
          <w:sz w:val="20"/>
          <w:szCs w:val="20"/>
          <w:color w:val="auto"/>
        </w:rPr>
      </w:pPr>
    </w:p>
    <w:p>
      <w:pPr>
        <w:ind w:left="320" w:right="20"/>
        <w:spacing w:after="0" w:line="352" w:lineRule="auto"/>
        <w:rPr>
          <w:sz w:val="20"/>
          <w:szCs w:val="20"/>
          <w:color w:val="auto"/>
        </w:rPr>
      </w:pPr>
      <w:r>
        <w:rPr>
          <w:rFonts w:ascii="Times New Roman" w:cs="Times New Roman" w:eastAsia="Times New Roman" w:hAnsi="Times New Roman"/>
          <w:sz w:val="18"/>
          <w:szCs w:val="18"/>
          <w:color w:val="262626"/>
        </w:rPr>
        <w:t>The Company continues to manufacture and sell variable dimmable windows for the passenger compartment on the Boeing 787 Dreamliner series of aircraft. In 2019, the Company announced that it would be offering, as optional content, its latest generation of variable dimmable windows on the Boeing 777X aircraft. Later in 2019, the first production shipments of variably dimmable windows were made to Boeing for the 777X program. As previously announced, Airbus is now offering, as optional content, the Company’s dimmable aircraft windows on its aircraft, with production having begun in 2021.</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858585"/>
        </w:rPr>
        <w:t xml:space="preserve">MARKETS AND MARKETING. </w:t>
      </w:r>
      <w:r>
        <w:rPr>
          <w:rFonts w:ascii="Times New Roman" w:cs="Times New Roman" w:eastAsia="Times New Roman" w:hAnsi="Times New Roman"/>
          <w:sz w:val="18"/>
          <w:szCs w:val="18"/>
          <w:color w:val="262626"/>
        </w:rPr>
        <w:t>The Company markets its variable dimmable windows to aircraft manufacturers and airline operators globally.</w:t>
      </w:r>
    </w:p>
    <w:p>
      <w:pPr>
        <w:spacing w:after="0" w:line="252" w:lineRule="exact"/>
        <w:rPr>
          <w:sz w:val="20"/>
          <w:szCs w:val="20"/>
          <w:color w:val="auto"/>
        </w:rPr>
      </w:pPr>
    </w:p>
    <w:p>
      <w:pPr>
        <w:ind w:left="320" w:right="240"/>
        <w:spacing w:after="0" w:line="382" w:lineRule="auto"/>
        <w:rPr>
          <w:sz w:val="20"/>
          <w:szCs w:val="20"/>
          <w:color w:val="auto"/>
        </w:rPr>
      </w:pPr>
      <w:r>
        <w:rPr>
          <w:rFonts w:ascii="Arial" w:cs="Arial" w:eastAsia="Arial" w:hAnsi="Arial"/>
          <w:sz w:val="17"/>
          <w:szCs w:val="17"/>
          <w:b w:val="1"/>
          <w:bCs w:val="1"/>
          <w:color w:val="858585"/>
        </w:rPr>
        <w:t xml:space="preserve">COMPETITION. </w:t>
      </w:r>
      <w:r>
        <w:rPr>
          <w:rFonts w:ascii="Times New Roman" w:cs="Times New Roman" w:eastAsia="Times New Roman" w:hAnsi="Times New Roman"/>
          <w:sz w:val="18"/>
          <w:szCs w:val="18"/>
          <w:color w:val="262626"/>
        </w:rPr>
        <w:t>The Company’s variable dimmable aircraft windows are the first commercialized product of its kind for original equipment</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installation in the aircraft industry. Other manufacturers are working to develop and sell competing products utilizing other technology in the aircraft industry for aftermarket or original equipment installation.</w:t>
      </w:r>
    </w:p>
    <w:p>
      <w:pPr>
        <w:spacing w:after="0" w:line="31" w:lineRule="exact"/>
        <w:rPr>
          <w:sz w:val="20"/>
          <w:szCs w:val="20"/>
          <w:color w:val="auto"/>
        </w:rPr>
      </w:pPr>
    </w:p>
    <w:p>
      <w:pPr>
        <w:jc w:val="both"/>
        <w:ind w:left="320" w:right="60"/>
        <w:spacing w:after="0" w:line="363" w:lineRule="auto"/>
        <w:rPr>
          <w:sz w:val="20"/>
          <w:szCs w:val="20"/>
          <w:color w:val="auto"/>
        </w:rPr>
      </w:pPr>
      <w:r>
        <w:rPr>
          <w:rFonts w:ascii="Times New Roman" w:cs="Times New Roman" w:eastAsia="Times New Roman" w:hAnsi="Times New Roman"/>
          <w:sz w:val="18"/>
          <w:szCs w:val="18"/>
          <w:color w:val="262626"/>
        </w:rPr>
        <w:t>The Company’s success with electrochromic technology provides potential opportunities and use cases for other commercial applications, which the Company continues to explore. including, but not limited to passenger smart-lighting that automatically optimizes illumination for various in-flight activities like reading, dining, or computer work; biometric systems for personalizing the in-flight experience; and in-cabin particulate and chemical sensors for monitoring cabin air quality.</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Fire Protection Products</w:t>
      </w:r>
    </w:p>
    <w:p>
      <w:pPr>
        <w:spacing w:after="0" w:line="191" w:lineRule="exact"/>
        <w:rPr>
          <w:sz w:val="20"/>
          <w:szCs w:val="20"/>
          <w:color w:val="auto"/>
        </w:rPr>
      </w:pPr>
    </w:p>
    <w:p>
      <w:pPr>
        <w:jc w:val="both"/>
        <w:ind w:left="320" w:right="100"/>
        <w:spacing w:after="0" w:line="382" w:lineRule="auto"/>
        <w:rPr>
          <w:sz w:val="20"/>
          <w:szCs w:val="20"/>
          <w:color w:val="auto"/>
        </w:rPr>
      </w:pPr>
      <w:r>
        <w:rPr>
          <w:rFonts w:ascii="Times New Roman" w:cs="Times New Roman" w:eastAsia="Times New Roman" w:hAnsi="Times New Roman"/>
          <w:sz w:val="18"/>
          <w:szCs w:val="18"/>
          <w:color w:val="262626"/>
        </w:rPr>
        <w:t>The Company manufactures photoelectric smoke detectors and alarms, visual signaling alarms, photoelectric smoke alarms and electrochemical carbon monoxide alarms, electrochemical carbon monoxide alarms and detectors, audible and visual signaling appliances, and bells and speakers for use in fire detection systems in office buildings, hotels, and other commercial and residential establishments.</w:t>
      </w:r>
    </w:p>
    <w:p>
      <w:pPr>
        <w:spacing w:after="0" w:line="30" w:lineRule="exact"/>
        <w:rPr>
          <w:sz w:val="20"/>
          <w:szCs w:val="20"/>
          <w:color w:val="auto"/>
        </w:rPr>
      </w:pPr>
    </w:p>
    <w:p>
      <w:pPr>
        <w:ind w:left="320" w:right="20"/>
        <w:spacing w:after="0" w:line="362" w:lineRule="auto"/>
        <w:rPr>
          <w:sz w:val="20"/>
          <w:szCs w:val="20"/>
          <w:color w:val="auto"/>
        </w:rPr>
      </w:pPr>
      <w:r>
        <w:rPr>
          <w:rFonts w:ascii="Arial" w:cs="Arial" w:eastAsia="Arial" w:hAnsi="Arial"/>
          <w:sz w:val="17"/>
          <w:szCs w:val="17"/>
          <w:b w:val="1"/>
          <w:bCs w:val="1"/>
          <w:color w:val="858585"/>
        </w:rPr>
        <w:t xml:space="preserve">MARKETS AND MARKETING. </w:t>
      </w:r>
      <w:r>
        <w:rPr>
          <w:rFonts w:ascii="Times New Roman" w:cs="Times New Roman" w:eastAsia="Times New Roman" w:hAnsi="Times New Roman"/>
          <w:sz w:val="18"/>
          <w:szCs w:val="18"/>
          <w:color w:val="262626"/>
        </w:rPr>
        <w:t>The Company’s fire protection products are sold directly to fire protection and security product distributors under</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the Company’s brand name, to electrical wholesale houses, and to original equipment manufacturers of fire protection systems under both the Company’s brand name and private labels. The Company markets its fire protection products primarily in North America, but also globally through regional sales managers and manufacturer representative organizations.</w:t>
      </w:r>
    </w:p>
    <w:p>
      <w:pPr>
        <w:spacing w:after="0" w:line="49" w:lineRule="exact"/>
        <w:rPr>
          <w:sz w:val="20"/>
          <w:szCs w:val="20"/>
          <w:color w:val="auto"/>
        </w:rPr>
      </w:pPr>
    </w:p>
    <w:p>
      <w:pPr>
        <w:ind w:left="320" w:right="420"/>
        <w:spacing w:after="0" w:line="362" w:lineRule="auto"/>
        <w:rPr>
          <w:sz w:val="20"/>
          <w:szCs w:val="20"/>
          <w:color w:val="auto"/>
        </w:rPr>
      </w:pPr>
      <w:r>
        <w:rPr>
          <w:rFonts w:ascii="Arial" w:cs="Arial" w:eastAsia="Arial" w:hAnsi="Arial"/>
          <w:sz w:val="17"/>
          <w:szCs w:val="17"/>
          <w:b w:val="1"/>
          <w:bCs w:val="1"/>
          <w:color w:val="858585"/>
        </w:rPr>
        <w:t xml:space="preserve">COMPETITION. </w:t>
      </w:r>
      <w:r>
        <w:rPr>
          <w:rFonts w:ascii="Times New Roman" w:cs="Times New Roman" w:eastAsia="Times New Roman" w:hAnsi="Times New Roman"/>
          <w:sz w:val="18"/>
          <w:szCs w:val="18"/>
          <w:color w:val="262626"/>
        </w:rPr>
        <w:t>The fire protection products industry is highly competitive in terms of both the smoke detectors and signaling appliance</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markets. The Company estimates that it competes primarily with eight manufacturers of smoke detection products for commercial use and approximately four manufacturers within the residential market, three of which produce photoelectric smoke detectors. In the signaling appliance markets, the Company estimates it competes with approximately seven manufacturers. While the Company faces significant</w:t>
      </w:r>
    </w:p>
    <w:p>
      <w:pPr>
        <w:sectPr>
          <w:pgSz w:w="12240" w:h="15840" w:orient="portrait"/>
          <w:cols w:equalWidth="0" w:num="1">
            <w:col w:w="10760"/>
          </w:cols>
          <w:pgMar w:left="580" w:top="852" w:right="900" w:bottom="0" w:gutter="0" w:footer="0" w:header="0"/>
        </w:sectPr>
      </w:pPr>
    </w:p>
    <w:p>
      <w:pPr>
        <w:spacing w:after="0" w:line="192"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26</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60"/>
          </w:cols>
          <w:pgMar w:left="580" w:top="852" w:right="900" w:bottom="0" w:gutter="0" w:footer="0" w:header="0"/>
          <w:type w:val="continuous"/>
        </w:sectPr>
      </w:pPr>
    </w:p>
    <w:bookmarkStart w:id="26" w:name="page27"/>
    <w:bookmarkEnd w:id="26"/>
    <w:p>
      <w:pPr>
        <w:ind w:right="480"/>
        <w:spacing w:after="0" w:line="477" w:lineRule="auto"/>
        <w:rPr>
          <w:sz w:val="20"/>
          <w:szCs w:val="20"/>
          <w:color w:val="auto"/>
        </w:rPr>
      </w:pPr>
      <w:r>
        <w:rPr>
          <w:rFonts w:ascii="Times New Roman" w:cs="Times New Roman" w:eastAsia="Times New Roman" w:hAnsi="Times New Roman"/>
          <w:sz w:val="17"/>
          <w:szCs w:val="17"/>
          <w:color w:val="262626"/>
        </w:rPr>
        <w:t>competition in the sale of smoke detectors and signaling appliances, it believes that the introduction of new products, improvements to its existing products, its diversified product line, and the availability of special features will permit the Company to maintain its competitive position.</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8F8F8F"/>
        </w:rPr>
        <w:t>Nanofiber Products and Development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The Company completed the acquisition of Vaporsens in 2020. Vaporsens specializes in nanofiber chemical sensing research and development.</w:t>
      </w:r>
    </w:p>
    <w:p>
      <w:pPr>
        <w:spacing w:after="0" w:line="251" w:lineRule="exact"/>
        <w:rPr>
          <w:sz w:val="20"/>
          <w:szCs w:val="20"/>
          <w:color w:val="auto"/>
        </w:rPr>
      </w:pPr>
    </w:p>
    <w:p>
      <w:pPr>
        <w:ind w:right="460"/>
        <w:spacing w:after="0" w:line="362" w:lineRule="auto"/>
        <w:rPr>
          <w:sz w:val="20"/>
          <w:szCs w:val="20"/>
          <w:color w:val="auto"/>
        </w:rPr>
      </w:pPr>
      <w:r>
        <w:rPr>
          <w:rFonts w:ascii="Arial" w:cs="Arial" w:eastAsia="Arial" w:hAnsi="Arial"/>
          <w:sz w:val="17"/>
          <w:szCs w:val="17"/>
          <w:b w:val="1"/>
          <w:bCs w:val="1"/>
          <w:color w:val="858585"/>
        </w:rPr>
        <w:t>MARKETS AND MARKETING</w:t>
      </w:r>
      <w:r>
        <w:rPr>
          <w:rFonts w:ascii="Times New Roman" w:cs="Times New Roman" w:eastAsia="Times New Roman" w:hAnsi="Times New Roman"/>
          <w:sz w:val="18"/>
          <w:szCs w:val="18"/>
          <w:color w:val="262626"/>
        </w:rPr>
        <w:t>. While no current commercialized product yet exists, this technology has the potential ability to sense explosives,</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toxic industrial chemicals, chemical warfare agents, drugs, consumer goods, and VOC’s. This technology has a wide variety of use cases in various markets and industries, with potential applications for automotive, aerospace, agriculture, chemical manufacturing, military and first responders, worker safety, food and beverage processing, and medical applications.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8F8F8F"/>
        </w:rPr>
        <w:t>Trademarks and Patents</w:t>
      </w:r>
    </w:p>
    <w:p>
      <w:pPr>
        <w:spacing w:after="0" w:line="191" w:lineRule="exact"/>
        <w:rPr>
          <w:sz w:val="20"/>
          <w:szCs w:val="20"/>
          <w:color w:val="auto"/>
        </w:rPr>
      </w:pPr>
    </w:p>
    <w:p>
      <w:pPr>
        <w:ind w:right="520"/>
        <w:spacing w:after="0" w:line="363" w:lineRule="auto"/>
        <w:rPr>
          <w:sz w:val="20"/>
          <w:szCs w:val="20"/>
          <w:color w:val="auto"/>
        </w:rPr>
      </w:pPr>
      <w:r>
        <w:rPr>
          <w:rFonts w:ascii="Times New Roman" w:cs="Times New Roman" w:eastAsia="Times New Roman" w:hAnsi="Times New Roman"/>
          <w:sz w:val="18"/>
          <w:szCs w:val="18"/>
          <w:color w:val="262626"/>
        </w:rPr>
        <w:t>The Company owns 40 U.S. Registered Trademarks and 786 U.S. Patents, of which 31 Registered Trademarks and 711 patents relate to electrochromic technology, automotive rearview mirrors, microphones, displays, cameras, sensor technology, smart lighting technology, and/ or HomeLink® products. These patents expire at various times between 2023 and 2043. The Company believes that these patents provide the Company a competitive advantage in its markets, although no single patent is necessarily required for the success of the Company’s products.</w:t>
      </w:r>
    </w:p>
    <w:p>
      <w:pPr>
        <w:spacing w:after="0" w:line="48" w:lineRule="exact"/>
        <w:rPr>
          <w:sz w:val="20"/>
          <w:szCs w:val="20"/>
          <w:color w:val="auto"/>
        </w:rPr>
      </w:pPr>
    </w:p>
    <w:p>
      <w:pPr>
        <w:ind w:right="360"/>
        <w:spacing w:after="0" w:line="362" w:lineRule="auto"/>
        <w:rPr>
          <w:sz w:val="20"/>
          <w:szCs w:val="20"/>
          <w:color w:val="auto"/>
        </w:rPr>
      </w:pPr>
      <w:r>
        <w:rPr>
          <w:rFonts w:ascii="Times New Roman" w:cs="Times New Roman" w:eastAsia="Times New Roman" w:hAnsi="Times New Roman"/>
          <w:sz w:val="18"/>
          <w:szCs w:val="18"/>
          <w:color w:val="262626"/>
        </w:rPr>
        <w:t>The Company also owns 360 foreign Registered Trademarks and 1,194 foreign patents, of which 344 Registered Trademarks and 1,128 patents relate to electrochromic technology, automotive rearview mirrors, microphones, displays, cameras, sensor technology, and/or HomeLink® products. These patents expire at various times between 2023 and 2047. The Company believes that the competitive advantage derived in the relevant foreign markets for these patents is comparable to that applicable in the U.S. market.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The Company owns 50 U.S. Patents and 54 foreign patents that relate specifically to the Company’s variable dimmable windows. The U.S.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Patents expire at various times between 2026 and 2041, while the foreign patents expire at various times between 2026 and 2038.</w:t>
      </w:r>
    </w:p>
    <w:p>
      <w:pPr>
        <w:spacing w:after="0" w:line="229" w:lineRule="exact"/>
        <w:rPr>
          <w:sz w:val="20"/>
          <w:szCs w:val="20"/>
          <w:color w:val="auto"/>
        </w:rPr>
      </w:pPr>
    </w:p>
    <w:p>
      <w:pPr>
        <w:ind w:right="600"/>
        <w:spacing w:after="0" w:line="381" w:lineRule="auto"/>
        <w:rPr>
          <w:sz w:val="20"/>
          <w:szCs w:val="20"/>
          <w:color w:val="auto"/>
        </w:rPr>
      </w:pPr>
      <w:r>
        <w:rPr>
          <w:rFonts w:ascii="Times New Roman" w:cs="Times New Roman" w:eastAsia="Times New Roman" w:hAnsi="Times New Roman"/>
          <w:sz w:val="18"/>
          <w:szCs w:val="18"/>
          <w:color w:val="262626"/>
        </w:rPr>
        <w:t>The Company owns 9 U.S. Registered Trademarks, 19 U.S. Patents, 16 foreign Registered Trademarks, and 12 foreign patents that relate to the Company’s fire protection products. The U.S. Patents expire at various times between 2023 and 2038, while the foreign patents expire at various times between 2023 and 2039. The Company believes that the competitive advantage provided by these patents is relatively small.</w:t>
      </w:r>
    </w:p>
    <w:p>
      <w:pPr>
        <w:spacing w:after="0" w:line="34" w:lineRule="exact"/>
        <w:rPr>
          <w:sz w:val="20"/>
          <w:szCs w:val="20"/>
          <w:color w:val="auto"/>
        </w:rPr>
      </w:pPr>
    </w:p>
    <w:p>
      <w:pPr>
        <w:ind w:right="500"/>
        <w:spacing w:after="0" w:line="382" w:lineRule="auto"/>
        <w:rPr>
          <w:sz w:val="20"/>
          <w:szCs w:val="20"/>
          <w:color w:val="auto"/>
        </w:rPr>
      </w:pPr>
      <w:r>
        <w:rPr>
          <w:rFonts w:ascii="Times New Roman" w:cs="Times New Roman" w:eastAsia="Times New Roman" w:hAnsi="Times New Roman"/>
          <w:sz w:val="18"/>
          <w:szCs w:val="18"/>
          <w:color w:val="262626"/>
        </w:rPr>
        <w:t>The Company also has in process 176 U.S. Patent applications, 296 foreign patent applications, and 15 Registered Trademark applications. The Company continuously seeks to improve its core technologies and apply those technologies to new and existing products. As those efforts produce patentable inventions, the Company expects to file appropriate patent applications.</w:t>
      </w:r>
    </w:p>
    <w:p>
      <w:pPr>
        <w:spacing w:after="0" w:line="32" w:lineRule="exact"/>
        <w:rPr>
          <w:sz w:val="20"/>
          <w:szCs w:val="20"/>
          <w:color w:val="auto"/>
        </w:rPr>
      </w:pPr>
    </w:p>
    <w:p>
      <w:pPr>
        <w:ind w:right="780"/>
        <w:spacing w:after="0" w:line="439" w:lineRule="auto"/>
        <w:rPr>
          <w:sz w:val="20"/>
          <w:szCs w:val="20"/>
          <w:color w:val="auto"/>
        </w:rPr>
      </w:pPr>
      <w:r>
        <w:rPr>
          <w:rFonts w:ascii="Times New Roman" w:cs="Times New Roman" w:eastAsia="Times New Roman" w:hAnsi="Times New Roman"/>
          <w:sz w:val="18"/>
          <w:szCs w:val="18"/>
          <w:color w:val="262626"/>
        </w:rPr>
        <w:t>In addition, the Company periodically obtains intellectual property rights, in the ordinary course of the Company’s business, to strengthen its intellectual property portfolio and minimize potential risks of infringement.</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8F8F8F"/>
        </w:rPr>
        <w:t>Human Capital Resources</w:t>
      </w:r>
    </w:p>
    <w:p>
      <w:pPr>
        <w:spacing w:after="0" w:line="191" w:lineRule="exact"/>
        <w:rPr>
          <w:sz w:val="20"/>
          <w:szCs w:val="20"/>
          <w:color w:val="auto"/>
        </w:rPr>
      </w:pPr>
    </w:p>
    <w:p>
      <w:pPr>
        <w:ind w:right="600"/>
        <w:spacing w:after="0" w:line="382" w:lineRule="auto"/>
        <w:rPr>
          <w:sz w:val="20"/>
          <w:szCs w:val="20"/>
          <w:color w:val="auto"/>
        </w:rPr>
      </w:pPr>
      <w:r>
        <w:rPr>
          <w:rFonts w:ascii="Times New Roman" w:cs="Times New Roman" w:eastAsia="Times New Roman" w:hAnsi="Times New Roman"/>
          <w:sz w:val="18"/>
          <w:szCs w:val="18"/>
          <w:color w:val="262626"/>
        </w:rPr>
        <w:t>As of February 1, 2023, the Company had 5,466 full-time employees. None of the Company’s employees are represented by a labor union or other collective bargaining representative. The Company believes that its relations with its employees are in good standing. See “Executive Officers of the Registrant” in Part III, Item 10.</w:t>
      </w:r>
    </w:p>
    <w:p>
      <w:pPr>
        <w:spacing w:after="0" w:line="32" w:lineRule="exact"/>
        <w:rPr>
          <w:sz w:val="20"/>
          <w:szCs w:val="20"/>
          <w:color w:val="auto"/>
        </w:rPr>
      </w:pPr>
    </w:p>
    <w:p>
      <w:pPr>
        <w:ind w:right="440"/>
        <w:spacing w:after="0" w:line="429" w:lineRule="auto"/>
        <w:rPr>
          <w:sz w:val="20"/>
          <w:szCs w:val="20"/>
          <w:color w:val="auto"/>
        </w:rPr>
      </w:pPr>
      <w:r>
        <w:rPr>
          <w:rFonts w:ascii="Times New Roman" w:cs="Times New Roman" w:eastAsia="Times New Roman" w:hAnsi="Times New Roman"/>
          <w:sz w:val="18"/>
          <w:szCs w:val="18"/>
          <w:color w:val="262626"/>
        </w:rPr>
        <w:t>The Company fosters a collaborative culture founded on devotion to quality and innovation. An inclusive environment is nurtured so that team members can perform, support each other, and continue to grow and learn, including on-the-job training.</w:t>
      </w:r>
    </w:p>
    <w:p>
      <w:pPr>
        <w:ind w:right="420"/>
        <w:spacing w:after="0" w:line="366" w:lineRule="auto"/>
        <w:rPr>
          <w:sz w:val="20"/>
          <w:szCs w:val="20"/>
          <w:color w:val="auto"/>
        </w:rPr>
      </w:pPr>
      <w:r>
        <w:rPr>
          <w:rFonts w:ascii="Times New Roman" w:cs="Times New Roman" w:eastAsia="Times New Roman" w:hAnsi="Times New Roman"/>
          <w:sz w:val="17"/>
          <w:szCs w:val="17"/>
          <w:color w:val="262626"/>
        </w:rPr>
        <w:t>This culture is supported by a competitive compensation system that goes beyond base salary and includes for virtually all employees: quarterly profit-sharing bonuses; an extensive stock-based compensation program that extends to all eligible employees; an employee stock purchase plan; 401(k) plan (or other retirement plan for non-US employees) with Company matching; and tuition reimbursement. In keeping with the Company’s core principle of ownership mentality, compensation is structured throughout the organization so that employees win when all of stakeholders win. The Company also provides a healthy and safe climate-controlled work environment that includes an on-site wellness center and on-site health clinic at its headquarters. A number of health-related programs are available to employees, including: asthma/COPD management services; diabetes management; “Smart Health,” which gives employees and spouses a way to earn wellness credits; Gentex Cares+</w:t>
      </w:r>
    </w:p>
    <w:p>
      <w:pPr>
        <w:sectPr>
          <w:pgSz w:w="12240" w:h="15840" w:orient="portrait"/>
          <w:cols w:equalWidth="0" w:num="1">
            <w:col w:w="10760"/>
          </w:cols>
          <w:pgMar w:left="900" w:top="852" w:right="580" w:bottom="0" w:gutter="0" w:footer="0" w:header="0"/>
        </w:sectPr>
      </w:pPr>
    </w:p>
    <w:p>
      <w:pPr>
        <w:spacing w:after="0" w:line="214"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27</w:t>
      </w:r>
    </w:p>
    <w:p>
      <w:pPr>
        <w:sectPr>
          <w:pgSz w:w="12240" w:h="15840" w:orient="portrait"/>
          <w:cols w:equalWidth="0" w:num="1">
            <w:col w:w="10760"/>
          </w:cols>
          <w:pgMar w:left="900" w:top="852" w:right="580" w:bottom="0" w:gutter="0" w:footer="0" w:header="0"/>
          <w:type w:val="continuous"/>
        </w:sectPr>
      </w:pPr>
    </w:p>
    <w:bookmarkStart w:id="27" w:name="page28"/>
    <w:bookmarkEnd w:id="27"/>
    <w:p>
      <w:pPr>
        <w:ind w:left="320" w:right="60"/>
        <w:spacing w:after="0" w:line="381" w:lineRule="auto"/>
        <w:rPr>
          <w:sz w:val="20"/>
          <w:szCs w:val="20"/>
          <w:color w:val="auto"/>
        </w:rPr>
      </w:pPr>
      <w:r>
        <w:rPr>
          <w:rFonts w:ascii="Times New Roman" w:cs="Times New Roman" w:eastAsia="Times New Roman" w:hAnsi="Times New Roman"/>
          <w:sz w:val="18"/>
          <w:szCs w:val="18"/>
          <w:color w:val="262626"/>
        </w:rPr>
        <w:t>Employee Assistance Program; and crop share, which offers employees fresh fruits and vegetables weekly. The Company has also announced the creation of the Gentex Discovery Preschool, an on-site daycare and preschool designed to provide employees with convenient, cost-effective access to quality day care.</w:t>
      </w:r>
    </w:p>
    <w:p>
      <w:pPr>
        <w:spacing w:after="0" w:line="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262626"/>
        </w:rPr>
        <w:t>The Company is extremely proud of its workplace injury prevention programs, which have achieved workplace injury rates well below industry averages.</w:t>
      </w:r>
    </w:p>
    <w:p>
      <w:pPr>
        <w:spacing w:after="0" w:line="276" w:lineRule="exact"/>
        <w:rPr>
          <w:sz w:val="20"/>
          <w:szCs w:val="20"/>
          <w:color w:val="auto"/>
        </w:rPr>
      </w:pPr>
    </w:p>
    <w:p>
      <w:pPr>
        <w:ind w:left="320"/>
        <w:spacing w:after="0" w:line="362" w:lineRule="auto"/>
        <w:rPr>
          <w:sz w:val="20"/>
          <w:szCs w:val="20"/>
          <w:color w:val="auto"/>
        </w:rPr>
      </w:pPr>
      <w:r>
        <w:rPr>
          <w:rFonts w:ascii="Times New Roman" w:cs="Times New Roman" w:eastAsia="Times New Roman" w:hAnsi="Times New Roman"/>
          <w:sz w:val="18"/>
          <w:szCs w:val="18"/>
          <w:color w:val="262626"/>
        </w:rPr>
        <w:t>Evidence of the Company’s commitment to inclusion is its cultivation of a world-class diversity, equity &amp; inclusion (“DE&amp;I”) ethos that allows team members to make a lasting impact in the communities in which the Company operates, all while attracting and retaining diverse talent that can help propel the business forward. While the Company has an environment of equal employment opportunity related to recruitment, hiring, promotion, discipline, and other terms of employment, the commitment to have a skilled and diverse world class workforce goes beyond that.</w:t>
      </w:r>
    </w:p>
    <w:p>
      <w:pPr>
        <w:spacing w:after="0" w:line="52" w:lineRule="exact"/>
        <w:rPr>
          <w:sz w:val="20"/>
          <w:szCs w:val="20"/>
          <w:color w:val="auto"/>
        </w:rPr>
      </w:pPr>
    </w:p>
    <w:p>
      <w:pPr>
        <w:ind w:left="320"/>
        <w:spacing w:after="0" w:line="347" w:lineRule="auto"/>
        <w:rPr>
          <w:sz w:val="20"/>
          <w:szCs w:val="20"/>
          <w:color w:val="auto"/>
        </w:rPr>
      </w:pPr>
      <w:r>
        <w:rPr>
          <w:rFonts w:ascii="Times New Roman" w:cs="Times New Roman" w:eastAsia="Times New Roman" w:hAnsi="Times New Roman"/>
          <w:sz w:val="18"/>
          <w:szCs w:val="18"/>
          <w:color w:val="262626"/>
        </w:rPr>
        <w:t>The Company’s DE&amp;I initiatives are supported by its VP of Diversity, Equity, &amp; Inclusion and DE&amp;I Council, which helps implement specific diversity programs, supports internal training, and creates opportunities to spread awareness throughout the organization. The Company’s DE&amp;I Council is led by Mr. Joe Matthews, VP of Diversity, Equity, &amp; Inclusion and includes employees from many different parts of the Company. The Company’s DE&amp;I initiatives are further supported by the DE&amp;I Advisory Board, which is led by Mr. Matthews, and includes various executives, including the CEO, and members that are not employees of the Company. Mr. Matthews has been honored as a Salute to Diversity Winner by Corp! Magazine.</w:t>
      </w:r>
    </w:p>
    <w:p>
      <w:pPr>
        <w:spacing w:after="0" w:line="65" w:lineRule="exact"/>
        <w:rPr>
          <w:sz w:val="20"/>
          <w:szCs w:val="20"/>
          <w:color w:val="auto"/>
        </w:rPr>
      </w:pPr>
    </w:p>
    <w:p>
      <w:pPr>
        <w:ind w:left="320" w:right="120"/>
        <w:spacing w:after="0" w:line="377" w:lineRule="auto"/>
        <w:rPr>
          <w:sz w:val="20"/>
          <w:szCs w:val="20"/>
          <w:color w:val="auto"/>
        </w:rPr>
      </w:pPr>
      <w:r>
        <w:rPr>
          <w:rFonts w:ascii="Times New Roman" w:cs="Times New Roman" w:eastAsia="Times New Roman" w:hAnsi="Times New Roman"/>
          <w:sz w:val="17"/>
          <w:szCs w:val="17"/>
          <w:color w:val="262626"/>
        </w:rPr>
        <w:t>As a part of DE&amp;I initiatives, the Company maintains a growing list of business resource groups (“BRGs”) comprised of individuals with similar interests or backgrounds that work internally to support one another, develop leadership skills, and enhance cultural awareness. Among current BRGs are Women at Gentex and Veterans at Gentex. In 2022, Gentex also established a separate DE&amp;I council in Salt Lake City to serve the Company employees that work at the research and development office located there. This separate council has supported several organizations in the local Salt Lake City area, including supporting students from diverse backgrounds and sponsoring events to support global causes.</w:t>
      </w:r>
    </w:p>
    <w:p>
      <w:pPr>
        <w:spacing w:after="0" w:line="45" w:lineRule="exact"/>
        <w:rPr>
          <w:sz w:val="20"/>
          <w:szCs w:val="20"/>
          <w:color w:val="auto"/>
        </w:rPr>
      </w:pPr>
    </w:p>
    <w:p>
      <w:pPr>
        <w:jc w:val="both"/>
        <w:ind w:left="320" w:right="240"/>
        <w:spacing w:after="0" w:line="334" w:lineRule="auto"/>
        <w:rPr>
          <w:sz w:val="20"/>
          <w:szCs w:val="20"/>
          <w:color w:val="auto"/>
        </w:rPr>
      </w:pPr>
      <w:r>
        <w:rPr>
          <w:rFonts w:ascii="Times New Roman" w:cs="Times New Roman" w:eastAsia="Times New Roman" w:hAnsi="Times New Roman"/>
          <w:sz w:val="18"/>
          <w:szCs w:val="18"/>
          <w:color w:val="262626"/>
        </w:rPr>
        <w:t>DE&amp;I efforts at the Company extend to the supply base as well, where the Company been recognized for ongoing efforts to increase supplier relationships with certified minority, woman, veteran, and LGBTQ-owned enterprises. In fact, the Company mentors certain such suppliers to help them develop the business systems and technology improvements necessary to support future growth. The Company is a member</w:t>
      </w:r>
    </w:p>
    <w:p>
      <w:pPr>
        <w:jc w:val="both"/>
        <w:ind w:left="320" w:right="220"/>
        <w:spacing w:after="0" w:line="367" w:lineRule="auto"/>
        <w:rPr>
          <w:sz w:val="20"/>
          <w:szCs w:val="20"/>
          <w:color w:val="auto"/>
        </w:rPr>
      </w:pPr>
      <w:r>
        <w:rPr>
          <w:rFonts w:ascii="Times New Roman" w:cs="Times New Roman" w:eastAsia="Times New Roman" w:hAnsi="Times New Roman"/>
          <w:sz w:val="18"/>
          <w:szCs w:val="18"/>
          <w:color w:val="262626"/>
        </w:rPr>
        <w:t>of or otherwise involved in the Michigan Minority Supplier Development Council, Original Equipment Supplier’s Association - Diversity &amp; Inclusion, Board of Governors, Consumer Technology Association - D&amp;I Group, Michigan Diversity Connection, West Michigan Hispanic Chamber of Commerce, and the Great Lakes Women’s Business Council.</w:t>
      </w:r>
    </w:p>
    <w:p>
      <w:pPr>
        <w:spacing w:after="0" w:line="47" w:lineRule="exact"/>
        <w:rPr>
          <w:sz w:val="20"/>
          <w:szCs w:val="20"/>
          <w:color w:val="auto"/>
        </w:rPr>
      </w:pPr>
    </w:p>
    <w:p>
      <w:pPr>
        <w:ind w:left="320" w:right="40"/>
        <w:spacing w:after="0" w:line="371" w:lineRule="auto"/>
        <w:rPr>
          <w:sz w:val="20"/>
          <w:szCs w:val="20"/>
          <w:color w:val="auto"/>
        </w:rPr>
      </w:pPr>
      <w:r>
        <w:rPr>
          <w:rFonts w:ascii="Times New Roman" w:cs="Times New Roman" w:eastAsia="Times New Roman" w:hAnsi="Times New Roman"/>
          <w:sz w:val="17"/>
          <w:szCs w:val="17"/>
          <w:color w:val="262626"/>
        </w:rPr>
        <w:t>Hiring rates, voluntary and involuntary turnover rates, internal rates of hiring and promotion, and safety records are considered as measures of the Company’s success in human capital management. While hiring and diversity policies are in place as a means to remain on track in terms of appropriate human resources management, the DE&amp;I efforts have furthered the process of creating a welcoming environment so the Company can hire and retain the best people. The Company produces a Sustainability Report, referenced below, providing more information regarding diversity and corporate responsibility. In an effort to ensure an excellent and increasingly diverse employment base, the Company has added Spanish speaking manufacturing lines, which involves materials for recruiting, orientation, on-boarding, training, and work in the Spanish language.</w:t>
      </w:r>
    </w:p>
    <w:p>
      <w:pPr>
        <w:spacing w:after="0" w:line="47" w:lineRule="exact"/>
        <w:rPr>
          <w:sz w:val="20"/>
          <w:szCs w:val="20"/>
          <w:color w:val="auto"/>
        </w:rPr>
      </w:pPr>
    </w:p>
    <w:p>
      <w:pPr>
        <w:ind w:left="320" w:right="80"/>
        <w:spacing w:after="0" w:line="347" w:lineRule="auto"/>
        <w:rPr>
          <w:sz w:val="20"/>
          <w:szCs w:val="20"/>
          <w:color w:val="auto"/>
        </w:rPr>
      </w:pPr>
      <w:r>
        <w:rPr>
          <w:rFonts w:ascii="Times New Roman" w:cs="Times New Roman" w:eastAsia="Times New Roman" w:hAnsi="Times New Roman"/>
          <w:sz w:val="18"/>
          <w:szCs w:val="18"/>
          <w:color w:val="262626"/>
        </w:rPr>
        <w:t>The Company is the recipient of an EPIC Diversity Visionary Award presented by a local Chamber of Commerce. Moreover, the Company’s DE&amp;I efforts related to actively developing and using minority, women, and veteran-owned suppliers have been acknowledged and recognized by multiple original equipment manufacturer (“OEM”) customers. In fact, Toyota Motor Engineering &amp; Manufacturing North America, Inc. has specifically recognized the Company’s efforts over the last 10 years to increase supplier relationships with minority business enterprises. The Company has also won supplier diversity awards from Honda, Nissan, and Toyota, and was the City of Holland, Michigan’s Human Relations Commission 2020 Social Justice Award winner.</w:t>
      </w:r>
    </w:p>
    <w:p>
      <w:pPr>
        <w:spacing w:after="0" w:line="65" w:lineRule="exact"/>
        <w:rPr>
          <w:sz w:val="20"/>
          <w:szCs w:val="20"/>
          <w:color w:val="auto"/>
        </w:rPr>
      </w:pPr>
    </w:p>
    <w:p>
      <w:pPr>
        <w:ind w:left="320"/>
        <w:spacing w:after="0" w:line="343" w:lineRule="auto"/>
        <w:rPr>
          <w:sz w:val="20"/>
          <w:szCs w:val="20"/>
          <w:color w:val="auto"/>
        </w:rPr>
      </w:pPr>
      <w:r>
        <w:rPr>
          <w:rFonts w:ascii="Times New Roman" w:cs="Times New Roman" w:eastAsia="Times New Roman" w:hAnsi="Times New Roman"/>
          <w:sz w:val="18"/>
          <w:szCs w:val="18"/>
          <w:color w:val="262626"/>
        </w:rPr>
        <w:t>In 2022, the Company established the Gentex Foundation, which will provide financial grants to organizations across the country in support of economic development, children’s services, public health, housing assistance and diversity initiatives — among other causes. The Gentex Foundation is managed by a board of directors that will review grant applications with a particular focus on communities where Company employees live and work, consistent with the organization’s values of integrity, compassion, innovation and diversity. Employees are encouraged to organize on-site fundraisers and to spend time volunteering at worthy charitable organizations in addition to giving financially. Support is also provided to a number of minority organizations in keeping with the Company’s DE&amp;I efforts and to continue to build an even more diverse and skilled workforce.</w:t>
      </w:r>
    </w:p>
    <w:p>
      <w:pPr>
        <w:sectPr>
          <w:pgSz w:w="12240" w:h="15840" w:orient="portrait"/>
          <w:cols w:equalWidth="0" w:num="1">
            <w:col w:w="10760"/>
          </w:cols>
          <w:pgMar w:left="580" w:top="852" w:right="90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28</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60"/>
          </w:cols>
          <w:pgMar w:left="580" w:top="852" w:right="900" w:bottom="0" w:gutter="0" w:footer="0" w:header="0"/>
          <w:type w:val="continuous"/>
        </w:sectPr>
      </w:pPr>
    </w:p>
    <w:bookmarkStart w:id="28" w:name="page29"/>
    <w:bookmarkEnd w:id="28"/>
    <w:p>
      <w:pPr>
        <w:ind w:right="400"/>
        <w:spacing w:after="0" w:line="353" w:lineRule="auto"/>
        <w:rPr>
          <w:sz w:val="20"/>
          <w:szCs w:val="20"/>
          <w:color w:val="auto"/>
        </w:rPr>
      </w:pPr>
      <w:r>
        <w:rPr>
          <w:rFonts w:ascii="Times New Roman" w:cs="Times New Roman" w:eastAsia="Times New Roman" w:hAnsi="Times New Roman"/>
          <w:sz w:val="18"/>
          <w:szCs w:val="18"/>
          <w:color w:val="262626"/>
        </w:rPr>
        <w:t>The Company’s Board of Directors has regular touchpoints with management regarding: employee engagement; workforce planning (including capabilities and skills development); safety; understanding workforce demographics and DE&amp;I strategies; and corporate culture. The Board and management know that the right talent is required to implement the Company’s strategies. As such, the Board works with management appropriately regarding the approach to, and investment in, human capital that includes recruitment, talent development, retention, and diversity. The Board has access to all levels of employees in the Company in its efforts to properly oversee human resources and DE&amp;I issues.</w:t>
      </w:r>
    </w:p>
    <w:p>
      <w:pPr>
        <w:spacing w:after="0" w:line="58" w:lineRule="exact"/>
        <w:rPr>
          <w:sz w:val="20"/>
          <w:szCs w:val="20"/>
          <w:color w:val="auto"/>
        </w:rPr>
      </w:pPr>
    </w:p>
    <w:p>
      <w:pPr>
        <w:ind w:right="460"/>
        <w:spacing w:after="0" w:line="352" w:lineRule="auto"/>
        <w:rPr>
          <w:sz w:val="20"/>
          <w:szCs w:val="20"/>
          <w:color w:val="auto"/>
        </w:rPr>
      </w:pPr>
      <w:r>
        <w:rPr>
          <w:rFonts w:ascii="Times New Roman" w:cs="Times New Roman" w:eastAsia="Times New Roman" w:hAnsi="Times New Roman"/>
          <w:sz w:val="18"/>
          <w:szCs w:val="18"/>
          <w:color w:val="262626"/>
        </w:rPr>
        <w:t>The Company’s commitment to DE&amp;I is very apparent by the inclusiveness of the Board of Directors. The Board of Directors and the Nominating and Corporate Governance Committee have taken concrete actions to increase Board diversity, including use of various resources and environments to identify qualified and diverse director candidates. Such candidates are contacted and interviewed in order to continue to build an even more diverse, qualified, and capable Board. In the Company’s 2022 Proxy Statement, the Company disclosed Board of Directors diversity information as required by NASDAQ, and will continue to do so in the future.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The Board has also implemented a Complaint Submission and Handling Policy for concerns to be raised as needed.</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8F8F8F"/>
        </w:rPr>
        <w:t>Sustainability</w:t>
      </w:r>
    </w:p>
    <w:p>
      <w:pPr>
        <w:spacing w:after="0" w:line="189" w:lineRule="exact"/>
        <w:rPr>
          <w:sz w:val="20"/>
          <w:szCs w:val="20"/>
          <w:color w:val="auto"/>
        </w:rPr>
      </w:pPr>
    </w:p>
    <w:p>
      <w:pPr>
        <w:ind w:right="420"/>
        <w:spacing w:after="0" w:line="389" w:lineRule="auto"/>
        <w:rPr>
          <w:sz w:val="20"/>
          <w:szCs w:val="20"/>
          <w:color w:val="auto"/>
        </w:rPr>
      </w:pPr>
      <w:r>
        <w:rPr>
          <w:rFonts w:ascii="Arial" w:cs="Arial" w:eastAsia="Arial" w:hAnsi="Arial"/>
          <w:sz w:val="16"/>
          <w:szCs w:val="16"/>
          <w:b w:val="1"/>
          <w:bCs w:val="1"/>
          <w:color w:val="858585"/>
        </w:rPr>
        <w:t xml:space="preserve">DISCLOSURE ON WEBSITE. </w:t>
      </w:r>
      <w:r>
        <w:rPr>
          <w:rFonts w:ascii="Times New Roman" w:cs="Times New Roman" w:eastAsia="Times New Roman" w:hAnsi="Times New Roman"/>
          <w:sz w:val="17"/>
          <w:szCs w:val="17"/>
          <w:color w:val="262626"/>
        </w:rPr>
        <w:t>The Company has a Sustainability section of its website (</w:t>
      </w:r>
      <w:r>
        <w:rPr>
          <w:rFonts w:ascii="Times New Roman" w:cs="Times New Roman" w:eastAsia="Times New Roman" w:hAnsi="Times New Roman"/>
          <w:sz w:val="17"/>
          <w:szCs w:val="17"/>
          <w:u w:val="single" w:color="auto"/>
          <w:color w:val="8F8F8F"/>
        </w:rPr>
        <w:t>https://www.gentex.com/about/sustainability</w:t>
      </w:r>
      <w:r>
        <w:rPr>
          <w:rFonts w:ascii="Times New Roman" w:cs="Times New Roman" w:eastAsia="Times New Roman" w:hAnsi="Times New Roman"/>
          <w:sz w:val="17"/>
          <w:szCs w:val="17"/>
          <w:color w:val="262626"/>
        </w:rPr>
        <w:t>) to provide</w:t>
      </w:r>
      <w:r>
        <w:rPr>
          <w:rFonts w:ascii="Arial" w:cs="Arial" w:eastAsia="Arial" w:hAnsi="Arial"/>
          <w:sz w:val="16"/>
          <w:szCs w:val="16"/>
          <w:b w:val="1"/>
          <w:bCs w:val="1"/>
          <w:color w:val="858585"/>
        </w:rPr>
        <w:t xml:space="preserve"> </w:t>
      </w:r>
      <w:r>
        <w:rPr>
          <w:rFonts w:ascii="Times New Roman" w:cs="Times New Roman" w:eastAsia="Times New Roman" w:hAnsi="Times New Roman"/>
          <w:sz w:val="17"/>
          <w:szCs w:val="17"/>
          <w:color w:val="262626"/>
        </w:rPr>
        <w:t>insight into how the Company is committed to protecting the environment by complying with all environmental laws and related requirements, while at the same time striving for continual improvement in sustainability and environmental performance. The Company’s Sustainability Report, published each year and available on the Company’s website, provides significant details regarding the Company’s approach to sustainability.</w:t>
      </w:r>
    </w:p>
    <w:p>
      <w:pPr>
        <w:spacing w:after="0" w:line="30" w:lineRule="exact"/>
        <w:rPr>
          <w:sz w:val="20"/>
          <w:szCs w:val="20"/>
          <w:color w:val="auto"/>
        </w:rPr>
      </w:pPr>
    </w:p>
    <w:p>
      <w:pPr>
        <w:ind w:right="340"/>
        <w:spacing w:after="0" w:line="427" w:lineRule="auto"/>
        <w:rPr>
          <w:sz w:val="20"/>
          <w:szCs w:val="20"/>
          <w:color w:val="auto"/>
        </w:rPr>
      </w:pPr>
      <w:r>
        <w:rPr>
          <w:rFonts w:ascii="Arial" w:cs="Arial" w:eastAsia="Arial" w:hAnsi="Arial"/>
          <w:sz w:val="17"/>
          <w:szCs w:val="17"/>
          <w:b w:val="1"/>
          <w:bCs w:val="1"/>
          <w:color w:val="858585"/>
        </w:rPr>
        <w:t xml:space="preserve">GENERAL. </w:t>
      </w:r>
      <w:r>
        <w:rPr>
          <w:rFonts w:ascii="Times New Roman" w:cs="Times New Roman" w:eastAsia="Times New Roman" w:hAnsi="Times New Roman"/>
          <w:sz w:val="18"/>
          <w:szCs w:val="18"/>
          <w:color w:val="262626"/>
        </w:rPr>
        <w:t>The Company makes intentional decisions that reflect the desire to be responsible with all resources and achieve the Company’s goal</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of meaningful change.</w:t>
      </w:r>
    </w:p>
    <w:p>
      <w:pPr>
        <w:spacing w:after="0" w:line="1" w:lineRule="exact"/>
        <w:rPr>
          <w:sz w:val="20"/>
          <w:szCs w:val="20"/>
          <w:color w:val="auto"/>
        </w:rPr>
      </w:pPr>
    </w:p>
    <w:p>
      <w:pPr>
        <w:ind w:right="640"/>
        <w:spacing w:after="0" w:line="381" w:lineRule="auto"/>
        <w:rPr>
          <w:sz w:val="20"/>
          <w:szCs w:val="20"/>
          <w:color w:val="auto"/>
        </w:rPr>
      </w:pPr>
      <w:r>
        <w:rPr>
          <w:rFonts w:ascii="Arial" w:cs="Arial" w:eastAsia="Arial" w:hAnsi="Arial"/>
          <w:sz w:val="17"/>
          <w:szCs w:val="17"/>
          <w:b w:val="1"/>
          <w:bCs w:val="1"/>
          <w:color w:val="858585"/>
        </w:rPr>
        <w:t xml:space="preserve">ENERGY AND CLIMATE CHANGE. </w:t>
      </w:r>
      <w:r>
        <w:rPr>
          <w:rFonts w:ascii="Times New Roman" w:cs="Times New Roman" w:eastAsia="Times New Roman" w:hAnsi="Times New Roman"/>
          <w:sz w:val="18"/>
          <w:szCs w:val="18"/>
          <w:color w:val="262626"/>
        </w:rPr>
        <w:t>The Company understands that energy use and manufacturing are large contributors of the Company’s</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overall greenhouse gas emissions. As such, the Company remains committed to improving energy-efficiency. To that end, the Company has announced to the following carbon reduction and neutrality goals:</w:t>
      </w:r>
    </w:p>
    <w:p>
      <w:pPr>
        <w:spacing w:after="0" w:line="21" w:lineRule="exact"/>
        <w:rPr>
          <w:sz w:val="20"/>
          <w:szCs w:val="20"/>
          <w:color w:val="auto"/>
        </w:rPr>
      </w:pPr>
    </w:p>
    <w:p>
      <w:pPr>
        <w:jc w:val="both"/>
        <w:ind w:left="720" w:right="7720"/>
        <w:spacing w:after="0" w:line="454" w:lineRule="auto"/>
        <w:rPr>
          <w:sz w:val="20"/>
          <w:szCs w:val="20"/>
          <w:color w:val="auto"/>
        </w:rPr>
      </w:pPr>
      <w:r>
        <w:rPr>
          <w:rFonts w:ascii="Times New Roman" w:cs="Times New Roman" w:eastAsia="Times New Roman" w:hAnsi="Times New Roman"/>
          <w:sz w:val="17"/>
          <w:szCs w:val="17"/>
          <w:color w:val="262626"/>
        </w:rPr>
        <w:t>By 2026, 15% below 2020 levels By 2031, 40% below 2020 levels</w:t>
      </w:r>
    </w:p>
    <w:p>
      <w:pPr>
        <w:ind w:left="720" w:right="7720"/>
        <w:spacing w:after="0" w:line="517" w:lineRule="auto"/>
        <w:rPr>
          <w:sz w:val="20"/>
          <w:szCs w:val="20"/>
          <w:color w:val="auto"/>
        </w:rPr>
      </w:pPr>
      <w:r>
        <w:rPr>
          <w:rFonts w:ascii="Times New Roman" w:cs="Times New Roman" w:eastAsia="Times New Roman" w:hAnsi="Times New Roman"/>
          <w:sz w:val="17"/>
          <w:szCs w:val="17"/>
          <w:color w:val="262626"/>
        </w:rPr>
        <w:t>By 2041, 70% below 2020 levels By 2049, carbon neutrality</w:t>
      </w:r>
    </w:p>
    <w:p>
      <w:pPr>
        <w:spacing w:after="0" w:line="1" w:lineRule="exact"/>
        <w:rPr>
          <w:sz w:val="20"/>
          <w:szCs w:val="20"/>
          <w:color w:val="auto"/>
        </w:rPr>
      </w:pPr>
    </w:p>
    <w:p>
      <w:pPr>
        <w:ind w:right="420"/>
        <w:spacing w:after="0" w:line="353" w:lineRule="auto"/>
        <w:rPr>
          <w:sz w:val="20"/>
          <w:szCs w:val="20"/>
          <w:color w:val="auto"/>
        </w:rPr>
      </w:pPr>
      <w:r>
        <w:rPr>
          <w:rFonts w:ascii="Times New Roman" w:cs="Times New Roman" w:eastAsia="Times New Roman" w:hAnsi="Times New Roman"/>
          <w:sz w:val="18"/>
          <w:szCs w:val="18"/>
          <w:color w:val="262626"/>
        </w:rPr>
        <w:t>The Company implements efficient alternatives for capital equipment, uses automated building management systems to use less energy, and has put in place extremely efficient lighting and HVAC equipment. The Company also participates in the local Energy Smart Program, which promotes the implementation of progressive energy efficiency projects, including achieving the maximum goal possible for lighting and HVAC improvements, compressed air leak audits, and building control systems. The Company also converted one of its manufacturing facilities to be powered entirely by renewable energy in 2022.</w:t>
      </w:r>
    </w:p>
    <w:p>
      <w:pPr>
        <w:spacing w:after="0" w:line="56" w:lineRule="exact"/>
        <w:rPr>
          <w:sz w:val="20"/>
          <w:szCs w:val="20"/>
          <w:color w:val="auto"/>
        </w:rPr>
      </w:pPr>
    </w:p>
    <w:p>
      <w:pPr>
        <w:ind w:right="340"/>
        <w:spacing w:after="0" w:line="350" w:lineRule="auto"/>
        <w:rPr>
          <w:sz w:val="20"/>
          <w:szCs w:val="20"/>
          <w:color w:val="auto"/>
        </w:rPr>
      </w:pPr>
      <w:r>
        <w:rPr>
          <w:rFonts w:ascii="Arial" w:cs="Arial" w:eastAsia="Arial" w:hAnsi="Arial"/>
          <w:sz w:val="16"/>
          <w:szCs w:val="16"/>
          <w:b w:val="1"/>
          <w:bCs w:val="1"/>
          <w:color w:val="858585"/>
        </w:rPr>
        <w:t xml:space="preserve">GENTEX ENVIRONMENTAL MANAGEMENT SYSTEM (GEMS). </w:t>
      </w:r>
      <w:r>
        <w:rPr>
          <w:rFonts w:ascii="Times New Roman" w:cs="Times New Roman" w:eastAsia="Times New Roman" w:hAnsi="Times New Roman"/>
          <w:sz w:val="17"/>
          <w:szCs w:val="17"/>
          <w:color w:val="262626"/>
        </w:rPr>
        <w:t>The Company’s environmental management system is based on ISO 14001</w:t>
      </w:r>
      <w:r>
        <w:rPr>
          <w:rFonts w:ascii="Arial" w:cs="Arial" w:eastAsia="Arial" w:hAnsi="Arial"/>
          <w:sz w:val="16"/>
          <w:szCs w:val="16"/>
          <w:b w:val="1"/>
          <w:bCs w:val="1"/>
          <w:color w:val="858585"/>
        </w:rPr>
        <w:t xml:space="preserve"> </w:t>
      </w:r>
      <w:r>
        <w:rPr>
          <w:rFonts w:ascii="Times New Roman" w:cs="Times New Roman" w:eastAsia="Times New Roman" w:hAnsi="Times New Roman"/>
          <w:sz w:val="17"/>
          <w:szCs w:val="17"/>
          <w:color w:val="262626"/>
        </w:rPr>
        <w:t>(international environmental standard). This system governs environmental performance by addressing the impact of the Company’s activities, products, and services on the environment. At each Company facility, environmental impact is measured and improved upon annually by eliminating waste and emissions, maximizing efficiency of processes and resources, and increased recycling and reuse. The foregoing has allowed the Company to establish long-term measures for minimizing the negative effects on the environment, while maximizing positive outputs</w:t>
      </w:r>
    </w:p>
    <w:p>
      <w:pPr>
        <w:spacing w:after="0" w:line="1" w:lineRule="exact"/>
        <w:rPr>
          <w:sz w:val="20"/>
          <w:szCs w:val="20"/>
          <w:color w:val="auto"/>
        </w:rPr>
      </w:pPr>
    </w:p>
    <w:p>
      <w:pPr>
        <w:ind w:right="580"/>
        <w:spacing w:after="0" w:line="367" w:lineRule="auto"/>
        <w:rPr>
          <w:sz w:val="20"/>
          <w:szCs w:val="20"/>
          <w:color w:val="auto"/>
        </w:rPr>
      </w:pPr>
      <w:r>
        <w:rPr>
          <w:rFonts w:ascii="Times New Roman" w:cs="Times New Roman" w:eastAsia="Times New Roman" w:hAnsi="Times New Roman"/>
          <w:sz w:val="18"/>
          <w:szCs w:val="18"/>
          <w:color w:val="262626"/>
        </w:rPr>
        <w:t>for the communities in which the Company operates. Various metrics are tracked to gauge the environmental performance of the Company’s facilities, including: electricity use; process water use; natural gas use; VOC air emissions; and greenhouse gas emissions (both those directly controlled and those from electricity usage).</w:t>
      </w: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29</w:t>
      </w:r>
    </w:p>
    <w:p>
      <w:pPr>
        <w:sectPr>
          <w:pgSz w:w="12240" w:h="15840" w:orient="portrait"/>
          <w:cols w:equalWidth="0" w:num="1">
            <w:col w:w="10760"/>
          </w:cols>
          <w:pgMar w:left="900" w:top="852" w:right="580" w:bottom="0" w:gutter="0" w:footer="0" w:header="0"/>
          <w:type w:val="continuous"/>
        </w:sectPr>
      </w:pPr>
    </w:p>
    <w:bookmarkStart w:id="29" w:name="page30"/>
    <w:bookmarkEnd w:id="29"/>
    <w:p>
      <w:pPr>
        <w:ind w:left="320" w:right="60"/>
        <w:spacing w:after="0" w:line="421" w:lineRule="auto"/>
        <w:rPr>
          <w:sz w:val="20"/>
          <w:szCs w:val="20"/>
          <w:color w:val="auto"/>
        </w:rPr>
      </w:pPr>
      <w:r>
        <w:rPr>
          <w:rFonts w:ascii="Arial" w:cs="Arial" w:eastAsia="Arial" w:hAnsi="Arial"/>
          <w:sz w:val="17"/>
          <w:szCs w:val="17"/>
          <w:b w:val="1"/>
          <w:bCs w:val="1"/>
          <w:color w:val="858585"/>
        </w:rPr>
        <w:t xml:space="preserve">WASTE AND RECYCLING. </w:t>
      </w:r>
      <w:r>
        <w:rPr>
          <w:rFonts w:ascii="Times New Roman" w:cs="Times New Roman" w:eastAsia="Times New Roman" w:hAnsi="Times New Roman"/>
          <w:sz w:val="18"/>
          <w:szCs w:val="18"/>
          <w:color w:val="262626"/>
        </w:rPr>
        <w:t>The Company also has robust waste and recycling strategies, tracking solid waste to landfill, solid waste recycled, and</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regulated waste. As a part of its strategies, the Company has committed to the following landfill avoidance goals:</w:t>
      </w:r>
    </w:p>
    <w:p>
      <w:pPr>
        <w:ind w:left="1040" w:right="7280"/>
        <w:spacing w:after="0" w:line="485" w:lineRule="auto"/>
        <w:rPr>
          <w:sz w:val="20"/>
          <w:szCs w:val="20"/>
          <w:color w:val="auto"/>
        </w:rPr>
      </w:pPr>
      <w:r>
        <w:rPr>
          <w:rFonts w:ascii="Times New Roman" w:cs="Times New Roman" w:eastAsia="Times New Roman" w:hAnsi="Times New Roman"/>
          <w:sz w:val="17"/>
          <w:szCs w:val="17"/>
          <w:color w:val="262626"/>
        </w:rPr>
        <w:t>By 2026, 20% below 2020 levels By 2031, 60% below 2020 levels By 2041, 90% below 2020 levels By 2045, 100% zero landfill waste</w:t>
      </w:r>
    </w:p>
    <w:p>
      <w:pPr>
        <w:spacing w:after="0" w:line="1" w:lineRule="exact"/>
        <w:rPr>
          <w:sz w:val="20"/>
          <w:szCs w:val="20"/>
          <w:color w:val="auto"/>
        </w:rPr>
      </w:pPr>
    </w:p>
    <w:p>
      <w:pPr>
        <w:ind w:left="320"/>
        <w:spacing w:after="0" w:line="333" w:lineRule="auto"/>
        <w:rPr>
          <w:sz w:val="20"/>
          <w:szCs w:val="20"/>
          <w:color w:val="auto"/>
        </w:rPr>
      </w:pPr>
      <w:r>
        <w:rPr>
          <w:rFonts w:ascii="Arial" w:cs="Arial" w:eastAsia="Arial" w:hAnsi="Arial"/>
          <w:sz w:val="17"/>
          <w:szCs w:val="17"/>
          <w:b w:val="1"/>
          <w:bCs w:val="1"/>
          <w:color w:val="858585"/>
        </w:rPr>
        <w:t xml:space="preserve">INITIATIVES. </w:t>
      </w:r>
      <w:r>
        <w:rPr>
          <w:rFonts w:ascii="Times New Roman" w:cs="Times New Roman" w:eastAsia="Times New Roman" w:hAnsi="Times New Roman"/>
          <w:sz w:val="18"/>
          <w:szCs w:val="18"/>
          <w:color w:val="262626"/>
        </w:rPr>
        <w:t>With respect to sustainability initiatives, the Company has undertaken a number of actions related to energy, waste stewardship,</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water management, and environmental protection. Regarding energy, the Company: utilizes software-managed and occupancy-sensor controlled lighting in all facilities; has air economizers and energy recovery units in HVAC systems; utilizes energy efficient fluorescent lighting; has certain white material roofs to reflect sunlight; has insulated metal panel systems for exterior walls (for energy efficiency); captures excess heat from compressed air systems and uses it to preheat/temper water used in production; takes excess water from production processes to use in boiler/snow melt water; and installed a centralized water chiller plant to lower energy use. Regarding waste stewardship, the Company improved its cleaning method for certain products to reduce material usage preventing thousands of pounds of additional waste material and uses recycled materials in facility carpets. In terms of waste management, the Company: put in place a water recovery system that significantly reduced overall water usage; collects storm water to reduce discharge into municipal drain systems; implemented irrigation software to monitor weather conditions thereby reducing water consumption; and diligently works to monitor and reduce potential pollutants in its facilities. In terms of environmental protection, the Company has: integrated “green roofs”; adopted a highway to clean waste from public lands; constructed wetland and wildlife habitat areas; and acquired property which includes natural wetlands. As regards transportation, the Company maintains: 22 electric vehicle charging stations; a bicycle fleet for travel between facilities; a bus shelter to encourage bus ridership; and Sweed banding choppers at certain facilities to reduce frequency of trips to recycling.</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Available Information</w:t>
      </w:r>
    </w:p>
    <w:p>
      <w:pPr>
        <w:spacing w:after="0" w:line="191" w:lineRule="exact"/>
        <w:rPr>
          <w:sz w:val="20"/>
          <w:szCs w:val="20"/>
          <w:color w:val="auto"/>
        </w:rPr>
      </w:pPr>
    </w:p>
    <w:p>
      <w:pPr>
        <w:ind w:left="320" w:right="40"/>
        <w:spacing w:after="0" w:line="352" w:lineRule="auto"/>
        <w:rPr>
          <w:sz w:val="20"/>
          <w:szCs w:val="20"/>
          <w:color w:val="auto"/>
        </w:rPr>
      </w:pPr>
      <w:r>
        <w:rPr>
          <w:rFonts w:ascii="Times New Roman" w:cs="Times New Roman" w:eastAsia="Times New Roman" w:hAnsi="Times New Roman"/>
          <w:sz w:val="18"/>
          <w:szCs w:val="18"/>
          <w:color w:val="262626"/>
        </w:rPr>
        <w:t>The Company’s Annual Report on Form 10-K, quarterly reports on Form 10-Q, current reports on Form 8-K, and all amendments to those reports, will be made available, free of charge, through the Investor Information section of the Company’s website (</w:t>
      </w:r>
      <w:r>
        <w:rPr>
          <w:rFonts w:ascii="Times New Roman" w:cs="Times New Roman" w:eastAsia="Times New Roman" w:hAnsi="Times New Roman"/>
          <w:sz w:val="18"/>
          <w:szCs w:val="18"/>
          <w:u w:val="single" w:color="auto"/>
          <w:color w:val="8F8F8F"/>
        </w:rPr>
        <w:t>http://ir.gentex.com</w:t>
      </w:r>
      <w:r>
        <w:rPr>
          <w:rFonts w:ascii="Times New Roman" w:cs="Times New Roman" w:eastAsia="Times New Roman" w:hAnsi="Times New Roman"/>
          <w:sz w:val="18"/>
          <w:szCs w:val="18"/>
          <w:color w:val="262626"/>
        </w:rPr>
        <w:t>) as soon as practicable after such materials are electronically filed with or furnished to the Securities and Exchange Commission (“SEC”). The SEC maintains a website (http://www.sec.gov) that contains reports, proxy and information statements, and other information regarding issues that a company files electronically with the SEC.</w:t>
      </w:r>
    </w:p>
    <w:p>
      <w:pPr>
        <w:spacing w:after="0" w:line="200" w:lineRule="exact"/>
        <w:rPr>
          <w:sz w:val="20"/>
          <w:szCs w:val="20"/>
          <w:color w:val="auto"/>
        </w:rPr>
      </w:pPr>
    </w:p>
    <w:p>
      <w:pPr>
        <w:spacing w:after="0" w:line="202" w:lineRule="exact"/>
        <w:rPr>
          <w:sz w:val="20"/>
          <w:szCs w:val="20"/>
          <w:color w:val="auto"/>
        </w:rPr>
      </w:pPr>
    </w:p>
    <w:p>
      <w:pPr>
        <w:ind w:left="320"/>
        <w:spacing w:after="0"/>
        <w:rPr>
          <w:sz w:val="20"/>
          <w:szCs w:val="20"/>
          <w:color w:val="auto"/>
        </w:rPr>
      </w:pPr>
      <w:r>
        <w:rPr>
          <w:rFonts w:ascii="Arial" w:cs="Arial" w:eastAsia="Arial" w:hAnsi="Arial"/>
          <w:sz w:val="32"/>
          <w:szCs w:val="32"/>
          <w:color w:val="838383"/>
        </w:rPr>
        <w:t xml:space="preserve">Item 1A. </w:t>
      </w:r>
      <w:r>
        <w:rPr>
          <w:rFonts w:ascii="Arial" w:cs="Arial" w:eastAsia="Arial" w:hAnsi="Arial"/>
          <w:sz w:val="32"/>
          <w:szCs w:val="32"/>
          <w:color w:val="262626"/>
        </w:rPr>
        <w:t>Risk Factors.</w:t>
      </w:r>
    </w:p>
    <w:p>
      <w:pPr>
        <w:spacing w:after="0" w:line="214" w:lineRule="exact"/>
        <w:rPr>
          <w:sz w:val="20"/>
          <w:szCs w:val="20"/>
          <w:color w:val="auto"/>
        </w:rPr>
      </w:pPr>
    </w:p>
    <w:p>
      <w:pPr>
        <w:ind w:left="320"/>
        <w:spacing w:after="0" w:line="352" w:lineRule="auto"/>
        <w:rPr>
          <w:sz w:val="20"/>
          <w:szCs w:val="20"/>
          <w:color w:val="auto"/>
        </w:rPr>
      </w:pPr>
      <w:r>
        <w:rPr>
          <w:rFonts w:ascii="Arial" w:cs="Arial" w:eastAsia="Arial" w:hAnsi="Arial"/>
          <w:sz w:val="16"/>
          <w:szCs w:val="16"/>
          <w:b w:val="1"/>
          <w:bCs w:val="1"/>
          <w:color w:val="858585"/>
        </w:rPr>
        <w:t xml:space="preserve">SAFE HARBOR FOR FORWARD-LOOKING STATEMENTS. </w:t>
      </w:r>
      <w:r>
        <w:rPr>
          <w:rFonts w:ascii="Times New Roman" w:cs="Times New Roman" w:eastAsia="Times New Roman" w:hAnsi="Times New Roman"/>
          <w:sz w:val="17"/>
          <w:szCs w:val="17"/>
          <w:color w:val="262626"/>
        </w:rPr>
        <w:t>This Annual Report on Form 10-K contains forward-looking statements within the</w:t>
      </w:r>
      <w:r>
        <w:rPr>
          <w:rFonts w:ascii="Arial" w:cs="Arial" w:eastAsia="Arial" w:hAnsi="Arial"/>
          <w:sz w:val="16"/>
          <w:szCs w:val="16"/>
          <w:b w:val="1"/>
          <w:bCs w:val="1"/>
          <w:color w:val="858585"/>
        </w:rPr>
        <w:t xml:space="preserve"> </w:t>
      </w:r>
      <w:r>
        <w:rPr>
          <w:rFonts w:ascii="Times New Roman" w:cs="Times New Roman" w:eastAsia="Times New Roman" w:hAnsi="Times New Roman"/>
          <w:sz w:val="17"/>
          <w:szCs w:val="17"/>
          <w:color w:val="262626"/>
        </w:rPr>
        <w:t>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“future,” “goal,” “guidance,” “hope,” “intend,” “may,” “opinion,” “optimistic,” “plan,” “poised,” “predict,” “project,” “should,” “strategy,” “target,” “will,” “work to,”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including the impact of inflation; changes in consumer and customer preferences 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w:t>
      </w:r>
    </w:p>
    <w:p>
      <w:pPr>
        <w:sectPr>
          <w:pgSz w:w="12240" w:h="15840" w:orient="portrait"/>
          <w:cols w:equalWidth="0" w:num="1">
            <w:col w:w="10760"/>
          </w:cols>
          <w:pgMar w:left="580" w:top="850" w:right="900" w:bottom="0" w:gutter="0" w:footer="0" w:header="0"/>
        </w:sectPr>
      </w:pPr>
    </w:p>
    <w:p>
      <w:pPr>
        <w:spacing w:after="0" w:line="208"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30</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60"/>
          </w:cols>
          <w:pgMar w:left="580" w:top="850" w:right="90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262626"/>
        </w:rPr>
        <w:t>claims; changes in tax laws; import and export duty and tariff rates in or with the countries with which we conduct business; negative impact</w:t>
      </w:r>
    </w:p>
    <w:p>
      <w:pPr>
        <w:spacing w:after="0" w:line="97" w:lineRule="exact"/>
        <w:rPr>
          <w:sz w:val="20"/>
          <w:szCs w:val="20"/>
          <w:color w:val="auto"/>
        </w:rPr>
      </w:pPr>
    </w:p>
    <w:p>
      <w:pPr>
        <w:ind w:right="400"/>
        <w:spacing w:after="0" w:line="395" w:lineRule="auto"/>
        <w:rPr>
          <w:sz w:val="20"/>
          <w:szCs w:val="20"/>
          <w:color w:val="auto"/>
        </w:rPr>
      </w:pPr>
      <w:r>
        <w:rPr>
          <w:rFonts w:ascii="Times New Roman" w:cs="Times New Roman" w:eastAsia="Times New Roman" w:hAnsi="Times New Roman"/>
          <w:sz w:val="17"/>
          <w:szCs w:val="17"/>
          <w:color w:val="262626"/>
        </w:rPr>
        <w:t>of any governmental investigations and associated litigation including securities litigation relating to the conduct of our business; and the length and severity of the COVID-19 (coronavirus) pandemic, including its impact across our business on demand, operations, and the global supply chain. Readers are cautioned not to place undue reliance on these forward-looking statements, which speak only as of the date they are made.</w:t>
      </w:r>
    </w:p>
    <w:p>
      <w:pPr>
        <w:spacing w:after="0" w:line="31" w:lineRule="exact"/>
        <w:rPr>
          <w:sz w:val="20"/>
          <w:szCs w:val="20"/>
          <w:color w:val="auto"/>
        </w:rPr>
      </w:pPr>
    </w:p>
    <w:p>
      <w:pPr>
        <w:ind w:right="420"/>
        <w:spacing w:after="0" w:line="343" w:lineRule="auto"/>
        <w:rPr>
          <w:sz w:val="20"/>
          <w:szCs w:val="20"/>
          <w:color w:val="auto"/>
        </w:rPr>
      </w:pPr>
      <w:r>
        <w:rPr>
          <w:rFonts w:ascii="Times New Roman" w:cs="Times New Roman" w:eastAsia="Times New Roman" w:hAnsi="Times New Roman"/>
          <w:sz w:val="18"/>
          <w:szCs w:val="18"/>
          <w:color w:val="262626"/>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now include the impacts of COVID-19 (coronavirus) pandemic and supply chain constraints that have affected, are affecting, and will continue to affect, general economic and industry conditions, customers, suppliers, and the regulatory environment in which the Company operates. Includes content supplied by S&amp;P Global Mobility / IHS Markit Light Vehicle Production Forecast (</w:t>
      </w:r>
      <w:r>
        <w:rPr>
          <w:rFonts w:ascii="Times New Roman" w:cs="Times New Roman" w:eastAsia="Times New Roman" w:hAnsi="Times New Roman"/>
          <w:sz w:val="18"/>
          <w:szCs w:val="18"/>
          <w:u w:val="single" w:color="auto"/>
          <w:color w:val="8F8F8F"/>
        </w:rPr>
        <w:t>gentex.com/forecast-disclaimer</w:t>
      </w:r>
      <w:r>
        <w:rPr>
          <w:rFonts w:ascii="Times New Roman" w:cs="Times New Roman" w:eastAsia="Times New Roman" w:hAnsi="Times New Roman"/>
          <w:sz w:val="18"/>
          <w:szCs w:val="18"/>
          <w:color w:val="262626"/>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The following risk factors, together with all other information provided in this Annual Report on Form 10-K should be carefully considered.</w:t>
      </w:r>
    </w:p>
    <w:p>
      <w:pPr>
        <w:spacing w:after="0" w:line="250" w:lineRule="exact"/>
        <w:rPr>
          <w:sz w:val="20"/>
          <w:szCs w:val="20"/>
          <w:color w:val="auto"/>
        </w:rPr>
      </w:pPr>
    </w:p>
    <w:p>
      <w:pPr>
        <w:ind w:right="320"/>
        <w:spacing w:after="0" w:line="334" w:lineRule="auto"/>
        <w:rPr>
          <w:sz w:val="20"/>
          <w:szCs w:val="20"/>
          <w:color w:val="auto"/>
        </w:rPr>
      </w:pPr>
      <w:r>
        <w:rPr>
          <w:rFonts w:ascii="Arial" w:cs="Arial" w:eastAsia="Arial" w:hAnsi="Arial"/>
          <w:sz w:val="17"/>
          <w:szCs w:val="17"/>
          <w:b w:val="1"/>
          <w:bCs w:val="1"/>
          <w:color w:val="858585"/>
        </w:rPr>
        <w:t xml:space="preserve">AUTOMOTIVE INDUSTRY. </w:t>
      </w:r>
      <w:r>
        <w:rPr>
          <w:rFonts w:ascii="Times New Roman" w:cs="Times New Roman" w:eastAsia="Times New Roman" w:hAnsi="Times New Roman"/>
          <w:sz w:val="18"/>
          <w:szCs w:val="18"/>
          <w:color w:val="262626"/>
        </w:rPr>
        <w:t>Customers within the auto industry comprise approximately 97% of our net sales. The automotive industry has</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always been cyclical and highly impacted by levels of economic activity. The current economic environment, including inflation, continues to be uncertain, and continues to cause financial and production stresses evidenced by volatile automotive production levels, volatility with customer orders, supplier part and material shortages (especially electronics components), automotive and Tier 1 supplier plant shutdowns, customer and supplier financial issues, commodity raw material cost increases, supply constraints, tariffs, consumer vehicle preference shifts (where we have a lower penetration rate and lower content per vehicle), and supply chain stresses, all of which have been exacerbated by the COVID-19 pandemic and the fallout therefrom. If automotive customers (including their Tier 1 suppliers) and suppliers experience significant plant shutdowns, work stoppages, strikes, part shortages, etc., it will further disrupt our shipments to these customers, which could adversely affect our business, financial condition, and/or results of operations. Automakers continue to experience volatility and uncertainty in executing planned new programs on time, due in part to continued vehicle complexity increases and supply chain constraints. This brings increased risk of delays or cancellations of new vehicle platforms, package configurations, and inaccurate volume forecasts. This makes it challenging for us to forecast future sales and manage costs, inventory, capital, engineering, research and development, and human resource investments, in addition to the aforementioned factors.</w:t>
      </w:r>
    </w:p>
    <w:p>
      <w:pPr>
        <w:spacing w:after="0" w:line="73" w:lineRule="exact"/>
        <w:rPr>
          <w:sz w:val="20"/>
          <w:szCs w:val="20"/>
          <w:color w:val="auto"/>
        </w:rPr>
      </w:pPr>
    </w:p>
    <w:p>
      <w:pPr>
        <w:ind w:right="400"/>
        <w:spacing w:after="0" w:line="362" w:lineRule="auto"/>
        <w:rPr>
          <w:sz w:val="20"/>
          <w:szCs w:val="20"/>
          <w:color w:val="auto"/>
        </w:rPr>
      </w:pPr>
      <w:r>
        <w:rPr>
          <w:rFonts w:ascii="Arial" w:cs="Arial" w:eastAsia="Arial" w:hAnsi="Arial"/>
          <w:sz w:val="17"/>
          <w:szCs w:val="17"/>
          <w:b w:val="1"/>
          <w:bCs w:val="1"/>
          <w:color w:val="858585"/>
        </w:rPr>
        <w:t xml:space="preserve">KEY CUSTOMERS. </w:t>
      </w:r>
      <w:r>
        <w:rPr>
          <w:rFonts w:ascii="Times New Roman" w:cs="Times New Roman" w:eastAsia="Times New Roman" w:hAnsi="Times New Roman"/>
          <w:sz w:val="18"/>
          <w:szCs w:val="18"/>
          <w:color w:val="262626"/>
        </w:rPr>
        <w:t>We have a number of large customers, including three automotive customers which each account for 10% or more of our</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annual net sales in 2022 (including direct sales to OEM customers and sales through their Tier 1 suppliers): Volkswagen Group, Toyota Motor Company, and General Motors. The loss of all or a substantial portion of the sales to, or decreases in production by, any of these customers (or certain other significant customers) could have a material adverse effect on our business, financial condition, and/or results of operations.</w:t>
      </w:r>
    </w:p>
    <w:p>
      <w:pPr>
        <w:spacing w:after="0" w:line="49" w:lineRule="exact"/>
        <w:rPr>
          <w:sz w:val="20"/>
          <w:szCs w:val="20"/>
          <w:color w:val="auto"/>
        </w:rPr>
      </w:pPr>
    </w:p>
    <w:p>
      <w:pPr>
        <w:ind w:right="420"/>
        <w:spacing w:after="0" w:line="353" w:lineRule="auto"/>
        <w:rPr>
          <w:sz w:val="20"/>
          <w:szCs w:val="20"/>
          <w:color w:val="auto"/>
        </w:rPr>
      </w:pPr>
      <w:r>
        <w:rPr>
          <w:rFonts w:ascii="Arial" w:cs="Arial" w:eastAsia="Arial" w:hAnsi="Arial"/>
          <w:sz w:val="17"/>
          <w:szCs w:val="17"/>
          <w:b w:val="1"/>
          <w:bCs w:val="1"/>
          <w:color w:val="858585"/>
        </w:rPr>
        <w:t xml:space="preserve">PRICING PRESSURES. </w:t>
      </w:r>
      <w:r>
        <w:rPr>
          <w:rFonts w:ascii="Times New Roman" w:cs="Times New Roman" w:eastAsia="Times New Roman" w:hAnsi="Times New Roman"/>
          <w:sz w:val="18"/>
          <w:szCs w:val="18"/>
          <w:color w:val="262626"/>
        </w:rPr>
        <w:t>We continue to experience ongoing pricing pressures from our automotive customers and competitors, which have</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affected, and which will continue to affect our profit margins to the extent that we are unable to offset the pricing pressures with price adjustments, engineering and purchasing cost reductions, productivity improvements, increases in unit shipments of mirrors and electronics with advanced features, and/or new or advanced technologies, each of which pose ongoing challenges, which could continue to adversely impact our business, financial condition, and/or results of operations.</w:t>
      </w:r>
    </w:p>
    <w:p>
      <w:pPr>
        <w:spacing w:after="0" w:line="55" w:lineRule="exact"/>
        <w:rPr>
          <w:sz w:val="20"/>
          <w:szCs w:val="20"/>
          <w:color w:val="auto"/>
        </w:rPr>
      </w:pPr>
    </w:p>
    <w:p>
      <w:pPr>
        <w:ind w:right="480"/>
        <w:spacing w:after="0" w:line="353" w:lineRule="auto"/>
        <w:rPr>
          <w:sz w:val="20"/>
          <w:szCs w:val="20"/>
          <w:color w:val="auto"/>
        </w:rPr>
      </w:pPr>
      <w:r>
        <w:rPr>
          <w:rFonts w:ascii="Arial" w:cs="Arial" w:eastAsia="Arial" w:hAnsi="Arial"/>
          <w:sz w:val="17"/>
          <w:szCs w:val="17"/>
          <w:b w:val="1"/>
          <w:bCs w:val="1"/>
          <w:color w:val="858585"/>
        </w:rPr>
        <w:t xml:space="preserve">RAW MATERIALS AND OTHER PRODUCT COMPONENT COSTS. </w:t>
      </w:r>
      <w:r>
        <w:rPr>
          <w:rFonts w:ascii="Times New Roman" w:cs="Times New Roman" w:eastAsia="Times New Roman" w:hAnsi="Times New Roman"/>
          <w:sz w:val="18"/>
          <w:szCs w:val="18"/>
          <w:color w:val="262626"/>
        </w:rPr>
        <w:t>Increasing costs in raw materials, energy, commodities, labor, and other</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product component costs adversely affects our business, financial condition and/or results of operations. These costs have generally increased as a result of supply chain disruptions, constrained labor availability, global economic factors, as well as inflationary impacts. When these prices rise and we are unable to recover such cost increases from our customers, those increases have an adverse effect on our business, financial condition and/or results of operations;</w:t>
      </w:r>
    </w:p>
    <w:p>
      <w:pPr>
        <w:spacing w:after="0" w:line="55" w:lineRule="exact"/>
        <w:rPr>
          <w:sz w:val="20"/>
          <w:szCs w:val="20"/>
          <w:color w:val="auto"/>
        </w:rPr>
      </w:pPr>
    </w:p>
    <w:p>
      <w:pPr>
        <w:ind w:right="460"/>
        <w:spacing w:after="0" w:line="343" w:lineRule="auto"/>
        <w:rPr>
          <w:sz w:val="20"/>
          <w:szCs w:val="20"/>
          <w:color w:val="auto"/>
        </w:rPr>
      </w:pPr>
      <w:r>
        <w:rPr>
          <w:rFonts w:ascii="Arial" w:cs="Arial" w:eastAsia="Arial" w:hAnsi="Arial"/>
          <w:sz w:val="17"/>
          <w:szCs w:val="17"/>
          <w:b w:val="1"/>
          <w:bCs w:val="1"/>
          <w:color w:val="858585"/>
        </w:rPr>
        <w:t xml:space="preserve">TARIFFS. </w:t>
      </w:r>
      <w:r>
        <w:rPr>
          <w:rFonts w:ascii="Times New Roman" w:cs="Times New Roman" w:eastAsia="Times New Roman" w:hAnsi="Times New Roman"/>
          <w:sz w:val="18"/>
          <w:szCs w:val="18"/>
          <w:color w:val="262626"/>
        </w:rPr>
        <w:t>The geopolitical environment between the Unites States and other jurisdictions, most significantly China, continues to cause</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uncertainty on tariffs and trade. Previously enacted tariffs have increased the Company’s input costs, and have the potential to challenge the Company’s competitive position in foreign markets. The continuance of these tariffs and/or escalation of disputes in the geopolitical environment could continue to interfere with automotive supply chains and may have a continued negative impact on the Company’s business, financial condition, and/or results of operations, especially since the Company primarily manufactures and ships from one location. We cannot predict what further action may be taken with respect to tariffs or trade relations between the U.S. and other governments, and any further changes in U.S. or international trade policy could have a further adverse impact on our business.</w:t>
      </w:r>
    </w:p>
    <w:p>
      <w:pPr>
        <w:sectPr>
          <w:pgSz w:w="12240" w:h="15840" w:orient="portrait"/>
          <w:cols w:equalWidth="0" w:num="1">
            <w:col w:w="10760"/>
          </w:cols>
          <w:pgMar w:left="900" w:top="852" w:right="580" w:bottom="0" w:gutter="0" w:footer="0" w:header="0"/>
        </w:sectPr>
      </w:pPr>
    </w:p>
    <w:p>
      <w:pPr>
        <w:spacing w:after="0" w:line="134"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31</w:t>
      </w:r>
    </w:p>
    <w:p>
      <w:pPr>
        <w:sectPr>
          <w:pgSz w:w="12240" w:h="15840" w:orient="portrait"/>
          <w:cols w:equalWidth="0" w:num="1">
            <w:col w:w="10760"/>
          </w:cols>
          <w:pgMar w:left="900" w:top="852" w:right="580" w:bottom="0" w:gutter="0" w:footer="0" w:header="0"/>
          <w:type w:val="continuous"/>
        </w:sectPr>
      </w:pPr>
    </w:p>
    <w:bookmarkStart w:id="31" w:name="page32"/>
    <w:bookmarkEnd w:id="31"/>
    <w:p>
      <w:pPr>
        <w:ind w:left="320" w:right="60"/>
        <w:spacing w:after="0" w:line="362" w:lineRule="auto"/>
        <w:rPr>
          <w:sz w:val="20"/>
          <w:szCs w:val="20"/>
          <w:color w:val="auto"/>
        </w:rPr>
      </w:pPr>
      <w:r>
        <w:rPr>
          <w:rFonts w:ascii="Arial" w:cs="Arial" w:eastAsia="Arial" w:hAnsi="Arial"/>
          <w:sz w:val="17"/>
          <w:szCs w:val="17"/>
          <w:b w:val="1"/>
          <w:bCs w:val="1"/>
          <w:color w:val="858585"/>
        </w:rPr>
        <w:t xml:space="preserve">COMPETITION. </w:t>
      </w:r>
      <w:r>
        <w:rPr>
          <w:rFonts w:ascii="Times New Roman" w:cs="Times New Roman" w:eastAsia="Times New Roman" w:hAnsi="Times New Roman"/>
          <w:sz w:val="18"/>
          <w:szCs w:val="18"/>
          <w:color w:val="262626"/>
        </w:rPr>
        <w:t>We recognize that Magna Mirrors, our main competitor, may have considerably more resources available to it, and may present</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a formidable competitive threat. Additionally, other companies have demonstrated products that are competitive to our Full Display Mirror® system and other products. We acknowledge that dimming device (e.g., electrochromic) technology is the subject of research and development efforts by numerous third parties.</w:t>
      </w:r>
    </w:p>
    <w:p>
      <w:pPr>
        <w:spacing w:after="0" w:line="51" w:lineRule="exact"/>
        <w:rPr>
          <w:sz w:val="20"/>
          <w:szCs w:val="20"/>
          <w:color w:val="auto"/>
        </w:rPr>
      </w:pPr>
    </w:p>
    <w:p>
      <w:pPr>
        <w:ind w:left="320" w:right="120"/>
        <w:spacing w:after="0" w:line="362" w:lineRule="auto"/>
        <w:rPr>
          <w:sz w:val="20"/>
          <w:szCs w:val="20"/>
          <w:color w:val="auto"/>
        </w:rPr>
      </w:pPr>
      <w:r>
        <w:rPr>
          <w:rFonts w:ascii="Times New Roman" w:cs="Times New Roman" w:eastAsia="Times New Roman" w:hAnsi="Times New Roman"/>
          <w:sz w:val="18"/>
          <w:szCs w:val="18"/>
          <w:color w:val="262626"/>
        </w:rPr>
        <w:t>For example, our SmartBeam® product is a driver-assist feature for headlamp lighting control that competes with other multiple-function driver-assist features that include headlamp lighting control as one of the multiple functions. While we believe SmartBeam® is a low cost solution for a safety feature that makes nighttime driving safer by maximizing a vehicle’s high-beam usage, competition from multiple-function driver-assist products has already and could continue to impact the success of SmartBeam®.</w:t>
      </w:r>
    </w:p>
    <w:p>
      <w:pPr>
        <w:spacing w:after="0" w:line="52" w:lineRule="exact"/>
        <w:rPr>
          <w:sz w:val="20"/>
          <w:szCs w:val="20"/>
          <w:color w:val="auto"/>
        </w:rPr>
      </w:pPr>
    </w:p>
    <w:p>
      <w:pPr>
        <w:ind w:left="320"/>
        <w:spacing w:after="0" w:line="332" w:lineRule="auto"/>
        <w:rPr>
          <w:sz w:val="20"/>
          <w:szCs w:val="20"/>
          <w:color w:val="auto"/>
        </w:rPr>
      </w:pPr>
      <w:r>
        <w:rPr>
          <w:rFonts w:ascii="Times New Roman" w:cs="Times New Roman" w:eastAsia="Times New Roman" w:hAnsi="Times New Roman"/>
          <w:sz w:val="18"/>
          <w:szCs w:val="18"/>
          <w:color w:val="262626"/>
        </w:rPr>
        <w:t>On March 31, 2014 the Alliance of Automobile Manufacturers petitioned the National Highway Traffic Safety Administration (“NHTSA”) to allow automakers to use camera monitoring systems (“CMS”) as an option to replace conventional rearview mirrors within North America, however, no final rule or legislation was made in response to this petition. At the annual SAE Government-Industry Meeting in January 2017, NHTSA requested that SAE develop Recommended Procedures for test protocols and performance criteria for CMS that would replace mirror systems on light vehicles in the U.S. market. SAE assigned the task to the Driver Vision Committee, and the SAE Driver Vision Committee created a CMS Task Force to draft the Recommended Procedures. NHTSA published a report dated October 2018 related to camera monitoring systems for outside mirror replacements. On October 10, 2019, an Advanced Notice of Proposed Rulemaking (ANPRM) was published seeking public comment on permitting camera-based rear visibility systems, as an alternative to inside and outside rearview mirrors required under Federal motor vehicle safety standard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 In November 2022, NHTSA conducted a public meeting and discussed the on-going research of this technology.</w:t>
      </w:r>
    </w:p>
    <w:p>
      <w:pPr>
        <w:spacing w:after="0" w:line="86" w:lineRule="exact"/>
        <w:rPr>
          <w:sz w:val="20"/>
          <w:szCs w:val="20"/>
          <w:color w:val="auto"/>
        </w:rPr>
      </w:pPr>
    </w:p>
    <w:p>
      <w:pPr>
        <w:ind w:left="320" w:right="80"/>
        <w:spacing w:after="0" w:line="346" w:lineRule="auto"/>
        <w:rPr>
          <w:sz w:val="20"/>
          <w:szCs w:val="20"/>
          <w:color w:val="auto"/>
        </w:rPr>
      </w:pPr>
      <w:r>
        <w:rPr>
          <w:rFonts w:ascii="Times New Roman" w:cs="Times New Roman" w:eastAsia="Times New Roman" w:hAnsi="Times New Roman"/>
          <w:sz w:val="17"/>
          <w:szCs w:val="17"/>
          <w:color w:val="262626"/>
        </w:rPr>
        <w:t>In July 2016, a revision to UN-ECE Regulation 46 was published with an effective date of June 18, 2016, which allows for camera monitor systems to replace mirrors within Japan and European countries. Since January 2017, camera monitoring systems are also permitted as an alternative to replace mirrors in the Korean market. China has now released an updated version of its GB15084, which will be effective later in 2023, and allows for camera monitoring systems, frameless mirrors and aspheric (free-form) glass surfaces.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 of the camera. Nonetheless, the Company continues designing and manufacturing not only rearview mirrors, but CMOS imagers and video displays as well. The Company believes that combining video displays with mirrors provides a more robust product by addressing all driving conditions in a single solution that can be controlled by the driver. The Company has been in production with the Company’s Full Display Mirror® since 2015 and has, in the ordinary course of business, been awarded programs with fourteen (14) OEM customers. The Company is currently shipping production Full Display Mirrors® to all fourteen of these customers. In 2022, the Company began shipping Full Display Mirror® on 18 new nameplates and are currently shipping Full Display Mirror® on 86 nameplates. The Company’s CMS solution uses three cameras to provide</w:t>
      </w:r>
    </w:p>
    <w:p>
      <w:pPr>
        <w:spacing w:after="0" w:line="2" w:lineRule="exact"/>
        <w:rPr>
          <w:sz w:val="20"/>
          <w:szCs w:val="20"/>
          <w:color w:val="auto"/>
        </w:rPr>
      </w:pPr>
    </w:p>
    <w:p>
      <w:pPr>
        <w:ind w:left="320" w:right="20"/>
        <w:spacing w:after="0" w:line="346" w:lineRule="auto"/>
        <w:rPr>
          <w:sz w:val="20"/>
          <w:szCs w:val="20"/>
          <w:color w:val="auto"/>
        </w:rPr>
      </w:pPr>
      <w:r>
        <w:rPr>
          <w:rFonts w:ascii="Times New Roman" w:cs="Times New Roman" w:eastAsia="Times New Roman" w:hAnsi="Times New Roman"/>
          <w:sz w:val="18"/>
          <w:szCs w:val="18"/>
          <w:color w:val="262626"/>
        </w:rPr>
        <w:t>a comprehensive view of the sides and rear of the vehicle while still providing the traditional safety of interior and exterior mirrors, that still function when cameras are obstructed, or not functioning. The Company has previously announced that the Company continues to develop in the areas of imager performance, camera dynamic range, lens design, image processing from the camera to the display, and camera lens cleaning. The Company acknowledges that as such technology evolves over time, such as cameras replacing mirrors and/or autonomous driving, there could be increased competition.</w:t>
      </w:r>
    </w:p>
    <w:p>
      <w:pPr>
        <w:spacing w:after="0" w:line="59" w:lineRule="exact"/>
        <w:rPr>
          <w:sz w:val="20"/>
          <w:szCs w:val="20"/>
          <w:color w:val="auto"/>
        </w:rPr>
      </w:pPr>
    </w:p>
    <w:p>
      <w:pPr>
        <w:ind w:left="320"/>
        <w:spacing w:after="0" w:line="366" w:lineRule="auto"/>
        <w:rPr>
          <w:sz w:val="20"/>
          <w:szCs w:val="20"/>
          <w:color w:val="auto"/>
        </w:rPr>
      </w:pPr>
      <w:r>
        <w:rPr>
          <w:rFonts w:ascii="Arial" w:cs="Arial" w:eastAsia="Arial" w:hAnsi="Arial"/>
          <w:sz w:val="16"/>
          <w:szCs w:val="16"/>
          <w:b w:val="1"/>
          <w:bCs w:val="1"/>
          <w:color w:val="858585"/>
        </w:rPr>
        <w:t xml:space="preserve">SUPPLY CHAIN DISRUPTIONS. </w:t>
      </w:r>
      <w:r>
        <w:rPr>
          <w:rFonts w:ascii="Times New Roman" w:cs="Times New Roman" w:eastAsia="Times New Roman" w:hAnsi="Times New Roman"/>
          <w:sz w:val="17"/>
          <w:szCs w:val="17"/>
          <w:color w:val="262626"/>
        </w:rPr>
        <w:t>As a result of just-in-time supply chains within our business and the automotive industry, disruptions in our</w:t>
      </w:r>
      <w:r>
        <w:rPr>
          <w:rFonts w:ascii="Arial" w:cs="Arial" w:eastAsia="Arial" w:hAnsi="Arial"/>
          <w:sz w:val="16"/>
          <w:szCs w:val="16"/>
          <w:b w:val="1"/>
          <w:bCs w:val="1"/>
          <w:color w:val="858585"/>
        </w:rPr>
        <w:t xml:space="preserve"> </w:t>
      </w:r>
      <w:r>
        <w:rPr>
          <w:rFonts w:ascii="Times New Roman" w:cs="Times New Roman" w:eastAsia="Times New Roman" w:hAnsi="Times New Roman"/>
          <w:sz w:val="17"/>
          <w:szCs w:val="17"/>
          <w:color w:val="262626"/>
        </w:rPr>
        <w:t>supply chain have occurred, are occurring, and are expected to continue to occur due to the industry-wide parts shortages, labor shortages, and other global supply chain constraints. We have and continue to take a number of steps to mitigate the current supply chain challenges, which include strategies involving the additional procurement of available raw materials to prepare for assembling finished goods more quickly when supply constraints ease for certain common components. These inventory strategies further introduce obsolescence risk that impacts our business, financial conditions, and/or results of operations. As our customers’ forecasted demand changes, inventory becomes obsolete and write-offs or write-downs of our inventory are exacerbated. Disruptions can also occur due to natural disasters, other pandemics, work stoppages,</w:t>
      </w:r>
    </w:p>
    <w:p>
      <w:pPr>
        <w:sectPr>
          <w:pgSz w:w="12240" w:h="15840" w:orient="portrait"/>
          <w:cols w:equalWidth="0" w:num="1">
            <w:col w:w="10760"/>
          </w:cols>
          <w:pgMar w:left="580" w:top="850" w:right="900" w:bottom="0" w:gutter="0" w:footer="0" w:header="0"/>
        </w:sectPr>
      </w:pPr>
    </w:p>
    <w:p>
      <w:pPr>
        <w:spacing w:after="0" w:line="232" w:lineRule="auto"/>
        <w:tabs>
          <w:tab w:leader="none" w:pos="400" w:val="left"/>
        </w:tabs>
        <w:rPr>
          <w:sz w:val="20"/>
          <w:szCs w:val="20"/>
          <w:color w:val="auto"/>
        </w:rPr>
      </w:pPr>
      <w:r>
        <w:rPr>
          <w:rFonts w:ascii="Arial" w:cs="Arial" w:eastAsia="Arial" w:hAnsi="Arial"/>
          <w:sz w:val="24"/>
          <w:szCs w:val="24"/>
          <w:b w:val="1"/>
          <w:bCs w:val="1"/>
          <w:color w:val="262626"/>
        </w:rPr>
        <w:t>32</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60"/>
          </w:cols>
          <w:pgMar w:left="580" w:top="850" w:right="900" w:bottom="0" w:gutter="0" w:footer="0" w:header="0"/>
          <w:type w:val="continuous"/>
        </w:sectPr>
      </w:pPr>
    </w:p>
    <w:bookmarkStart w:id="32" w:name="page33"/>
    <w:bookmarkEnd w:id="32"/>
    <w:p>
      <w:pPr>
        <w:ind w:right="620"/>
        <w:spacing w:after="0" w:line="423" w:lineRule="auto"/>
        <w:rPr>
          <w:sz w:val="20"/>
          <w:szCs w:val="20"/>
          <w:color w:val="auto"/>
        </w:rPr>
      </w:pPr>
      <w:r>
        <w:rPr>
          <w:rFonts w:ascii="Times New Roman" w:cs="Times New Roman" w:eastAsia="Times New Roman" w:hAnsi="Times New Roman"/>
          <w:sz w:val="18"/>
          <w:szCs w:val="18"/>
          <w:color w:val="262626"/>
        </w:rPr>
        <w:t>strikes, bankruptcy, etc. Such circumstances have disrupted, are disrupting, and will continue to disrupt our shipments to automakers and Tier 1 customers, which adversely affects our business, financial condition, and/or results of operations.</w:t>
      </w:r>
    </w:p>
    <w:p>
      <w:pPr>
        <w:spacing w:after="0" w:line="1" w:lineRule="exact"/>
        <w:rPr>
          <w:sz w:val="20"/>
          <w:szCs w:val="20"/>
          <w:color w:val="auto"/>
        </w:rPr>
      </w:pPr>
    </w:p>
    <w:p>
      <w:pPr>
        <w:ind w:right="320"/>
        <w:spacing w:after="0" w:line="362" w:lineRule="auto"/>
        <w:rPr>
          <w:sz w:val="20"/>
          <w:szCs w:val="20"/>
          <w:color w:val="auto"/>
        </w:rPr>
      </w:pPr>
      <w:r>
        <w:rPr>
          <w:rFonts w:ascii="Arial" w:cs="Arial" w:eastAsia="Arial" w:hAnsi="Arial"/>
          <w:sz w:val="17"/>
          <w:szCs w:val="17"/>
          <w:b w:val="1"/>
          <w:bCs w:val="1"/>
          <w:color w:val="858585"/>
        </w:rPr>
        <w:t xml:space="preserve">WORKFORCE DISRUPTIONS. </w:t>
      </w:r>
      <w:r>
        <w:rPr>
          <w:rFonts w:ascii="Times New Roman" w:cs="Times New Roman" w:eastAsia="Times New Roman" w:hAnsi="Times New Roman"/>
          <w:sz w:val="18"/>
          <w:szCs w:val="18"/>
          <w:color w:val="262626"/>
        </w:rPr>
        <w:t>We have experienced, and may continue to experience in the future, disruptions to our workforce as a result of</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a tight labor market, employee illness, quarantines, absenteeism, and restrictions on certain of our employee’s ability to work as a result of the COVID-19 pandemic. The impacts of continued disruptions to our workforce have affected, are affecting, and are expected to continue to affect our business, financial condition, and/or results of operations.</w:t>
      </w:r>
    </w:p>
    <w:p>
      <w:pPr>
        <w:spacing w:after="0" w:line="42" w:lineRule="exact"/>
        <w:rPr>
          <w:sz w:val="20"/>
          <w:szCs w:val="20"/>
          <w:color w:val="auto"/>
        </w:rPr>
      </w:pPr>
    </w:p>
    <w:p>
      <w:pPr>
        <w:ind w:right="440"/>
        <w:spacing w:after="0" w:line="348" w:lineRule="auto"/>
        <w:rPr>
          <w:sz w:val="20"/>
          <w:szCs w:val="20"/>
          <w:color w:val="auto"/>
        </w:rPr>
      </w:pPr>
      <w:r>
        <w:rPr>
          <w:rFonts w:ascii="Arial" w:cs="Arial" w:eastAsia="Arial" w:hAnsi="Arial"/>
          <w:sz w:val="16"/>
          <w:szCs w:val="16"/>
          <w:b w:val="1"/>
          <w:bCs w:val="1"/>
          <w:color w:val="858585"/>
        </w:rPr>
        <w:t xml:space="preserve">PRODUCT MIX. </w:t>
      </w:r>
      <w:r>
        <w:rPr>
          <w:rFonts w:ascii="Times New Roman" w:cs="Times New Roman" w:eastAsia="Times New Roman" w:hAnsi="Times New Roman"/>
          <w:sz w:val="17"/>
          <w:szCs w:val="17"/>
          <w:color w:val="262626"/>
        </w:rPr>
        <w:t>We sell products that have varying profit margins. Our financial performance can be impacted depending on the mix of</w:t>
      </w:r>
      <w:r>
        <w:rPr>
          <w:rFonts w:ascii="Arial" w:cs="Arial" w:eastAsia="Arial" w:hAnsi="Arial"/>
          <w:sz w:val="16"/>
          <w:szCs w:val="16"/>
          <w:b w:val="1"/>
          <w:bCs w:val="1"/>
          <w:color w:val="858585"/>
        </w:rPr>
        <w:t xml:space="preserve"> </w:t>
      </w:r>
      <w:r>
        <w:rPr>
          <w:rFonts w:ascii="Times New Roman" w:cs="Times New Roman" w:eastAsia="Times New Roman" w:hAnsi="Times New Roman"/>
          <w:sz w:val="17"/>
          <w:szCs w:val="17"/>
          <w:color w:val="262626"/>
        </w:rPr>
        <w:t>products we sell and to which customers, during a given period. The automotive industry is subject to rapid technological change, vigorous competition, short product life cycles and cyclical, ever-changing consumer demand patterns. When our customers are adversely affected by these factors, we may be similarly affected to the extent that our customers reduce the volume of orders for our products. As a result of such changes and circumstances impacting our customers, our sales mix can shift, which may have either favorable or unfavorable impact on revenue and would include shifts in regional growth, in OEM sales demand, as well as in consumer demand related to vehicle segment purchases, and content penetration. A decrease in consumer demand for specific types of vehicles where we have traditionally provided higher value content could have a significant effect on our business, financial condition, and/or results of operations. Our forward guidance and estimates assume</w:t>
      </w:r>
    </w:p>
    <w:p>
      <w:pPr>
        <w:ind w:right="520"/>
        <w:spacing w:after="0" w:line="408" w:lineRule="auto"/>
        <w:rPr>
          <w:sz w:val="20"/>
          <w:szCs w:val="20"/>
          <w:color w:val="auto"/>
        </w:rPr>
      </w:pPr>
      <w:r>
        <w:rPr>
          <w:rFonts w:ascii="Times New Roman" w:cs="Times New Roman" w:eastAsia="Times New Roman" w:hAnsi="Times New Roman"/>
          <w:sz w:val="18"/>
          <w:szCs w:val="18"/>
          <w:color w:val="262626"/>
        </w:rPr>
        <w:t>a certain geographic sales mix as well as a product sales mix. When actual results vary from this projected geographic and product mix of sales, our business, financial condition, and/or results of operations are impacted.</w:t>
      </w:r>
    </w:p>
    <w:p>
      <w:pPr>
        <w:jc w:val="both"/>
        <w:ind w:right="320"/>
        <w:spacing w:after="0" w:line="354" w:lineRule="auto"/>
        <w:rPr>
          <w:sz w:val="20"/>
          <w:szCs w:val="20"/>
          <w:color w:val="auto"/>
        </w:rPr>
      </w:pPr>
      <w:r>
        <w:rPr>
          <w:rFonts w:ascii="Arial" w:cs="Arial" w:eastAsia="Arial" w:hAnsi="Arial"/>
          <w:sz w:val="16"/>
          <w:szCs w:val="16"/>
          <w:b w:val="1"/>
          <w:bCs w:val="1"/>
          <w:color w:val="858585"/>
        </w:rPr>
        <w:t xml:space="preserve">BUSINESS COMBINATIONS. </w:t>
      </w:r>
      <w:r>
        <w:rPr>
          <w:rFonts w:ascii="Times New Roman" w:cs="Times New Roman" w:eastAsia="Times New Roman" w:hAnsi="Times New Roman"/>
          <w:sz w:val="17"/>
          <w:szCs w:val="17"/>
          <w:color w:val="262626"/>
        </w:rPr>
        <w:t>We anticipate that acquisitions of businesses and assets may play a role in our future growth. We cannot be certain</w:t>
      </w:r>
      <w:r>
        <w:rPr>
          <w:rFonts w:ascii="Arial" w:cs="Arial" w:eastAsia="Arial" w:hAnsi="Arial"/>
          <w:sz w:val="16"/>
          <w:szCs w:val="16"/>
          <w:b w:val="1"/>
          <w:bCs w:val="1"/>
          <w:color w:val="858585"/>
        </w:rPr>
        <w:t xml:space="preserve"> </w:t>
      </w:r>
      <w:r>
        <w:rPr>
          <w:rFonts w:ascii="Times New Roman" w:cs="Times New Roman" w:eastAsia="Times New Roman" w:hAnsi="Times New Roman"/>
          <w:sz w:val="17"/>
          <w:szCs w:val="17"/>
          <w:color w:val="262626"/>
        </w:rPr>
        <w:t>that we will be able to identify attractive acquisition targets, have resources available for or obtain financing for acquisitions on satisfactory terms, successfully acquire identified targets or manage timing of acquisitions with capital obligations across our businesses. Additionally, we may</w:t>
      </w:r>
    </w:p>
    <w:p>
      <w:pPr>
        <w:ind w:right="380"/>
        <w:spacing w:after="0" w:line="345" w:lineRule="auto"/>
        <w:rPr>
          <w:sz w:val="20"/>
          <w:szCs w:val="20"/>
          <w:color w:val="auto"/>
        </w:rPr>
      </w:pPr>
      <w:r>
        <w:rPr>
          <w:rFonts w:ascii="Times New Roman" w:cs="Times New Roman" w:eastAsia="Times New Roman" w:hAnsi="Times New Roman"/>
          <w:sz w:val="18"/>
          <w:szCs w:val="18"/>
          <w:color w:val="262626"/>
        </w:rPr>
        <w:t>not be successful in integrating acquired businesses into our existing operations, achieving projected synergies, and/or maximizing the value of acquired technologies and businesses. Competition for acquisition opportunities in the various industries in which we operate already exists and may increase, thereby potentially increasing our costs of making acquisitions or causing us to refrain from making further acquisitions. We are also subject to applicable antitrust laws and must avoid anticompetitive behavior. These and other acquisition-related factors may negatively and adversely impact our business, financial condition, and/or results of operations.</w:t>
      </w:r>
    </w:p>
    <w:p>
      <w:pPr>
        <w:spacing w:after="0" w:line="59" w:lineRule="exact"/>
        <w:rPr>
          <w:sz w:val="20"/>
          <w:szCs w:val="20"/>
          <w:color w:val="auto"/>
        </w:rPr>
      </w:pPr>
    </w:p>
    <w:p>
      <w:pPr>
        <w:ind w:right="340"/>
        <w:spacing w:after="0" w:line="352" w:lineRule="auto"/>
        <w:rPr>
          <w:sz w:val="20"/>
          <w:szCs w:val="20"/>
          <w:color w:val="auto"/>
        </w:rPr>
      </w:pPr>
      <w:r>
        <w:rPr>
          <w:rFonts w:ascii="Arial" w:cs="Arial" w:eastAsia="Arial" w:hAnsi="Arial"/>
          <w:sz w:val="17"/>
          <w:szCs w:val="17"/>
          <w:b w:val="1"/>
          <w:bCs w:val="1"/>
          <w:color w:val="858585"/>
        </w:rPr>
        <w:t xml:space="preserve">INTELLECTUAL PROPERTY. </w:t>
      </w:r>
      <w:r>
        <w:rPr>
          <w:rFonts w:ascii="Times New Roman" w:cs="Times New Roman" w:eastAsia="Times New Roman" w:hAnsi="Times New Roman"/>
          <w:sz w:val="18"/>
          <w:szCs w:val="18"/>
          <w:color w:val="262626"/>
        </w:rPr>
        <w:t>We believe that our patents and trade secrets provide us with a competitive advantage in automotive rearview</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mirrors, variable dimmable devices, certain electronics, and fire protection products, although no single patent is necessarily required for the success of our products. The loss of any significant combination of patents and trade secrets regarding our products could adversely affect our business, financial condition, and/or results of operations. Lack of intellectual property protection in a number of countries, including China, represents a current and ongoing risk for the Company.</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858585"/>
        </w:rPr>
        <w:t xml:space="preserve">NEW TECHNOLOGY AND PRODUCT DEVELOPMENT. </w:t>
      </w:r>
      <w:r>
        <w:rPr>
          <w:rFonts w:ascii="Times New Roman" w:cs="Times New Roman" w:eastAsia="Times New Roman" w:hAnsi="Times New Roman"/>
          <w:sz w:val="17"/>
          <w:szCs w:val="17"/>
          <w:color w:val="262626"/>
        </w:rPr>
        <w:t>We continue to invest significantly in engineering, research and development projects.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Should these efforts ultimately prove unsuccessful, our business, financial condition, and/or results of operations could be adversely affected.</w:t>
      </w:r>
    </w:p>
    <w:p>
      <w:pPr>
        <w:spacing w:after="0" w:line="220" w:lineRule="exact"/>
        <w:rPr>
          <w:sz w:val="20"/>
          <w:szCs w:val="20"/>
          <w:color w:val="auto"/>
        </w:rPr>
      </w:pPr>
    </w:p>
    <w:p>
      <w:pPr>
        <w:ind w:right="360"/>
        <w:spacing w:after="0" w:line="341" w:lineRule="auto"/>
        <w:rPr>
          <w:sz w:val="20"/>
          <w:szCs w:val="20"/>
          <w:color w:val="auto"/>
        </w:rPr>
      </w:pPr>
      <w:r>
        <w:rPr>
          <w:rFonts w:ascii="Arial" w:cs="Arial" w:eastAsia="Arial" w:hAnsi="Arial"/>
          <w:sz w:val="17"/>
          <w:szCs w:val="17"/>
          <w:b w:val="1"/>
          <w:bCs w:val="1"/>
          <w:color w:val="858585"/>
        </w:rPr>
        <w:t xml:space="preserve">INTELLECTUAL PROPERTY LITIGATION AND INFRINGEMENT CLAIMS. </w:t>
      </w:r>
      <w:r>
        <w:rPr>
          <w:rFonts w:ascii="Times New Roman" w:cs="Times New Roman" w:eastAsia="Times New Roman" w:hAnsi="Times New Roman"/>
          <w:sz w:val="18"/>
          <w:szCs w:val="18"/>
          <w:color w:val="262626"/>
        </w:rPr>
        <w:t>A successful claim of patent or other intellectual property infringement</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and damages against us could affect business, financial condition, and/or results of operations. If a person or company claims that our products infringed their intellectual property rights, any resulting litigation could be costly, time consuming, and would divert the attention of management and key personnel from other business issues. The complexity of the technology involved in our business and the uncertainty of intellectual property litigation significantly increases these risks and makes such risk part of our ongoing business. To that end, we periodically obtain intellectual property rights, in the ordinary course of business, to strengthen our intellectual property portfolio and minimize potential risks of infringement. The increasing tendency of patents granted to others on combinations of known technology is a potential threat to our Company. Any of these adverse consequences could potentially have an effect on our business, financial condition and/or results of operations.</w:t>
      </w:r>
    </w:p>
    <w:p>
      <w:pPr>
        <w:spacing w:after="0" w:line="58" w:lineRule="exact"/>
        <w:rPr>
          <w:sz w:val="20"/>
          <w:szCs w:val="20"/>
          <w:color w:val="auto"/>
        </w:rPr>
      </w:pPr>
    </w:p>
    <w:p>
      <w:pPr>
        <w:ind w:right="440"/>
        <w:spacing w:after="0" w:line="353" w:lineRule="auto"/>
        <w:rPr>
          <w:sz w:val="20"/>
          <w:szCs w:val="20"/>
          <w:color w:val="auto"/>
        </w:rPr>
      </w:pPr>
      <w:r>
        <w:rPr>
          <w:rFonts w:ascii="Arial" w:cs="Arial" w:eastAsia="Arial" w:hAnsi="Arial"/>
          <w:sz w:val="17"/>
          <w:szCs w:val="17"/>
          <w:b w:val="1"/>
          <w:bCs w:val="1"/>
          <w:color w:val="858585"/>
        </w:rPr>
        <w:t xml:space="preserve">CREDIT RISK. </w:t>
      </w:r>
      <w:r>
        <w:rPr>
          <w:rFonts w:ascii="Times New Roman" w:cs="Times New Roman" w:eastAsia="Times New Roman" w:hAnsi="Times New Roman"/>
          <w:sz w:val="18"/>
          <w:szCs w:val="18"/>
          <w:color w:val="262626"/>
        </w:rPr>
        <w:t>Certain automakers and Tier 1 customers from time to time may consider the sale of certain business segments or bankruptcy as a</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result of financial stress. Should one or more of our larger customers (including sales through their Tier 1 suppliers) declare bankruptcy or sell their business, it could adversely affect the collection of receivables, our business, financial condition, and/or results of operations. The current economic environment continues to cause increased financial pressures and production stresses on our customers, which could impact the timeliness of customer payments and ultimately the collectability of receivables.</w:t>
      </w:r>
    </w:p>
    <w:p>
      <w:pPr>
        <w:spacing w:after="0" w:line="51" w:lineRule="exact"/>
        <w:rPr>
          <w:sz w:val="20"/>
          <w:szCs w:val="20"/>
          <w:color w:val="auto"/>
        </w:rPr>
      </w:pPr>
    </w:p>
    <w:p>
      <w:pPr>
        <w:jc w:val="both"/>
        <w:ind w:right="700"/>
        <w:spacing w:after="0" w:line="418" w:lineRule="auto"/>
        <w:rPr>
          <w:sz w:val="20"/>
          <w:szCs w:val="20"/>
          <w:color w:val="auto"/>
        </w:rPr>
      </w:pPr>
      <w:r>
        <w:rPr>
          <w:rFonts w:ascii="Times New Roman" w:cs="Times New Roman" w:eastAsia="Times New Roman" w:hAnsi="Times New Roman"/>
          <w:sz w:val="17"/>
          <w:szCs w:val="17"/>
          <w:color w:val="262626"/>
        </w:rPr>
        <w:t>Our allowance for doubtful accounts primarily relates to financially distressed automotive mirror and electronics customers. We continue to work with these financially distressed customers in collecting past due balances. Refer to Note 1 of the Consolidated Financial Statements.</w:t>
      </w:r>
    </w:p>
    <w:p>
      <w:pPr>
        <w:sectPr>
          <w:pgSz w:w="12240" w:h="15840" w:orient="portrait"/>
          <w:cols w:equalWidth="0" w:num="1">
            <w:col w:w="10760"/>
          </w:cols>
          <w:pgMar w:left="900" w:top="852" w:right="580" w:bottom="0" w:gutter="0" w:footer="0" w:header="0"/>
        </w:sectPr>
      </w:pPr>
    </w:p>
    <w:p>
      <w:pPr>
        <w:spacing w:after="0" w:line="1"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33</w:t>
      </w:r>
    </w:p>
    <w:p>
      <w:pPr>
        <w:sectPr>
          <w:pgSz w:w="12240" w:h="15840" w:orient="portrait"/>
          <w:cols w:equalWidth="0" w:num="1">
            <w:col w:w="10760"/>
          </w:cols>
          <w:pgMar w:left="900" w:top="852" w:right="580" w:bottom="0" w:gutter="0" w:footer="0" w:header="0"/>
          <w:type w:val="continuous"/>
        </w:sectPr>
      </w:pPr>
    </w:p>
    <w:bookmarkStart w:id="33" w:name="page34"/>
    <w:bookmarkEnd w:id="33"/>
    <w:p>
      <w:pPr>
        <w:ind w:left="320" w:right="140"/>
        <w:spacing w:after="0" w:line="350" w:lineRule="auto"/>
        <w:rPr>
          <w:sz w:val="20"/>
          <w:szCs w:val="20"/>
          <w:color w:val="auto"/>
        </w:rPr>
      </w:pPr>
      <w:r>
        <w:rPr>
          <w:rFonts w:ascii="Arial" w:cs="Arial" w:eastAsia="Arial" w:hAnsi="Arial"/>
          <w:sz w:val="16"/>
          <w:szCs w:val="16"/>
          <w:b w:val="1"/>
          <w:bCs w:val="1"/>
          <w:color w:val="858585"/>
        </w:rPr>
        <w:t xml:space="preserve">BUSINESS DISRUPTIONS. </w:t>
      </w:r>
      <w:r>
        <w:rPr>
          <w:rFonts w:ascii="Times New Roman" w:cs="Times New Roman" w:eastAsia="Times New Roman" w:hAnsi="Times New Roman"/>
          <w:sz w:val="17"/>
          <w:szCs w:val="17"/>
          <w:color w:val="262626"/>
        </w:rPr>
        <w:t>Manufacturing of our proprietary products employing electro-optic technology is performed primarily at our</w:t>
      </w:r>
      <w:r>
        <w:rPr>
          <w:rFonts w:ascii="Arial" w:cs="Arial" w:eastAsia="Arial" w:hAnsi="Arial"/>
          <w:sz w:val="16"/>
          <w:szCs w:val="16"/>
          <w:b w:val="1"/>
          <w:bCs w:val="1"/>
          <w:color w:val="858585"/>
        </w:rPr>
        <w:t xml:space="preserve"> </w:t>
      </w:r>
      <w:r>
        <w:rPr>
          <w:rFonts w:ascii="Times New Roman" w:cs="Times New Roman" w:eastAsia="Times New Roman" w:hAnsi="Times New Roman"/>
          <w:sz w:val="17"/>
          <w:szCs w:val="17"/>
          <w:color w:val="262626"/>
        </w:rPr>
        <w:t>manufacturing facilities in Zeeland and Holland, Michigan. One of our manufacturing facilities is located in Holland, Michigan, which is approximately three miles from our other primary manufacturing facilities in Zeeland, Michigan. Should a catastrophic event occur, our ability to manufacture product, complete existing orders and provide other services could be severely impacted for an undetermined period of time. We have purchased business interruption insurance to address some of these risks. Our inability to conduct normal business operations for</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62626"/>
        </w:rPr>
        <w:t>a period of time may have an adverse impact on our business, financial condition, and/or results of operations.</w:t>
      </w:r>
    </w:p>
    <w:p>
      <w:pPr>
        <w:spacing w:after="0" w:line="224" w:lineRule="exact"/>
        <w:rPr>
          <w:sz w:val="20"/>
          <w:szCs w:val="20"/>
          <w:color w:val="auto"/>
        </w:rPr>
      </w:pPr>
    </w:p>
    <w:p>
      <w:pPr>
        <w:ind w:left="320" w:right="60"/>
        <w:spacing w:after="0" w:line="340" w:lineRule="auto"/>
        <w:rPr>
          <w:sz w:val="20"/>
          <w:szCs w:val="20"/>
          <w:color w:val="auto"/>
        </w:rPr>
      </w:pPr>
      <w:r>
        <w:rPr>
          <w:rFonts w:ascii="Arial" w:cs="Arial" w:eastAsia="Arial" w:hAnsi="Arial"/>
          <w:sz w:val="17"/>
          <w:szCs w:val="17"/>
          <w:b w:val="1"/>
          <w:bCs w:val="1"/>
          <w:color w:val="858585"/>
        </w:rPr>
        <w:t xml:space="preserve">IT INFRASTRUCTURE AND CYBERSECURITY. </w:t>
      </w:r>
      <w:r>
        <w:rPr>
          <w:rFonts w:ascii="Times New Roman" w:cs="Times New Roman" w:eastAsia="Times New Roman" w:hAnsi="Times New Roman"/>
          <w:sz w:val="18"/>
          <w:szCs w:val="18"/>
          <w:color w:val="262626"/>
        </w:rPr>
        <w:t>A failure of our information technology (“IT”) infrastructure could adversely impact our business,</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financial condition, and/or results of operations. We rely upon the capacity, reliability and security of our information technology infrastructure and our ability to expand and continually update this infrastructure in response to the changing needs of our business. For example, we have implemented enterprise resource planning and other IT systems in certain aspects of our business over a period of several years and continue to update and further implement new systems going forward. Like many systems, these systems may not always perform as expected. We also face the challenge of supporting our older systems and implementing necessary upgrades. If we experience a problem with the functioning of an important IT system or a security breach of our IT systems, the resulting disruptions could have an adverse effect on our business, financial condition, and/or results of operations.</w:t>
      </w:r>
    </w:p>
    <w:p>
      <w:pPr>
        <w:spacing w:after="0" w:line="75" w:lineRule="exact"/>
        <w:rPr>
          <w:sz w:val="20"/>
          <w:szCs w:val="20"/>
          <w:color w:val="auto"/>
        </w:rPr>
      </w:pPr>
    </w:p>
    <w:p>
      <w:pPr>
        <w:ind w:left="320"/>
        <w:spacing w:after="0" w:line="334" w:lineRule="auto"/>
        <w:rPr>
          <w:sz w:val="20"/>
          <w:szCs w:val="20"/>
          <w:color w:val="auto"/>
        </w:rPr>
      </w:pPr>
      <w:r>
        <w:rPr>
          <w:rFonts w:ascii="Times New Roman" w:cs="Times New Roman" w:eastAsia="Times New Roman" w:hAnsi="Times New Roman"/>
          <w:sz w:val="18"/>
          <w:szCs w:val="18"/>
          <w:color w:val="262626"/>
        </w:rPr>
        <w:t>We face certain security threats, including threats to the confidentiality, availability and integrity of our data and systems. We maintain an extensive network of technical security controls, policy enforcement mechanisms, monitoring systems and management oversight in order to address these threats. While these measures are designed to prevent, detect and respond to unauthorized activity in, or otherwise compromise of, our systems, certain types of attacks, including cyber-attacks, could result in significant financial or information losses and/or reputational harm. We, and certain of our third-party vendors, receive and store personal information in connection with our human resources operations and other aspects of our business. Despite our implementation of security measures, our IT systems, like all IT systems, are vulnerable to damages from computer viruses, natural disasters, unauthorized access, cyber-attack and other similar disruptions. Any system failure, accident or security breach could result in disruptions to our operations. A material network breach in the security of our IT systems could include the theft of our intellectual property, trade secrets or customer information. To the extent that any disruptions or security breach results in a loss or damage to our data, or an inappropriate disclosure of confidential or customer information, it could cause significant damage to our reputation, affect our relationships with our customers, lead to claims against the Company and ultimately harm our business, reputation, financial condition, and/or results of operations. In addition, we may be required to incur significant costs to protect against damage caused by these disruptions or security breaches in the future.</w:t>
      </w:r>
    </w:p>
    <w:p>
      <w:pPr>
        <w:spacing w:after="0" w:line="73" w:lineRule="exact"/>
        <w:rPr>
          <w:sz w:val="20"/>
          <w:szCs w:val="20"/>
          <w:color w:val="auto"/>
        </w:rPr>
      </w:pPr>
    </w:p>
    <w:p>
      <w:pPr>
        <w:ind w:left="320" w:right="20"/>
        <w:spacing w:after="0" w:line="360" w:lineRule="auto"/>
        <w:rPr>
          <w:sz w:val="20"/>
          <w:szCs w:val="20"/>
          <w:color w:val="auto"/>
        </w:rPr>
      </w:pPr>
      <w:r>
        <w:rPr>
          <w:rFonts w:ascii="Arial" w:cs="Arial" w:eastAsia="Arial" w:hAnsi="Arial"/>
          <w:sz w:val="16"/>
          <w:szCs w:val="16"/>
          <w:b w:val="1"/>
          <w:bCs w:val="1"/>
          <w:color w:val="858585"/>
        </w:rPr>
        <w:t xml:space="preserve">GOVERNMENT REGULATIONS. </w:t>
      </w:r>
      <w:r>
        <w:rPr>
          <w:rFonts w:ascii="Times New Roman" w:cs="Times New Roman" w:eastAsia="Times New Roman" w:hAnsi="Times New Roman"/>
          <w:sz w:val="17"/>
          <w:szCs w:val="17"/>
          <w:color w:val="262626"/>
        </w:rPr>
        <w:t>The Dodd-Frank Wall Street Reform and Consumer Protection Act contains provisions to improve transparency</w:t>
      </w:r>
      <w:r>
        <w:rPr>
          <w:rFonts w:ascii="Arial" w:cs="Arial" w:eastAsia="Arial" w:hAnsi="Arial"/>
          <w:sz w:val="16"/>
          <w:szCs w:val="16"/>
          <w:b w:val="1"/>
          <w:bCs w:val="1"/>
          <w:color w:val="858585"/>
        </w:rPr>
        <w:t xml:space="preserve"> </w:t>
      </w:r>
      <w:r>
        <w:rPr>
          <w:rFonts w:ascii="Times New Roman" w:cs="Times New Roman" w:eastAsia="Times New Roman" w:hAnsi="Times New Roman"/>
          <w:sz w:val="17"/>
          <w:szCs w:val="17"/>
          <w:color w:val="262626"/>
        </w:rPr>
        <w:t>and accountability concerning the supply of certain minerals, known as conflict minerals, originating from the Democratic Republic of Congo (“DRC”) and adjoining countries. As a result, in August 2012 the SEC adopted annual disclosure and reporting requirements for those companies who use conflict minerals mined from the DRC and adjoining countries in their products. These requirements necessitate due diligence efforts, and the Company has disclosed its findings annually to the SEC on Form SD around May 30 each year since 2012. As there may be only a limited number of suppliers offering “conflict free” minerals necessary for our products, the Company cannot be certain that we will be able to obtain necessary conflict minerals from such suppliers in sufficient quantities or at competitive prices. Also, the Company may face reputational challenges if we determine that certain of our products contain minerals not determined to be conflict free or if the Company is unable to sufficiently verify the origins for all conflict minerals used in the Company’s products through the procedures the Company may implement.</w:t>
      </w:r>
    </w:p>
    <w:p>
      <w:pPr>
        <w:spacing w:after="0" w:line="63" w:lineRule="exact"/>
        <w:rPr>
          <w:sz w:val="20"/>
          <w:szCs w:val="20"/>
          <w:color w:val="auto"/>
        </w:rPr>
      </w:pPr>
    </w:p>
    <w:p>
      <w:pPr>
        <w:jc w:val="both"/>
        <w:ind w:left="320" w:right="80"/>
        <w:spacing w:after="0" w:line="334" w:lineRule="auto"/>
        <w:rPr>
          <w:sz w:val="20"/>
          <w:szCs w:val="20"/>
          <w:color w:val="auto"/>
        </w:rPr>
      </w:pPr>
      <w:r>
        <w:rPr>
          <w:rFonts w:ascii="Times New Roman" w:cs="Times New Roman" w:eastAsia="Times New Roman" w:hAnsi="Times New Roman"/>
          <w:sz w:val="18"/>
          <w:szCs w:val="18"/>
          <w:color w:val="262626"/>
        </w:rPr>
        <w:t>On December 8, 2015, NHTSA proposed changes to the Administration’s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w:t>
      </w:r>
    </w:p>
    <w:p>
      <w:pPr>
        <w:spacing w:after="0" w:line="2" w:lineRule="exact"/>
        <w:rPr>
          <w:sz w:val="20"/>
          <w:szCs w:val="20"/>
          <w:color w:val="auto"/>
        </w:rPr>
      </w:pPr>
    </w:p>
    <w:p>
      <w:pPr>
        <w:ind w:left="320" w:right="160"/>
        <w:spacing w:after="0" w:line="447" w:lineRule="auto"/>
        <w:rPr>
          <w:sz w:val="20"/>
          <w:szCs w:val="20"/>
          <w:color w:val="auto"/>
        </w:rPr>
      </w:pPr>
      <w:r>
        <w:rPr>
          <w:rFonts w:ascii="Times New Roman" w:cs="Times New Roman" w:eastAsia="Times New Roman" w:hAnsi="Times New Roman"/>
          <w:sz w:val="17"/>
          <w:szCs w:val="17"/>
          <w:color w:val="262626"/>
        </w:rPr>
        <w:t>NHTSA originally intended to implement the enhancements in NCAP in 2018 beginning with model year 2019 vehicles. The NCAP implementation has been delayed. Under these proposed changes, the Company believes that its SmartBeam® technology will qualify with the</w:t>
      </w:r>
    </w:p>
    <w:p>
      <w:pPr>
        <w:sectPr>
          <w:pgSz w:w="12240" w:h="15840" w:orient="portrait"/>
          <w:cols w:equalWidth="0" w:num="1">
            <w:col w:w="10740"/>
          </w:cols>
          <w:pgMar w:left="580" w:top="8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34</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40"/>
          </w:cols>
          <w:pgMar w:left="580" w:top="850" w:right="920" w:bottom="0" w:gutter="0" w:footer="0" w:header="0"/>
          <w:type w:val="continuous"/>
        </w:sectPr>
      </w:pPr>
    </w:p>
    <w:bookmarkStart w:id="34" w:name="page35"/>
    <w:bookmarkEnd w:id="34"/>
    <w:p>
      <w:pPr>
        <w:ind w:right="480"/>
        <w:spacing w:after="0" w:line="347" w:lineRule="auto"/>
        <w:rPr>
          <w:sz w:val="20"/>
          <w:szCs w:val="20"/>
          <w:color w:val="auto"/>
        </w:rPr>
      </w:pPr>
      <w:r>
        <w:rPr>
          <w:rFonts w:ascii="Times New Roman" w:cs="Times New Roman" w:eastAsia="Times New Roman" w:hAnsi="Times New Roman"/>
          <w:sz w:val="18"/>
          <w:szCs w:val="18"/>
          <w:color w:val="262626"/>
        </w:rPr>
        <w:t>semi-automatic headlamp NCAP rating system, and that its SmartBeam® technology and exterior mirrors with blind spot alert lighting can be included in a system that qualifies with the lower beam headlamp performance and blind spot detection NCAP rating system, respectively. On October 16, 2019, NHTSA issued a press release comparing NCAP to other regions’ version of NCAP, identified new technologies that are not currently included in NCAP, and suggested Congress legislatively direct actions to improve NCAP. On January 14, 2021, NHTSA issued a request for comment regarding NCAP with advanced driver assist features, including forward collision, lane keeping, blind spot detection and forward pedestrian impact avoidance technologies.</w:t>
      </w:r>
    </w:p>
    <w:p>
      <w:pPr>
        <w:spacing w:after="0" w:line="65" w:lineRule="exact"/>
        <w:rPr>
          <w:sz w:val="20"/>
          <w:szCs w:val="20"/>
          <w:color w:val="auto"/>
        </w:rPr>
      </w:pPr>
    </w:p>
    <w:p>
      <w:pPr>
        <w:ind w:right="380"/>
        <w:spacing w:after="0" w:line="360" w:lineRule="auto"/>
        <w:rPr>
          <w:sz w:val="20"/>
          <w:szCs w:val="20"/>
          <w:color w:val="auto"/>
        </w:rPr>
      </w:pPr>
      <w:r>
        <w:rPr>
          <w:rFonts w:ascii="Times New Roman" w:cs="Times New Roman" w:eastAsia="Times New Roman" w:hAnsi="Times New Roman"/>
          <w:sz w:val="17"/>
          <w:szCs w:val="17"/>
          <w:color w:val="262626"/>
        </w:rPr>
        <w:t>On October 12, 2018, NHTSA published a Notice of Proposed Rulemaking (“NPRM”) for amendments to Federal Motor Vehicle Safety Standard (“FMVSS”) No. 108: Lamps, reflective devices, and associated equipment, and initiated a comment period. The NPRM proposes amendments that would permit the certification of adaptive driving beam head-lighting systems, if the manufacturer chooses to equip vehicles with these systems. NHTSA proposes to establish appropriate performance requirements to ensure the safe introduction of adaptive driving beam head-lighting systems if equipped on newly manufactured vehicles. The Company believes that its dynamic SmartBeam® lighting control system (dynamic forward lighting or DFL), which has been sold in markets outside of North America for several years, will meet the requirements of the new FMVSS No. 108 standards, if amended. The Company’s SmartBeam® application has and will continue to be affected by increased competition suppliers of multi-function driver assist camera products, which are able to achieve some of the same functionality as SmartBeam® but at a lower cost, due to other suppliers leveraging similar hardware costs, but offering products with multiple software features.</w:t>
      </w:r>
    </w:p>
    <w:p>
      <w:pPr>
        <w:spacing w:after="0" w:line="62" w:lineRule="exact"/>
        <w:rPr>
          <w:sz w:val="20"/>
          <w:szCs w:val="20"/>
          <w:color w:val="auto"/>
        </w:rPr>
      </w:pPr>
    </w:p>
    <w:p>
      <w:pPr>
        <w:ind w:right="320"/>
        <w:spacing w:after="0" w:line="362" w:lineRule="auto"/>
        <w:rPr>
          <w:sz w:val="20"/>
          <w:szCs w:val="20"/>
          <w:color w:val="auto"/>
        </w:rPr>
      </w:pPr>
      <w:r>
        <w:rPr>
          <w:rFonts w:ascii="Times New Roman" w:cs="Times New Roman" w:eastAsia="Times New Roman" w:hAnsi="Times New Roman"/>
          <w:sz w:val="17"/>
          <w:szCs w:val="17"/>
          <w:color w:val="262626"/>
        </w:rPr>
        <w:t>As noted, on October 10, 2019, an Advanced Notice of Proposed Rulemaking (“ANPRM”) was published seeking public comment on permitting camera-based rear visibility systems, as an alternative to inside and outside rearview mirrors required under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 In November 2022, NHTSA conducted a public meeting and discussed the ongoing research of this technology.</w:t>
      </w:r>
    </w:p>
    <w:p>
      <w:pPr>
        <w:spacing w:after="0" w:line="62" w:lineRule="exact"/>
        <w:rPr>
          <w:sz w:val="20"/>
          <w:szCs w:val="20"/>
          <w:color w:val="auto"/>
        </w:rPr>
      </w:pPr>
    </w:p>
    <w:p>
      <w:pPr>
        <w:jc w:val="both"/>
        <w:ind w:right="620"/>
        <w:spacing w:after="0" w:line="382" w:lineRule="auto"/>
        <w:rPr>
          <w:sz w:val="20"/>
          <w:szCs w:val="20"/>
          <w:color w:val="auto"/>
        </w:rPr>
      </w:pPr>
      <w:r>
        <w:rPr>
          <w:rFonts w:ascii="Times New Roman" w:cs="Times New Roman" w:eastAsia="Times New Roman" w:hAnsi="Times New Roman"/>
          <w:sz w:val="18"/>
          <w:szCs w:val="18"/>
          <w:color w:val="262626"/>
        </w:rPr>
        <w:t>On February 1, 2022, NHTSA signed a Final Rule to allow for adaptive driving beam headlights, and the Final Rule is awaiting publication in the Federal Registrar. The Company believes its adaptive SmartBeam® (dynamic lighting system), which has been manufactured and sold for many years in jurisdictions outside the United States, will be permitted under the NHTSA Final Rule.</w:t>
      </w:r>
    </w:p>
    <w:p>
      <w:pPr>
        <w:spacing w:after="0" w:line="28" w:lineRule="exact"/>
        <w:rPr>
          <w:sz w:val="20"/>
          <w:szCs w:val="20"/>
          <w:color w:val="auto"/>
        </w:rPr>
      </w:pPr>
    </w:p>
    <w:p>
      <w:pPr>
        <w:ind w:right="420"/>
        <w:spacing w:after="0" w:line="381" w:lineRule="auto"/>
        <w:rPr>
          <w:sz w:val="20"/>
          <w:szCs w:val="20"/>
          <w:color w:val="auto"/>
        </w:rPr>
      </w:pPr>
      <w:r>
        <w:rPr>
          <w:rFonts w:ascii="Arial" w:cs="Arial" w:eastAsia="Arial" w:hAnsi="Arial"/>
          <w:sz w:val="17"/>
          <w:szCs w:val="17"/>
          <w:b w:val="1"/>
          <w:bCs w:val="1"/>
          <w:color w:val="858585"/>
        </w:rPr>
        <w:t xml:space="preserve">ANTITAKEOVER PROVISIONS. </w:t>
      </w:r>
      <w:r>
        <w:rPr>
          <w:rFonts w:ascii="Times New Roman" w:cs="Times New Roman" w:eastAsia="Times New Roman" w:hAnsi="Times New Roman"/>
          <w:sz w:val="18"/>
          <w:szCs w:val="18"/>
          <w:color w:val="262626"/>
        </w:rPr>
        <w:t>Our articles of incorporation, bylaws, and the laws of the state of Michigan include provisions that may provide</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our board of directors with adequate time to consider whether a hostile takeover offer is in our best interest and the best interests of our shareholders. These provisions, however, could discourage potential acquisition proposals and could delay or prevent a change in control.</w:t>
      </w:r>
    </w:p>
    <w:p>
      <w:pPr>
        <w:spacing w:after="0" w:line="32" w:lineRule="exact"/>
        <w:rPr>
          <w:sz w:val="20"/>
          <w:szCs w:val="20"/>
          <w:color w:val="auto"/>
        </w:rPr>
      </w:pPr>
    </w:p>
    <w:p>
      <w:pPr>
        <w:ind w:right="480"/>
        <w:spacing w:after="0" w:line="411" w:lineRule="auto"/>
        <w:rPr>
          <w:sz w:val="20"/>
          <w:szCs w:val="20"/>
          <w:color w:val="auto"/>
        </w:rPr>
      </w:pPr>
      <w:r>
        <w:rPr>
          <w:rFonts w:ascii="Arial" w:cs="Arial" w:eastAsia="Arial" w:hAnsi="Arial"/>
          <w:sz w:val="16"/>
          <w:szCs w:val="16"/>
          <w:b w:val="1"/>
          <w:bCs w:val="1"/>
          <w:color w:val="858585"/>
        </w:rPr>
        <w:t xml:space="preserve">FLUCTUATIONS IN MARKET PRICE. </w:t>
      </w:r>
      <w:r>
        <w:rPr>
          <w:rFonts w:ascii="Times New Roman" w:cs="Times New Roman" w:eastAsia="Times New Roman" w:hAnsi="Times New Roman"/>
          <w:sz w:val="17"/>
          <w:szCs w:val="17"/>
          <w:color w:val="262626"/>
        </w:rPr>
        <w:t>The market price for our common stock has fluctuated, ranging from a low closing price of $23.80 to a high</w:t>
      </w:r>
      <w:r>
        <w:rPr>
          <w:rFonts w:ascii="Arial" w:cs="Arial" w:eastAsia="Arial" w:hAnsi="Arial"/>
          <w:sz w:val="16"/>
          <w:szCs w:val="16"/>
          <w:b w:val="1"/>
          <w:bCs w:val="1"/>
          <w:color w:val="858585"/>
        </w:rPr>
        <w:t xml:space="preserve"> </w:t>
      </w:r>
      <w:r>
        <w:rPr>
          <w:rFonts w:ascii="Times New Roman" w:cs="Times New Roman" w:eastAsia="Times New Roman" w:hAnsi="Times New Roman"/>
          <w:sz w:val="17"/>
          <w:szCs w:val="17"/>
          <w:color w:val="262626"/>
        </w:rPr>
        <w:t>closing price of $36.18 during calendar year 2022. The overall market and the price of our common stock may continue to fluctuate. There may be a significant impact on the market price for our common stock relating to the issues discussed above or due to any of the following:</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62626"/>
        </w:rPr>
        <w:t>Variations in our anticipated or actual operating results or the results of our competitors;</w:t>
      </w:r>
    </w:p>
    <w:p>
      <w:pPr>
        <w:spacing w:after="0" w:line="162" w:lineRule="exact"/>
        <w:rPr>
          <w:sz w:val="20"/>
          <w:szCs w:val="20"/>
          <w:color w:val="auto"/>
        </w:rPr>
      </w:pPr>
    </w:p>
    <w:p>
      <w:pPr>
        <w:ind w:left="720" w:right="920"/>
        <w:spacing w:after="0" w:line="429" w:lineRule="auto"/>
        <w:rPr>
          <w:sz w:val="20"/>
          <w:szCs w:val="20"/>
          <w:color w:val="auto"/>
        </w:rPr>
      </w:pPr>
      <w:r>
        <w:rPr>
          <w:rFonts w:ascii="Times New Roman" w:cs="Times New Roman" w:eastAsia="Times New Roman" w:hAnsi="Times New Roman"/>
          <w:sz w:val="18"/>
          <w:szCs w:val="18"/>
          <w:color w:val="262626"/>
        </w:rPr>
        <w:t>Changes in investors’ or analysts’ perceptions of the risks and conditions of our business and in particular our primary industry; Intellectual property litigation and infringement claims or other litigation;</w:t>
      </w:r>
    </w:p>
    <w:p>
      <w:pPr>
        <w:ind w:left="460"/>
        <w:spacing w:after="0"/>
        <w:rPr>
          <w:sz w:val="20"/>
          <w:szCs w:val="20"/>
          <w:color w:val="auto"/>
        </w:rPr>
      </w:pPr>
      <w:r>
        <w:rPr>
          <w:rFonts w:ascii="Times New Roman" w:cs="Times New Roman" w:eastAsia="Times New Roman" w:hAnsi="Times New Roman"/>
          <w:sz w:val="18"/>
          <w:szCs w:val="18"/>
          <w:color w:val="262626"/>
        </w:rPr>
        <w:t>The size of the public float of our common stock;</w:t>
      </w:r>
    </w:p>
    <w:p>
      <w:pPr>
        <w:spacing w:after="0" w:line="163" w:lineRule="exact"/>
        <w:rPr>
          <w:sz w:val="20"/>
          <w:szCs w:val="20"/>
          <w:color w:val="auto"/>
        </w:rPr>
      </w:pPr>
    </w:p>
    <w:p>
      <w:pPr>
        <w:ind w:left="720" w:right="5160"/>
        <w:spacing w:after="0" w:line="544" w:lineRule="auto"/>
        <w:rPr>
          <w:sz w:val="20"/>
          <w:szCs w:val="20"/>
          <w:color w:val="auto"/>
        </w:rPr>
      </w:pPr>
      <w:r>
        <w:rPr>
          <w:rFonts w:ascii="Times New Roman" w:cs="Times New Roman" w:eastAsia="Times New Roman" w:hAnsi="Times New Roman"/>
          <w:sz w:val="18"/>
          <w:szCs w:val="18"/>
          <w:color w:val="262626"/>
        </w:rPr>
        <w:t>Market conditions, including the industry in which we operate; and General macroeconomic conditions.</w:t>
      </w: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35</w:t>
      </w:r>
    </w:p>
    <w:p>
      <w:pPr>
        <w:sectPr>
          <w:pgSz w:w="12240" w:h="15840" w:orient="portrait"/>
          <w:cols w:equalWidth="0" w:num="1">
            <w:col w:w="10760"/>
          </w:cols>
          <w:pgMar w:left="900" w:top="852" w:right="580" w:bottom="0" w:gutter="0" w:footer="0" w:header="0"/>
          <w:type w:val="continuous"/>
        </w:sectPr>
      </w:pPr>
    </w:p>
    <w:bookmarkStart w:id="35" w:name="page36"/>
    <w:bookmarkEnd w:id="35"/>
    <w:p>
      <w:pPr>
        <w:ind w:left="320"/>
        <w:spacing w:after="0"/>
        <w:rPr>
          <w:sz w:val="20"/>
          <w:szCs w:val="20"/>
          <w:color w:val="auto"/>
        </w:rPr>
      </w:pPr>
      <w:r>
        <w:rPr>
          <w:rFonts w:ascii="Arial" w:cs="Arial" w:eastAsia="Arial" w:hAnsi="Arial"/>
          <w:sz w:val="22"/>
          <w:szCs w:val="22"/>
          <w:b w:val="1"/>
          <w:bCs w:val="1"/>
          <w:color w:val="8F8F8F"/>
        </w:rPr>
        <w:t>General Risk Factors</w:t>
      </w:r>
    </w:p>
    <w:p>
      <w:pPr>
        <w:spacing w:after="0" w:line="189" w:lineRule="exact"/>
        <w:rPr>
          <w:sz w:val="20"/>
          <w:szCs w:val="20"/>
          <w:color w:val="auto"/>
        </w:rPr>
      </w:pPr>
    </w:p>
    <w:p>
      <w:pPr>
        <w:ind w:left="320" w:right="180"/>
        <w:spacing w:after="0" w:line="381" w:lineRule="auto"/>
        <w:rPr>
          <w:sz w:val="20"/>
          <w:szCs w:val="20"/>
          <w:color w:val="auto"/>
        </w:rPr>
      </w:pPr>
      <w:r>
        <w:rPr>
          <w:rFonts w:ascii="Arial" w:cs="Arial" w:eastAsia="Arial" w:hAnsi="Arial"/>
          <w:sz w:val="17"/>
          <w:szCs w:val="17"/>
          <w:b w:val="1"/>
          <w:bCs w:val="1"/>
          <w:color w:val="858585"/>
        </w:rPr>
        <w:t xml:space="preserve">COVID-19 PANDEMIC. </w:t>
      </w:r>
      <w:r>
        <w:rPr>
          <w:rFonts w:ascii="Times New Roman" w:cs="Times New Roman" w:eastAsia="Times New Roman" w:hAnsi="Times New Roman"/>
          <w:sz w:val="18"/>
          <w:szCs w:val="18"/>
          <w:color w:val="262626"/>
        </w:rPr>
        <w:t>The COVID-19 pandemic has already significantly impacted worldwide economic and industry conditions and has</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had, is having, and is expected to continue to have, a material adverse effect on our business, financial condition, and/or results of operations. The extent and duration of such possible impacts will depend on numerous factors, including:</w:t>
      </w:r>
    </w:p>
    <w:p>
      <w:pPr>
        <w:spacing w:after="0" w:line="21" w:lineRule="exact"/>
        <w:rPr>
          <w:sz w:val="20"/>
          <w:szCs w:val="20"/>
          <w:color w:val="auto"/>
        </w:rPr>
      </w:pPr>
    </w:p>
    <w:p>
      <w:pPr>
        <w:ind w:left="1040" w:right="820"/>
        <w:spacing w:after="0" w:line="376" w:lineRule="auto"/>
        <w:rPr>
          <w:sz w:val="20"/>
          <w:szCs w:val="20"/>
          <w:color w:val="auto"/>
        </w:rPr>
      </w:pPr>
      <w:r>
        <w:rPr>
          <w:rFonts w:ascii="Times New Roman" w:cs="Times New Roman" w:eastAsia="Times New Roman" w:hAnsi="Times New Roman"/>
          <w:sz w:val="18"/>
          <w:szCs w:val="18"/>
          <w:color w:val="262626"/>
        </w:rPr>
        <w:t>Duration and severity of any outbreaks and resulting actions taken by the Company or the various governments to contain or mitigate the spread of the coronavirus;</w:t>
      </w:r>
    </w:p>
    <w:p>
      <w:pPr>
        <w:spacing w:after="0" w:line="1" w:lineRule="exact"/>
        <w:rPr>
          <w:sz w:val="20"/>
          <w:szCs w:val="20"/>
          <w:color w:val="auto"/>
        </w:rPr>
      </w:pPr>
    </w:p>
    <w:p>
      <w:pPr>
        <w:ind w:left="1040" w:right="680"/>
        <w:spacing w:after="0" w:line="376" w:lineRule="auto"/>
        <w:rPr>
          <w:sz w:val="20"/>
          <w:szCs w:val="20"/>
          <w:color w:val="auto"/>
        </w:rPr>
      </w:pPr>
      <w:r>
        <w:rPr>
          <w:rFonts w:ascii="Times New Roman" w:cs="Times New Roman" w:eastAsia="Times New Roman" w:hAnsi="Times New Roman"/>
          <w:sz w:val="18"/>
          <w:szCs w:val="18"/>
          <w:color w:val="262626"/>
        </w:rPr>
        <w:t>Global governmental, business and individual actions taken in response to COVID-19, such as work stoppages, quarantines, shutdowns, shelter-in-place orders or other limitations, as well as voluntary shutdowns and other restrictions;</w:t>
      </w:r>
    </w:p>
    <w:p>
      <w:pPr>
        <w:spacing w:after="0" w:line="1" w:lineRule="exact"/>
        <w:rPr>
          <w:sz w:val="20"/>
          <w:szCs w:val="20"/>
          <w:color w:val="auto"/>
        </w:rPr>
      </w:pPr>
    </w:p>
    <w:p>
      <w:pPr>
        <w:ind w:left="1040" w:right="760"/>
        <w:spacing w:after="0" w:line="376" w:lineRule="auto"/>
        <w:rPr>
          <w:sz w:val="20"/>
          <w:szCs w:val="20"/>
          <w:color w:val="auto"/>
        </w:rPr>
      </w:pPr>
      <w:r>
        <w:rPr>
          <w:rFonts w:ascii="Times New Roman" w:cs="Times New Roman" w:eastAsia="Times New Roman" w:hAnsi="Times New Roman"/>
          <w:sz w:val="18"/>
          <w:szCs w:val="18"/>
          <w:color w:val="262626"/>
        </w:rPr>
        <w:t>The effect on our suppliers and companies throughout our supply chain, including industry wide part shortages and created labor shortages;</w:t>
      </w:r>
    </w:p>
    <w:p>
      <w:pPr>
        <w:spacing w:after="0" w:line="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262626"/>
        </w:rPr>
        <w:t>Our ability to fulfill existing and future sales order backlog;</w:t>
      </w:r>
    </w:p>
    <w:p>
      <w:pPr>
        <w:spacing w:after="0" w:line="162" w:lineRule="exact"/>
        <w:rPr>
          <w:sz w:val="20"/>
          <w:szCs w:val="20"/>
          <w:color w:val="auto"/>
        </w:rPr>
      </w:pPr>
    </w:p>
    <w:p>
      <w:pPr>
        <w:ind w:left="1040" w:right="5080"/>
        <w:spacing w:after="0" w:line="454" w:lineRule="auto"/>
        <w:rPr>
          <w:sz w:val="20"/>
          <w:szCs w:val="20"/>
          <w:color w:val="auto"/>
        </w:rPr>
      </w:pPr>
      <w:r>
        <w:rPr>
          <w:rFonts w:ascii="Times New Roman" w:cs="Times New Roman" w:eastAsia="Times New Roman" w:hAnsi="Times New Roman"/>
          <w:sz w:val="17"/>
          <w:szCs w:val="17"/>
          <w:color w:val="262626"/>
        </w:rPr>
        <w:t>Reductions or volatility in demand for our products or services; Increasing logistics costs and transportation challenges;</w:t>
      </w:r>
    </w:p>
    <w:p>
      <w:pPr>
        <w:ind w:left="780"/>
        <w:spacing w:after="0"/>
        <w:rPr>
          <w:sz w:val="20"/>
          <w:szCs w:val="20"/>
          <w:color w:val="auto"/>
        </w:rPr>
      </w:pPr>
      <w:r>
        <w:rPr>
          <w:rFonts w:ascii="Times New Roman" w:cs="Times New Roman" w:eastAsia="Times New Roman" w:hAnsi="Times New Roman"/>
          <w:sz w:val="18"/>
          <w:szCs w:val="18"/>
          <w:color w:val="262626"/>
        </w:rPr>
        <w:t>Costs of any additional preparedness plans or actions to help ensure the health and safety of our employees and continued operations;</w:t>
      </w:r>
    </w:p>
    <w:p>
      <w:pPr>
        <w:spacing w:after="0" w:line="16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262626"/>
        </w:rPr>
        <w:t>Availability of employees to staff our operations and those of companies in our supply chain;</w:t>
      </w:r>
    </w:p>
    <w:p>
      <w:pPr>
        <w:spacing w:after="0" w:line="16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262626"/>
        </w:rPr>
        <w:t>Our ability to establish and maintain appropriate estimates and assumptions used to prepare the Consolidated Financial Statements; and</w:t>
      </w:r>
    </w:p>
    <w:p>
      <w:pPr>
        <w:spacing w:after="0" w:line="163" w:lineRule="exact"/>
        <w:rPr>
          <w:sz w:val="20"/>
          <w:szCs w:val="20"/>
          <w:color w:val="auto"/>
        </w:rPr>
      </w:pPr>
    </w:p>
    <w:p>
      <w:pPr>
        <w:ind w:left="1040" w:right="500"/>
        <w:spacing w:after="0" w:line="381" w:lineRule="auto"/>
        <w:rPr>
          <w:sz w:val="20"/>
          <w:szCs w:val="20"/>
          <w:color w:val="auto"/>
        </w:rPr>
      </w:pPr>
      <w:r>
        <w:rPr>
          <w:rFonts w:ascii="Times New Roman" w:cs="Times New Roman" w:eastAsia="Times New Roman" w:hAnsi="Times New Roman"/>
          <w:sz w:val="18"/>
          <w:szCs w:val="18"/>
          <w:color w:val="262626"/>
        </w:rPr>
        <w:t>The financial and credit markets and economic activity generally, all of which have harmed and could continue to harm our business, financial condition, and/or results of operations, including impacting the ability to access capital and comply with any financial covenants.</w:t>
      </w:r>
    </w:p>
    <w:p>
      <w:pPr>
        <w:spacing w:after="0" w:line="45" w:lineRule="exact"/>
        <w:rPr>
          <w:sz w:val="20"/>
          <w:szCs w:val="20"/>
          <w:color w:val="auto"/>
        </w:rPr>
      </w:pPr>
    </w:p>
    <w:p>
      <w:pPr>
        <w:ind w:left="320"/>
        <w:spacing w:after="0" w:line="362" w:lineRule="auto"/>
        <w:rPr>
          <w:sz w:val="20"/>
          <w:szCs w:val="20"/>
          <w:color w:val="auto"/>
        </w:rPr>
      </w:pPr>
      <w:r>
        <w:rPr>
          <w:rFonts w:ascii="Arial" w:cs="Arial" w:eastAsia="Arial" w:hAnsi="Arial"/>
          <w:sz w:val="17"/>
          <w:szCs w:val="17"/>
          <w:b w:val="1"/>
          <w:bCs w:val="1"/>
          <w:color w:val="858585"/>
        </w:rPr>
        <w:t xml:space="preserve">INCOME TAXES. </w:t>
      </w:r>
      <w:r>
        <w:rPr>
          <w:rFonts w:ascii="Times New Roman" w:cs="Times New Roman" w:eastAsia="Times New Roman" w:hAnsi="Times New Roman"/>
          <w:sz w:val="18"/>
          <w:szCs w:val="18"/>
          <w:color w:val="262626"/>
        </w:rPr>
        <w:t>The Company is subject to income taxes in the U.S. and other foreign jurisdictions. Changes in tax rates, adoption of new</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tax laws or other additional tax policies, and other proposals to reform United States and foreign tax laws could adversely affect the Company’s operating results, cash flows, and financial condition. The Company’s domestic and international tax liabilities are dependent upon the location of earnings among these different jurisdictions.</w:t>
      </w:r>
    </w:p>
    <w:p>
      <w:pPr>
        <w:spacing w:after="0" w:line="49" w:lineRule="exact"/>
        <w:rPr>
          <w:sz w:val="20"/>
          <w:szCs w:val="20"/>
          <w:color w:val="auto"/>
        </w:rPr>
      </w:pPr>
    </w:p>
    <w:p>
      <w:pPr>
        <w:ind w:left="320" w:right="300"/>
        <w:spacing w:after="0" w:line="343" w:lineRule="auto"/>
        <w:rPr>
          <w:sz w:val="20"/>
          <w:szCs w:val="20"/>
          <w:color w:val="auto"/>
        </w:rPr>
      </w:pPr>
      <w:r>
        <w:rPr>
          <w:rFonts w:ascii="Arial" w:cs="Arial" w:eastAsia="Arial" w:hAnsi="Arial"/>
          <w:sz w:val="17"/>
          <w:szCs w:val="17"/>
          <w:b w:val="1"/>
          <w:bCs w:val="1"/>
          <w:color w:val="858585"/>
        </w:rPr>
        <w:t xml:space="preserve">EMPLOYEES. </w:t>
      </w:r>
      <w:r>
        <w:rPr>
          <w:rFonts w:ascii="Times New Roman" w:cs="Times New Roman" w:eastAsia="Times New Roman" w:hAnsi="Times New Roman"/>
          <w:sz w:val="18"/>
          <w:szCs w:val="18"/>
          <w:color w:val="262626"/>
        </w:rPr>
        <w:t>Our business success depends on attracting and retaining qualified personnel. Throughout our Company, our ability to</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sustain and grow our business requires us to hire, retain and develop a highly skilled and diverse management team and workforce. Failure to ensure that we have the leadership capacity with the necessary skill sets and experience and a skilled workforce could impede our ability to deliver our growth objectives and execute our strategic plan. Organizational and reporting changes within management could result in, and low unemployment has contributed to, increased turnover. Turnover, inability to attract and retain key employees, including managers, or government mandated remote work has had, is having, and is expected to continue to have a negative effect on our business, financial condition and/or results of operations.</w:t>
      </w:r>
    </w:p>
    <w:p>
      <w:pPr>
        <w:sectPr>
          <w:pgSz w:w="12240" w:h="15840" w:orient="portrait"/>
          <w:cols w:equalWidth="0" w:num="1">
            <w:col w:w="10660"/>
          </w:cols>
          <w:pgMar w:left="580" w:top="83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36</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660"/>
          </w:cols>
          <w:pgMar w:left="580" w:top="830" w:right="1000" w:bottom="0" w:gutter="0" w:footer="0" w:header="0"/>
          <w:type w:val="continuous"/>
        </w:sectPr>
      </w:pPr>
    </w:p>
    <w:bookmarkStart w:id="36" w:name="page37"/>
    <w:bookmarkEnd w:id="36"/>
    <w:p>
      <w:pPr>
        <w:ind w:right="520"/>
        <w:spacing w:after="0" w:line="362" w:lineRule="auto"/>
        <w:rPr>
          <w:sz w:val="20"/>
          <w:szCs w:val="20"/>
          <w:color w:val="auto"/>
        </w:rPr>
      </w:pPr>
      <w:r>
        <w:rPr>
          <w:rFonts w:ascii="Arial" w:cs="Arial" w:eastAsia="Arial" w:hAnsi="Arial"/>
          <w:sz w:val="17"/>
          <w:szCs w:val="17"/>
          <w:b w:val="1"/>
          <w:bCs w:val="1"/>
          <w:color w:val="858585"/>
        </w:rPr>
        <w:t xml:space="preserve">INTERNATIONAL OPERATIONS. </w:t>
      </w:r>
      <w:r>
        <w:rPr>
          <w:rFonts w:ascii="Times New Roman" w:cs="Times New Roman" w:eastAsia="Times New Roman" w:hAnsi="Times New Roman"/>
          <w:sz w:val="18"/>
          <w:szCs w:val="18"/>
          <w:color w:val="262626"/>
        </w:rPr>
        <w:t>We currently conduct operations in various countries and jurisdictions, including purchasing raw materials</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and other supplies from many different countries around the world, which subjects us to the legal, political, regulatory and social requirements as well as various economic conditions in these jurisdictions. Some of these countries are considered growth markets. International sales and operations, especially in growth markets, subject us to certain risks inherent in doing business abroad, including:</w:t>
      </w:r>
    </w:p>
    <w:p>
      <w:pPr>
        <w:spacing w:after="0" w:line="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62626"/>
        </w:rPr>
        <w:t>Exposure to local economic, political and labor conditions;</w:t>
      </w:r>
    </w:p>
    <w:p>
      <w:pPr>
        <w:spacing w:after="0" w:line="162" w:lineRule="exact"/>
        <w:rPr>
          <w:sz w:val="20"/>
          <w:szCs w:val="20"/>
          <w:color w:val="auto"/>
        </w:rPr>
      </w:pPr>
    </w:p>
    <w:p>
      <w:pPr>
        <w:ind w:left="720" w:right="640"/>
        <w:spacing w:after="0" w:line="376" w:lineRule="auto"/>
        <w:rPr>
          <w:sz w:val="20"/>
          <w:szCs w:val="20"/>
          <w:color w:val="auto"/>
        </w:rPr>
      </w:pPr>
      <w:r>
        <w:rPr>
          <w:rFonts w:ascii="Times New Roman" w:cs="Times New Roman" w:eastAsia="Times New Roman" w:hAnsi="Times New Roman"/>
          <w:sz w:val="18"/>
          <w:szCs w:val="18"/>
          <w:color w:val="262626"/>
        </w:rPr>
        <w:t>Unexpected changes in laws, regulations, trade or monetary or fiscal policy, including interest rates, foreign currency exchange rates and changes in the rate of inflation in the U.S. and other foreign countries;</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62626"/>
        </w:rPr>
        <w:t>Tariffs (as discussed herein), quotas, customs and other import or export restrictions and other trade barriers;</w:t>
      </w:r>
    </w:p>
    <w:p>
      <w:pPr>
        <w:spacing w:after="0" w:line="162" w:lineRule="exact"/>
        <w:rPr>
          <w:sz w:val="20"/>
          <w:szCs w:val="20"/>
          <w:color w:val="auto"/>
        </w:rPr>
      </w:pPr>
    </w:p>
    <w:p>
      <w:pPr>
        <w:ind w:left="720" w:right="400"/>
        <w:spacing w:after="0" w:line="376" w:lineRule="auto"/>
        <w:rPr>
          <w:sz w:val="20"/>
          <w:szCs w:val="20"/>
          <w:color w:val="auto"/>
        </w:rPr>
      </w:pPr>
      <w:r>
        <w:rPr>
          <w:rFonts w:ascii="Times New Roman" w:cs="Times New Roman" w:eastAsia="Times New Roman" w:hAnsi="Times New Roman"/>
          <w:sz w:val="18"/>
          <w:szCs w:val="18"/>
          <w:color w:val="262626"/>
        </w:rPr>
        <w:t>Natural disasters, political crises, and public health crises (such as the COVID-19 pandemic), which have caused, are causing, and will likely continue to cause downtime and closures at both supplier and customer facilities;</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62626"/>
        </w:rPr>
        <w:t>Brexit, and its impact;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62626"/>
        </w:rPr>
        <w:t>Expropriation and nationalization;</w:t>
      </w:r>
    </w:p>
    <w:p>
      <w:pPr>
        <w:spacing w:after="0" w:line="163" w:lineRule="exact"/>
        <w:rPr>
          <w:sz w:val="20"/>
          <w:szCs w:val="20"/>
          <w:color w:val="auto"/>
        </w:rPr>
      </w:pPr>
    </w:p>
    <w:p>
      <w:pPr>
        <w:ind w:left="720" w:right="2080"/>
        <w:spacing w:after="0" w:line="429" w:lineRule="auto"/>
        <w:rPr>
          <w:sz w:val="20"/>
          <w:szCs w:val="20"/>
          <w:color w:val="auto"/>
        </w:rPr>
      </w:pPr>
      <w:r>
        <w:rPr>
          <w:rFonts w:ascii="Times New Roman" w:cs="Times New Roman" w:eastAsia="Times New Roman" w:hAnsi="Times New Roman"/>
          <w:sz w:val="18"/>
          <w:szCs w:val="18"/>
          <w:color w:val="262626"/>
        </w:rPr>
        <w:t>Difficulty of enforcing agreements, collecting receivables and protecting assets through non-U.S. legal systems; Reduced intellectual property protection;</w:t>
      </w:r>
    </w:p>
    <w:p>
      <w:pPr>
        <w:ind w:left="720" w:right="4240"/>
        <w:spacing w:after="0" w:line="429" w:lineRule="auto"/>
        <w:rPr>
          <w:sz w:val="20"/>
          <w:szCs w:val="20"/>
          <w:color w:val="auto"/>
        </w:rPr>
      </w:pPr>
      <w:r>
        <w:rPr>
          <w:rFonts w:ascii="Times New Roman" w:cs="Times New Roman" w:eastAsia="Times New Roman" w:hAnsi="Times New Roman"/>
          <w:sz w:val="18"/>
          <w:szCs w:val="18"/>
          <w:color w:val="262626"/>
        </w:rPr>
        <w:t>Withholding and other taxes on remittances and other payments by subsidiaries; Investment restrictions or requirements;</w:t>
      </w:r>
    </w:p>
    <w:p>
      <w:pPr>
        <w:ind w:left="460"/>
        <w:spacing w:after="0"/>
        <w:rPr>
          <w:sz w:val="20"/>
          <w:szCs w:val="20"/>
          <w:color w:val="auto"/>
        </w:rPr>
      </w:pPr>
      <w:r>
        <w:rPr>
          <w:rFonts w:ascii="Times New Roman" w:cs="Times New Roman" w:eastAsia="Times New Roman" w:hAnsi="Times New Roman"/>
          <w:sz w:val="18"/>
          <w:szCs w:val="18"/>
          <w:color w:val="262626"/>
        </w:rPr>
        <w:t>Export and import restrictions;</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62626"/>
        </w:rPr>
        <w:t>Violence and civil unrest in local countries;</w:t>
      </w:r>
    </w:p>
    <w:p>
      <w:pPr>
        <w:spacing w:after="0" w:line="163" w:lineRule="exact"/>
        <w:rPr>
          <w:sz w:val="20"/>
          <w:szCs w:val="20"/>
          <w:color w:val="auto"/>
        </w:rPr>
      </w:pPr>
    </w:p>
    <w:p>
      <w:pPr>
        <w:ind w:left="720" w:right="420"/>
        <w:spacing w:after="0" w:line="376" w:lineRule="auto"/>
        <w:rPr>
          <w:sz w:val="20"/>
          <w:szCs w:val="20"/>
          <w:color w:val="auto"/>
        </w:rPr>
      </w:pPr>
      <w:r>
        <w:rPr>
          <w:rFonts w:ascii="Times New Roman" w:cs="Times New Roman" w:eastAsia="Times New Roman" w:hAnsi="Times New Roman"/>
          <w:sz w:val="18"/>
          <w:szCs w:val="18"/>
          <w:color w:val="262626"/>
        </w:rPr>
        <w:t>Compliance with the requirements of an increasing body of applicable anti-bribery laws, including the U.S. Foreign Corrupt Practices Act, the U.K. Bribery Act and similar laws of various other countries; and</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62626"/>
        </w:rPr>
        <w:t>Exposure related to buying, selling and financing in currencies other than the local currencies of the countries in which we operate.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858585"/>
        </w:rPr>
        <w:t xml:space="preserve">OTHER. </w:t>
      </w:r>
      <w:r>
        <w:rPr>
          <w:rFonts w:ascii="Times New Roman" w:cs="Times New Roman" w:eastAsia="Times New Roman" w:hAnsi="Times New Roman"/>
          <w:sz w:val="18"/>
          <w:szCs w:val="18"/>
          <w:color w:val="262626"/>
        </w:rPr>
        <w:t>Other issues and uncertainties which could adversely impact our business, financial condition, and/or results of operations include:</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62626"/>
        </w:rPr>
        <w:t>Rising commodity prices and inflation generally, where we are unable to recover such increases from customers;</w:t>
      </w:r>
    </w:p>
    <w:p>
      <w:pPr>
        <w:spacing w:after="0" w:line="162" w:lineRule="exact"/>
        <w:rPr>
          <w:sz w:val="20"/>
          <w:szCs w:val="20"/>
          <w:color w:val="auto"/>
        </w:rPr>
      </w:pPr>
    </w:p>
    <w:p>
      <w:pPr>
        <w:ind w:left="720" w:right="420"/>
        <w:spacing w:after="0" w:line="399" w:lineRule="auto"/>
        <w:rPr>
          <w:sz w:val="20"/>
          <w:szCs w:val="20"/>
          <w:color w:val="auto"/>
        </w:rPr>
      </w:pPr>
      <w:r>
        <w:rPr>
          <w:rFonts w:ascii="Times New Roman" w:cs="Times New Roman" w:eastAsia="Times New Roman" w:hAnsi="Times New Roman"/>
          <w:sz w:val="17"/>
          <w:szCs w:val="17"/>
          <w:color w:val="262626"/>
        </w:rPr>
        <w:t>Increasing interest rates impact our financial performance due to an increase in realized losses on the sale of fixed income investments and/or recognized losses due to a corresponding impairment adjustment on investment securities and can impact customer demand as well;</w:t>
      </w:r>
    </w:p>
    <w:p>
      <w:pPr>
        <w:jc w:val="both"/>
        <w:ind w:left="720" w:right="440"/>
        <w:spacing w:after="0" w:line="350" w:lineRule="auto"/>
        <w:rPr>
          <w:sz w:val="20"/>
          <w:szCs w:val="20"/>
          <w:color w:val="auto"/>
        </w:rPr>
      </w:pPr>
      <w:r>
        <w:rPr>
          <w:rFonts w:ascii="Times New Roman" w:cs="Times New Roman" w:eastAsia="Times New Roman" w:hAnsi="Times New Roman"/>
          <w:sz w:val="18"/>
          <w:szCs w:val="18"/>
          <w:color w:val="262626"/>
        </w:rPr>
        <w:t>General economic conditions continue to be of concern in many of the regions in which we do business, given that our primary industry is greatly impacted by overall general economic conditions. Any continued adverse worldwide economic conditions, currency exchange rates, trade war, war or significant terrorist acts, could each affect worldwide automotive sales and production levels, thereby impacting the Company;</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62626"/>
        </w:rPr>
        <w:t>Manufacturing yield issues; and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62626"/>
        </w:rPr>
        <w:t>Obligations and costs associated with addressing quality issues or warranty claims.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32"/>
          <w:szCs w:val="32"/>
          <w:color w:val="838383"/>
        </w:rPr>
        <w:t xml:space="preserve">Item 1B. </w:t>
      </w:r>
      <w:r>
        <w:rPr>
          <w:rFonts w:ascii="Arial" w:cs="Arial" w:eastAsia="Arial" w:hAnsi="Arial"/>
          <w:sz w:val="32"/>
          <w:szCs w:val="32"/>
          <w:color w:val="262626"/>
        </w:rPr>
        <w:t>Unresolved Staff Comments.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None</w:t>
      </w:r>
    </w:p>
    <w:p>
      <w:pPr>
        <w:sectPr>
          <w:pgSz w:w="12240" w:h="15840" w:orient="portrait"/>
          <w:cols w:equalWidth="0" w:num="1">
            <w:col w:w="10760"/>
          </w:cols>
          <w:pgMar w:left="900" w:top="85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37</w:t>
      </w:r>
    </w:p>
    <w:p>
      <w:pPr>
        <w:sectPr>
          <w:pgSz w:w="12240" w:h="15840" w:orient="portrait"/>
          <w:cols w:equalWidth="0" w:num="1">
            <w:col w:w="10760"/>
          </w:cols>
          <w:pgMar w:left="900" w:top="850" w:right="580" w:bottom="0" w:gutter="0" w:footer="0" w:header="0"/>
          <w:type w:val="continuous"/>
        </w:sectPr>
      </w:pPr>
    </w:p>
    <w:bookmarkStart w:id="37" w:name="page38"/>
    <w:bookmarkEnd w:id="37"/>
    <w:p>
      <w:pPr>
        <w:ind w:left="320"/>
        <w:spacing w:after="0"/>
        <w:rPr>
          <w:sz w:val="20"/>
          <w:szCs w:val="20"/>
          <w:color w:val="auto"/>
        </w:rPr>
      </w:pPr>
      <w:r>
        <w:rPr>
          <w:rFonts w:ascii="Arial" w:cs="Arial" w:eastAsia="Arial" w:hAnsi="Arial"/>
          <w:sz w:val="32"/>
          <w:szCs w:val="32"/>
          <w:color w:val="838383"/>
        </w:rPr>
        <w:t xml:space="preserve">Item 2. </w:t>
      </w:r>
      <w:r>
        <w:rPr>
          <w:rFonts w:ascii="Arial" w:cs="Arial" w:eastAsia="Arial" w:hAnsi="Arial"/>
          <w:sz w:val="32"/>
          <w:szCs w:val="32"/>
          <w:color w:val="262626"/>
        </w:rPr>
        <w:t>Properties.</w:t>
      </w:r>
    </w:p>
    <w:p>
      <w:pPr>
        <w:spacing w:after="0" w:line="216" w:lineRule="exact"/>
        <w:rPr>
          <w:sz w:val="20"/>
          <w:szCs w:val="20"/>
          <w:color w:val="auto"/>
        </w:rPr>
      </w:pPr>
    </w:p>
    <w:p>
      <w:pPr>
        <w:ind w:left="320" w:right="40"/>
        <w:spacing w:after="0" w:line="362" w:lineRule="auto"/>
        <w:rPr>
          <w:sz w:val="20"/>
          <w:szCs w:val="20"/>
          <w:color w:val="auto"/>
        </w:rPr>
      </w:pPr>
      <w:r>
        <w:rPr>
          <w:rFonts w:ascii="Times New Roman" w:cs="Times New Roman" w:eastAsia="Times New Roman" w:hAnsi="Times New Roman"/>
          <w:sz w:val="18"/>
          <w:szCs w:val="18"/>
          <w:color w:val="262626"/>
        </w:rPr>
        <w:t>As of December 31, 2022, the Company operates primarily out of facilities in Zeeland and Holland, Michigan, which consist of manufacturing, warehouse, and office space. The Company also operates a chemistry lab facility in Zeeland, Michigan to support production. In addition, the Company operates overseas offices in Europe and Asia as further discussed below. The location, square footage and use of the most significant facilities as of December 31, 2022 were as follows:</w:t>
      </w:r>
    </w:p>
    <w:p>
      <w:pPr>
        <w:spacing w:after="0" w:line="99" w:lineRule="exact"/>
        <w:rPr>
          <w:sz w:val="20"/>
          <w:szCs w:val="20"/>
          <w:color w:val="auto"/>
        </w:rPr>
      </w:pPr>
    </w:p>
    <w:tbl>
      <w:tblPr>
        <w:tblLayout w:type="fixed"/>
        <w:tblInd w:w="320" w:type="dxa"/>
        <w:tblCellMar>
          <w:top w:w="0" w:type="dxa"/>
          <w:left w:w="0" w:type="dxa"/>
          <w:bottom w:w="0" w:type="dxa"/>
          <w:right w:w="0" w:type="dxa"/>
        </w:tblCellMar>
      </w:tblPr>
      <w:tr>
        <w:trPr>
          <w:trHeight w:val="312"/>
        </w:trPr>
        <w:tc>
          <w:tcPr>
            <w:tcW w:w="2460" w:type="dxa"/>
            <w:vAlign w:val="bottom"/>
          </w:tcPr>
          <w:p>
            <w:pPr>
              <w:spacing w:after="0"/>
              <w:rPr>
                <w:sz w:val="20"/>
                <w:szCs w:val="20"/>
                <w:color w:val="auto"/>
              </w:rPr>
            </w:pPr>
            <w:r>
              <w:rPr>
                <w:rFonts w:ascii="Arial" w:cs="Arial" w:eastAsia="Arial" w:hAnsi="Arial"/>
                <w:sz w:val="18"/>
                <w:szCs w:val="18"/>
                <w:b w:val="1"/>
                <w:bCs w:val="1"/>
                <w:color w:val="262626"/>
              </w:rPr>
              <w:t>Owned Locations</w:t>
            </w:r>
          </w:p>
        </w:tc>
        <w:tc>
          <w:tcPr>
            <w:tcW w:w="2460" w:type="dxa"/>
            <w:vAlign w:val="bottom"/>
          </w:tcPr>
          <w:p>
            <w:pPr>
              <w:jc w:val="right"/>
              <w:ind w:right="250"/>
              <w:spacing w:after="0"/>
              <w:rPr>
                <w:sz w:val="20"/>
                <w:szCs w:val="20"/>
                <w:color w:val="auto"/>
              </w:rPr>
            </w:pPr>
            <w:r>
              <w:rPr>
                <w:rFonts w:ascii="Arial" w:cs="Arial" w:eastAsia="Arial" w:hAnsi="Arial"/>
                <w:sz w:val="18"/>
                <w:szCs w:val="18"/>
                <w:b w:val="1"/>
                <w:bCs w:val="1"/>
                <w:color w:val="262626"/>
              </w:rPr>
              <w:t>Square Footage</w:t>
            </w:r>
          </w:p>
        </w:tc>
        <w:tc>
          <w:tcPr>
            <w:tcW w:w="2680" w:type="dxa"/>
            <w:vAlign w:val="bottom"/>
          </w:tcPr>
          <w:p>
            <w:pPr>
              <w:jc w:val="right"/>
              <w:ind w:right="130"/>
              <w:spacing w:after="0"/>
              <w:rPr>
                <w:sz w:val="20"/>
                <w:szCs w:val="20"/>
                <w:color w:val="auto"/>
              </w:rPr>
            </w:pPr>
            <w:r>
              <w:rPr>
                <w:rFonts w:ascii="Arial" w:cs="Arial" w:eastAsia="Arial" w:hAnsi="Arial"/>
                <w:sz w:val="18"/>
                <w:szCs w:val="18"/>
                <w:b w:val="1"/>
                <w:bCs w:val="1"/>
                <w:color w:val="262626"/>
              </w:rPr>
              <w:t>Date of Acquisition/Build</w:t>
            </w:r>
            <w:r>
              <w:rPr>
                <w:rFonts w:ascii="Arial" w:cs="Arial" w:eastAsia="Arial" w:hAnsi="Arial"/>
                <w:sz w:val="20"/>
                <w:szCs w:val="20"/>
                <w:b w:val="1"/>
                <w:bCs w:val="1"/>
                <w:color w:val="262626"/>
                <w:vertAlign w:val="superscript"/>
              </w:rPr>
              <w:t>(1)</w:t>
            </w:r>
          </w:p>
        </w:tc>
        <w:tc>
          <w:tcPr>
            <w:tcW w:w="2840" w:type="dxa"/>
            <w:vAlign w:val="bottom"/>
          </w:tcPr>
          <w:p>
            <w:pPr>
              <w:jc w:val="right"/>
              <w:spacing w:after="0"/>
              <w:rPr>
                <w:sz w:val="20"/>
                <w:szCs w:val="20"/>
                <w:color w:val="auto"/>
              </w:rPr>
            </w:pPr>
            <w:r>
              <w:rPr>
                <w:rFonts w:ascii="Arial" w:cs="Arial" w:eastAsia="Arial" w:hAnsi="Arial"/>
                <w:sz w:val="18"/>
                <w:szCs w:val="18"/>
                <w:b w:val="1"/>
                <w:bCs w:val="1"/>
                <w:color w:val="262626"/>
              </w:rPr>
              <w:t>Use</w:t>
            </w:r>
          </w:p>
        </w:tc>
      </w:tr>
      <w:tr>
        <w:trPr>
          <w:trHeight w:val="336"/>
        </w:trPr>
        <w:tc>
          <w:tcPr>
            <w:tcW w:w="24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Zeeland, MI</w:t>
            </w:r>
          </w:p>
        </w:tc>
        <w:tc>
          <w:tcPr>
            <w:tcW w:w="246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26,600</w:t>
            </w:r>
          </w:p>
        </w:tc>
        <w:tc>
          <w:tcPr>
            <w:tcW w:w="26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1970</w:t>
            </w:r>
          </w:p>
        </w:tc>
        <w:tc>
          <w:tcPr>
            <w:tcW w:w="28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Warehouse, Office</w:t>
            </w:r>
          </w:p>
        </w:tc>
      </w:tr>
      <w:tr>
        <w:trPr>
          <w:trHeight w:val="340"/>
        </w:trPr>
        <w:tc>
          <w:tcPr>
            <w:tcW w:w="24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Zeeland, MI</w:t>
            </w:r>
          </w:p>
        </w:tc>
        <w:tc>
          <w:tcPr>
            <w:tcW w:w="246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197,200</w:t>
            </w:r>
          </w:p>
        </w:tc>
        <w:tc>
          <w:tcPr>
            <w:tcW w:w="26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1972</w:t>
            </w:r>
          </w:p>
        </w:tc>
        <w:tc>
          <w:tcPr>
            <w:tcW w:w="28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Manufacturing, Office</w:t>
            </w:r>
          </w:p>
        </w:tc>
      </w:tr>
      <w:tr>
        <w:trPr>
          <w:trHeight w:val="340"/>
        </w:trPr>
        <w:tc>
          <w:tcPr>
            <w:tcW w:w="24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Zeeland, MI</w:t>
            </w:r>
          </w:p>
        </w:tc>
        <w:tc>
          <w:tcPr>
            <w:tcW w:w="246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70,000</w:t>
            </w:r>
          </w:p>
        </w:tc>
        <w:tc>
          <w:tcPr>
            <w:tcW w:w="26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1989</w:t>
            </w:r>
          </w:p>
        </w:tc>
        <w:tc>
          <w:tcPr>
            <w:tcW w:w="28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Manufacturing</w:t>
            </w:r>
          </w:p>
        </w:tc>
      </w:tr>
      <w:tr>
        <w:trPr>
          <w:trHeight w:val="340"/>
        </w:trPr>
        <w:tc>
          <w:tcPr>
            <w:tcW w:w="24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Zeeland, MI</w:t>
            </w:r>
          </w:p>
        </w:tc>
        <w:tc>
          <w:tcPr>
            <w:tcW w:w="246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70,000</w:t>
            </w:r>
          </w:p>
        </w:tc>
        <w:tc>
          <w:tcPr>
            <w:tcW w:w="26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1989</w:t>
            </w:r>
          </w:p>
        </w:tc>
        <w:tc>
          <w:tcPr>
            <w:tcW w:w="28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Office</w:t>
            </w:r>
          </w:p>
        </w:tc>
      </w:tr>
      <w:tr>
        <w:trPr>
          <w:trHeight w:val="340"/>
        </w:trPr>
        <w:tc>
          <w:tcPr>
            <w:tcW w:w="24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Zeeland, MI</w:t>
            </w:r>
          </w:p>
        </w:tc>
        <w:tc>
          <w:tcPr>
            <w:tcW w:w="246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359,100</w:t>
            </w:r>
          </w:p>
        </w:tc>
        <w:tc>
          <w:tcPr>
            <w:tcW w:w="26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1996</w:t>
            </w:r>
          </w:p>
        </w:tc>
        <w:tc>
          <w:tcPr>
            <w:tcW w:w="28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Manufacturing</w:t>
            </w:r>
          </w:p>
        </w:tc>
      </w:tr>
      <w:tr>
        <w:trPr>
          <w:trHeight w:val="340"/>
        </w:trPr>
        <w:tc>
          <w:tcPr>
            <w:tcW w:w="24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Zeeland, MI</w:t>
            </w:r>
          </w:p>
        </w:tc>
        <w:tc>
          <w:tcPr>
            <w:tcW w:w="246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168,900</w:t>
            </w:r>
          </w:p>
        </w:tc>
        <w:tc>
          <w:tcPr>
            <w:tcW w:w="26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2000</w:t>
            </w:r>
          </w:p>
        </w:tc>
        <w:tc>
          <w:tcPr>
            <w:tcW w:w="28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Manufacturing</w:t>
            </w:r>
          </w:p>
        </w:tc>
      </w:tr>
      <w:tr>
        <w:trPr>
          <w:trHeight w:val="340"/>
        </w:trPr>
        <w:tc>
          <w:tcPr>
            <w:tcW w:w="24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Zeeland, MI</w:t>
            </w:r>
          </w:p>
        </w:tc>
        <w:tc>
          <w:tcPr>
            <w:tcW w:w="246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334,000</w:t>
            </w:r>
          </w:p>
        </w:tc>
        <w:tc>
          <w:tcPr>
            <w:tcW w:w="26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2006</w:t>
            </w:r>
          </w:p>
        </w:tc>
        <w:tc>
          <w:tcPr>
            <w:tcW w:w="28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Manufacturing, Office</w:t>
            </w:r>
          </w:p>
        </w:tc>
      </w:tr>
      <w:tr>
        <w:trPr>
          <w:trHeight w:val="340"/>
        </w:trPr>
        <w:tc>
          <w:tcPr>
            <w:tcW w:w="24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Zeeland, MI</w:t>
            </w:r>
          </w:p>
        </w:tc>
        <w:tc>
          <w:tcPr>
            <w:tcW w:w="246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100,000</w:t>
            </w:r>
          </w:p>
        </w:tc>
        <w:tc>
          <w:tcPr>
            <w:tcW w:w="26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2010</w:t>
            </w:r>
          </w:p>
        </w:tc>
        <w:tc>
          <w:tcPr>
            <w:tcW w:w="28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Manufacturing, Warehouse</w:t>
            </w:r>
          </w:p>
        </w:tc>
      </w:tr>
      <w:tr>
        <w:trPr>
          <w:trHeight w:val="340"/>
        </w:trPr>
        <w:tc>
          <w:tcPr>
            <w:tcW w:w="24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Zeeland, MI</w:t>
            </w:r>
          </w:p>
        </w:tc>
        <w:tc>
          <w:tcPr>
            <w:tcW w:w="246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31,800</w:t>
            </w:r>
          </w:p>
        </w:tc>
        <w:tc>
          <w:tcPr>
            <w:tcW w:w="26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2011</w:t>
            </w:r>
          </w:p>
        </w:tc>
        <w:tc>
          <w:tcPr>
            <w:tcW w:w="28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Office</w:t>
            </w:r>
          </w:p>
        </w:tc>
      </w:tr>
      <w:tr>
        <w:trPr>
          <w:trHeight w:val="340"/>
        </w:trPr>
        <w:tc>
          <w:tcPr>
            <w:tcW w:w="24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Zeeland, MI</w:t>
            </w:r>
          </w:p>
        </w:tc>
        <w:tc>
          <w:tcPr>
            <w:tcW w:w="246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349,600</w:t>
            </w:r>
          </w:p>
        </w:tc>
        <w:tc>
          <w:tcPr>
            <w:tcW w:w="26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2016</w:t>
            </w:r>
          </w:p>
        </w:tc>
        <w:tc>
          <w:tcPr>
            <w:tcW w:w="28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Manufacturing, Warehouse</w:t>
            </w:r>
          </w:p>
        </w:tc>
      </w:tr>
      <w:tr>
        <w:trPr>
          <w:trHeight w:val="340"/>
        </w:trPr>
        <w:tc>
          <w:tcPr>
            <w:tcW w:w="24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Zeeland, MI</w:t>
            </w:r>
          </w:p>
        </w:tc>
        <w:tc>
          <w:tcPr>
            <w:tcW w:w="246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258,400</w:t>
            </w:r>
          </w:p>
        </w:tc>
        <w:tc>
          <w:tcPr>
            <w:tcW w:w="26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2018</w:t>
            </w:r>
          </w:p>
        </w:tc>
        <w:tc>
          <w:tcPr>
            <w:tcW w:w="28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Warehouse</w:t>
            </w:r>
          </w:p>
        </w:tc>
      </w:tr>
      <w:tr>
        <w:trPr>
          <w:trHeight w:val="340"/>
        </w:trPr>
        <w:tc>
          <w:tcPr>
            <w:tcW w:w="24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Holland, MI</w:t>
            </w:r>
          </w:p>
        </w:tc>
        <w:tc>
          <w:tcPr>
            <w:tcW w:w="246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242,300</w:t>
            </w:r>
          </w:p>
        </w:tc>
        <w:tc>
          <w:tcPr>
            <w:tcW w:w="26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2012</w:t>
            </w:r>
          </w:p>
        </w:tc>
        <w:tc>
          <w:tcPr>
            <w:tcW w:w="28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Manufacturing, Warehouse</w:t>
            </w:r>
          </w:p>
        </w:tc>
      </w:tr>
      <w:tr>
        <w:trPr>
          <w:trHeight w:val="340"/>
        </w:trPr>
        <w:tc>
          <w:tcPr>
            <w:tcW w:w="24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Holland, MI</w:t>
            </w:r>
          </w:p>
        </w:tc>
        <w:tc>
          <w:tcPr>
            <w:tcW w:w="246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29,900</w:t>
            </w:r>
          </w:p>
        </w:tc>
        <w:tc>
          <w:tcPr>
            <w:tcW w:w="26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2021</w:t>
            </w:r>
          </w:p>
        </w:tc>
        <w:tc>
          <w:tcPr>
            <w:tcW w:w="28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Office</w:t>
            </w:r>
          </w:p>
        </w:tc>
      </w:tr>
      <w:tr>
        <w:trPr>
          <w:trHeight w:val="340"/>
        </w:trPr>
        <w:tc>
          <w:tcPr>
            <w:tcW w:w="24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Erlenbach, Germany</w:t>
            </w:r>
          </w:p>
        </w:tc>
        <w:tc>
          <w:tcPr>
            <w:tcW w:w="246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90,000</w:t>
            </w:r>
          </w:p>
        </w:tc>
        <w:tc>
          <w:tcPr>
            <w:tcW w:w="26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2003</w:t>
            </w:r>
          </w:p>
        </w:tc>
        <w:tc>
          <w:tcPr>
            <w:tcW w:w="28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Office</w:t>
            </w:r>
          </w:p>
        </w:tc>
      </w:tr>
      <w:tr>
        <w:trPr>
          <w:trHeight w:val="340"/>
        </w:trPr>
        <w:tc>
          <w:tcPr>
            <w:tcW w:w="24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Shanghai, China</w:t>
            </w:r>
          </w:p>
        </w:tc>
        <w:tc>
          <w:tcPr>
            <w:tcW w:w="246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25,000</w:t>
            </w:r>
          </w:p>
        </w:tc>
        <w:tc>
          <w:tcPr>
            <w:tcW w:w="26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2006</w:t>
            </w:r>
          </w:p>
        </w:tc>
        <w:tc>
          <w:tcPr>
            <w:tcW w:w="28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Office, Warehouse</w:t>
            </w:r>
          </w:p>
        </w:tc>
      </w:tr>
      <w:tr>
        <w:trPr>
          <w:trHeight w:val="340"/>
        </w:trPr>
        <w:tc>
          <w:tcPr>
            <w:tcW w:w="24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Shanghai, China</w:t>
            </w:r>
          </w:p>
        </w:tc>
        <w:tc>
          <w:tcPr>
            <w:tcW w:w="246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85,000</w:t>
            </w:r>
          </w:p>
        </w:tc>
        <w:tc>
          <w:tcPr>
            <w:tcW w:w="26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2017</w:t>
            </w:r>
          </w:p>
        </w:tc>
        <w:tc>
          <w:tcPr>
            <w:tcW w:w="28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Office, Warehouse, Light Assembly</w:t>
            </w:r>
          </w:p>
        </w:tc>
      </w:tr>
    </w:tbl>
    <w:p>
      <w:pPr>
        <w:spacing w:after="0" w:line="142" w:lineRule="exact"/>
        <w:rPr>
          <w:sz w:val="20"/>
          <w:szCs w:val="20"/>
          <w:color w:val="auto"/>
        </w:rPr>
      </w:pPr>
    </w:p>
    <w:p>
      <w:pPr>
        <w:ind w:left="500" w:hanging="180"/>
        <w:spacing w:after="0"/>
        <w:tabs>
          <w:tab w:leader="none" w:pos="500" w:val="left"/>
        </w:tabs>
        <w:numPr>
          <w:ilvl w:val="0"/>
          <w:numId w:val="12"/>
        </w:numPr>
        <w:rPr>
          <w:rFonts w:ascii="Times New Roman" w:cs="Times New Roman" w:eastAsia="Times New Roman" w:hAnsi="Times New Roman"/>
          <w:sz w:val="16"/>
          <w:szCs w:val="16"/>
          <w:color w:val="838383"/>
          <w:vertAlign w:val="superscript"/>
        </w:rPr>
      </w:pPr>
      <w:r>
        <w:rPr>
          <w:rFonts w:ascii="Times New Roman" w:cs="Times New Roman" w:eastAsia="Times New Roman" w:hAnsi="Times New Roman"/>
          <w:sz w:val="14"/>
          <w:szCs w:val="14"/>
          <w:color w:val="838383"/>
        </w:rPr>
        <w:t>Date of Acquisition/Build refers to first year of operations and does not refer to subsequent additions or expansions.</w:t>
      </w:r>
    </w:p>
    <w:p>
      <w:pPr>
        <w:spacing w:after="0" w:line="144" w:lineRule="exact"/>
        <w:rPr>
          <w:sz w:val="20"/>
          <w:szCs w:val="20"/>
          <w:color w:val="auto"/>
        </w:rPr>
      </w:pPr>
    </w:p>
    <w:p>
      <w:pPr>
        <w:ind w:left="320" w:right="320"/>
        <w:spacing w:after="0" w:line="454" w:lineRule="auto"/>
        <w:rPr>
          <w:sz w:val="20"/>
          <w:szCs w:val="20"/>
          <w:color w:val="auto"/>
        </w:rPr>
      </w:pPr>
      <w:r>
        <w:rPr>
          <w:rFonts w:ascii="Times New Roman" w:cs="Times New Roman" w:eastAsia="Times New Roman" w:hAnsi="Times New Roman"/>
          <w:sz w:val="17"/>
          <w:szCs w:val="17"/>
          <w:color w:val="262626"/>
        </w:rPr>
        <w:t>In 2021, the Company completed construction of a 36,000 square-foot addition to its main corporate office and manufacturing facility to expand its chemistry lab facilities, with a total cost of approximately $10 million, which was funded from cash and cash equivalents on hand.</w:t>
      </w:r>
    </w:p>
    <w:p>
      <w:pPr>
        <w:spacing w:after="0" w:line="1" w:lineRule="exact"/>
        <w:rPr>
          <w:sz w:val="20"/>
          <w:szCs w:val="20"/>
          <w:color w:val="auto"/>
        </w:rPr>
      </w:pPr>
    </w:p>
    <w:p>
      <w:pPr>
        <w:ind w:left="320" w:right="60"/>
        <w:spacing w:after="0" w:line="334" w:lineRule="auto"/>
        <w:rPr>
          <w:sz w:val="20"/>
          <w:szCs w:val="20"/>
          <w:color w:val="auto"/>
        </w:rPr>
      </w:pPr>
      <w:r>
        <w:rPr>
          <w:rFonts w:ascii="Times New Roman" w:cs="Times New Roman" w:eastAsia="Times New Roman" w:hAnsi="Times New Roman"/>
          <w:sz w:val="18"/>
          <w:szCs w:val="18"/>
          <w:color w:val="262626"/>
        </w:rPr>
        <w:t>Additionally, in the first quarter of 2022, the Company began construction on a 345,000 square-foot manufacturing facility located at a 140 acre site in Zeeland, Michigan, where the Company previously performed master planning and completed land infrastructure improvements. The total cost of the building project is expected to be approximately $80 - 90 million and will be funded with cash and cash equivalents</w:t>
      </w:r>
    </w:p>
    <w:p>
      <w:pPr>
        <w:ind w:left="320"/>
        <w:spacing w:after="0"/>
        <w:rPr>
          <w:sz w:val="20"/>
          <w:szCs w:val="20"/>
          <w:color w:val="auto"/>
        </w:rPr>
      </w:pPr>
      <w:r>
        <w:rPr>
          <w:rFonts w:ascii="Times New Roman" w:cs="Times New Roman" w:eastAsia="Times New Roman" w:hAnsi="Times New Roman"/>
          <w:sz w:val="18"/>
          <w:szCs w:val="18"/>
          <w:color w:val="262626"/>
        </w:rPr>
        <w:t>on hand. The facility is expected to be operational sometime in 2023.</w:t>
      </w:r>
    </w:p>
    <w:p>
      <w:pPr>
        <w:spacing w:after="0" w:line="229" w:lineRule="exact"/>
        <w:rPr>
          <w:sz w:val="20"/>
          <w:szCs w:val="20"/>
          <w:color w:val="auto"/>
        </w:rPr>
      </w:pPr>
    </w:p>
    <w:p>
      <w:pPr>
        <w:ind w:left="320" w:right="260"/>
        <w:spacing w:after="0" w:line="363" w:lineRule="auto"/>
        <w:rPr>
          <w:sz w:val="20"/>
          <w:szCs w:val="20"/>
          <w:color w:val="auto"/>
        </w:rPr>
      </w:pPr>
      <w:r>
        <w:rPr>
          <w:rFonts w:ascii="Times New Roman" w:cs="Times New Roman" w:eastAsia="Times New Roman" w:hAnsi="Times New Roman"/>
          <w:sz w:val="18"/>
          <w:szCs w:val="18"/>
          <w:color w:val="262626"/>
        </w:rPr>
        <w:t>The Company has also begun construction on two building expansions during the second quarter of 2022. The Company is expanding its current distribution center by an additional 300,000 square feet, with a total cost still expected to be approximately $40 - $45 million. The Company is also expanding another of its manufacturing facilities by an additional 60,000 feet, with a total cost still expected to be $20 - $30 million. Both of these expansion projects will be funded with cash and cash equivalents on hand.</w:t>
      </w:r>
    </w:p>
    <w:p>
      <w:pPr>
        <w:spacing w:after="0" w:line="48" w:lineRule="exact"/>
        <w:rPr>
          <w:sz w:val="20"/>
          <w:szCs w:val="20"/>
          <w:color w:val="auto"/>
        </w:rPr>
      </w:pPr>
    </w:p>
    <w:p>
      <w:pPr>
        <w:ind w:left="320" w:right="100"/>
        <w:spacing w:after="0" w:line="437" w:lineRule="auto"/>
        <w:rPr>
          <w:sz w:val="20"/>
          <w:szCs w:val="20"/>
          <w:color w:val="auto"/>
        </w:rPr>
      </w:pPr>
      <w:r>
        <w:rPr>
          <w:rFonts w:ascii="Times New Roman" w:cs="Times New Roman" w:eastAsia="Times New Roman" w:hAnsi="Times New Roman"/>
          <w:sz w:val="18"/>
          <w:szCs w:val="18"/>
          <w:color w:val="262626"/>
        </w:rPr>
        <w:t>The Company also has leased sales and engineering offices throughout the United States, Europe, and Asia to support its sales and engineering efforts, as well as a leased manufacturing facility in Grand Rapids, Michigan:</w:t>
      </w:r>
    </w:p>
    <w:p>
      <w:pPr>
        <w:sectPr>
          <w:pgSz w:w="12240" w:h="15840" w:orient="portrait"/>
          <w:cols w:equalWidth="0" w:num="1">
            <w:col w:w="10760"/>
          </w:cols>
          <w:pgMar w:left="580" w:top="83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38</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60"/>
          </w:cols>
          <w:pgMar w:left="580" w:top="836" w:right="900" w:bottom="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302"/>
        </w:trPr>
        <w:tc>
          <w:tcPr>
            <w:tcW w:w="1860" w:type="dxa"/>
            <w:vAlign w:val="bottom"/>
          </w:tcPr>
          <w:p>
            <w:pPr>
              <w:spacing w:after="0"/>
              <w:rPr>
                <w:sz w:val="20"/>
                <w:szCs w:val="20"/>
                <w:color w:val="auto"/>
              </w:rPr>
            </w:pPr>
            <w:r>
              <w:rPr>
                <w:rFonts w:ascii="Arial" w:cs="Arial" w:eastAsia="Arial" w:hAnsi="Arial"/>
                <w:sz w:val="18"/>
                <w:szCs w:val="18"/>
                <w:b w:val="1"/>
                <w:bCs w:val="1"/>
                <w:color w:val="262626"/>
              </w:rPr>
              <w:t>Country</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262626"/>
              </w:rPr>
              <w:t>Number of Leased Offices/Facilities</w:t>
            </w:r>
          </w:p>
        </w:tc>
      </w:tr>
      <w:tr>
        <w:trPr>
          <w:trHeight w:val="345"/>
        </w:trPr>
        <w:tc>
          <w:tcPr>
            <w:tcW w:w="18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Germany</w:t>
            </w:r>
          </w:p>
        </w:tc>
        <w:tc>
          <w:tcPr>
            <w:tcW w:w="3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w:t>
            </w:r>
          </w:p>
        </w:tc>
      </w:tr>
      <w:tr>
        <w:trPr>
          <w:trHeight w:val="340"/>
        </w:trPr>
        <w:tc>
          <w:tcPr>
            <w:tcW w:w="18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Japan</w:t>
            </w:r>
          </w:p>
        </w:tc>
        <w:tc>
          <w:tcPr>
            <w:tcW w:w="3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w:t>
            </w:r>
          </w:p>
        </w:tc>
      </w:tr>
      <w:tr>
        <w:trPr>
          <w:trHeight w:val="340"/>
        </w:trPr>
        <w:tc>
          <w:tcPr>
            <w:tcW w:w="18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United States</w:t>
            </w:r>
          </w:p>
        </w:tc>
        <w:tc>
          <w:tcPr>
            <w:tcW w:w="3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w:t>
            </w:r>
          </w:p>
        </w:tc>
      </w:tr>
      <w:tr>
        <w:trPr>
          <w:trHeight w:val="340"/>
        </w:trPr>
        <w:tc>
          <w:tcPr>
            <w:tcW w:w="18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Israel</w:t>
            </w:r>
          </w:p>
        </w:tc>
        <w:tc>
          <w:tcPr>
            <w:tcW w:w="3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w:t>
            </w:r>
          </w:p>
        </w:tc>
      </w:tr>
      <w:tr>
        <w:trPr>
          <w:trHeight w:val="340"/>
        </w:trPr>
        <w:tc>
          <w:tcPr>
            <w:tcW w:w="18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United Kingdom</w:t>
            </w:r>
          </w:p>
        </w:tc>
        <w:tc>
          <w:tcPr>
            <w:tcW w:w="3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w:t>
            </w:r>
          </w:p>
        </w:tc>
      </w:tr>
      <w:tr>
        <w:trPr>
          <w:trHeight w:val="340"/>
        </w:trPr>
        <w:tc>
          <w:tcPr>
            <w:tcW w:w="18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Sweden</w:t>
            </w:r>
          </w:p>
        </w:tc>
        <w:tc>
          <w:tcPr>
            <w:tcW w:w="3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w:t>
            </w:r>
          </w:p>
        </w:tc>
      </w:tr>
      <w:tr>
        <w:trPr>
          <w:trHeight w:val="340"/>
        </w:trPr>
        <w:tc>
          <w:tcPr>
            <w:tcW w:w="18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Korea</w:t>
            </w:r>
          </w:p>
        </w:tc>
        <w:tc>
          <w:tcPr>
            <w:tcW w:w="3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w:t>
            </w:r>
          </w:p>
        </w:tc>
      </w:tr>
    </w:tbl>
    <w:p>
      <w:pPr>
        <w:spacing w:after="0" w:line="200" w:lineRule="exact"/>
        <w:rPr>
          <w:sz w:val="20"/>
          <w:szCs w:val="20"/>
          <w:color w:val="auto"/>
        </w:rPr>
      </w:pPr>
    </w:p>
    <w:p>
      <w:pPr>
        <w:ind w:right="800"/>
        <w:spacing w:after="0" w:line="437" w:lineRule="auto"/>
        <w:rPr>
          <w:sz w:val="20"/>
          <w:szCs w:val="20"/>
          <w:color w:val="auto"/>
        </w:rPr>
      </w:pPr>
      <w:r>
        <w:rPr>
          <w:rFonts w:ascii="Times New Roman" w:cs="Times New Roman" w:eastAsia="Times New Roman" w:hAnsi="Times New Roman"/>
          <w:sz w:val="18"/>
          <w:szCs w:val="18"/>
          <w:color w:val="262626"/>
        </w:rPr>
        <w:t>The Company’s Automotive Products segment operates in virtually all of the foregoing facilities. The Company’s Other segment operates in certain Zeeland, Michigan facilities, as well as a research and development offices in Salt Lake City, Utah and Santa Clara, CA.</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8F8F8F"/>
        </w:rPr>
        <w:t>Capacity.</w:t>
      </w:r>
    </w:p>
    <w:p>
      <w:pPr>
        <w:spacing w:after="0" w:line="191" w:lineRule="exact"/>
        <w:rPr>
          <w:sz w:val="20"/>
          <w:szCs w:val="20"/>
          <w:color w:val="auto"/>
        </w:rPr>
      </w:pPr>
    </w:p>
    <w:p>
      <w:pPr>
        <w:ind w:right="520"/>
        <w:spacing w:after="0" w:line="429" w:lineRule="auto"/>
        <w:rPr>
          <w:sz w:val="20"/>
          <w:szCs w:val="20"/>
          <w:color w:val="auto"/>
        </w:rPr>
      </w:pPr>
      <w:r>
        <w:rPr>
          <w:rFonts w:ascii="Times New Roman" w:cs="Times New Roman" w:eastAsia="Times New Roman" w:hAnsi="Times New Roman"/>
          <w:sz w:val="18"/>
          <w:szCs w:val="18"/>
          <w:color w:val="262626"/>
        </w:rPr>
        <w:t>The Company believes its existing and planned facilities are currently suitable, adequate, and have the capacity required for current and near-term planned business. Nevertheless, the Company continues to evaluate longer term facilities needs.</w:t>
      </w:r>
    </w:p>
    <w:p>
      <w:pPr>
        <w:ind w:right="320"/>
        <w:spacing w:after="0" w:line="381" w:lineRule="auto"/>
        <w:rPr>
          <w:sz w:val="20"/>
          <w:szCs w:val="20"/>
          <w:color w:val="auto"/>
        </w:rPr>
      </w:pPr>
      <w:r>
        <w:rPr>
          <w:rFonts w:ascii="Times New Roman" w:cs="Times New Roman" w:eastAsia="Times New Roman" w:hAnsi="Times New Roman"/>
          <w:sz w:val="18"/>
          <w:szCs w:val="18"/>
          <w:color w:val="262626"/>
        </w:rPr>
        <w:t>The Company estimates that it currently has building capacity to manufacture approximately 34 - 37 million interior automatic-dimming mirror units annually, based on current product mix (excluding the impact of the above referenced construction). The Company evaluates equipment capacity on an ongoing basis and adds equipment as needed. In 2022, the Company shipped 28.7 million interior automatic-dimming mirrors.</w:t>
      </w:r>
    </w:p>
    <w:p>
      <w:pPr>
        <w:spacing w:after="0" w:line="34" w:lineRule="exact"/>
        <w:rPr>
          <w:sz w:val="20"/>
          <w:szCs w:val="20"/>
          <w:color w:val="auto"/>
        </w:rPr>
      </w:pPr>
    </w:p>
    <w:p>
      <w:pPr>
        <w:ind w:right="520"/>
        <w:spacing w:after="0" w:line="363" w:lineRule="auto"/>
        <w:rPr>
          <w:sz w:val="20"/>
          <w:szCs w:val="20"/>
          <w:color w:val="auto"/>
        </w:rPr>
      </w:pPr>
      <w:r>
        <w:rPr>
          <w:rFonts w:ascii="Times New Roman" w:cs="Times New Roman" w:eastAsia="Times New Roman" w:hAnsi="Times New Roman"/>
          <w:sz w:val="18"/>
          <w:szCs w:val="18"/>
          <w:color w:val="262626"/>
        </w:rPr>
        <w:t>The Company’s automotive exterior mirror manufacturing facility has an estimated building capacity to manufacture approximately 15 - 18 million units annually, based on the current product mix (excluding the impact of the above referenced construction). The Company evaluates equipment capacity on an ongoing basis and adds equipment as needed. In 2022, the Company shipped approximately 15.5 million exterior automatic-dimming mirrors.</w:t>
      </w:r>
    </w:p>
    <w:p>
      <w:pPr>
        <w:spacing w:after="0" w:line="388" w:lineRule="exact"/>
        <w:rPr>
          <w:sz w:val="20"/>
          <w:szCs w:val="20"/>
          <w:color w:val="auto"/>
        </w:rPr>
      </w:pPr>
    </w:p>
    <w:p>
      <w:pPr>
        <w:spacing w:after="0"/>
        <w:rPr>
          <w:sz w:val="20"/>
          <w:szCs w:val="20"/>
          <w:color w:val="auto"/>
        </w:rPr>
      </w:pPr>
      <w:r>
        <w:rPr>
          <w:rFonts w:ascii="Arial" w:cs="Arial" w:eastAsia="Arial" w:hAnsi="Arial"/>
          <w:sz w:val="32"/>
          <w:szCs w:val="32"/>
          <w:color w:val="838383"/>
        </w:rPr>
        <w:t xml:space="preserve">Item 3. </w:t>
      </w:r>
      <w:r>
        <w:rPr>
          <w:rFonts w:ascii="Arial" w:cs="Arial" w:eastAsia="Arial" w:hAnsi="Arial"/>
          <w:sz w:val="32"/>
          <w:szCs w:val="32"/>
          <w:color w:val="262626"/>
        </w:rPr>
        <w:t>Legal Proceedings.</w:t>
      </w:r>
    </w:p>
    <w:p>
      <w:pPr>
        <w:spacing w:after="0" w:line="216" w:lineRule="exact"/>
        <w:rPr>
          <w:sz w:val="20"/>
          <w:szCs w:val="20"/>
          <w:color w:val="auto"/>
        </w:rPr>
      </w:pPr>
    </w:p>
    <w:p>
      <w:pPr>
        <w:ind w:right="500"/>
        <w:spacing w:after="0" w:line="352" w:lineRule="auto"/>
        <w:rPr>
          <w:sz w:val="20"/>
          <w:szCs w:val="20"/>
          <w:color w:val="auto"/>
        </w:rPr>
      </w:pPr>
      <w:r>
        <w:rPr>
          <w:rFonts w:ascii="Times New Roman" w:cs="Times New Roman" w:eastAsia="Times New Roman" w:hAnsi="Times New Roman"/>
          <w:sz w:val="18"/>
          <w:szCs w:val="18"/>
          <w:color w:val="262626"/>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any matters that constitute material pending legal proceedings that will have a material adverse effect on the financial position, future results of operations, or cash flows of the Company.</w:t>
      </w:r>
    </w:p>
    <w:p>
      <w:pPr>
        <w:spacing w:after="0" w:line="63" w:lineRule="exact"/>
        <w:rPr>
          <w:sz w:val="20"/>
          <w:szCs w:val="20"/>
          <w:color w:val="auto"/>
        </w:rPr>
      </w:pPr>
    </w:p>
    <w:p>
      <w:pPr>
        <w:ind w:right="420"/>
        <w:spacing w:after="0" w:line="347" w:lineRule="auto"/>
        <w:rPr>
          <w:sz w:val="20"/>
          <w:szCs w:val="20"/>
          <w:color w:val="auto"/>
        </w:rPr>
      </w:pPr>
      <w:r>
        <w:rPr>
          <w:rFonts w:ascii="Times New Roman" w:cs="Times New Roman" w:eastAsia="Times New Roman" w:hAnsi="Times New Roman"/>
          <w:sz w:val="18"/>
          <w:szCs w:val="18"/>
          <w:color w:val="262626"/>
        </w:rPr>
        <w:t>On February 7, 2023, the SEC announced, as previously disclosed by the Company on Form 8-K, that it has accepted an Offer of Settlement submitted by the Company and its current Chief Financial Officer Kevin Nash. Under the settlement, without admitting or denying the SEC’s findings in this matter, the Company and Nash have consented to the entry of an administrative civil cease-and-desist order by the SEC (the “Order”) with respect to certain violations of the federal securities laws in the third quarter of 2015 through the second quarter of 2018 (the “Relevant Period”). The Company agreed to pay a civil monetary penalty of $4.0 million, which was fully accrued by the Company in the second and third quarters of 2022. Nash agreed to pay a civil monetary penalty of $75,000.</w:t>
      </w:r>
    </w:p>
    <w:p>
      <w:pPr>
        <w:spacing w:after="0" w:line="65" w:lineRule="exact"/>
        <w:rPr>
          <w:sz w:val="20"/>
          <w:szCs w:val="20"/>
          <w:color w:val="auto"/>
        </w:rPr>
      </w:pPr>
    </w:p>
    <w:p>
      <w:pPr>
        <w:ind w:right="680"/>
        <w:spacing w:after="0" w:line="358" w:lineRule="auto"/>
        <w:rPr>
          <w:sz w:val="20"/>
          <w:szCs w:val="20"/>
          <w:color w:val="auto"/>
        </w:rPr>
      </w:pPr>
      <w:r>
        <w:rPr>
          <w:rFonts w:ascii="Times New Roman" w:cs="Times New Roman" w:eastAsia="Times New Roman" w:hAnsi="Times New Roman"/>
          <w:sz w:val="17"/>
          <w:szCs w:val="17"/>
          <w:color w:val="262626"/>
        </w:rPr>
        <w:t>The Order states that, during the Relevant Period, the Company had deficiencies in its accounting for its employee bonus compensation programs, and failed to maintain accurate books and records and sufficient internal accounting controls, in violation of Sections 13(a), 13(b)</w:t>
      </w:r>
    </w:p>
    <w:p>
      <w:pPr>
        <w:spacing w:after="0" w:line="1" w:lineRule="exact"/>
        <w:rPr>
          <w:sz w:val="20"/>
          <w:szCs w:val="20"/>
          <w:color w:val="auto"/>
        </w:rPr>
      </w:pPr>
    </w:p>
    <w:p>
      <w:pPr>
        <w:ind w:right="440"/>
        <w:spacing w:after="0" w:line="353" w:lineRule="auto"/>
        <w:rPr>
          <w:sz w:val="20"/>
          <w:szCs w:val="20"/>
          <w:color w:val="auto"/>
        </w:rPr>
      </w:pPr>
      <w:r>
        <w:rPr>
          <w:rFonts w:ascii="Times New Roman" w:cs="Times New Roman" w:eastAsia="Times New Roman" w:hAnsi="Times New Roman"/>
          <w:sz w:val="18"/>
          <w:szCs w:val="18"/>
          <w:color w:val="262626"/>
        </w:rPr>
        <w:t>(2)(A) and 13(b)(2)(B) of the Securities Exchange Act of 1934 and Rules 13a-11, 13a-13, 13a-15, and 12b-20 thereunder. The Order further states that, during the Relevant Period and while serving as Chief Accounting Officer, Nash did not sufficiently document the bases for certain accounting entries, in violation of Section 13(b)(5) of the Exchange Act and Rule 13b2-1 thereunder, and causing the Company’s violations of Exchange Act Sections 13(a), 13(b)(2)(A), and 13(b)(2)(B), and Rules 13a-11, 13a-13, 13a-15, and 12b-20 thereunder.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The resolution of this matter did not involve a restatement of the Company’s previously filed financial statements.</w:t>
      </w:r>
    </w:p>
    <w:p>
      <w:pPr>
        <w:sectPr>
          <w:pgSz w:w="12240" w:h="15840" w:orient="portrait"/>
          <w:cols w:equalWidth="0" w:num="1">
            <w:col w:w="10760"/>
          </w:cols>
          <w:pgMar w:left="900" w:top="967" w:right="580" w:bottom="0" w:gutter="0" w:footer="0" w:header="0"/>
        </w:sectPr>
      </w:pPr>
    </w:p>
    <w:p>
      <w:pPr>
        <w:spacing w:after="0" w:line="200" w:lineRule="exact"/>
        <w:rPr>
          <w:sz w:val="20"/>
          <w:szCs w:val="20"/>
          <w:color w:val="auto"/>
        </w:rPr>
      </w:pPr>
    </w:p>
    <w:p>
      <w:pPr>
        <w:spacing w:after="0" w:line="252"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39</w:t>
      </w:r>
    </w:p>
    <w:p>
      <w:pPr>
        <w:sectPr>
          <w:pgSz w:w="12240" w:h="15840" w:orient="portrait"/>
          <w:cols w:equalWidth="0" w:num="1">
            <w:col w:w="10760"/>
          </w:cols>
          <w:pgMar w:left="900" w:top="967" w:right="580" w:bottom="0" w:gutter="0" w:footer="0" w:header="0"/>
          <w:type w:val="continuous"/>
        </w:sectPr>
      </w:pPr>
    </w:p>
    <w:bookmarkStart w:id="39" w:name="page40"/>
    <w:bookmarkEnd w:id="39"/>
    <w:p>
      <w:pPr>
        <w:spacing w:after="0" w:line="164"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571500</wp:posOffset>
                </wp:positionV>
                <wp:extent cx="384175" cy="90678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4175" cy="906780"/>
                        </a:xfrm>
                        <a:prstGeom prst="rect">
                          <a:avLst/>
                        </a:prstGeom>
                        <a:solidFill>
                          <a:srgbClr val="4E4E4E"/>
                        </a:solidFill>
                      </wps:spPr>
                      <wps:bodyPr/>
                    </wps:wsp>
                  </a:graphicData>
                </a:graphic>
              </wp:anchor>
            </w:drawing>
          </mc:Choice>
          <mc:Fallback>
            <w:pict>
              <v:rect id="Shape 30" o:spid="_x0000_s1055" style="position:absolute;margin-left:0pt;margin-top:45pt;width:30.25pt;height:71.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4E4E4E" stroked="f">
                <w10:wrap anchorx="page" anchory="page"/>
              </v:rect>
            </w:pict>
          </mc:Fallback>
        </mc:AlternateContent>
      </w:r>
    </w:p>
    <w:tbl>
      <w:tblPr>
        <w:tblLayout w:type="fixed"/>
        <w:tblInd w:w="0" w:type="dxa"/>
        <w:tblCellMar>
          <w:top w:w="0" w:type="dxa"/>
          <w:left w:w="0" w:type="dxa"/>
          <w:bottom w:w="0" w:type="dxa"/>
          <w:right w:w="0" w:type="dxa"/>
        </w:tblCellMar>
      </w:tblPr>
      <w:tr>
        <w:trPr>
          <w:trHeight w:val="1220"/>
        </w:trPr>
        <w:tc>
          <w:tcPr>
            <w:tcW w:w="230" w:type="dxa"/>
            <w:vAlign w:val="bottom"/>
            <w:textDirection w:val="btLr"/>
          </w:tcPr>
          <w:p>
            <w:pPr>
              <w:spacing w:after="0"/>
              <w:rPr>
                <w:sz w:val="20"/>
                <w:szCs w:val="20"/>
                <w:color w:val="auto"/>
              </w:rPr>
            </w:pPr>
            <w:r>
              <w:rPr>
                <w:rFonts w:ascii="Arial" w:cs="Arial" w:eastAsia="Arial" w:hAnsi="Arial"/>
                <w:sz w:val="20"/>
                <w:szCs w:val="20"/>
                <w:color w:val="FFFFFF"/>
              </w:rPr>
              <w:t>10-K PART II</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2"/>
          <w:szCs w:val="32"/>
          <w:color w:val="808080"/>
        </w:rPr>
        <w:t xml:space="preserve">Item 4. </w:t>
      </w:r>
      <w:r>
        <w:rPr>
          <w:rFonts w:ascii="Arial" w:cs="Arial" w:eastAsia="Arial" w:hAnsi="Arial"/>
          <w:sz w:val="32"/>
          <w:szCs w:val="32"/>
          <w:color w:val="161616"/>
        </w:rPr>
        <w:t>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61616"/>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37" w:lineRule="auto"/>
        <w:rPr>
          <w:sz w:val="20"/>
          <w:szCs w:val="20"/>
          <w:color w:val="auto"/>
        </w:rPr>
      </w:pPr>
      <w:r>
        <w:rPr>
          <w:rFonts w:ascii="Arial" w:cs="Arial" w:eastAsia="Arial" w:hAnsi="Arial"/>
          <w:sz w:val="32"/>
          <w:szCs w:val="32"/>
          <w:color w:val="808080"/>
        </w:rPr>
        <w:t xml:space="preserve">Item 5. </w:t>
      </w:r>
      <w:r>
        <w:rPr>
          <w:rFonts w:ascii="Arial" w:cs="Arial" w:eastAsia="Arial" w:hAnsi="Arial"/>
          <w:sz w:val="32"/>
          <w:szCs w:val="32"/>
          <w:color w:val="161616"/>
        </w:rPr>
        <w:t>Market for the Registrant’s Common Equity, Related Stockholder Matters and Issuer</w:t>
      </w:r>
      <w:r>
        <w:rPr>
          <w:rFonts w:ascii="Arial" w:cs="Arial" w:eastAsia="Arial" w:hAnsi="Arial"/>
          <w:sz w:val="32"/>
          <w:szCs w:val="32"/>
          <w:color w:val="808080"/>
        </w:rPr>
        <w:t xml:space="preserve"> </w:t>
      </w:r>
      <w:r>
        <w:rPr>
          <w:rFonts w:ascii="Arial" w:cs="Arial" w:eastAsia="Arial" w:hAnsi="Arial"/>
          <w:sz w:val="32"/>
          <w:szCs w:val="32"/>
          <w:color w:val="161616"/>
        </w:rPr>
        <w:t>Purchases of Equity Securities.</w:t>
      </w:r>
    </w:p>
    <w:p>
      <w:pPr>
        <w:spacing w:after="0" w:line="205" w:lineRule="exact"/>
        <w:rPr>
          <w:sz w:val="20"/>
          <w:szCs w:val="20"/>
          <w:color w:val="auto"/>
        </w:rPr>
      </w:pPr>
    </w:p>
    <w:p>
      <w:pPr>
        <w:ind w:right="300"/>
        <w:spacing w:after="0" w:line="382" w:lineRule="auto"/>
        <w:tabs>
          <w:tab w:leader="none" w:pos="88" w:val="left"/>
        </w:tabs>
        <w:numPr>
          <w:ilvl w:val="0"/>
          <w:numId w:val="13"/>
        </w:numPr>
        <w:rPr>
          <w:rFonts w:ascii="Arial" w:cs="Arial" w:eastAsia="Arial" w:hAnsi="Arial"/>
          <w:sz w:val="18"/>
          <w:szCs w:val="18"/>
          <w:b w:val="1"/>
          <w:bCs w:val="1"/>
          <w:color w:val="808080"/>
        </w:rPr>
      </w:pPr>
      <w:r>
        <w:rPr>
          <w:rFonts w:ascii="Arial" w:cs="Arial" w:eastAsia="Arial" w:hAnsi="Arial"/>
          <w:sz w:val="18"/>
          <w:szCs w:val="18"/>
          <w:b w:val="1"/>
          <w:bCs w:val="1"/>
          <w:color w:val="808080"/>
        </w:rPr>
        <w:t xml:space="preserve">A ) </w:t>
      </w:r>
      <w:r>
        <w:rPr>
          <w:rFonts w:ascii="Times New Roman" w:cs="Times New Roman" w:eastAsia="Times New Roman" w:hAnsi="Times New Roman"/>
          <w:sz w:val="18"/>
          <w:szCs w:val="18"/>
          <w:color w:val="161616"/>
        </w:rPr>
        <w:t>The Company’s common stock trades on The Nasdaq Global Select Market® under the symbol GNTX. As of February 1, 2023, there</w:t>
      </w:r>
      <w:r>
        <w:rPr>
          <w:rFonts w:ascii="Arial" w:cs="Arial" w:eastAsia="Arial" w:hAnsi="Arial"/>
          <w:sz w:val="18"/>
          <w:szCs w:val="18"/>
          <w:b w:val="1"/>
          <w:bCs w:val="1"/>
          <w:color w:val="808080"/>
        </w:rPr>
        <w:t xml:space="preserve"> </w:t>
      </w:r>
      <w:r>
        <w:rPr>
          <w:rFonts w:ascii="Times New Roman" w:cs="Times New Roman" w:eastAsia="Times New Roman" w:hAnsi="Times New Roman"/>
          <w:sz w:val="18"/>
          <w:szCs w:val="18"/>
          <w:color w:val="161616"/>
        </w:rPr>
        <w:t>were 4,671 record-holders of the Company’s common stock and restricted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61616"/>
        </w:rPr>
        <w:t>See Item 12 of Part III with respect to “Equity Compensation Plan Information”, which is incorporated herein by reference.</w:t>
      </w:r>
    </w:p>
    <w:p>
      <w:pPr>
        <w:spacing w:after="0" w:line="253" w:lineRule="exact"/>
        <w:rPr>
          <w:sz w:val="20"/>
          <w:szCs w:val="20"/>
          <w:color w:val="auto"/>
        </w:rPr>
      </w:pPr>
    </w:p>
    <w:p>
      <w:pPr>
        <w:ind w:right="560"/>
        <w:spacing w:after="0" w:line="410" w:lineRule="auto"/>
        <w:rPr>
          <w:sz w:val="20"/>
          <w:szCs w:val="20"/>
          <w:color w:val="auto"/>
        </w:rPr>
      </w:pPr>
      <w:r>
        <w:rPr>
          <w:rFonts w:ascii="Times New Roman" w:cs="Times New Roman" w:eastAsia="Times New Roman" w:hAnsi="Times New Roman"/>
          <w:sz w:val="17"/>
          <w:szCs w:val="17"/>
          <w:color w:val="161616"/>
        </w:rPr>
        <w:t>Stock Performance Graph: The following graph depicts the cumulative total return on the Company’s common stock compared to the cumulative total return on the Nasdaq Composite Index (all U.S. companies) and the Dow Jones U.S. Auto Parts Index (excluding tire and rubber makers). The graph assumes an investment of $100 on the last trading day of 2017 and reinvestment of dividends in all cases.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20" w:type="dxa"/>
            <w:vAlign w:val="bottom"/>
          </w:tcPr>
          <w:p>
            <w:pPr>
              <w:spacing w:after="0"/>
              <w:rPr>
                <w:sz w:val="23"/>
                <w:szCs w:val="23"/>
                <w:color w:val="auto"/>
              </w:rPr>
            </w:pPr>
          </w:p>
        </w:tc>
        <w:tc>
          <w:tcPr>
            <w:tcW w:w="4480" w:type="dxa"/>
            <w:vAlign w:val="bottom"/>
          </w:tcPr>
          <w:p>
            <w:pPr>
              <w:jc w:val="right"/>
              <w:ind w:right="3980"/>
              <w:spacing w:after="0"/>
              <w:rPr>
                <w:sz w:val="20"/>
                <w:szCs w:val="20"/>
                <w:color w:val="auto"/>
              </w:rPr>
            </w:pPr>
            <w:r>
              <w:rPr>
                <w:rFonts w:ascii="Times New Roman" w:cs="Times New Roman" w:eastAsia="Times New Roman" w:hAnsi="Times New Roman"/>
                <w:sz w:val="16"/>
                <w:szCs w:val="16"/>
                <w:color w:val="161616"/>
              </w:rPr>
              <w:t>$275</w:t>
            </w:r>
          </w:p>
        </w:tc>
        <w:tc>
          <w:tcPr>
            <w:tcW w:w="5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2"/>
        </w:trPr>
        <w:tc>
          <w:tcPr>
            <w:tcW w:w="220" w:type="dxa"/>
            <w:vAlign w:val="bottom"/>
          </w:tcPr>
          <w:p>
            <w:pPr>
              <w:spacing w:after="0"/>
              <w:rPr>
                <w:sz w:val="24"/>
                <w:szCs w:val="24"/>
                <w:color w:val="auto"/>
              </w:rPr>
            </w:pPr>
          </w:p>
        </w:tc>
        <w:tc>
          <w:tcPr>
            <w:tcW w:w="4480" w:type="dxa"/>
            <w:vAlign w:val="bottom"/>
          </w:tcPr>
          <w:p>
            <w:pPr>
              <w:jc w:val="right"/>
              <w:ind w:right="3980"/>
              <w:spacing w:after="0"/>
              <w:rPr>
                <w:sz w:val="20"/>
                <w:szCs w:val="20"/>
                <w:color w:val="auto"/>
              </w:rPr>
            </w:pPr>
            <w:r>
              <w:rPr>
                <w:rFonts w:ascii="Times New Roman" w:cs="Times New Roman" w:eastAsia="Times New Roman" w:hAnsi="Times New Roman"/>
                <w:sz w:val="16"/>
                <w:szCs w:val="16"/>
                <w:color w:val="161616"/>
              </w:rPr>
              <w:t>$250</w:t>
            </w:r>
          </w:p>
        </w:tc>
        <w:tc>
          <w:tcPr>
            <w:tcW w:w="5720" w:type="dxa"/>
            <w:vAlign w:val="bottom"/>
          </w:tcPr>
          <w:p>
            <w:pPr>
              <w:ind w:left="4040"/>
              <w:spacing w:after="0"/>
              <w:rPr>
                <w:sz w:val="20"/>
                <w:szCs w:val="20"/>
                <w:color w:val="auto"/>
              </w:rPr>
            </w:pPr>
            <w:r>
              <w:rPr>
                <w:rFonts w:ascii="Times New Roman" w:cs="Times New Roman" w:eastAsia="Times New Roman" w:hAnsi="Times New Roman"/>
                <w:sz w:val="16"/>
                <w:szCs w:val="16"/>
                <w:color w:val="161616"/>
              </w:rPr>
              <w:t>NASDAQ Composite</w:t>
            </w:r>
          </w:p>
        </w:tc>
        <w:tc>
          <w:tcPr>
            <w:tcW w:w="0" w:type="dxa"/>
            <w:vAlign w:val="bottom"/>
          </w:tcPr>
          <w:p>
            <w:pPr>
              <w:spacing w:after="0"/>
              <w:rPr>
                <w:sz w:val="1"/>
                <w:szCs w:val="1"/>
                <w:color w:val="auto"/>
              </w:rPr>
            </w:pPr>
          </w:p>
        </w:tc>
      </w:tr>
      <w:tr>
        <w:trPr>
          <w:trHeight w:val="414"/>
        </w:trPr>
        <w:tc>
          <w:tcPr>
            <w:tcW w:w="220" w:type="dxa"/>
            <w:vAlign w:val="bottom"/>
          </w:tcPr>
          <w:p>
            <w:pPr>
              <w:spacing w:after="0"/>
              <w:rPr>
                <w:sz w:val="24"/>
                <w:szCs w:val="24"/>
                <w:color w:val="auto"/>
              </w:rPr>
            </w:pPr>
          </w:p>
        </w:tc>
        <w:tc>
          <w:tcPr>
            <w:tcW w:w="4480" w:type="dxa"/>
            <w:vAlign w:val="bottom"/>
          </w:tcPr>
          <w:p>
            <w:pPr>
              <w:jc w:val="right"/>
              <w:ind w:right="3980"/>
              <w:spacing w:after="0"/>
              <w:rPr>
                <w:sz w:val="20"/>
                <w:szCs w:val="20"/>
                <w:color w:val="auto"/>
              </w:rPr>
            </w:pPr>
            <w:r>
              <w:rPr>
                <w:rFonts w:ascii="Times New Roman" w:cs="Times New Roman" w:eastAsia="Times New Roman" w:hAnsi="Times New Roman"/>
                <w:sz w:val="16"/>
                <w:szCs w:val="16"/>
                <w:color w:val="161616"/>
              </w:rPr>
              <w:t>$225</w:t>
            </w:r>
          </w:p>
        </w:tc>
        <w:tc>
          <w:tcPr>
            <w:tcW w:w="5720" w:type="dxa"/>
            <w:vAlign w:val="bottom"/>
          </w:tcPr>
          <w:p>
            <w:pPr>
              <w:ind w:left="4040"/>
              <w:spacing w:after="0"/>
              <w:rPr>
                <w:sz w:val="20"/>
                <w:szCs w:val="20"/>
                <w:color w:val="auto"/>
              </w:rPr>
            </w:pPr>
            <w:r>
              <w:rPr>
                <w:rFonts w:ascii="Times New Roman" w:cs="Times New Roman" w:eastAsia="Times New Roman" w:hAnsi="Times New Roman"/>
                <w:sz w:val="16"/>
                <w:szCs w:val="16"/>
                <w:color w:val="161616"/>
                <w:w w:val="99"/>
              </w:rPr>
              <w:t>Dow Jones US Auto Parts</w:t>
            </w:r>
          </w:p>
        </w:tc>
        <w:tc>
          <w:tcPr>
            <w:tcW w:w="0" w:type="dxa"/>
            <w:vAlign w:val="bottom"/>
          </w:tcPr>
          <w:p>
            <w:pPr>
              <w:spacing w:after="0"/>
              <w:rPr>
                <w:sz w:val="1"/>
                <w:szCs w:val="1"/>
                <w:color w:val="auto"/>
              </w:rPr>
            </w:pPr>
          </w:p>
        </w:tc>
      </w:tr>
      <w:tr>
        <w:trPr>
          <w:trHeight w:val="414"/>
        </w:trPr>
        <w:tc>
          <w:tcPr>
            <w:tcW w:w="220" w:type="dxa"/>
            <w:vAlign w:val="bottom"/>
          </w:tcPr>
          <w:p>
            <w:pPr>
              <w:spacing w:after="0"/>
              <w:rPr>
                <w:sz w:val="24"/>
                <w:szCs w:val="24"/>
                <w:color w:val="auto"/>
              </w:rPr>
            </w:pPr>
          </w:p>
        </w:tc>
        <w:tc>
          <w:tcPr>
            <w:tcW w:w="4480" w:type="dxa"/>
            <w:vAlign w:val="bottom"/>
          </w:tcPr>
          <w:p>
            <w:pPr>
              <w:jc w:val="right"/>
              <w:ind w:right="3980"/>
              <w:spacing w:after="0"/>
              <w:rPr>
                <w:sz w:val="20"/>
                <w:szCs w:val="20"/>
                <w:color w:val="auto"/>
              </w:rPr>
            </w:pPr>
            <w:r>
              <w:rPr>
                <w:rFonts w:ascii="Times New Roman" w:cs="Times New Roman" w:eastAsia="Times New Roman" w:hAnsi="Times New Roman"/>
                <w:sz w:val="16"/>
                <w:szCs w:val="16"/>
                <w:color w:val="161616"/>
              </w:rPr>
              <w:t>$200</w:t>
            </w:r>
          </w:p>
        </w:tc>
        <w:tc>
          <w:tcPr>
            <w:tcW w:w="5720" w:type="dxa"/>
            <w:vAlign w:val="bottom"/>
          </w:tcPr>
          <w:p>
            <w:pPr>
              <w:ind w:left="4040"/>
              <w:spacing w:after="0"/>
              <w:rPr>
                <w:sz w:val="20"/>
                <w:szCs w:val="20"/>
                <w:color w:val="auto"/>
              </w:rPr>
            </w:pPr>
            <w:r>
              <w:rPr>
                <w:rFonts w:ascii="Times New Roman" w:cs="Times New Roman" w:eastAsia="Times New Roman" w:hAnsi="Times New Roman"/>
                <w:sz w:val="16"/>
                <w:szCs w:val="16"/>
                <w:color w:val="161616"/>
              </w:rPr>
              <w:t>Gentex Corporation</w:t>
            </w:r>
          </w:p>
        </w:tc>
        <w:tc>
          <w:tcPr>
            <w:tcW w:w="0" w:type="dxa"/>
            <w:vAlign w:val="bottom"/>
          </w:tcPr>
          <w:p>
            <w:pPr>
              <w:spacing w:after="0"/>
              <w:rPr>
                <w:sz w:val="1"/>
                <w:szCs w:val="1"/>
                <w:color w:val="auto"/>
              </w:rPr>
            </w:pPr>
          </w:p>
        </w:tc>
      </w:tr>
      <w:tr>
        <w:trPr>
          <w:trHeight w:val="380"/>
        </w:trPr>
        <w:tc>
          <w:tcPr>
            <w:tcW w:w="220" w:type="dxa"/>
            <w:vAlign w:val="bottom"/>
            <w:vMerge w:val="restart"/>
            <w:textDirection w:val="btLr"/>
          </w:tcPr>
          <w:p>
            <w:pPr>
              <w:spacing w:after="0"/>
              <w:rPr>
                <w:sz w:val="20"/>
                <w:szCs w:val="20"/>
                <w:color w:val="auto"/>
              </w:rPr>
            </w:pPr>
            <w:r>
              <w:rPr>
                <w:rFonts w:ascii="Arial" w:cs="Arial" w:eastAsia="Arial" w:hAnsi="Arial"/>
                <w:sz w:val="13"/>
                <w:szCs w:val="13"/>
                <w:b w:val="1"/>
                <w:bCs w:val="1"/>
                <w:color w:val="808080"/>
                <w:w w:val="92"/>
              </w:rPr>
              <w:t>Value</w:t>
            </w:r>
          </w:p>
        </w:tc>
        <w:tc>
          <w:tcPr>
            <w:tcW w:w="4480" w:type="dxa"/>
            <w:vAlign w:val="bottom"/>
          </w:tcPr>
          <w:p>
            <w:pPr>
              <w:jc w:val="right"/>
              <w:ind w:right="3980"/>
              <w:spacing w:after="0"/>
              <w:rPr>
                <w:sz w:val="20"/>
                <w:szCs w:val="20"/>
                <w:color w:val="auto"/>
              </w:rPr>
            </w:pPr>
            <w:r>
              <w:rPr>
                <w:rFonts w:ascii="Times New Roman" w:cs="Times New Roman" w:eastAsia="Times New Roman" w:hAnsi="Times New Roman"/>
                <w:sz w:val="16"/>
                <w:szCs w:val="16"/>
                <w:color w:val="161616"/>
              </w:rPr>
              <w:t>$175</w:t>
            </w:r>
          </w:p>
        </w:tc>
        <w:tc>
          <w:tcPr>
            <w:tcW w:w="5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20" w:type="dxa"/>
            <w:vAlign w:val="bottom"/>
            <w:vMerge w:val="continue"/>
          </w:tcPr>
          <w:p>
            <w:pPr>
              <w:spacing w:after="0"/>
              <w:rPr>
                <w:sz w:val="22"/>
                <w:szCs w:val="22"/>
                <w:color w:val="auto"/>
              </w:rPr>
            </w:pPr>
          </w:p>
        </w:tc>
        <w:tc>
          <w:tcPr>
            <w:tcW w:w="4480" w:type="dxa"/>
            <w:vAlign w:val="bottom"/>
            <w:vMerge w:val="restart"/>
          </w:tcPr>
          <w:p>
            <w:pPr>
              <w:jc w:val="right"/>
              <w:ind w:right="3980"/>
              <w:spacing w:after="0"/>
              <w:rPr>
                <w:sz w:val="20"/>
                <w:szCs w:val="20"/>
                <w:color w:val="auto"/>
              </w:rPr>
            </w:pPr>
            <w:r>
              <w:rPr>
                <w:rFonts w:ascii="Times New Roman" w:cs="Times New Roman" w:eastAsia="Times New Roman" w:hAnsi="Times New Roman"/>
                <w:sz w:val="16"/>
                <w:szCs w:val="16"/>
                <w:color w:val="161616"/>
              </w:rPr>
              <w:t>$150</w:t>
            </w:r>
          </w:p>
        </w:tc>
        <w:tc>
          <w:tcPr>
            <w:tcW w:w="5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20" w:type="dxa"/>
            <w:vAlign w:val="bottom"/>
            <w:vMerge w:val="restart"/>
            <w:textDirection w:val="btLr"/>
          </w:tcPr>
          <w:p>
            <w:pPr>
              <w:spacing w:after="0"/>
              <w:rPr>
                <w:sz w:val="20"/>
                <w:szCs w:val="20"/>
                <w:color w:val="auto"/>
              </w:rPr>
            </w:pPr>
            <w:r>
              <w:rPr>
                <w:rFonts w:ascii="Arial" w:cs="Arial" w:eastAsia="Arial" w:hAnsi="Arial"/>
                <w:sz w:val="13"/>
                <w:szCs w:val="13"/>
                <w:b w:val="1"/>
                <w:bCs w:val="1"/>
                <w:color w:val="808080"/>
                <w:w w:val="90"/>
              </w:rPr>
              <w:t>Stock</w:t>
            </w:r>
          </w:p>
        </w:tc>
        <w:tc>
          <w:tcPr>
            <w:tcW w:w="4480" w:type="dxa"/>
            <w:vAlign w:val="bottom"/>
            <w:vMerge w:val="continue"/>
          </w:tcPr>
          <w:p>
            <w:pPr>
              <w:spacing w:after="0"/>
              <w:rPr>
                <w:sz w:val="14"/>
                <w:szCs w:val="14"/>
                <w:color w:val="auto"/>
              </w:rPr>
            </w:pPr>
          </w:p>
        </w:tc>
        <w:tc>
          <w:tcPr>
            <w:tcW w:w="5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0" w:type="dxa"/>
            <w:vAlign w:val="bottom"/>
            <w:vMerge w:val="continue"/>
          </w:tcPr>
          <w:p>
            <w:pPr>
              <w:spacing w:after="0"/>
              <w:rPr>
                <w:sz w:val="15"/>
                <w:szCs w:val="15"/>
                <w:color w:val="auto"/>
              </w:rPr>
            </w:pPr>
          </w:p>
        </w:tc>
        <w:tc>
          <w:tcPr>
            <w:tcW w:w="4480" w:type="dxa"/>
            <w:vAlign w:val="bottom"/>
            <w:vMerge w:val="restart"/>
          </w:tcPr>
          <w:p>
            <w:pPr>
              <w:jc w:val="right"/>
              <w:ind w:right="3980"/>
              <w:spacing w:after="0"/>
              <w:rPr>
                <w:sz w:val="20"/>
                <w:szCs w:val="20"/>
                <w:color w:val="auto"/>
              </w:rPr>
            </w:pPr>
            <w:r>
              <w:rPr>
                <w:rFonts w:ascii="Times New Roman" w:cs="Times New Roman" w:eastAsia="Times New Roman" w:hAnsi="Times New Roman"/>
                <w:sz w:val="16"/>
                <w:szCs w:val="16"/>
                <w:color w:val="161616"/>
              </w:rPr>
              <w:t>$125</w:t>
            </w:r>
          </w:p>
        </w:tc>
        <w:tc>
          <w:tcPr>
            <w:tcW w:w="5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20" w:type="dxa"/>
            <w:vAlign w:val="bottom"/>
          </w:tcPr>
          <w:p>
            <w:pPr>
              <w:spacing w:after="0"/>
              <w:rPr>
                <w:sz w:val="21"/>
                <w:szCs w:val="21"/>
                <w:color w:val="auto"/>
              </w:rPr>
            </w:pPr>
          </w:p>
        </w:tc>
        <w:tc>
          <w:tcPr>
            <w:tcW w:w="4480" w:type="dxa"/>
            <w:vAlign w:val="bottom"/>
            <w:vMerge w:val="continue"/>
          </w:tcPr>
          <w:p>
            <w:pPr>
              <w:spacing w:after="0"/>
              <w:rPr>
                <w:sz w:val="21"/>
                <w:szCs w:val="21"/>
                <w:color w:val="auto"/>
              </w:rPr>
            </w:pPr>
          </w:p>
        </w:tc>
        <w:tc>
          <w:tcPr>
            <w:tcW w:w="5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-1719580</wp:posOffset>
            </wp:positionV>
            <wp:extent cx="5034280" cy="2735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extLst>
                        <a:ext uri="{28A0092B-C50C-407E-A947-70E740481C1C}"/>
                      </a:extLst>
                    </a:blip>
                    <a:srcRect/>
                    <a:stretch>
                      <a:fillRect/>
                    </a:stretch>
                  </pic:blipFill>
                  <pic:spPr bwMode="auto">
                    <a:xfrm>
                      <a:off x="0" y="0"/>
                      <a:ext cx="5034280" cy="2735580"/>
                    </a:xfrm>
                    <a:prstGeom prst="rect">
                      <a:avLst/>
                    </a:prstGeom>
                    <a:noFill/>
                  </pic:spPr>
                </pic:pic>
              </a:graphicData>
            </a:graphic>
          </wp:anchor>
        </w:drawing>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161616"/>
        </w:rPr>
        <w:t>$100</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161616"/>
        </w:rPr>
        <w:t>$75</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161616"/>
        </w:rPr>
        <w:t>$50</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161616"/>
        </w:rPr>
        <w:t>$25</w:t>
      </w:r>
    </w:p>
    <w:p>
      <w:pPr>
        <w:spacing w:after="0" w:line="44" w:lineRule="exact"/>
        <w:rPr>
          <w:sz w:val="20"/>
          <w:szCs w:val="20"/>
          <w:color w:val="auto"/>
        </w:rPr>
      </w:pPr>
    </w:p>
    <w:tbl>
      <w:tblPr>
        <w:tblLayout w:type="fixed"/>
        <w:tblInd w:w="800" w:type="dxa"/>
        <w:tblCellMar>
          <w:top w:w="0" w:type="dxa"/>
          <w:left w:w="0" w:type="dxa"/>
          <w:bottom w:w="0" w:type="dxa"/>
          <w:right w:w="0" w:type="dxa"/>
        </w:tblCellMar>
      </w:tblPr>
      <w:tr>
        <w:trPr>
          <w:trHeight w:val="400"/>
        </w:trPr>
        <w:tc>
          <w:tcPr>
            <w:tcW w:w="240" w:type="dxa"/>
            <w:vAlign w:val="bottom"/>
            <w:textDirection w:val="btLr"/>
          </w:tcPr>
          <w:p>
            <w:pPr>
              <w:spacing w:after="0"/>
              <w:rPr>
                <w:sz w:val="20"/>
                <w:szCs w:val="20"/>
                <w:color w:val="auto"/>
              </w:rPr>
            </w:pPr>
            <w:r>
              <w:rPr>
                <w:rFonts w:ascii="Times New Roman" w:cs="Times New Roman" w:eastAsia="Times New Roman" w:hAnsi="Times New Roman"/>
                <w:sz w:val="16"/>
                <w:szCs w:val="16"/>
                <w:color w:val="161616"/>
                <w:w w:val="99"/>
              </w:rPr>
              <w:t>1712.</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161616"/>
                <w:w w:val="99"/>
              </w:rPr>
              <w:t>183.</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161616"/>
                <w:w w:val="99"/>
              </w:rPr>
              <w:t>186.</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161616"/>
                <w:w w:val="99"/>
              </w:rPr>
              <w:t>9.18</w:t>
            </w:r>
          </w:p>
        </w:tc>
        <w:tc>
          <w:tcPr>
            <w:tcW w:w="380" w:type="dxa"/>
            <w:vAlign w:val="bottom"/>
            <w:textDirection w:val="btLr"/>
          </w:tcPr>
          <w:p>
            <w:pPr>
              <w:spacing w:after="0"/>
              <w:rPr>
                <w:sz w:val="20"/>
                <w:szCs w:val="20"/>
                <w:color w:val="auto"/>
              </w:rPr>
            </w:pPr>
            <w:r>
              <w:rPr>
                <w:rFonts w:ascii="Times New Roman" w:cs="Times New Roman" w:eastAsia="Times New Roman" w:hAnsi="Times New Roman"/>
                <w:sz w:val="16"/>
                <w:szCs w:val="16"/>
                <w:color w:val="161616"/>
                <w:w w:val="99"/>
              </w:rPr>
              <w:t>1812.</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161616"/>
                <w:w w:val="99"/>
              </w:rPr>
              <w:t>3.19</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161616"/>
                <w:w w:val="99"/>
              </w:rPr>
              <w:t>196.</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161616"/>
                <w:w w:val="99"/>
              </w:rPr>
              <w:t>199.</w:t>
            </w:r>
          </w:p>
        </w:tc>
        <w:tc>
          <w:tcPr>
            <w:tcW w:w="380" w:type="dxa"/>
            <w:vAlign w:val="bottom"/>
            <w:textDirection w:val="btLr"/>
          </w:tcPr>
          <w:p>
            <w:pPr>
              <w:spacing w:after="0"/>
              <w:rPr>
                <w:sz w:val="20"/>
                <w:szCs w:val="20"/>
                <w:color w:val="auto"/>
              </w:rPr>
            </w:pPr>
            <w:r>
              <w:rPr>
                <w:rFonts w:ascii="Times New Roman" w:cs="Times New Roman" w:eastAsia="Times New Roman" w:hAnsi="Times New Roman"/>
                <w:sz w:val="16"/>
                <w:szCs w:val="16"/>
                <w:color w:val="161616"/>
                <w:w w:val="99"/>
              </w:rPr>
              <w:t>1912.</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161616"/>
                <w:w w:val="99"/>
              </w:rPr>
              <w:t>3.29</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161616"/>
                <w:w w:val="99"/>
              </w:rPr>
              <w:t>6.20</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161616"/>
                <w:w w:val="99"/>
              </w:rPr>
              <w:t>9.20</w:t>
            </w:r>
          </w:p>
        </w:tc>
        <w:tc>
          <w:tcPr>
            <w:tcW w:w="380" w:type="dxa"/>
            <w:vAlign w:val="bottom"/>
            <w:textDirection w:val="btLr"/>
          </w:tcPr>
          <w:p>
            <w:pPr>
              <w:spacing w:after="0"/>
              <w:rPr>
                <w:sz w:val="20"/>
                <w:szCs w:val="20"/>
                <w:color w:val="auto"/>
              </w:rPr>
            </w:pPr>
            <w:r>
              <w:rPr>
                <w:rFonts w:ascii="Times New Roman" w:cs="Times New Roman" w:eastAsia="Times New Roman" w:hAnsi="Times New Roman"/>
                <w:sz w:val="16"/>
                <w:szCs w:val="16"/>
                <w:color w:val="161616"/>
                <w:w w:val="99"/>
              </w:rPr>
              <w:t>12.20</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161616"/>
                <w:w w:val="99"/>
              </w:rPr>
              <w:t>3.21</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161616"/>
                <w:w w:val="99"/>
              </w:rPr>
              <w:t>6.21</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161616"/>
                <w:w w:val="99"/>
              </w:rPr>
              <w:t>9.21</w:t>
            </w:r>
          </w:p>
        </w:tc>
        <w:tc>
          <w:tcPr>
            <w:tcW w:w="380" w:type="dxa"/>
            <w:vAlign w:val="bottom"/>
            <w:textDirection w:val="btLr"/>
          </w:tcPr>
          <w:p>
            <w:pPr>
              <w:spacing w:after="0"/>
              <w:rPr>
                <w:sz w:val="20"/>
                <w:szCs w:val="20"/>
                <w:color w:val="auto"/>
              </w:rPr>
            </w:pPr>
            <w:r>
              <w:rPr>
                <w:rFonts w:ascii="Times New Roman" w:cs="Times New Roman" w:eastAsia="Times New Roman" w:hAnsi="Times New Roman"/>
                <w:sz w:val="16"/>
                <w:szCs w:val="16"/>
                <w:color w:val="161616"/>
                <w:w w:val="99"/>
              </w:rPr>
              <w:t>2112.</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161616"/>
                <w:w w:val="99"/>
              </w:rPr>
              <w:t>223.</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161616"/>
                <w:w w:val="99"/>
              </w:rPr>
              <w:t>226.</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161616"/>
                <w:w w:val="99"/>
              </w:rPr>
              <w:t>9.22</w:t>
            </w:r>
          </w:p>
        </w:tc>
        <w:tc>
          <w:tcPr>
            <w:tcW w:w="240" w:type="dxa"/>
            <w:vAlign w:val="bottom"/>
            <w:textDirection w:val="btLr"/>
          </w:tcPr>
          <w:p>
            <w:pPr>
              <w:spacing w:after="0" w:line="186" w:lineRule="auto"/>
              <w:rPr>
                <w:sz w:val="20"/>
                <w:szCs w:val="20"/>
                <w:color w:val="auto"/>
              </w:rPr>
            </w:pPr>
            <w:r>
              <w:rPr>
                <w:rFonts w:ascii="Times New Roman" w:cs="Times New Roman" w:eastAsia="Times New Roman" w:hAnsi="Times New Roman"/>
                <w:sz w:val="17"/>
                <w:szCs w:val="17"/>
                <w:color w:val="161616"/>
              </w:rPr>
              <w:t>12.22</w:t>
            </w:r>
          </w:p>
        </w:tc>
      </w:tr>
      <w:tr>
        <w:trPr>
          <w:trHeight w:val="265"/>
        </w:trPr>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3"/>
                <w:szCs w:val="13"/>
                <w:b w:val="1"/>
                <w:bCs w:val="1"/>
                <w:color w:val="808080"/>
              </w:rPr>
              <w:t>Period Ending</w:t>
            </w: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r>
    </w:tbl>
    <w:p>
      <w:pPr>
        <w:spacing w:after="0" w:line="340" w:lineRule="exact"/>
        <w:rPr>
          <w:sz w:val="20"/>
          <w:szCs w:val="20"/>
          <w:color w:val="auto"/>
        </w:rPr>
      </w:pPr>
    </w:p>
    <w:p>
      <w:pPr>
        <w:ind w:right="120"/>
        <w:spacing w:after="0" w:line="363" w:lineRule="auto"/>
        <w:rPr>
          <w:sz w:val="20"/>
          <w:szCs w:val="20"/>
          <w:color w:val="auto"/>
        </w:rPr>
      </w:pPr>
      <w:r>
        <w:rPr>
          <w:rFonts w:ascii="Times New Roman" w:cs="Times New Roman" w:eastAsia="Times New Roman" w:hAnsi="Times New Roman"/>
          <w:sz w:val="18"/>
          <w:szCs w:val="18"/>
          <w:color w:val="161616"/>
        </w:rPr>
        <w:t>In February 2022, the Company’s Board of Directors approved a continuing resolution to pay a quarterly dividend at a rate of $0.120 per share until the board takes other action with respect to the payment of dividends. The Company intends to continue to pay a quarterly cash dividend and will consider future dividend rate adjustments based on the Company’s financial condition, profitability, cash flow, liquidity and other relevant business factors.</w:t>
      </w:r>
    </w:p>
    <w:p>
      <w:pPr>
        <w:spacing w:after="0" w:line="200" w:lineRule="exact"/>
        <w:rPr>
          <w:sz w:val="20"/>
          <w:szCs w:val="20"/>
          <w:color w:val="auto"/>
        </w:rPr>
      </w:pPr>
    </w:p>
    <w:p>
      <w:pPr>
        <w:sectPr>
          <w:pgSz w:w="12240" w:h="15840" w:orient="portrait"/>
          <w:cols w:equalWidth="0" w:num="2">
            <w:col w:w="230" w:space="428"/>
            <w:col w:w="10420"/>
          </w:cols>
          <w:pgMar w:left="242" w:top="83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38"/>
        <w:spacing w:after="0"/>
        <w:tabs>
          <w:tab w:leader="none" w:pos="737" w:val="left"/>
        </w:tabs>
        <w:rPr>
          <w:sz w:val="20"/>
          <w:szCs w:val="20"/>
          <w:color w:val="auto"/>
        </w:rPr>
      </w:pPr>
      <w:r>
        <w:rPr>
          <w:rFonts w:ascii="Arial" w:cs="Arial" w:eastAsia="Arial" w:hAnsi="Arial"/>
          <w:sz w:val="24"/>
          <w:szCs w:val="24"/>
          <w:b w:val="1"/>
          <w:bCs w:val="1"/>
          <w:color w:val="161616"/>
        </w:rPr>
        <w:t>40</w:t>
      </w:r>
      <w:r>
        <w:rPr>
          <w:sz w:val="20"/>
          <w:szCs w:val="20"/>
          <w:color w:val="auto"/>
        </w:rPr>
        <w:tab/>
      </w:r>
      <w:r>
        <w:rPr>
          <w:rFonts w:ascii="Times New Roman" w:cs="Times New Roman" w:eastAsia="Times New Roman" w:hAnsi="Times New Roman"/>
          <w:sz w:val="10"/>
          <w:szCs w:val="10"/>
          <w:color w:val="161616"/>
        </w:rPr>
        <w:t>GENTEX CORPORATION</w:t>
      </w:r>
    </w:p>
    <w:p>
      <w:pPr>
        <w:sectPr>
          <w:pgSz w:w="12240" w:h="15840" w:orient="portrait"/>
          <w:cols w:equalWidth="0" w:num="1">
            <w:col w:w="11078"/>
          </w:cols>
          <w:pgMar w:left="242" w:top="836" w:right="920" w:bottom="0" w:gutter="0" w:footer="0" w:header="0"/>
          <w:type w:val="continuous"/>
        </w:sectPr>
      </w:pPr>
    </w:p>
    <w:bookmarkStart w:id="40" w:name="page41"/>
    <w:bookmarkEnd w:id="40"/>
    <w:p>
      <w:pPr>
        <w:ind w:left="100" w:hanging="98"/>
        <w:spacing w:after="0"/>
        <w:tabs>
          <w:tab w:leader="none" w:pos="100" w:val="left"/>
        </w:tabs>
        <w:numPr>
          <w:ilvl w:val="0"/>
          <w:numId w:val="14"/>
        </w:numPr>
        <w:rPr>
          <w:rFonts w:ascii="Arial" w:cs="Arial" w:eastAsia="Arial" w:hAnsi="Arial"/>
          <w:sz w:val="18"/>
          <w:szCs w:val="18"/>
          <w:b w:val="1"/>
          <w:bCs w:val="1"/>
          <w:color w:val="838383"/>
        </w:rPr>
      </w:pPr>
      <w:r>
        <w:rPr>
          <w:rFonts w:ascii="Arial" w:cs="Arial" w:eastAsia="Arial" w:hAnsi="Arial"/>
          <w:sz w:val="18"/>
          <w:szCs w:val="18"/>
          <w:b w:val="1"/>
          <w:bCs w:val="1"/>
          <w:color w:val="838383"/>
        </w:rPr>
        <w:t xml:space="preserve">B )  </w:t>
      </w:r>
      <w:r>
        <w:rPr>
          <w:rFonts w:ascii="Times New Roman" w:cs="Times New Roman" w:eastAsia="Times New Roman" w:hAnsi="Times New Roman"/>
          <w:sz w:val="18"/>
          <w:szCs w:val="18"/>
          <w:color w:val="262626"/>
        </w:rPr>
        <w:t>Not applicable.</w:t>
      </w:r>
    </w:p>
    <w:p>
      <w:pPr>
        <w:spacing w:after="0" w:line="200" w:lineRule="exact"/>
        <w:rPr>
          <w:sz w:val="20"/>
          <w:szCs w:val="20"/>
          <w:color w:val="auto"/>
        </w:rPr>
      </w:pPr>
    </w:p>
    <w:p>
      <w:pPr>
        <w:spacing w:after="0" w:line="232" w:lineRule="exact"/>
        <w:rPr>
          <w:sz w:val="20"/>
          <w:szCs w:val="20"/>
          <w:color w:val="auto"/>
        </w:rPr>
      </w:pPr>
    </w:p>
    <w:p>
      <w:pPr>
        <w:ind w:right="500" w:firstLine="2"/>
        <w:spacing w:after="0" w:line="366" w:lineRule="auto"/>
        <w:tabs>
          <w:tab w:leader="none" w:pos="88" w:val="left"/>
        </w:tabs>
        <w:numPr>
          <w:ilvl w:val="0"/>
          <w:numId w:val="15"/>
        </w:numPr>
        <w:rPr>
          <w:rFonts w:ascii="Arial" w:cs="Arial" w:eastAsia="Arial" w:hAnsi="Arial"/>
          <w:sz w:val="18"/>
          <w:szCs w:val="18"/>
          <w:b w:val="1"/>
          <w:bCs w:val="1"/>
          <w:color w:val="838383"/>
        </w:rPr>
      </w:pPr>
      <w:r>
        <w:rPr>
          <w:rFonts w:ascii="Arial" w:cs="Arial" w:eastAsia="Arial" w:hAnsi="Arial"/>
          <w:sz w:val="18"/>
          <w:szCs w:val="18"/>
          <w:b w:val="1"/>
          <w:bCs w:val="1"/>
          <w:color w:val="838383"/>
        </w:rPr>
        <w:t xml:space="preserve">C ) </w:t>
      </w:r>
      <w:r>
        <w:rPr>
          <w:rFonts w:ascii="Times New Roman" w:cs="Times New Roman" w:eastAsia="Times New Roman" w:hAnsi="Times New Roman"/>
          <w:sz w:val="18"/>
          <w:szCs w:val="18"/>
          <w:color w:val="262626"/>
        </w:rPr>
        <w:t>The Company has in place and has announced a share repurchase plan. As previously disclosed, the Company may purchase authorized</w:t>
      </w:r>
      <w:r>
        <w:rPr>
          <w:rFonts w:ascii="Arial" w:cs="Arial" w:eastAsia="Arial" w:hAnsi="Arial"/>
          <w:sz w:val="18"/>
          <w:szCs w:val="18"/>
          <w:b w:val="1"/>
          <w:bCs w:val="1"/>
          <w:color w:val="838383"/>
        </w:rPr>
        <w:t xml:space="preserve"> </w:t>
      </w:r>
      <w:r>
        <w:rPr>
          <w:rFonts w:ascii="Times New Roman" w:cs="Times New Roman" w:eastAsia="Times New Roman" w:hAnsi="Times New Roman"/>
          <w:sz w:val="18"/>
          <w:szCs w:val="18"/>
          <w:color w:val="262626"/>
        </w:rPr>
        <w:t>shares of its common stock under the plan based on a number of factors, including: market, economic, and industry conditions; the market price of the Company’s common stock; anti-dilutive effect on earnings; available cash; and other factors that the Company deems appropriate. The plan does not have an expiration date, but the Board of Directors reviews such plan periodically.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The following is a summary of share repurchase activity during 2022:</w:t>
      </w:r>
    </w:p>
    <w:p>
      <w:pPr>
        <w:spacing w:after="0" w:line="298"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262626"/>
        </w:rPr>
        <w:t>Issuer Purchase of Equity Securities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55245</wp:posOffset>
                </wp:positionV>
                <wp:extent cx="663765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7655" cy="4763"/>
                        </a:xfrm>
                        <a:prstGeom prst="line">
                          <a:avLst/>
                        </a:prstGeom>
                        <a:solidFill>
                          <a:srgbClr val="FFFFFF"/>
                        </a:solidFill>
                        <a:ln w="6350">
                          <a:solidFill>
                            <a:srgbClr val="838383"/>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4.35pt" to="522.75pt,4.35pt" o:allowincell="f" strokecolor="#838383" strokeweight="0.5pt"/>
            </w:pict>
          </mc:Fallback>
        </mc:AlternateConten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800" w:type="dxa"/>
            <w:vAlign w:val="bottom"/>
          </w:tcPr>
          <w:p>
            <w:pPr>
              <w:spacing w:after="0"/>
              <w:rPr>
                <w:sz w:val="20"/>
                <w:szCs w:val="20"/>
                <w:color w:val="auto"/>
              </w:rPr>
            </w:pPr>
          </w:p>
        </w:tc>
        <w:tc>
          <w:tcPr>
            <w:tcW w:w="218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262626"/>
              </w:rPr>
              <w:t>Total Number of</w:t>
            </w:r>
          </w:p>
        </w:tc>
        <w:tc>
          <w:tcPr>
            <w:tcW w:w="17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262626"/>
                <w:w w:val="89"/>
              </w:rPr>
              <w:t>Average Price Paid</w:t>
            </w:r>
          </w:p>
        </w:tc>
        <w:tc>
          <w:tcPr>
            <w:tcW w:w="2260" w:type="dxa"/>
            <w:vAlign w:val="bottom"/>
          </w:tcPr>
          <w:p>
            <w:pPr>
              <w:jc w:val="right"/>
              <w:spacing w:after="0"/>
              <w:rPr>
                <w:sz w:val="20"/>
                <w:szCs w:val="20"/>
                <w:color w:val="auto"/>
              </w:rPr>
            </w:pPr>
            <w:r>
              <w:rPr>
                <w:rFonts w:ascii="Arial" w:cs="Arial" w:eastAsia="Arial" w:hAnsi="Arial"/>
                <w:sz w:val="18"/>
                <w:szCs w:val="18"/>
                <w:b w:val="1"/>
                <w:bCs w:val="1"/>
                <w:color w:val="262626"/>
                <w:w w:val="91"/>
              </w:rPr>
              <w:t>Total Number of Shares Pur-</w:t>
            </w:r>
          </w:p>
        </w:tc>
        <w:tc>
          <w:tcPr>
            <w:tcW w:w="2500" w:type="dxa"/>
            <w:vAlign w:val="bottom"/>
          </w:tcPr>
          <w:p>
            <w:pPr>
              <w:jc w:val="right"/>
              <w:spacing w:after="0"/>
              <w:rPr>
                <w:sz w:val="20"/>
                <w:szCs w:val="20"/>
                <w:color w:val="auto"/>
              </w:rPr>
            </w:pPr>
            <w:r>
              <w:rPr>
                <w:rFonts w:ascii="Arial" w:cs="Arial" w:eastAsia="Arial" w:hAnsi="Arial"/>
                <w:sz w:val="18"/>
                <w:szCs w:val="18"/>
                <w:b w:val="1"/>
                <w:bCs w:val="1"/>
                <w:color w:val="262626"/>
              </w:rPr>
              <w:t>Maximum Number of Shares</w:t>
            </w:r>
          </w:p>
        </w:tc>
        <w:tc>
          <w:tcPr>
            <w:tcW w:w="0" w:type="dxa"/>
            <w:vAlign w:val="bottom"/>
          </w:tcPr>
          <w:p>
            <w:pPr>
              <w:spacing w:after="0"/>
              <w:rPr>
                <w:sz w:val="1"/>
                <w:szCs w:val="1"/>
                <w:color w:val="auto"/>
              </w:rPr>
            </w:pPr>
          </w:p>
        </w:tc>
      </w:tr>
      <w:tr>
        <w:trPr>
          <w:trHeight w:val="120"/>
        </w:trPr>
        <w:tc>
          <w:tcPr>
            <w:tcW w:w="1800" w:type="dxa"/>
            <w:vAlign w:val="bottom"/>
            <w:vMerge w:val="restart"/>
          </w:tcPr>
          <w:p>
            <w:pPr>
              <w:spacing w:after="0"/>
              <w:rPr>
                <w:sz w:val="20"/>
                <w:szCs w:val="20"/>
                <w:color w:val="auto"/>
              </w:rPr>
            </w:pPr>
            <w:r>
              <w:rPr>
                <w:rFonts w:ascii="Arial" w:cs="Arial" w:eastAsia="Arial" w:hAnsi="Arial"/>
                <w:sz w:val="18"/>
                <w:szCs w:val="18"/>
                <w:b w:val="1"/>
                <w:bCs w:val="1"/>
                <w:color w:val="262626"/>
              </w:rPr>
              <w:t>Period</w:t>
            </w:r>
          </w:p>
        </w:tc>
        <w:tc>
          <w:tcPr>
            <w:tcW w:w="2180" w:type="dxa"/>
            <w:vAlign w:val="bottom"/>
            <w:gridSpan w:val="2"/>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2260" w:type="dxa"/>
            <w:vAlign w:val="bottom"/>
            <w:vMerge w:val="restart"/>
          </w:tcPr>
          <w:p>
            <w:pPr>
              <w:jc w:val="right"/>
              <w:spacing w:after="0"/>
              <w:rPr>
                <w:sz w:val="20"/>
                <w:szCs w:val="20"/>
                <w:color w:val="auto"/>
              </w:rPr>
            </w:pPr>
            <w:r>
              <w:rPr>
                <w:rFonts w:ascii="Arial" w:cs="Arial" w:eastAsia="Arial" w:hAnsi="Arial"/>
                <w:sz w:val="18"/>
                <w:szCs w:val="18"/>
                <w:b w:val="1"/>
                <w:bCs w:val="1"/>
                <w:color w:val="262626"/>
                <w:w w:val="92"/>
              </w:rPr>
              <w:t>chased As Part of a Publicly</w:t>
            </w:r>
          </w:p>
        </w:tc>
        <w:tc>
          <w:tcPr>
            <w:tcW w:w="250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That May Yet Be Purchased</w:t>
            </w:r>
          </w:p>
        </w:tc>
        <w:tc>
          <w:tcPr>
            <w:tcW w:w="0" w:type="dxa"/>
            <w:vAlign w:val="bottom"/>
          </w:tcPr>
          <w:p>
            <w:pPr>
              <w:spacing w:after="0"/>
              <w:rPr>
                <w:sz w:val="1"/>
                <w:szCs w:val="1"/>
                <w:color w:val="auto"/>
              </w:rPr>
            </w:pPr>
          </w:p>
        </w:tc>
      </w:tr>
      <w:tr>
        <w:trPr>
          <w:trHeight w:val="120"/>
        </w:trPr>
        <w:tc>
          <w:tcPr>
            <w:tcW w:w="1800" w:type="dxa"/>
            <w:vAlign w:val="bottom"/>
            <w:vMerge w:val="continue"/>
          </w:tcPr>
          <w:p>
            <w:pPr>
              <w:spacing w:after="0"/>
              <w:rPr>
                <w:sz w:val="10"/>
                <w:szCs w:val="10"/>
                <w:color w:val="auto"/>
              </w:rPr>
            </w:pPr>
          </w:p>
        </w:tc>
        <w:tc>
          <w:tcPr>
            <w:tcW w:w="218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262626"/>
              </w:rPr>
              <w:t>Shares Purchased</w:t>
            </w:r>
          </w:p>
        </w:tc>
        <w:tc>
          <w:tcPr>
            <w:tcW w:w="17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262626"/>
              </w:rPr>
              <w:t>Per Share</w:t>
            </w:r>
          </w:p>
        </w:tc>
        <w:tc>
          <w:tcPr>
            <w:tcW w:w="226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800" w:type="dxa"/>
            <w:vAlign w:val="bottom"/>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226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Announced Plan*</w:t>
            </w:r>
          </w:p>
        </w:tc>
        <w:tc>
          <w:tcPr>
            <w:tcW w:w="250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Under the Plan*</w:t>
            </w:r>
          </w:p>
        </w:tc>
        <w:tc>
          <w:tcPr>
            <w:tcW w:w="0" w:type="dxa"/>
            <w:vAlign w:val="bottom"/>
          </w:tcPr>
          <w:p>
            <w:pPr>
              <w:spacing w:after="0"/>
              <w:rPr>
                <w:sz w:val="1"/>
                <w:szCs w:val="1"/>
                <w:color w:val="auto"/>
              </w:rPr>
            </w:pPr>
          </w:p>
        </w:tc>
      </w:tr>
      <w:tr>
        <w:trPr>
          <w:trHeight w:val="94"/>
        </w:trPr>
        <w:tc>
          <w:tcPr>
            <w:tcW w:w="1800" w:type="dxa"/>
            <w:vAlign w:val="bottom"/>
            <w:tcBorders>
              <w:bottom w:val="single" w:sz="8" w:color="838383"/>
            </w:tcBorders>
          </w:tcPr>
          <w:p>
            <w:pPr>
              <w:spacing w:after="0"/>
              <w:rPr>
                <w:sz w:val="8"/>
                <w:szCs w:val="8"/>
                <w:color w:val="auto"/>
              </w:rPr>
            </w:pPr>
          </w:p>
        </w:tc>
        <w:tc>
          <w:tcPr>
            <w:tcW w:w="1880" w:type="dxa"/>
            <w:vAlign w:val="bottom"/>
            <w:tcBorders>
              <w:bottom w:val="single" w:sz="8" w:color="838383"/>
            </w:tcBorders>
          </w:tcPr>
          <w:p>
            <w:pPr>
              <w:spacing w:after="0"/>
              <w:rPr>
                <w:sz w:val="8"/>
                <w:szCs w:val="8"/>
                <w:color w:val="auto"/>
              </w:rPr>
            </w:pPr>
          </w:p>
        </w:tc>
        <w:tc>
          <w:tcPr>
            <w:tcW w:w="300" w:type="dxa"/>
            <w:vAlign w:val="bottom"/>
            <w:tcBorders>
              <w:bottom w:val="single" w:sz="8" w:color="838383"/>
            </w:tcBorders>
          </w:tcPr>
          <w:p>
            <w:pPr>
              <w:spacing w:after="0"/>
              <w:rPr>
                <w:sz w:val="8"/>
                <w:szCs w:val="8"/>
                <w:color w:val="auto"/>
              </w:rPr>
            </w:pPr>
          </w:p>
        </w:tc>
        <w:tc>
          <w:tcPr>
            <w:tcW w:w="1720" w:type="dxa"/>
            <w:vAlign w:val="bottom"/>
            <w:tcBorders>
              <w:bottom w:val="single" w:sz="8" w:color="838383"/>
            </w:tcBorders>
          </w:tcPr>
          <w:p>
            <w:pPr>
              <w:spacing w:after="0"/>
              <w:rPr>
                <w:sz w:val="8"/>
                <w:szCs w:val="8"/>
                <w:color w:val="auto"/>
              </w:rPr>
            </w:pPr>
          </w:p>
        </w:tc>
        <w:tc>
          <w:tcPr>
            <w:tcW w:w="2260" w:type="dxa"/>
            <w:vAlign w:val="bottom"/>
            <w:tcBorders>
              <w:bottom w:val="single" w:sz="8" w:color="838383"/>
            </w:tcBorders>
            <w:vMerge w:val="continue"/>
          </w:tcPr>
          <w:p>
            <w:pPr>
              <w:spacing w:after="0"/>
              <w:rPr>
                <w:sz w:val="8"/>
                <w:szCs w:val="8"/>
                <w:color w:val="auto"/>
              </w:rPr>
            </w:pPr>
          </w:p>
        </w:tc>
        <w:tc>
          <w:tcPr>
            <w:tcW w:w="2500" w:type="dxa"/>
            <w:vAlign w:val="bottom"/>
            <w:tcBorders>
              <w:bottom w:val="single" w:sz="8" w:color="838383"/>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0"/>
        </w:trPr>
        <w:tc>
          <w:tcPr>
            <w:tcW w:w="18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Jan-22</w:t>
            </w:r>
          </w:p>
        </w:tc>
        <w:tc>
          <w:tcPr>
            <w:tcW w:w="2180" w:type="dxa"/>
            <w:vAlign w:val="bottom"/>
            <w:tcBorders>
              <w:bottom w:val="single" w:sz="8" w:color="838383"/>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262626"/>
              </w:rPr>
              <w:t>—  $</w:t>
            </w:r>
          </w:p>
        </w:tc>
        <w:tc>
          <w:tcPr>
            <w:tcW w:w="172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22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24,824,068</w:t>
            </w:r>
          </w:p>
        </w:tc>
        <w:tc>
          <w:tcPr>
            <w:tcW w:w="0" w:type="dxa"/>
            <w:vAlign w:val="bottom"/>
          </w:tcPr>
          <w:p>
            <w:pPr>
              <w:spacing w:after="0"/>
              <w:rPr>
                <w:sz w:val="1"/>
                <w:szCs w:val="1"/>
                <w:color w:val="auto"/>
              </w:rPr>
            </w:pPr>
          </w:p>
        </w:tc>
      </w:tr>
      <w:tr>
        <w:trPr>
          <w:trHeight w:val="340"/>
        </w:trPr>
        <w:tc>
          <w:tcPr>
            <w:tcW w:w="18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Feb-22</w:t>
            </w:r>
          </w:p>
        </w:tc>
        <w:tc>
          <w:tcPr>
            <w:tcW w:w="18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490,021</w:t>
            </w:r>
          </w:p>
        </w:tc>
        <w:tc>
          <w:tcPr>
            <w:tcW w:w="30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30.63</w:t>
            </w:r>
          </w:p>
        </w:tc>
        <w:tc>
          <w:tcPr>
            <w:tcW w:w="22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490,021</w:t>
            </w:r>
          </w:p>
        </w:tc>
        <w:tc>
          <w:tcPr>
            <w:tcW w:w="2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24,334,047</w:t>
            </w:r>
          </w:p>
        </w:tc>
        <w:tc>
          <w:tcPr>
            <w:tcW w:w="0" w:type="dxa"/>
            <w:vAlign w:val="bottom"/>
          </w:tcPr>
          <w:p>
            <w:pPr>
              <w:spacing w:after="0"/>
              <w:rPr>
                <w:sz w:val="1"/>
                <w:szCs w:val="1"/>
                <w:color w:val="auto"/>
              </w:rPr>
            </w:pPr>
          </w:p>
        </w:tc>
      </w:tr>
      <w:tr>
        <w:trPr>
          <w:trHeight w:val="340"/>
        </w:trPr>
        <w:tc>
          <w:tcPr>
            <w:tcW w:w="18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Mar-22</w:t>
            </w:r>
          </w:p>
        </w:tc>
        <w:tc>
          <w:tcPr>
            <w:tcW w:w="18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1,950,169</w:t>
            </w:r>
          </w:p>
        </w:tc>
        <w:tc>
          <w:tcPr>
            <w:tcW w:w="30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28.84</w:t>
            </w:r>
          </w:p>
        </w:tc>
        <w:tc>
          <w:tcPr>
            <w:tcW w:w="22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1,950,169</w:t>
            </w:r>
          </w:p>
        </w:tc>
        <w:tc>
          <w:tcPr>
            <w:tcW w:w="2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22,383,878</w:t>
            </w:r>
          </w:p>
        </w:tc>
        <w:tc>
          <w:tcPr>
            <w:tcW w:w="0" w:type="dxa"/>
            <w:vAlign w:val="bottom"/>
          </w:tcPr>
          <w:p>
            <w:pPr>
              <w:spacing w:after="0"/>
              <w:rPr>
                <w:sz w:val="1"/>
                <w:szCs w:val="1"/>
                <w:color w:val="auto"/>
              </w:rPr>
            </w:pPr>
          </w:p>
        </w:tc>
      </w:tr>
      <w:tr>
        <w:trPr>
          <w:trHeight w:val="340"/>
        </w:trPr>
        <w:tc>
          <w:tcPr>
            <w:tcW w:w="18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Apr-22</w:t>
            </w:r>
          </w:p>
        </w:tc>
        <w:tc>
          <w:tcPr>
            <w:tcW w:w="2180" w:type="dxa"/>
            <w:vAlign w:val="bottom"/>
            <w:tcBorders>
              <w:bottom w:val="single" w:sz="8" w:color="838383"/>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262626"/>
              </w:rPr>
              <w:t>—</w:t>
            </w:r>
          </w:p>
        </w:tc>
        <w:tc>
          <w:tcPr>
            <w:tcW w:w="172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22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22,383,878</w:t>
            </w:r>
          </w:p>
        </w:tc>
        <w:tc>
          <w:tcPr>
            <w:tcW w:w="0" w:type="dxa"/>
            <w:vAlign w:val="bottom"/>
          </w:tcPr>
          <w:p>
            <w:pPr>
              <w:spacing w:after="0"/>
              <w:rPr>
                <w:sz w:val="1"/>
                <w:szCs w:val="1"/>
                <w:color w:val="auto"/>
              </w:rPr>
            </w:pPr>
          </w:p>
        </w:tc>
      </w:tr>
      <w:tr>
        <w:trPr>
          <w:trHeight w:val="340"/>
        </w:trPr>
        <w:tc>
          <w:tcPr>
            <w:tcW w:w="18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May-22</w:t>
            </w:r>
          </w:p>
        </w:tc>
        <w:tc>
          <w:tcPr>
            <w:tcW w:w="2180" w:type="dxa"/>
            <w:vAlign w:val="bottom"/>
            <w:tcBorders>
              <w:bottom w:val="single" w:sz="8" w:color="838383"/>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262626"/>
              </w:rPr>
              <w:t>—</w:t>
            </w:r>
          </w:p>
        </w:tc>
        <w:tc>
          <w:tcPr>
            <w:tcW w:w="172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22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22,383,878</w:t>
            </w:r>
          </w:p>
        </w:tc>
        <w:tc>
          <w:tcPr>
            <w:tcW w:w="0" w:type="dxa"/>
            <w:vAlign w:val="bottom"/>
          </w:tcPr>
          <w:p>
            <w:pPr>
              <w:spacing w:after="0"/>
              <w:rPr>
                <w:sz w:val="1"/>
                <w:szCs w:val="1"/>
                <w:color w:val="auto"/>
              </w:rPr>
            </w:pPr>
          </w:p>
        </w:tc>
      </w:tr>
      <w:tr>
        <w:trPr>
          <w:trHeight w:val="340"/>
        </w:trPr>
        <w:tc>
          <w:tcPr>
            <w:tcW w:w="18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Jun-22</w:t>
            </w:r>
          </w:p>
        </w:tc>
        <w:tc>
          <w:tcPr>
            <w:tcW w:w="2180" w:type="dxa"/>
            <w:vAlign w:val="bottom"/>
            <w:tcBorders>
              <w:bottom w:val="single" w:sz="8" w:color="838383"/>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262626"/>
              </w:rPr>
              <w:t>—</w:t>
            </w:r>
          </w:p>
        </w:tc>
        <w:tc>
          <w:tcPr>
            <w:tcW w:w="172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22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22,383,878</w:t>
            </w:r>
          </w:p>
        </w:tc>
        <w:tc>
          <w:tcPr>
            <w:tcW w:w="0" w:type="dxa"/>
            <w:vAlign w:val="bottom"/>
          </w:tcPr>
          <w:p>
            <w:pPr>
              <w:spacing w:after="0"/>
              <w:rPr>
                <w:sz w:val="1"/>
                <w:szCs w:val="1"/>
                <w:color w:val="auto"/>
              </w:rPr>
            </w:pPr>
          </w:p>
        </w:tc>
      </w:tr>
      <w:tr>
        <w:trPr>
          <w:trHeight w:val="340"/>
        </w:trPr>
        <w:tc>
          <w:tcPr>
            <w:tcW w:w="18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Jul-22</w:t>
            </w:r>
          </w:p>
        </w:tc>
        <w:tc>
          <w:tcPr>
            <w:tcW w:w="18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150,110</w:t>
            </w:r>
          </w:p>
        </w:tc>
        <w:tc>
          <w:tcPr>
            <w:tcW w:w="30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27.80</w:t>
            </w:r>
          </w:p>
        </w:tc>
        <w:tc>
          <w:tcPr>
            <w:tcW w:w="22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150,110</w:t>
            </w:r>
          </w:p>
        </w:tc>
        <w:tc>
          <w:tcPr>
            <w:tcW w:w="2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22,233,768</w:t>
            </w:r>
          </w:p>
        </w:tc>
        <w:tc>
          <w:tcPr>
            <w:tcW w:w="0" w:type="dxa"/>
            <w:vAlign w:val="bottom"/>
          </w:tcPr>
          <w:p>
            <w:pPr>
              <w:spacing w:after="0"/>
              <w:rPr>
                <w:sz w:val="1"/>
                <w:szCs w:val="1"/>
                <w:color w:val="auto"/>
              </w:rPr>
            </w:pPr>
          </w:p>
        </w:tc>
      </w:tr>
      <w:tr>
        <w:trPr>
          <w:trHeight w:val="340"/>
        </w:trPr>
        <w:tc>
          <w:tcPr>
            <w:tcW w:w="18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Aug-22</w:t>
            </w:r>
          </w:p>
        </w:tc>
        <w:tc>
          <w:tcPr>
            <w:tcW w:w="18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300,135</w:t>
            </w:r>
          </w:p>
        </w:tc>
        <w:tc>
          <w:tcPr>
            <w:tcW w:w="30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28.04</w:t>
            </w:r>
          </w:p>
        </w:tc>
        <w:tc>
          <w:tcPr>
            <w:tcW w:w="22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300,135</w:t>
            </w:r>
          </w:p>
        </w:tc>
        <w:tc>
          <w:tcPr>
            <w:tcW w:w="2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21,933,633</w:t>
            </w:r>
          </w:p>
        </w:tc>
        <w:tc>
          <w:tcPr>
            <w:tcW w:w="0" w:type="dxa"/>
            <w:vAlign w:val="bottom"/>
          </w:tcPr>
          <w:p>
            <w:pPr>
              <w:spacing w:after="0"/>
              <w:rPr>
                <w:sz w:val="1"/>
                <w:szCs w:val="1"/>
                <w:color w:val="auto"/>
              </w:rPr>
            </w:pPr>
          </w:p>
        </w:tc>
      </w:tr>
      <w:tr>
        <w:trPr>
          <w:trHeight w:val="340"/>
        </w:trPr>
        <w:tc>
          <w:tcPr>
            <w:tcW w:w="18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Sep-22</w:t>
            </w:r>
          </w:p>
        </w:tc>
        <w:tc>
          <w:tcPr>
            <w:tcW w:w="18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400,061</w:t>
            </w:r>
          </w:p>
        </w:tc>
        <w:tc>
          <w:tcPr>
            <w:tcW w:w="30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24.17</w:t>
            </w:r>
          </w:p>
        </w:tc>
        <w:tc>
          <w:tcPr>
            <w:tcW w:w="22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400,061</w:t>
            </w:r>
          </w:p>
        </w:tc>
        <w:tc>
          <w:tcPr>
            <w:tcW w:w="2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21,533,572</w:t>
            </w:r>
          </w:p>
        </w:tc>
        <w:tc>
          <w:tcPr>
            <w:tcW w:w="0" w:type="dxa"/>
            <w:vAlign w:val="bottom"/>
          </w:tcPr>
          <w:p>
            <w:pPr>
              <w:spacing w:after="0"/>
              <w:rPr>
                <w:sz w:val="1"/>
                <w:szCs w:val="1"/>
                <w:color w:val="auto"/>
              </w:rPr>
            </w:pPr>
          </w:p>
        </w:tc>
      </w:tr>
      <w:tr>
        <w:trPr>
          <w:trHeight w:val="340"/>
        </w:trPr>
        <w:tc>
          <w:tcPr>
            <w:tcW w:w="18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Oct-22</w:t>
            </w:r>
          </w:p>
        </w:tc>
        <w:tc>
          <w:tcPr>
            <w:tcW w:w="2180" w:type="dxa"/>
            <w:vAlign w:val="bottom"/>
            <w:tcBorders>
              <w:bottom w:val="single" w:sz="8" w:color="838383"/>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262626"/>
              </w:rPr>
              <w:t>—</w:t>
            </w:r>
          </w:p>
        </w:tc>
        <w:tc>
          <w:tcPr>
            <w:tcW w:w="172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22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21,533,572</w:t>
            </w:r>
          </w:p>
        </w:tc>
        <w:tc>
          <w:tcPr>
            <w:tcW w:w="0" w:type="dxa"/>
            <w:vAlign w:val="bottom"/>
          </w:tcPr>
          <w:p>
            <w:pPr>
              <w:spacing w:after="0"/>
              <w:rPr>
                <w:sz w:val="1"/>
                <w:szCs w:val="1"/>
                <w:color w:val="auto"/>
              </w:rPr>
            </w:pPr>
          </w:p>
        </w:tc>
      </w:tr>
      <w:tr>
        <w:trPr>
          <w:trHeight w:val="340"/>
        </w:trPr>
        <w:tc>
          <w:tcPr>
            <w:tcW w:w="18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Nov-22</w:t>
            </w:r>
          </w:p>
        </w:tc>
        <w:tc>
          <w:tcPr>
            <w:tcW w:w="2180" w:type="dxa"/>
            <w:vAlign w:val="bottom"/>
            <w:tcBorders>
              <w:bottom w:val="single" w:sz="8" w:color="838383"/>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262626"/>
              </w:rPr>
              <w:t>—</w:t>
            </w:r>
          </w:p>
        </w:tc>
        <w:tc>
          <w:tcPr>
            <w:tcW w:w="172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22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21,533,572</w:t>
            </w:r>
          </w:p>
        </w:tc>
        <w:tc>
          <w:tcPr>
            <w:tcW w:w="0" w:type="dxa"/>
            <w:vAlign w:val="bottom"/>
          </w:tcPr>
          <w:p>
            <w:pPr>
              <w:spacing w:after="0"/>
              <w:rPr>
                <w:sz w:val="1"/>
                <w:szCs w:val="1"/>
                <w:color w:val="auto"/>
              </w:rPr>
            </w:pPr>
          </w:p>
        </w:tc>
      </w:tr>
      <w:tr>
        <w:trPr>
          <w:trHeight w:val="355"/>
        </w:trPr>
        <w:tc>
          <w:tcPr>
            <w:tcW w:w="18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Dec-22</w:t>
            </w:r>
          </w:p>
        </w:tc>
        <w:tc>
          <w:tcPr>
            <w:tcW w:w="18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750,407</w:t>
            </w:r>
          </w:p>
        </w:tc>
        <w:tc>
          <w:tcPr>
            <w:tcW w:w="30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27.17</w:t>
            </w:r>
          </w:p>
        </w:tc>
        <w:tc>
          <w:tcPr>
            <w:tcW w:w="22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750,407</w:t>
            </w:r>
          </w:p>
        </w:tc>
        <w:tc>
          <w:tcPr>
            <w:tcW w:w="2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20,783,165</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262626"/>
              </w:rPr>
              <w:t>Total</w:t>
            </w:r>
          </w:p>
        </w:tc>
        <w:tc>
          <w:tcPr>
            <w:tcW w:w="18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4,040,903</w:t>
            </w: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4,040,903</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880" w:type="dxa"/>
            <w:vAlign w:val="bottom"/>
            <w:tcBorders>
              <w:bottom w:val="single" w:sz="8" w:color="8F8F8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60" w:type="dxa"/>
            <w:vAlign w:val="bottom"/>
            <w:tcBorders>
              <w:bottom w:val="single" w:sz="8" w:color="8F8F8F"/>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838383"/>
        </w:rPr>
        <w:t>* See above paragraph with respect to the publicly announced share repurchase plan</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32"/>
          <w:szCs w:val="32"/>
          <w:color w:val="838383"/>
        </w:rPr>
        <w:t xml:space="preserve">Item 6. </w:t>
      </w:r>
      <w:r>
        <w:rPr>
          <w:rFonts w:ascii="Arial" w:cs="Arial" w:eastAsia="Arial" w:hAnsi="Arial"/>
          <w:sz w:val="32"/>
          <w:szCs w:val="32"/>
          <w:color w:val="262626"/>
        </w:rPr>
        <w:t>[Reserved]</w:t>
      </w:r>
    </w:p>
    <w:p>
      <w:pPr>
        <w:sectPr>
          <w:pgSz w:w="12240" w:h="15840" w:orient="portrait"/>
          <w:cols w:equalWidth="0" w:num="1">
            <w:col w:w="10760"/>
          </w:cols>
          <w:pgMar w:left="900" w:top="843"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41</w:t>
      </w:r>
    </w:p>
    <w:p>
      <w:pPr>
        <w:sectPr>
          <w:pgSz w:w="12240" w:h="15840" w:orient="portrait"/>
          <w:cols w:equalWidth="0" w:num="1">
            <w:col w:w="10760"/>
          </w:cols>
          <w:pgMar w:left="900" w:top="843" w:right="580" w:bottom="0" w:gutter="0" w:footer="0" w:header="0"/>
          <w:type w:val="continuous"/>
        </w:sectPr>
      </w:pPr>
    </w:p>
    <w:bookmarkStart w:id="41" w:name="page42"/>
    <w:bookmarkEnd w:id="41"/>
    <w:p>
      <w:pPr>
        <w:ind w:left="320"/>
        <w:spacing w:after="0"/>
        <w:rPr>
          <w:sz w:val="20"/>
          <w:szCs w:val="20"/>
          <w:color w:val="auto"/>
        </w:rPr>
      </w:pPr>
      <w:r>
        <w:rPr>
          <w:rFonts w:ascii="Arial" w:cs="Arial" w:eastAsia="Arial" w:hAnsi="Arial"/>
          <w:sz w:val="24"/>
          <w:szCs w:val="24"/>
          <w:color w:val="838383"/>
        </w:rPr>
        <w:t xml:space="preserve">Item 7. </w:t>
      </w:r>
      <w:r>
        <w:rPr>
          <w:rFonts w:ascii="Arial" w:cs="Arial" w:eastAsia="Arial" w:hAnsi="Arial"/>
          <w:sz w:val="24"/>
          <w:szCs w:val="24"/>
          <w:color w:val="262626"/>
        </w:rPr>
        <w:t>Management’s Discussion and Analysis of Financial Condition and Results of Operations.</w:t>
      </w: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Results of Operations</w:t>
      </w:r>
    </w:p>
    <w:p>
      <w:pPr>
        <w:spacing w:after="0" w:line="191" w:lineRule="exact"/>
        <w:rPr>
          <w:sz w:val="20"/>
          <w:szCs w:val="20"/>
          <w:color w:val="auto"/>
        </w:rPr>
      </w:pPr>
    </w:p>
    <w:p>
      <w:pPr>
        <w:ind w:left="320" w:right="380"/>
        <w:spacing w:after="0" w:line="438" w:lineRule="auto"/>
        <w:rPr>
          <w:sz w:val="20"/>
          <w:szCs w:val="20"/>
          <w:color w:val="auto"/>
        </w:rPr>
      </w:pPr>
      <w:r>
        <w:rPr>
          <w:rFonts w:ascii="Times New Roman" w:cs="Times New Roman" w:eastAsia="Times New Roman" w:hAnsi="Times New Roman"/>
          <w:sz w:val="18"/>
          <w:szCs w:val="18"/>
          <w:color w:val="262626"/>
        </w:rPr>
        <w:t>The following table sets forth for the periods indicated certain items from the Company’s Consolidated Statements of Income expressed as a percentage of net sales and the percentage change in the dollar amount of each such item from that in the indicated previous year.</w:t>
      </w:r>
    </w:p>
    <w:p>
      <w:pPr>
        <w:sectPr>
          <w:pgSz w:w="12240" w:h="15840" w:orient="portrait"/>
          <w:cols w:equalWidth="0" w:num="1">
            <w:col w:w="10760"/>
          </w:cols>
          <w:pgMar w:left="580" w:top="859" w:right="900" w:bottom="0" w:gutter="0" w:footer="0" w:header="0"/>
        </w:sectPr>
      </w:pPr>
    </w:p>
    <w:tbl>
      <w:tblPr>
        <w:tblLayout w:type="fixed"/>
        <w:tblInd w:w="320" w:type="dxa"/>
        <w:tblCellMar>
          <w:top w:w="0" w:type="dxa"/>
          <w:left w:w="0" w:type="dxa"/>
          <w:bottom w:w="0" w:type="dxa"/>
          <w:right w:w="0" w:type="dxa"/>
        </w:tblCellMar>
      </w:tblPr>
      <w:tr>
        <w:trPr>
          <w:trHeight w:val="240"/>
        </w:trPr>
        <w:tc>
          <w:tcPr>
            <w:tcW w:w="4140" w:type="dxa"/>
            <w:vAlign w:val="bottom"/>
          </w:tcPr>
          <w:p>
            <w:pPr>
              <w:spacing w:after="0"/>
              <w:rPr>
                <w:sz w:val="20"/>
                <w:szCs w:val="20"/>
                <w:color w:val="auto"/>
              </w:rPr>
            </w:pPr>
          </w:p>
        </w:tc>
        <w:tc>
          <w:tcPr>
            <w:tcW w:w="26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262626"/>
              </w:rPr>
              <w:t>Percentage of Net Sales</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0"/>
        </w:trPr>
        <w:tc>
          <w:tcPr>
            <w:tcW w:w="4140" w:type="dxa"/>
            <w:vAlign w:val="bottom"/>
            <w:tcBorders>
              <w:bottom w:val="single" w:sz="8" w:color="838383"/>
            </w:tcBorders>
          </w:tcPr>
          <w:p>
            <w:pPr>
              <w:spacing w:after="0"/>
              <w:rPr>
                <w:sz w:val="22"/>
                <w:szCs w:val="22"/>
                <w:color w:val="auto"/>
              </w:rPr>
            </w:pPr>
          </w:p>
        </w:tc>
        <w:tc>
          <w:tcPr>
            <w:tcW w:w="2680" w:type="dxa"/>
            <w:vAlign w:val="bottom"/>
            <w:tcBorders>
              <w:bottom w:val="single" w:sz="8" w:color="838383"/>
            </w:tcBorders>
            <w:gridSpan w:val="2"/>
          </w:tcPr>
          <w:p>
            <w:pPr>
              <w:jc w:val="right"/>
              <w:spacing w:after="0"/>
              <w:rPr>
                <w:sz w:val="20"/>
                <w:szCs w:val="20"/>
                <w:color w:val="auto"/>
              </w:rPr>
            </w:pPr>
            <w:r>
              <w:rPr>
                <w:rFonts w:ascii="Arial" w:cs="Arial" w:eastAsia="Arial" w:hAnsi="Arial"/>
                <w:sz w:val="18"/>
                <w:szCs w:val="18"/>
                <w:b w:val="1"/>
                <w:bCs w:val="1"/>
                <w:color w:val="262626"/>
              </w:rPr>
              <w:t>Year Ended December 31,</w:t>
            </w:r>
          </w:p>
        </w:tc>
        <w:tc>
          <w:tcPr>
            <w:tcW w:w="580" w:type="dxa"/>
            <w:vAlign w:val="bottom"/>
            <w:tcBorders>
              <w:bottom w:val="single" w:sz="8" w:color="838383"/>
            </w:tcBorders>
          </w:tcPr>
          <w:p>
            <w:pPr>
              <w:spacing w:after="0"/>
              <w:rPr>
                <w:sz w:val="22"/>
                <w:szCs w:val="22"/>
                <w:color w:val="auto"/>
              </w:rPr>
            </w:pPr>
          </w:p>
        </w:tc>
        <w:tc>
          <w:tcPr>
            <w:tcW w:w="20" w:type="dxa"/>
            <w:vAlign w:val="bottom"/>
            <w:tcBorders>
              <w:bottom w:val="single" w:sz="8" w:color="838383"/>
            </w:tcBorders>
          </w:tcPr>
          <w:p>
            <w:pPr>
              <w:spacing w:after="0"/>
              <w:rPr>
                <w:sz w:val="22"/>
                <w:szCs w:val="22"/>
                <w:color w:val="auto"/>
              </w:rPr>
            </w:pPr>
          </w:p>
        </w:tc>
      </w:tr>
      <w:tr>
        <w:trPr>
          <w:trHeight w:val="340"/>
        </w:trPr>
        <w:tc>
          <w:tcPr>
            <w:tcW w:w="4140" w:type="dxa"/>
            <w:vAlign w:val="bottom"/>
            <w:tcBorders>
              <w:bottom w:val="single" w:sz="8" w:color="838383"/>
            </w:tcBorders>
          </w:tcPr>
          <w:p>
            <w:pPr>
              <w:spacing w:after="0"/>
              <w:rPr>
                <w:sz w:val="24"/>
                <w:szCs w:val="24"/>
                <w:color w:val="auto"/>
              </w:rPr>
            </w:pPr>
          </w:p>
        </w:tc>
        <w:tc>
          <w:tcPr>
            <w:tcW w:w="1320" w:type="dxa"/>
            <w:vAlign w:val="bottom"/>
            <w:tcBorders>
              <w:bottom w:val="single" w:sz="8" w:color="838383"/>
            </w:tcBorders>
          </w:tcPr>
          <w:p>
            <w:pPr>
              <w:jc w:val="right"/>
              <w:ind w:right="190"/>
              <w:spacing w:after="0"/>
              <w:rPr>
                <w:sz w:val="20"/>
                <w:szCs w:val="20"/>
                <w:color w:val="auto"/>
              </w:rPr>
            </w:pPr>
            <w:r>
              <w:rPr>
                <w:rFonts w:ascii="Arial" w:cs="Arial" w:eastAsia="Arial" w:hAnsi="Arial"/>
                <w:sz w:val="18"/>
                <w:szCs w:val="18"/>
                <w:b w:val="1"/>
                <w:bCs w:val="1"/>
                <w:color w:val="262626"/>
              </w:rPr>
              <w:t>2022</w:t>
            </w:r>
          </w:p>
        </w:tc>
        <w:tc>
          <w:tcPr>
            <w:tcW w:w="1360" w:type="dxa"/>
            <w:vAlign w:val="bottom"/>
            <w:tcBorders>
              <w:bottom w:val="single" w:sz="8" w:color="838383"/>
            </w:tcBorders>
          </w:tcPr>
          <w:p>
            <w:pPr>
              <w:jc w:val="right"/>
              <w:ind w:right="430"/>
              <w:spacing w:after="0"/>
              <w:rPr>
                <w:sz w:val="20"/>
                <w:szCs w:val="20"/>
                <w:color w:val="auto"/>
              </w:rPr>
            </w:pPr>
            <w:r>
              <w:rPr>
                <w:rFonts w:ascii="Arial" w:cs="Arial" w:eastAsia="Arial" w:hAnsi="Arial"/>
                <w:sz w:val="18"/>
                <w:szCs w:val="18"/>
                <w:b w:val="1"/>
                <w:bCs w:val="1"/>
                <w:color w:val="262626"/>
              </w:rPr>
              <w:t>2021</w:t>
            </w:r>
          </w:p>
        </w:tc>
        <w:tc>
          <w:tcPr>
            <w:tcW w:w="580" w:type="dxa"/>
            <w:vAlign w:val="bottom"/>
            <w:tcBorders>
              <w:bottom w:val="single" w:sz="8" w:color="838383"/>
            </w:tcBorders>
          </w:tcPr>
          <w:p>
            <w:pPr>
              <w:jc w:val="right"/>
              <w:spacing w:after="0"/>
              <w:rPr>
                <w:sz w:val="20"/>
                <w:szCs w:val="20"/>
                <w:color w:val="auto"/>
              </w:rPr>
            </w:pPr>
            <w:r>
              <w:rPr>
                <w:rFonts w:ascii="Arial" w:cs="Arial" w:eastAsia="Arial" w:hAnsi="Arial"/>
                <w:sz w:val="18"/>
                <w:szCs w:val="18"/>
                <w:b w:val="1"/>
                <w:bCs w:val="1"/>
                <w:color w:val="262626"/>
              </w:rPr>
              <w:t>2020</w:t>
            </w:r>
          </w:p>
        </w:tc>
        <w:tc>
          <w:tcPr>
            <w:tcW w:w="20" w:type="dxa"/>
            <w:vAlign w:val="bottom"/>
            <w:tcBorders>
              <w:bottom w:val="single" w:sz="8" w:color="838383"/>
            </w:tcBorders>
          </w:tcPr>
          <w:p>
            <w:pPr>
              <w:spacing w:after="0"/>
              <w:rPr>
                <w:sz w:val="24"/>
                <w:szCs w:val="24"/>
                <w:color w:val="auto"/>
              </w:rPr>
            </w:pPr>
          </w:p>
        </w:tc>
      </w:tr>
      <w:tr>
        <w:trPr>
          <w:trHeight w:val="340"/>
        </w:trPr>
        <w:tc>
          <w:tcPr>
            <w:tcW w:w="41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Net Sales</w:t>
            </w:r>
          </w:p>
        </w:tc>
        <w:tc>
          <w:tcPr>
            <w:tcW w:w="132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100.0%</w:t>
            </w:r>
          </w:p>
        </w:tc>
        <w:tc>
          <w:tcPr>
            <w:tcW w:w="1360" w:type="dxa"/>
            <w:vAlign w:val="bottom"/>
            <w:tcBorders>
              <w:bottom w:val="single" w:sz="8" w:color="838383"/>
            </w:tcBorders>
          </w:tcPr>
          <w:p>
            <w:pPr>
              <w:jc w:val="right"/>
              <w:ind w:right="430"/>
              <w:spacing w:after="0"/>
              <w:rPr>
                <w:sz w:val="20"/>
                <w:szCs w:val="20"/>
                <w:color w:val="auto"/>
              </w:rPr>
            </w:pPr>
            <w:r>
              <w:rPr>
                <w:rFonts w:ascii="Times New Roman" w:cs="Times New Roman" w:eastAsia="Times New Roman" w:hAnsi="Times New Roman"/>
                <w:sz w:val="18"/>
                <w:szCs w:val="18"/>
                <w:color w:val="262626"/>
              </w:rPr>
              <w:t>100.0%</w:t>
            </w:r>
          </w:p>
        </w:tc>
        <w:tc>
          <w:tcPr>
            <w:tcW w:w="6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100.0%</w:t>
            </w:r>
          </w:p>
        </w:tc>
      </w:tr>
      <w:tr>
        <w:trPr>
          <w:trHeight w:val="355"/>
        </w:trPr>
        <w:tc>
          <w:tcPr>
            <w:tcW w:w="41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Cost of Goods Sold</w:t>
            </w:r>
          </w:p>
        </w:tc>
        <w:tc>
          <w:tcPr>
            <w:tcW w:w="1320" w:type="dxa"/>
            <w:vAlign w:val="bottom"/>
            <w:tcBorders>
              <w:bottom w:val="single" w:sz="8" w:color="8F8F8F"/>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68.2</w:t>
            </w:r>
          </w:p>
        </w:tc>
        <w:tc>
          <w:tcPr>
            <w:tcW w:w="1360" w:type="dxa"/>
            <w:vAlign w:val="bottom"/>
            <w:tcBorders>
              <w:bottom w:val="single" w:sz="8" w:color="8F8F8F"/>
            </w:tcBorders>
          </w:tcPr>
          <w:p>
            <w:pPr>
              <w:jc w:val="right"/>
              <w:ind w:right="430"/>
              <w:spacing w:after="0"/>
              <w:rPr>
                <w:sz w:val="20"/>
                <w:szCs w:val="20"/>
                <w:color w:val="auto"/>
              </w:rPr>
            </w:pPr>
            <w:r>
              <w:rPr>
                <w:rFonts w:ascii="Times New Roman" w:cs="Times New Roman" w:eastAsia="Times New Roman" w:hAnsi="Times New Roman"/>
                <w:sz w:val="18"/>
                <w:szCs w:val="18"/>
                <w:color w:val="262626"/>
              </w:rPr>
              <w:t>64.2</w:t>
            </w:r>
          </w:p>
        </w:tc>
        <w:tc>
          <w:tcPr>
            <w:tcW w:w="5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64.1</w:t>
            </w:r>
          </w:p>
        </w:tc>
        <w:tc>
          <w:tcPr>
            <w:tcW w:w="20" w:type="dxa"/>
            <w:vAlign w:val="bottom"/>
            <w:tcBorders>
              <w:bottom w:val="single" w:sz="8" w:color="8F8F8F"/>
            </w:tcBorders>
          </w:tcPr>
          <w:p>
            <w:pPr>
              <w:spacing w:after="0"/>
              <w:rPr>
                <w:sz w:val="24"/>
                <w:szCs w:val="24"/>
                <w:color w:val="auto"/>
              </w:rPr>
            </w:pPr>
          </w:p>
        </w:tc>
      </w:tr>
      <w:tr>
        <w:trPr>
          <w:trHeight w:val="325"/>
        </w:trPr>
        <w:tc>
          <w:tcPr>
            <w:tcW w:w="4140" w:type="dxa"/>
            <w:vAlign w:val="bottom"/>
            <w:tcBorders>
              <w:bottom w:val="single" w:sz="8" w:color="838383"/>
            </w:tcBorders>
          </w:tcPr>
          <w:p>
            <w:pPr>
              <w:ind w:left="220"/>
              <w:spacing w:after="0"/>
              <w:rPr>
                <w:sz w:val="20"/>
                <w:szCs w:val="20"/>
                <w:color w:val="auto"/>
              </w:rPr>
            </w:pPr>
            <w:r>
              <w:rPr>
                <w:rFonts w:ascii="Times New Roman" w:cs="Times New Roman" w:eastAsia="Times New Roman" w:hAnsi="Times New Roman"/>
                <w:sz w:val="18"/>
                <w:szCs w:val="18"/>
                <w:color w:val="262626"/>
              </w:rPr>
              <w:t>Gross Margin</w:t>
            </w:r>
          </w:p>
        </w:tc>
        <w:tc>
          <w:tcPr>
            <w:tcW w:w="132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31.8</w:t>
            </w:r>
          </w:p>
        </w:tc>
        <w:tc>
          <w:tcPr>
            <w:tcW w:w="1360" w:type="dxa"/>
            <w:vAlign w:val="bottom"/>
            <w:tcBorders>
              <w:bottom w:val="single" w:sz="8" w:color="838383"/>
            </w:tcBorders>
          </w:tcPr>
          <w:p>
            <w:pPr>
              <w:jc w:val="right"/>
              <w:ind w:right="430"/>
              <w:spacing w:after="0"/>
              <w:rPr>
                <w:sz w:val="20"/>
                <w:szCs w:val="20"/>
                <w:color w:val="auto"/>
              </w:rPr>
            </w:pPr>
            <w:r>
              <w:rPr>
                <w:rFonts w:ascii="Times New Roman" w:cs="Times New Roman" w:eastAsia="Times New Roman" w:hAnsi="Times New Roman"/>
                <w:sz w:val="18"/>
                <w:szCs w:val="18"/>
                <w:color w:val="262626"/>
              </w:rPr>
              <w:t>35.8</w:t>
            </w:r>
          </w:p>
        </w:tc>
        <w:tc>
          <w:tcPr>
            <w:tcW w:w="5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35.9</w:t>
            </w:r>
          </w:p>
        </w:tc>
        <w:tc>
          <w:tcPr>
            <w:tcW w:w="20" w:type="dxa"/>
            <w:vAlign w:val="bottom"/>
            <w:tcBorders>
              <w:bottom w:val="single" w:sz="8" w:color="838383"/>
            </w:tcBorders>
          </w:tcPr>
          <w:p>
            <w:pPr>
              <w:spacing w:after="0"/>
              <w:rPr>
                <w:sz w:val="24"/>
                <w:szCs w:val="24"/>
                <w:color w:val="auto"/>
              </w:rPr>
            </w:pPr>
          </w:p>
        </w:tc>
      </w:tr>
      <w:tr>
        <w:trPr>
          <w:trHeight w:val="340"/>
        </w:trPr>
        <w:tc>
          <w:tcPr>
            <w:tcW w:w="41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Operating Expenses:</w:t>
            </w:r>
          </w:p>
        </w:tc>
        <w:tc>
          <w:tcPr>
            <w:tcW w:w="1320" w:type="dxa"/>
            <w:vAlign w:val="bottom"/>
            <w:tcBorders>
              <w:bottom w:val="single" w:sz="8" w:color="838383"/>
            </w:tcBorders>
          </w:tcPr>
          <w:p>
            <w:pPr>
              <w:spacing w:after="0"/>
              <w:rPr>
                <w:sz w:val="24"/>
                <w:szCs w:val="24"/>
                <w:color w:val="auto"/>
              </w:rPr>
            </w:pPr>
          </w:p>
        </w:tc>
        <w:tc>
          <w:tcPr>
            <w:tcW w:w="1360" w:type="dxa"/>
            <w:vAlign w:val="bottom"/>
            <w:tcBorders>
              <w:bottom w:val="single" w:sz="8" w:color="838383"/>
            </w:tcBorders>
          </w:tcPr>
          <w:p>
            <w:pPr>
              <w:spacing w:after="0"/>
              <w:rPr>
                <w:sz w:val="24"/>
                <w:szCs w:val="24"/>
                <w:color w:val="auto"/>
              </w:rPr>
            </w:pPr>
          </w:p>
        </w:tc>
        <w:tc>
          <w:tcPr>
            <w:tcW w:w="580" w:type="dxa"/>
            <w:vAlign w:val="bottom"/>
            <w:tcBorders>
              <w:bottom w:val="single" w:sz="8" w:color="838383"/>
            </w:tcBorders>
          </w:tcPr>
          <w:p>
            <w:pPr>
              <w:spacing w:after="0"/>
              <w:rPr>
                <w:sz w:val="24"/>
                <w:szCs w:val="24"/>
                <w:color w:val="auto"/>
              </w:rPr>
            </w:pPr>
          </w:p>
        </w:tc>
        <w:tc>
          <w:tcPr>
            <w:tcW w:w="20" w:type="dxa"/>
            <w:vAlign w:val="bottom"/>
            <w:tcBorders>
              <w:bottom w:val="single" w:sz="8" w:color="838383"/>
            </w:tcBorders>
          </w:tcPr>
          <w:p>
            <w:pPr>
              <w:spacing w:after="0"/>
              <w:rPr>
                <w:sz w:val="24"/>
                <w:szCs w:val="24"/>
                <w:color w:val="auto"/>
              </w:rPr>
            </w:pPr>
          </w:p>
        </w:tc>
      </w:tr>
      <w:tr>
        <w:trPr>
          <w:trHeight w:val="340"/>
        </w:trPr>
        <w:tc>
          <w:tcPr>
            <w:tcW w:w="4140" w:type="dxa"/>
            <w:vAlign w:val="bottom"/>
            <w:tcBorders>
              <w:bottom w:val="single" w:sz="8" w:color="838383"/>
            </w:tcBorders>
          </w:tcPr>
          <w:p>
            <w:pPr>
              <w:ind w:left="220"/>
              <w:spacing w:after="0"/>
              <w:rPr>
                <w:sz w:val="20"/>
                <w:szCs w:val="20"/>
                <w:color w:val="auto"/>
              </w:rPr>
            </w:pPr>
            <w:r>
              <w:rPr>
                <w:rFonts w:ascii="Times New Roman" w:cs="Times New Roman" w:eastAsia="Times New Roman" w:hAnsi="Times New Roman"/>
                <w:sz w:val="18"/>
                <w:szCs w:val="18"/>
                <w:color w:val="262626"/>
              </w:rPr>
              <w:t>Engineering, Research and Development</w:t>
            </w:r>
          </w:p>
        </w:tc>
        <w:tc>
          <w:tcPr>
            <w:tcW w:w="132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6.9</w:t>
            </w:r>
          </w:p>
        </w:tc>
        <w:tc>
          <w:tcPr>
            <w:tcW w:w="1360" w:type="dxa"/>
            <w:vAlign w:val="bottom"/>
            <w:tcBorders>
              <w:bottom w:val="single" w:sz="8" w:color="838383"/>
            </w:tcBorders>
          </w:tcPr>
          <w:p>
            <w:pPr>
              <w:jc w:val="right"/>
              <w:ind w:right="430"/>
              <w:spacing w:after="0"/>
              <w:rPr>
                <w:sz w:val="20"/>
                <w:szCs w:val="20"/>
                <w:color w:val="auto"/>
              </w:rPr>
            </w:pPr>
            <w:r>
              <w:rPr>
                <w:rFonts w:ascii="Times New Roman" w:cs="Times New Roman" w:eastAsia="Times New Roman" w:hAnsi="Times New Roman"/>
                <w:sz w:val="18"/>
                <w:szCs w:val="18"/>
                <w:color w:val="262626"/>
              </w:rPr>
              <w:t>6.8</w:t>
            </w:r>
          </w:p>
        </w:tc>
        <w:tc>
          <w:tcPr>
            <w:tcW w:w="6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6.9</w:t>
            </w:r>
          </w:p>
        </w:tc>
      </w:tr>
      <w:tr>
        <w:trPr>
          <w:trHeight w:val="340"/>
        </w:trPr>
        <w:tc>
          <w:tcPr>
            <w:tcW w:w="4140" w:type="dxa"/>
            <w:vAlign w:val="bottom"/>
            <w:tcBorders>
              <w:bottom w:val="single" w:sz="8" w:color="838383"/>
            </w:tcBorders>
          </w:tcPr>
          <w:p>
            <w:pPr>
              <w:ind w:left="220"/>
              <w:spacing w:after="0"/>
              <w:rPr>
                <w:sz w:val="20"/>
                <w:szCs w:val="20"/>
                <w:color w:val="auto"/>
              </w:rPr>
            </w:pPr>
            <w:r>
              <w:rPr>
                <w:rFonts w:ascii="Times New Roman" w:cs="Times New Roman" w:eastAsia="Times New Roman" w:hAnsi="Times New Roman"/>
                <w:sz w:val="18"/>
                <w:szCs w:val="18"/>
                <w:color w:val="262626"/>
              </w:rPr>
              <w:t>Selling, General and Administrative</w:t>
            </w:r>
          </w:p>
        </w:tc>
        <w:tc>
          <w:tcPr>
            <w:tcW w:w="132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5.5</w:t>
            </w:r>
          </w:p>
        </w:tc>
        <w:tc>
          <w:tcPr>
            <w:tcW w:w="1360" w:type="dxa"/>
            <w:vAlign w:val="bottom"/>
            <w:tcBorders>
              <w:bottom w:val="single" w:sz="8" w:color="838383"/>
            </w:tcBorders>
          </w:tcPr>
          <w:p>
            <w:pPr>
              <w:jc w:val="right"/>
              <w:ind w:right="430"/>
              <w:spacing w:after="0"/>
              <w:rPr>
                <w:sz w:val="20"/>
                <w:szCs w:val="20"/>
                <w:color w:val="auto"/>
              </w:rPr>
            </w:pPr>
            <w:r>
              <w:rPr>
                <w:rFonts w:ascii="Times New Roman" w:cs="Times New Roman" w:eastAsia="Times New Roman" w:hAnsi="Times New Roman"/>
                <w:sz w:val="18"/>
                <w:szCs w:val="18"/>
                <w:color w:val="262626"/>
              </w:rPr>
              <w:t>5.3</w:t>
            </w:r>
          </w:p>
        </w:tc>
        <w:tc>
          <w:tcPr>
            <w:tcW w:w="6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5.3</w:t>
            </w:r>
          </w:p>
        </w:tc>
      </w:tr>
      <w:tr>
        <w:trPr>
          <w:trHeight w:val="355"/>
        </w:trPr>
        <w:tc>
          <w:tcPr>
            <w:tcW w:w="4140" w:type="dxa"/>
            <w:vAlign w:val="bottom"/>
            <w:tcBorders>
              <w:bottom w:val="single" w:sz="8" w:color="838383"/>
            </w:tcBorders>
          </w:tcPr>
          <w:p>
            <w:pPr>
              <w:ind w:left="440"/>
              <w:spacing w:after="0"/>
              <w:rPr>
                <w:sz w:val="20"/>
                <w:szCs w:val="20"/>
                <w:color w:val="auto"/>
              </w:rPr>
            </w:pPr>
            <w:r>
              <w:rPr>
                <w:rFonts w:ascii="Times New Roman" w:cs="Times New Roman" w:eastAsia="Times New Roman" w:hAnsi="Times New Roman"/>
                <w:sz w:val="18"/>
                <w:szCs w:val="18"/>
                <w:color w:val="262626"/>
              </w:rPr>
              <w:t>Total Operating Expenses:</w:t>
            </w:r>
          </w:p>
        </w:tc>
        <w:tc>
          <w:tcPr>
            <w:tcW w:w="1320" w:type="dxa"/>
            <w:vAlign w:val="bottom"/>
            <w:tcBorders>
              <w:bottom w:val="single" w:sz="8" w:color="8F8F8F"/>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12.5</w:t>
            </w:r>
          </w:p>
        </w:tc>
        <w:tc>
          <w:tcPr>
            <w:tcW w:w="1360" w:type="dxa"/>
            <w:vAlign w:val="bottom"/>
            <w:tcBorders>
              <w:bottom w:val="single" w:sz="8" w:color="8F8F8F"/>
            </w:tcBorders>
          </w:tcPr>
          <w:p>
            <w:pPr>
              <w:jc w:val="right"/>
              <w:ind w:right="430"/>
              <w:spacing w:after="0"/>
              <w:rPr>
                <w:sz w:val="20"/>
                <w:szCs w:val="20"/>
                <w:color w:val="auto"/>
              </w:rPr>
            </w:pPr>
            <w:r>
              <w:rPr>
                <w:rFonts w:ascii="Times New Roman" w:cs="Times New Roman" w:eastAsia="Times New Roman" w:hAnsi="Times New Roman"/>
                <w:sz w:val="18"/>
                <w:szCs w:val="18"/>
                <w:color w:val="262626"/>
              </w:rPr>
              <w:t>12.1</w:t>
            </w:r>
          </w:p>
        </w:tc>
        <w:tc>
          <w:tcPr>
            <w:tcW w:w="5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12.2</w:t>
            </w:r>
          </w:p>
        </w:tc>
        <w:tc>
          <w:tcPr>
            <w:tcW w:w="20" w:type="dxa"/>
            <w:vAlign w:val="bottom"/>
            <w:tcBorders>
              <w:bottom w:val="single" w:sz="8" w:color="8F8F8F"/>
            </w:tcBorders>
          </w:tcPr>
          <w:p>
            <w:pPr>
              <w:spacing w:after="0"/>
              <w:rPr>
                <w:sz w:val="24"/>
                <w:szCs w:val="24"/>
                <w:color w:val="auto"/>
              </w:rPr>
            </w:pPr>
          </w:p>
        </w:tc>
      </w:tr>
      <w:tr>
        <w:trPr>
          <w:trHeight w:val="325"/>
        </w:trPr>
        <w:tc>
          <w:tcPr>
            <w:tcW w:w="4140" w:type="dxa"/>
            <w:vAlign w:val="bottom"/>
            <w:tcBorders>
              <w:bottom w:val="single" w:sz="8" w:color="838383"/>
            </w:tcBorders>
          </w:tcPr>
          <w:p>
            <w:pPr>
              <w:ind w:left="220"/>
              <w:spacing w:after="0"/>
              <w:rPr>
                <w:sz w:val="20"/>
                <w:szCs w:val="20"/>
                <w:color w:val="auto"/>
              </w:rPr>
            </w:pPr>
            <w:r>
              <w:rPr>
                <w:rFonts w:ascii="Times New Roman" w:cs="Times New Roman" w:eastAsia="Times New Roman" w:hAnsi="Times New Roman"/>
                <w:sz w:val="18"/>
                <w:szCs w:val="18"/>
                <w:color w:val="262626"/>
              </w:rPr>
              <w:t>Operating Income</w:t>
            </w:r>
          </w:p>
        </w:tc>
        <w:tc>
          <w:tcPr>
            <w:tcW w:w="132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19.3</w:t>
            </w:r>
          </w:p>
        </w:tc>
        <w:tc>
          <w:tcPr>
            <w:tcW w:w="1360" w:type="dxa"/>
            <w:vAlign w:val="bottom"/>
            <w:tcBorders>
              <w:bottom w:val="single" w:sz="8" w:color="838383"/>
            </w:tcBorders>
          </w:tcPr>
          <w:p>
            <w:pPr>
              <w:jc w:val="right"/>
              <w:ind w:right="430"/>
              <w:spacing w:after="0"/>
              <w:rPr>
                <w:sz w:val="20"/>
                <w:szCs w:val="20"/>
                <w:color w:val="auto"/>
              </w:rPr>
            </w:pPr>
            <w:r>
              <w:rPr>
                <w:rFonts w:ascii="Times New Roman" w:cs="Times New Roman" w:eastAsia="Times New Roman" w:hAnsi="Times New Roman"/>
                <w:sz w:val="18"/>
                <w:szCs w:val="18"/>
                <w:color w:val="262626"/>
              </w:rPr>
              <w:t>23.7</w:t>
            </w:r>
          </w:p>
        </w:tc>
        <w:tc>
          <w:tcPr>
            <w:tcW w:w="5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23.7</w:t>
            </w:r>
          </w:p>
        </w:tc>
        <w:tc>
          <w:tcPr>
            <w:tcW w:w="20" w:type="dxa"/>
            <w:vAlign w:val="bottom"/>
          </w:tcPr>
          <w:p>
            <w:pPr>
              <w:spacing w:after="0"/>
              <w:rPr>
                <w:sz w:val="24"/>
                <w:szCs w:val="24"/>
                <w:color w:val="auto"/>
              </w:rPr>
            </w:pPr>
          </w:p>
        </w:tc>
      </w:tr>
      <w:tr>
        <w:trPr>
          <w:trHeight w:val="340"/>
        </w:trPr>
        <w:tc>
          <w:tcPr>
            <w:tcW w:w="41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Other Income/(Expense)</w:t>
            </w:r>
          </w:p>
        </w:tc>
        <w:tc>
          <w:tcPr>
            <w:tcW w:w="132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w:t>
            </w:r>
          </w:p>
        </w:tc>
        <w:tc>
          <w:tcPr>
            <w:tcW w:w="1360" w:type="dxa"/>
            <w:vAlign w:val="bottom"/>
            <w:tcBorders>
              <w:bottom w:val="single" w:sz="8" w:color="838383"/>
            </w:tcBorders>
          </w:tcPr>
          <w:p>
            <w:pPr>
              <w:jc w:val="right"/>
              <w:ind w:right="430"/>
              <w:spacing w:after="0"/>
              <w:rPr>
                <w:sz w:val="20"/>
                <w:szCs w:val="20"/>
                <w:color w:val="auto"/>
              </w:rPr>
            </w:pPr>
            <w:r>
              <w:rPr>
                <w:rFonts w:ascii="Times New Roman" w:cs="Times New Roman" w:eastAsia="Times New Roman" w:hAnsi="Times New Roman"/>
                <w:sz w:val="18"/>
                <w:szCs w:val="18"/>
                <w:color w:val="262626"/>
              </w:rPr>
              <w:t>40.0</w:t>
            </w:r>
          </w:p>
        </w:tc>
        <w:tc>
          <w:tcPr>
            <w:tcW w:w="6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.7</w:t>
            </w:r>
          </w:p>
        </w:tc>
      </w:tr>
      <w:tr>
        <w:trPr>
          <w:trHeight w:val="340"/>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262626"/>
              </w:rPr>
              <w:t>Income Before Provision for Income Taxes</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262626"/>
              </w:rPr>
              <w:t>19.3</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262626"/>
              </w:rPr>
              <w:t>24.1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62626"/>
              </w:rPr>
              <w:t>24.4</w:t>
            </w:r>
          </w:p>
        </w:tc>
      </w:tr>
      <w:tr>
        <w:trPr>
          <w:trHeight w:val="355"/>
        </w:trPr>
        <w:tc>
          <w:tcPr>
            <w:tcW w:w="4140" w:type="dxa"/>
            <w:vAlign w:val="bottom"/>
            <w:tcBorders>
              <w:top w:val="single" w:sz="8" w:color="838383"/>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Provision for Income Taxes</w:t>
            </w:r>
          </w:p>
        </w:tc>
        <w:tc>
          <w:tcPr>
            <w:tcW w:w="1320" w:type="dxa"/>
            <w:vAlign w:val="bottom"/>
            <w:tcBorders>
              <w:top w:val="single" w:sz="8" w:color="838383"/>
              <w:bottom w:val="single" w:sz="8" w:color="8F8F8F"/>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2.7</w:t>
            </w:r>
          </w:p>
        </w:tc>
        <w:tc>
          <w:tcPr>
            <w:tcW w:w="1360" w:type="dxa"/>
            <w:vAlign w:val="bottom"/>
            <w:tcBorders>
              <w:top w:val="single" w:sz="8" w:color="838383"/>
              <w:bottom w:val="single" w:sz="8" w:color="8F8F8F"/>
            </w:tcBorders>
          </w:tcPr>
          <w:p>
            <w:pPr>
              <w:jc w:val="right"/>
              <w:ind w:right="430"/>
              <w:spacing w:after="0"/>
              <w:rPr>
                <w:sz w:val="20"/>
                <w:szCs w:val="20"/>
                <w:color w:val="auto"/>
              </w:rPr>
            </w:pPr>
            <w:r>
              <w:rPr>
                <w:rFonts w:ascii="Times New Roman" w:cs="Times New Roman" w:eastAsia="Times New Roman" w:hAnsi="Times New Roman"/>
                <w:sz w:val="18"/>
                <w:szCs w:val="18"/>
                <w:color w:val="262626"/>
              </w:rPr>
              <w:t>3.2</w:t>
            </w:r>
          </w:p>
        </w:tc>
        <w:tc>
          <w:tcPr>
            <w:tcW w:w="580" w:type="dxa"/>
            <w:vAlign w:val="bottom"/>
            <w:tcBorders>
              <w:top w:val="single" w:sz="8" w:color="838383"/>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3.8</w:t>
            </w:r>
          </w:p>
        </w:tc>
        <w:tc>
          <w:tcPr>
            <w:tcW w:w="20" w:type="dxa"/>
            <w:vAlign w:val="bottom"/>
            <w:tcBorders>
              <w:bottom w:val="single" w:sz="8" w:color="8F8F8F"/>
            </w:tcBorders>
          </w:tcPr>
          <w:p>
            <w:pPr>
              <w:spacing w:after="0"/>
              <w:rPr>
                <w:sz w:val="24"/>
                <w:szCs w:val="24"/>
                <w:color w:val="auto"/>
              </w:rPr>
            </w:pPr>
          </w:p>
        </w:tc>
      </w:tr>
      <w:tr>
        <w:trPr>
          <w:trHeight w:val="310"/>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262626"/>
              </w:rPr>
              <w:t>Net Income</w:t>
            </w:r>
          </w:p>
        </w:tc>
        <w:tc>
          <w:tcPr>
            <w:tcW w:w="1320" w:type="dxa"/>
            <w:vAlign w:val="bottom"/>
            <w:tcBorders>
              <w:bottom w:val="single" w:sz="8" w:color="8F8F8F"/>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16.6%</w:t>
            </w:r>
          </w:p>
        </w:tc>
        <w:tc>
          <w:tcPr>
            <w:tcW w:w="1360" w:type="dxa"/>
            <w:vAlign w:val="bottom"/>
            <w:tcBorders>
              <w:bottom w:val="single" w:sz="8" w:color="8F8F8F"/>
            </w:tcBorders>
          </w:tcPr>
          <w:p>
            <w:pPr>
              <w:jc w:val="right"/>
              <w:ind w:right="430"/>
              <w:spacing w:after="0"/>
              <w:rPr>
                <w:sz w:val="20"/>
                <w:szCs w:val="20"/>
                <w:color w:val="auto"/>
              </w:rPr>
            </w:pPr>
            <w:r>
              <w:rPr>
                <w:rFonts w:ascii="Times New Roman" w:cs="Times New Roman" w:eastAsia="Times New Roman" w:hAnsi="Times New Roman"/>
                <w:sz w:val="18"/>
                <w:szCs w:val="18"/>
                <w:color w:val="262626"/>
              </w:rPr>
              <w:t>20.8%</w:t>
            </w:r>
          </w:p>
        </w:tc>
        <w:tc>
          <w:tcPr>
            <w:tcW w:w="5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20.6</w:t>
            </w:r>
          </w:p>
        </w:tc>
        <w:tc>
          <w:tcPr>
            <w:tcW w:w="20" w:type="dxa"/>
            <w:vAlign w:val="bottom"/>
            <w:tcBorders>
              <w:bottom w:val="single" w:sz="8" w:color="8F8F8F"/>
            </w:tcBorders>
          </w:tcPr>
          <w:p>
            <w:pPr>
              <w:spacing w:after="0"/>
              <w:rPr>
                <w:sz w:val="24"/>
                <w:szCs w:val="24"/>
                <w:color w:val="auto"/>
              </w:rPr>
            </w:pPr>
          </w:p>
        </w:tc>
      </w:tr>
      <w:tr>
        <w:trPr>
          <w:trHeight w:val="20"/>
        </w:trPr>
        <w:tc>
          <w:tcPr>
            <w:tcW w:w="4140" w:type="dxa"/>
            <w:vAlign w:val="bottom"/>
          </w:tcPr>
          <w:p>
            <w:pPr>
              <w:spacing w:after="0" w:line="20" w:lineRule="exact"/>
              <w:rPr>
                <w:sz w:val="1"/>
                <w:szCs w:val="1"/>
                <w:color w:val="auto"/>
              </w:rPr>
            </w:pPr>
          </w:p>
        </w:tc>
        <w:tc>
          <w:tcPr>
            <w:tcW w:w="1320" w:type="dxa"/>
            <w:vAlign w:val="bottom"/>
            <w:tcBorders>
              <w:bottom w:val="single" w:sz="8" w:color="8F8F8F"/>
            </w:tcBorders>
          </w:tcPr>
          <w:p>
            <w:pPr>
              <w:spacing w:after="0" w:line="20" w:lineRule="exact"/>
              <w:rPr>
                <w:sz w:val="1"/>
                <w:szCs w:val="1"/>
                <w:color w:val="auto"/>
              </w:rPr>
            </w:pPr>
          </w:p>
        </w:tc>
        <w:tc>
          <w:tcPr>
            <w:tcW w:w="1360" w:type="dxa"/>
            <w:vAlign w:val="bottom"/>
            <w:tcBorders>
              <w:bottom w:val="single" w:sz="8" w:color="8F8F8F"/>
            </w:tcBorders>
          </w:tcPr>
          <w:p>
            <w:pPr>
              <w:spacing w:after="0" w:line="20" w:lineRule="exact"/>
              <w:rPr>
                <w:sz w:val="1"/>
                <w:szCs w:val="1"/>
                <w:color w:val="auto"/>
              </w:rPr>
            </w:pPr>
          </w:p>
        </w:tc>
        <w:tc>
          <w:tcPr>
            <w:tcW w:w="580" w:type="dxa"/>
            <w:vAlign w:val="bottom"/>
            <w:tcBorders>
              <w:bottom w:val="single" w:sz="8" w:color="8F8F8F"/>
            </w:tcBorders>
          </w:tcPr>
          <w:p>
            <w:pPr>
              <w:spacing w:after="0" w:line="20" w:lineRule="exact"/>
              <w:rPr>
                <w:sz w:val="1"/>
                <w:szCs w:val="1"/>
                <w:color w:val="auto"/>
              </w:rPr>
            </w:pPr>
          </w:p>
        </w:tc>
        <w:tc>
          <w:tcPr>
            <w:tcW w:w="20" w:type="dxa"/>
            <w:vAlign w:val="bottom"/>
            <w:tcBorders>
              <w:bottom w:val="single" w:sz="8" w:color="8F8F8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262626"/>
        </w:rPr>
        <w:t>Percentage Change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112395</wp:posOffset>
                </wp:positionV>
                <wp:extent cx="159956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6350">
                          <a:solidFill>
                            <a:srgbClr val="838383"/>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8.85pt" to="112pt,8.85pt" o:allowincell="f" strokecolor="#838383" strokeweight="0.5pt"/>
            </w:pict>
          </mc:Fallback>
        </mc:AlternateContent>
      </w:r>
    </w:p>
    <w:p>
      <w:pPr>
        <w:spacing w:after="0" w:line="22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262626"/>
        </w:rPr>
        <w:t>2022 Vs 2021</w:t>
      </w:r>
      <w:r>
        <w:rPr>
          <w:sz w:val="20"/>
          <w:szCs w:val="20"/>
          <w:color w:val="auto"/>
        </w:rPr>
        <w:tab/>
      </w:r>
      <w:r>
        <w:rPr>
          <w:rFonts w:ascii="Arial" w:cs="Arial" w:eastAsia="Arial" w:hAnsi="Arial"/>
          <w:sz w:val="15"/>
          <w:szCs w:val="15"/>
          <w:b w:val="1"/>
          <w:bCs w:val="1"/>
          <w:color w:val="262626"/>
        </w:rPr>
        <w:t>2021 Vs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53975</wp:posOffset>
                </wp:positionV>
                <wp:extent cx="159893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930" cy="4763"/>
                        </a:xfrm>
                        <a:prstGeom prst="line">
                          <a:avLst/>
                        </a:prstGeom>
                        <a:solidFill>
                          <a:srgbClr val="FFFFFF"/>
                        </a:solidFill>
                        <a:ln w="6350">
                          <a:solidFill>
                            <a:srgbClr val="838383"/>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4.25pt" to="111.95pt,4.25pt" o:allowincell="f" strokecolor="#838383" strokeweight="0.5pt"/>
            </w:pict>
          </mc:Fallback>
        </mc:AlternateContent>
      </w:r>
    </w:p>
    <w:p>
      <w:pPr>
        <w:spacing w:after="0" w:line="131" w:lineRule="exact"/>
        <w:rPr>
          <w:sz w:val="20"/>
          <w:szCs w:val="20"/>
          <w:color w:val="auto"/>
        </w:rPr>
      </w:pPr>
    </w:p>
    <w:p>
      <w:pPr>
        <w:ind w:left="520"/>
        <w:spacing w:after="0"/>
        <w:tabs>
          <w:tab w:leader="none" w:pos="1860" w:val="left"/>
        </w:tabs>
        <w:rPr>
          <w:sz w:val="20"/>
          <w:szCs w:val="20"/>
          <w:color w:val="auto"/>
        </w:rPr>
      </w:pPr>
      <w:r>
        <w:rPr>
          <w:rFonts w:ascii="Times New Roman" w:cs="Times New Roman" w:eastAsia="Times New Roman" w:hAnsi="Times New Roman"/>
          <w:sz w:val="18"/>
          <w:szCs w:val="18"/>
          <w:color w:val="262626"/>
        </w:rPr>
        <w:t>10.8%</w:t>
      </w:r>
      <w:r>
        <w:rPr>
          <w:sz w:val="20"/>
          <w:szCs w:val="20"/>
          <w:color w:val="auto"/>
        </w:rPr>
        <w:tab/>
      </w:r>
      <w:r>
        <w:rPr>
          <w:rFonts w:ascii="Times New Roman" w:cs="Times New Roman" w:eastAsia="Times New Roman" w:hAnsi="Times New Roman"/>
          <w:sz w:val="17"/>
          <w:szCs w:val="17"/>
          <w:color w:val="262626"/>
        </w:rPr>
        <w:t>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55245</wp:posOffset>
                </wp:positionV>
                <wp:extent cx="159893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930" cy="4763"/>
                        </a:xfrm>
                        <a:prstGeom prst="line">
                          <a:avLst/>
                        </a:prstGeom>
                        <a:solidFill>
                          <a:srgbClr val="FFFFFF"/>
                        </a:solidFill>
                        <a:ln w="6350">
                          <a:solidFill>
                            <a:srgbClr val="838383"/>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4.35pt" to="111.95pt,4.35pt" o:allowincell="f" strokecolor="#838383" strokeweight="0.5pt"/>
            </w:pict>
          </mc:Fallback>
        </mc:AlternateContent>
      </w:r>
    </w:p>
    <w:p>
      <w:pPr>
        <w:spacing w:after="0" w:line="130"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18"/>
          <w:szCs w:val="18"/>
          <w:color w:val="262626"/>
        </w:rPr>
        <w:t>17.8</w:t>
      </w:r>
      <w:r>
        <w:rPr>
          <w:sz w:val="20"/>
          <w:szCs w:val="20"/>
          <w:color w:val="auto"/>
        </w:rPr>
        <w:tab/>
      </w:r>
      <w:r>
        <w:rPr>
          <w:rFonts w:ascii="Times New Roman" w:cs="Times New Roman" w:eastAsia="Times New Roman" w:hAnsi="Times New Roman"/>
          <w:sz w:val="17"/>
          <w:szCs w:val="17"/>
          <w:color w:val="262626"/>
        </w:rPr>
        <w:t>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56515</wp:posOffset>
                </wp:positionV>
                <wp:extent cx="159956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12700">
                          <a:solidFill>
                            <a:srgbClr val="8F8F8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4.45pt" to="112pt,4.45pt" o:allowincell="f" strokecolor="#8F8F8F" strokeweight="1pt"/>
            </w:pict>
          </mc:Fallback>
        </mc:AlternateContent>
      </w:r>
    </w:p>
    <w:p>
      <w:pPr>
        <w:spacing w:after="0" w:line="138"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8"/>
          <w:szCs w:val="18"/>
          <w:color w:val="262626"/>
        </w:rPr>
        <w:t>(1.6)</w:t>
      </w:r>
      <w:r>
        <w:rPr>
          <w:sz w:val="20"/>
          <w:szCs w:val="20"/>
          <w:color w:val="auto"/>
        </w:rPr>
        <w:tab/>
      </w:r>
      <w:r>
        <w:rPr>
          <w:rFonts w:ascii="Times New Roman" w:cs="Times New Roman" w:eastAsia="Times New Roman" w:hAnsi="Times New Roman"/>
          <w:sz w:val="17"/>
          <w:szCs w:val="17"/>
          <w:color w:val="262626"/>
        </w:rPr>
        <w:t>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53340</wp:posOffset>
                </wp:positionV>
                <wp:extent cx="159893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930" cy="4763"/>
                        </a:xfrm>
                        <a:prstGeom prst="line">
                          <a:avLst/>
                        </a:prstGeom>
                        <a:solidFill>
                          <a:srgbClr val="FFFFFF"/>
                        </a:solidFill>
                        <a:ln w="6350">
                          <a:solidFill>
                            <a:srgbClr val="838383"/>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4.2pt" to="111.95pt,4.2pt" o:allowincell="f" strokecolor="#838383" strokeweight="0.5pt"/>
            </w:pict>
          </mc:Fallback>
        </mc:AlternateContent>
        <mc:AlternateContent>
          <mc:Choice Requires="wps">
            <w:drawing>
              <wp:anchor simplePos="0" relativeHeight="251657728" behindDoc="1" locked="0" layoutInCell="0" allowOverlap="1">
                <wp:simplePos x="0" y="0"/>
                <wp:positionH relativeFrom="column">
                  <wp:posOffset>-177165</wp:posOffset>
                </wp:positionH>
                <wp:positionV relativeFrom="paragraph">
                  <wp:posOffset>281940</wp:posOffset>
                </wp:positionV>
                <wp:extent cx="159893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930" cy="4763"/>
                        </a:xfrm>
                        <a:prstGeom prst="line">
                          <a:avLst/>
                        </a:prstGeom>
                        <a:solidFill>
                          <a:srgbClr val="FFFFFF"/>
                        </a:solidFill>
                        <a:ln w="6350">
                          <a:solidFill>
                            <a:srgbClr val="838383"/>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22.2pt" to="111.95pt,22.2pt" o:allowincell="f" strokecolor="#838383" strokeweight="0.5pt"/>
            </w:pict>
          </mc:Fallback>
        </mc:AlternateContent>
      </w:r>
    </w:p>
    <w:p>
      <w:pPr>
        <w:spacing w:after="0" w:line="200" w:lineRule="exact"/>
        <w:rPr>
          <w:sz w:val="20"/>
          <w:szCs w:val="20"/>
          <w:color w:val="auto"/>
        </w:rPr>
      </w:pPr>
    </w:p>
    <w:p>
      <w:pPr>
        <w:spacing w:after="0" w:line="291"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18"/>
          <w:szCs w:val="18"/>
          <w:color w:val="262626"/>
        </w:rPr>
        <w:t>13.2</w:t>
      </w:r>
      <w:r>
        <w:rPr>
          <w:sz w:val="20"/>
          <w:szCs w:val="20"/>
          <w:color w:val="auto"/>
        </w:rPr>
        <w:tab/>
      </w:r>
      <w:r>
        <w:rPr>
          <w:rFonts w:ascii="Times New Roman" w:cs="Times New Roman" w:eastAsia="Times New Roman" w:hAnsi="Times New Roman"/>
          <w:sz w:val="17"/>
          <w:szCs w:val="17"/>
          <w:color w:val="262626"/>
        </w:rPr>
        <w:t>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55245</wp:posOffset>
                </wp:positionV>
                <wp:extent cx="159893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930" cy="4763"/>
                        </a:xfrm>
                        <a:prstGeom prst="line">
                          <a:avLst/>
                        </a:prstGeom>
                        <a:solidFill>
                          <a:srgbClr val="FFFFFF"/>
                        </a:solidFill>
                        <a:ln w="6350">
                          <a:solidFill>
                            <a:srgbClr val="838383"/>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4.35pt" to="111.95pt,4.35pt" o:allowincell="f" strokecolor="#838383" strokeweight="0.5pt"/>
            </w:pict>
          </mc:Fallback>
        </mc:AlternateContent>
      </w:r>
    </w:p>
    <w:p>
      <w:pPr>
        <w:spacing w:after="0" w:line="133"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18"/>
          <w:szCs w:val="18"/>
          <w:color w:val="262626"/>
        </w:rPr>
        <w:t>15.6</w:t>
      </w:r>
      <w:r>
        <w:rPr>
          <w:sz w:val="20"/>
          <w:szCs w:val="20"/>
          <w:color w:val="auto"/>
        </w:rPr>
        <w:tab/>
      </w:r>
      <w:r>
        <w:rPr>
          <w:rFonts w:ascii="Times New Roman" w:cs="Times New Roman" w:eastAsia="Times New Roman" w:hAnsi="Times New Roman"/>
          <w:sz w:val="17"/>
          <w:szCs w:val="17"/>
          <w:color w:val="262626"/>
        </w:rPr>
        <w:t>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55245</wp:posOffset>
                </wp:positionV>
                <wp:extent cx="159893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930" cy="4763"/>
                        </a:xfrm>
                        <a:prstGeom prst="line">
                          <a:avLst/>
                        </a:prstGeom>
                        <a:solidFill>
                          <a:srgbClr val="FFFFFF"/>
                        </a:solidFill>
                        <a:ln w="6350">
                          <a:solidFill>
                            <a:srgbClr val="838383"/>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4.35pt" to="111.95pt,4.35pt" o:allowincell="f" strokecolor="#838383" strokeweight="0.5pt"/>
            </w:pict>
          </mc:Fallback>
        </mc:AlternateContent>
      </w:r>
    </w:p>
    <w:p>
      <w:pPr>
        <w:spacing w:after="0" w:line="130"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18"/>
          <w:szCs w:val="18"/>
          <w:color w:val="262626"/>
        </w:rPr>
        <w:t>14.2</w:t>
      </w:r>
      <w:r>
        <w:rPr>
          <w:sz w:val="20"/>
          <w:szCs w:val="20"/>
          <w:color w:val="auto"/>
        </w:rPr>
        <w:tab/>
      </w:r>
      <w:r>
        <w:rPr>
          <w:rFonts w:ascii="Times New Roman" w:cs="Times New Roman" w:eastAsia="Times New Roman" w:hAnsi="Times New Roman"/>
          <w:sz w:val="17"/>
          <w:szCs w:val="17"/>
          <w:color w:val="262626"/>
        </w:rPr>
        <w:t>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56515</wp:posOffset>
                </wp:positionV>
                <wp:extent cx="159956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12700">
                          <a:solidFill>
                            <a:srgbClr val="8F8F8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4.45pt" to="112pt,4.45pt" o:allowincell="f" strokecolor="#8F8F8F" strokeweight="1pt"/>
            </w:pict>
          </mc:Fallback>
        </mc:AlternateContent>
      </w:r>
    </w:p>
    <w:p>
      <w:pPr>
        <w:spacing w:after="0" w:line="138"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8"/>
          <w:szCs w:val="18"/>
          <w:color w:val="262626"/>
        </w:rPr>
        <w:t>(9.7)</w:t>
      </w:r>
      <w:r>
        <w:rPr>
          <w:sz w:val="20"/>
          <w:szCs w:val="20"/>
          <w:color w:val="auto"/>
        </w:rPr>
        <w:tab/>
      </w:r>
      <w:r>
        <w:rPr>
          <w:rFonts w:ascii="Times New Roman" w:cs="Times New Roman" w:eastAsia="Times New Roman" w:hAnsi="Times New Roman"/>
          <w:sz w:val="17"/>
          <w:szCs w:val="17"/>
          <w:color w:val="262626"/>
        </w:rPr>
        <w:t>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53340</wp:posOffset>
                </wp:positionV>
                <wp:extent cx="159893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930" cy="4763"/>
                        </a:xfrm>
                        <a:prstGeom prst="line">
                          <a:avLst/>
                        </a:prstGeom>
                        <a:solidFill>
                          <a:srgbClr val="FFFFFF"/>
                        </a:solidFill>
                        <a:ln w="6350">
                          <a:solidFill>
                            <a:srgbClr val="838383"/>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4.2pt" to="111.95pt,4.2pt" o:allowincell="f" strokecolor="#838383" strokeweight="0.5pt"/>
            </w:pict>
          </mc:Fallback>
        </mc:AlternateContent>
      </w:r>
    </w:p>
    <w:p>
      <w:pPr>
        <w:spacing w:after="0" w:line="130" w:lineRule="exact"/>
        <w:rPr>
          <w:sz w:val="20"/>
          <w:szCs w:val="20"/>
          <w:color w:val="auto"/>
        </w:rPr>
      </w:pPr>
    </w:p>
    <w:p>
      <w:pPr>
        <w:ind w:left="460"/>
        <w:spacing w:after="0"/>
        <w:tabs>
          <w:tab w:leader="none" w:pos="1780" w:val="left"/>
        </w:tabs>
        <w:rPr>
          <w:sz w:val="20"/>
          <w:szCs w:val="20"/>
          <w:color w:val="auto"/>
        </w:rPr>
      </w:pPr>
      <w:r>
        <w:rPr>
          <w:rFonts w:ascii="Times New Roman" w:cs="Times New Roman" w:eastAsia="Times New Roman" w:hAnsi="Times New Roman"/>
          <w:sz w:val="18"/>
          <w:szCs w:val="18"/>
          <w:color w:val="262626"/>
        </w:rPr>
        <w:t>(104.3)</w:t>
      </w:r>
      <w:r>
        <w:rPr>
          <w:sz w:val="20"/>
          <w:szCs w:val="20"/>
          <w:color w:val="auto"/>
        </w:rPr>
        <w:tab/>
      </w:r>
      <w:r>
        <w:rPr>
          <w:rFonts w:ascii="Times New Roman" w:cs="Times New Roman" w:eastAsia="Times New Roman" w:hAnsi="Times New Roman"/>
          <w:sz w:val="18"/>
          <w:szCs w:val="18"/>
          <w:color w:val="262626"/>
        </w:rPr>
        <w:t>(46.4)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55245</wp:posOffset>
                </wp:positionV>
                <wp:extent cx="159893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930" cy="4763"/>
                        </a:xfrm>
                        <a:prstGeom prst="line">
                          <a:avLst/>
                        </a:prstGeom>
                        <a:solidFill>
                          <a:srgbClr val="FFFFFF"/>
                        </a:solidFill>
                        <a:ln w="6350">
                          <a:solidFill>
                            <a:srgbClr val="838383"/>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4.35pt" to="111.95pt,4.35pt" o:allowincell="f" strokecolor="#838383" strokeweight="0.5pt"/>
            </w:pict>
          </mc:Fallback>
        </mc:AlternateContent>
      </w:r>
    </w:p>
    <w:p>
      <w:pPr>
        <w:spacing w:after="0" w:line="133" w:lineRule="exact"/>
        <w:rPr>
          <w:sz w:val="20"/>
          <w:szCs w:val="20"/>
          <w:color w:val="auto"/>
        </w:rPr>
      </w:pPr>
    </w:p>
    <w:p>
      <w:pPr>
        <w:jc w:val="right"/>
        <w:spacing w:after="0"/>
        <w:tabs>
          <w:tab w:leader="none" w:pos="200" w:val="left"/>
        </w:tabs>
        <w:rPr>
          <w:sz w:val="20"/>
          <w:szCs w:val="20"/>
          <w:color w:val="auto"/>
        </w:rPr>
      </w:pPr>
      <w:r>
        <w:rPr>
          <w:rFonts w:ascii="Times New Roman" w:cs="Times New Roman" w:eastAsia="Times New Roman" w:hAnsi="Times New Roman"/>
          <w:sz w:val="18"/>
          <w:szCs w:val="18"/>
          <w:color w:val="262626"/>
        </w:rPr>
        <w:t>(11.2)</w:t>
      </w:r>
      <w:r>
        <w:rPr>
          <w:sz w:val="20"/>
          <w:szCs w:val="20"/>
          <w:color w:val="auto"/>
        </w:rPr>
        <w:tab/>
      </w:r>
      <w:r>
        <w:rPr>
          <w:rFonts w:ascii="Times New Roman" w:cs="Times New Roman" w:eastAsia="Times New Roman" w:hAnsi="Times New Roman"/>
          <w:sz w:val="17"/>
          <w:szCs w:val="17"/>
          <w:color w:val="262626"/>
        </w:rPr>
        <w:t>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55245</wp:posOffset>
                </wp:positionV>
                <wp:extent cx="159893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930" cy="4763"/>
                        </a:xfrm>
                        <a:prstGeom prst="line">
                          <a:avLst/>
                        </a:prstGeom>
                        <a:solidFill>
                          <a:srgbClr val="FFFFFF"/>
                        </a:solidFill>
                        <a:ln w="6350">
                          <a:solidFill>
                            <a:srgbClr val="838383"/>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4.35pt" to="111.95pt,4.35pt" o:allowincell="f" strokecolor="#838383" strokeweight="0.5pt"/>
            </w:pict>
          </mc:Fallback>
        </mc:AlternateContent>
      </w:r>
    </w:p>
    <w:p>
      <w:pPr>
        <w:spacing w:after="0" w:line="130"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8"/>
          <w:szCs w:val="18"/>
          <w:color w:val="262626"/>
        </w:rPr>
        <w:t>(8.3)</w:t>
      </w:r>
      <w:r>
        <w:rPr>
          <w:sz w:val="20"/>
          <w:szCs w:val="20"/>
          <w:color w:val="auto"/>
        </w:rPr>
        <w:tab/>
      </w:r>
      <w:r>
        <w:rPr>
          <w:rFonts w:ascii="Times New Roman" w:cs="Times New Roman" w:eastAsia="Times New Roman" w:hAnsi="Times New Roman"/>
          <w:sz w:val="18"/>
          <w:szCs w:val="18"/>
          <w:color w:val="262626"/>
        </w:rPr>
        <w:t>(13.5)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56515</wp:posOffset>
                </wp:positionV>
                <wp:extent cx="159956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12700">
                          <a:solidFill>
                            <a:srgbClr val="8F8F8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4.45pt" to="112pt,4.45pt" o:allowincell="f" strokecolor="#8F8F8F" strokeweight="1pt"/>
            </w:pict>
          </mc:Fallback>
        </mc:AlternateContent>
      </w:r>
    </w:p>
    <w:p>
      <w:pPr>
        <w:spacing w:after="0" w:line="130" w:lineRule="exact"/>
        <w:rPr>
          <w:sz w:val="20"/>
          <w:szCs w:val="20"/>
          <w:color w:val="auto"/>
        </w:rPr>
      </w:pPr>
    </w:p>
    <w:p>
      <w:pPr>
        <w:ind w:left="420"/>
        <w:spacing w:after="0"/>
        <w:tabs>
          <w:tab w:leader="none" w:pos="1860" w:val="left"/>
        </w:tabs>
        <w:rPr>
          <w:sz w:val="20"/>
          <w:szCs w:val="20"/>
          <w:color w:val="auto"/>
        </w:rPr>
      </w:pPr>
      <w:r>
        <w:rPr>
          <w:rFonts w:ascii="Times New Roman" w:cs="Times New Roman" w:eastAsia="Times New Roman" w:hAnsi="Times New Roman"/>
          <w:sz w:val="18"/>
          <w:szCs w:val="18"/>
          <w:color w:val="262626"/>
        </w:rPr>
        <w:t>(11.7)%</w:t>
      </w:r>
      <w:r>
        <w:rPr>
          <w:sz w:val="20"/>
          <w:szCs w:val="20"/>
          <w:color w:val="auto"/>
        </w:rPr>
        <w:tab/>
      </w:r>
      <w:r>
        <w:rPr>
          <w:rFonts w:ascii="Times New Roman" w:cs="Times New Roman" w:eastAsia="Times New Roman" w:hAnsi="Times New Roman"/>
          <w:sz w:val="17"/>
          <w:szCs w:val="17"/>
          <w:color w:val="262626"/>
        </w:rPr>
        <w:t>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49530</wp:posOffset>
                </wp:positionV>
                <wp:extent cx="159956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8458">
                          <a:solidFill>
                            <a:srgbClr val="8F8F8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3.9pt" to="112pt,3.9pt" o:allowincell="f" strokecolor="#8F8F8F" strokeweight="0.666pt"/>
            </w:pict>
          </mc:Fallback>
        </mc:AlternateContent>
        <mc:AlternateContent>
          <mc:Choice Requires="wps">
            <w:drawing>
              <wp:anchor simplePos="0" relativeHeight="251657728" behindDoc="1" locked="0" layoutInCell="0" allowOverlap="1">
                <wp:simplePos x="0" y="0"/>
                <wp:positionH relativeFrom="column">
                  <wp:posOffset>-177165</wp:posOffset>
                </wp:positionH>
                <wp:positionV relativeFrom="paragraph">
                  <wp:posOffset>66675</wp:posOffset>
                </wp:positionV>
                <wp:extent cx="159956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8458">
                          <a:solidFill>
                            <a:srgbClr val="8F8F8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5.25pt" to="112pt,5.25pt" o:allowincell="f" strokecolor="#8F8F8F" strokeweight="0.666pt"/>
            </w:pict>
          </mc:Fallback>
        </mc:AlternateContent>
      </w:r>
    </w:p>
    <w:p>
      <w:pPr>
        <w:spacing w:after="0" w:line="312" w:lineRule="exact"/>
        <w:rPr>
          <w:sz w:val="20"/>
          <w:szCs w:val="20"/>
          <w:color w:val="auto"/>
        </w:rPr>
      </w:pPr>
    </w:p>
    <w:p>
      <w:pPr>
        <w:sectPr>
          <w:pgSz w:w="12240" w:h="15840" w:orient="portrait"/>
          <w:cols w:equalWidth="0" w:num="2">
            <w:col w:w="7800" w:space="720"/>
            <w:col w:w="2240"/>
          </w:cols>
          <w:pgMar w:left="580" w:top="859" w:right="900" w:bottom="0" w:gutter="0" w:footer="0" w:header="0"/>
          <w:type w:val="continuous"/>
        </w:sectPr>
      </w:pPr>
    </w:p>
    <w:p>
      <w:pPr>
        <w:spacing w:after="0" w:line="12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Results of Operations: 2022 to 2021</w:t>
      </w:r>
    </w:p>
    <w:p>
      <w:pPr>
        <w:spacing w:after="0" w:line="189" w:lineRule="exact"/>
        <w:rPr>
          <w:sz w:val="20"/>
          <w:szCs w:val="20"/>
          <w:color w:val="auto"/>
        </w:rPr>
      </w:pPr>
    </w:p>
    <w:p>
      <w:pPr>
        <w:ind w:left="320" w:right="40"/>
        <w:spacing w:after="0" w:line="353" w:lineRule="auto"/>
        <w:rPr>
          <w:sz w:val="20"/>
          <w:szCs w:val="20"/>
          <w:color w:val="auto"/>
        </w:rPr>
      </w:pPr>
      <w:r>
        <w:rPr>
          <w:rFonts w:ascii="Arial" w:cs="Arial" w:eastAsia="Arial" w:hAnsi="Arial"/>
          <w:sz w:val="17"/>
          <w:szCs w:val="17"/>
          <w:b w:val="1"/>
          <w:bCs w:val="1"/>
          <w:color w:val="858585"/>
        </w:rPr>
        <w:t xml:space="preserve">NET SALES. </w:t>
      </w:r>
      <w:r>
        <w:rPr>
          <w:rFonts w:ascii="Times New Roman" w:cs="Times New Roman" w:eastAsia="Times New Roman" w:hAnsi="Times New Roman"/>
          <w:sz w:val="18"/>
          <w:szCs w:val="18"/>
          <w:color w:val="262626"/>
        </w:rPr>
        <w:t>In 2022, the Company’s net sales increased by $187.8 million, or 11% compared to the prior year. Light vehicle production in 2022</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increased by 3% when compared to 2021 in the Company’s primary markets, but total revenue for the year outperformed the underlying market by 8% despite the many supply chain challenges and customer order volatility encountered during the year. The increase in the Company’s sales was primarily driven by a 6% year over year increase in automatic-dimming mirror shipments, from 41.8 million units in 2021 to 44.2 million units in 2022.</w:t>
      </w:r>
    </w:p>
    <w:p>
      <w:pPr>
        <w:spacing w:after="0" w:line="58" w:lineRule="exact"/>
        <w:rPr>
          <w:sz w:val="20"/>
          <w:szCs w:val="20"/>
          <w:color w:val="auto"/>
        </w:rPr>
      </w:pPr>
    </w:p>
    <w:p>
      <w:pPr>
        <w:ind w:left="320" w:right="220"/>
        <w:spacing w:after="0" w:line="363" w:lineRule="auto"/>
        <w:rPr>
          <w:sz w:val="20"/>
          <w:szCs w:val="20"/>
          <w:color w:val="auto"/>
        </w:rPr>
      </w:pPr>
      <w:r>
        <w:rPr>
          <w:rFonts w:ascii="Times New Roman" w:cs="Times New Roman" w:eastAsia="Times New Roman" w:hAnsi="Times New Roman"/>
          <w:sz w:val="18"/>
          <w:szCs w:val="18"/>
          <w:color w:val="262626"/>
        </w:rPr>
        <w:t>Other net sales for calendar year 2022 were $44.2 million, compared to Other net sales of $34.0 million in calendar year 2021. Fire protection sales in 2022 increased by 53% year over year, while dimmable aircraft windows were down 33% in 2022 compared to calendar year 2021. The Company expects that dimmable aircraft window sales will continue to be impacted until there is a meaningful recovery of the aerospace industry and the Boeing 787 production levels improve.</w:t>
      </w:r>
    </w:p>
    <w:p>
      <w:pPr>
        <w:spacing w:after="0" w:line="45" w:lineRule="exact"/>
        <w:rPr>
          <w:sz w:val="20"/>
          <w:szCs w:val="20"/>
          <w:color w:val="auto"/>
        </w:rPr>
      </w:pPr>
    </w:p>
    <w:p>
      <w:pPr>
        <w:ind w:left="320" w:right="40"/>
        <w:spacing w:after="0" w:line="377" w:lineRule="auto"/>
        <w:rPr>
          <w:sz w:val="20"/>
          <w:szCs w:val="20"/>
          <w:color w:val="auto"/>
        </w:rPr>
      </w:pPr>
      <w:r>
        <w:rPr>
          <w:rFonts w:ascii="Arial" w:cs="Arial" w:eastAsia="Arial" w:hAnsi="Arial"/>
          <w:sz w:val="16"/>
          <w:szCs w:val="16"/>
          <w:b w:val="1"/>
          <w:bCs w:val="1"/>
          <w:color w:val="858585"/>
        </w:rPr>
        <w:t xml:space="preserve">COST OF GOODS SOLD. </w:t>
      </w:r>
      <w:r>
        <w:rPr>
          <w:rFonts w:ascii="Times New Roman" w:cs="Times New Roman" w:eastAsia="Times New Roman" w:hAnsi="Times New Roman"/>
          <w:sz w:val="17"/>
          <w:szCs w:val="17"/>
          <w:color w:val="262626"/>
        </w:rPr>
        <w:t>As a percentage of net sales, cost of goods sold increased from 64.2% in 2021 to 68.2% in 2022. The year over year decrease</w:t>
      </w:r>
      <w:r>
        <w:rPr>
          <w:rFonts w:ascii="Arial" w:cs="Arial" w:eastAsia="Arial" w:hAnsi="Arial"/>
          <w:sz w:val="16"/>
          <w:szCs w:val="16"/>
          <w:b w:val="1"/>
          <w:bCs w:val="1"/>
          <w:color w:val="858585"/>
        </w:rPr>
        <w:t xml:space="preserve"> </w:t>
      </w:r>
      <w:r>
        <w:rPr>
          <w:rFonts w:ascii="Times New Roman" w:cs="Times New Roman" w:eastAsia="Times New Roman" w:hAnsi="Times New Roman"/>
          <w:sz w:val="17"/>
          <w:szCs w:val="17"/>
          <w:color w:val="262626"/>
        </w:rPr>
        <w:t>in the gross margin was primarily the result of increased raw material costs, increased manufacturing costs, higher freight and logistics costs, and certain previously agreed to annual customer price reductions. On a year over year basis, increased raw material costs had a negative impact of approximately 250 - 300 basis points on gross margin. Manufacturing cost increases, freight and logistics cost increases, and annual customer price reductions each independently had a negative impact of approximately 50 - 100 basis points on gross margin on a year over year basis.</w:t>
      </w:r>
    </w:p>
    <w:p>
      <w:pPr>
        <w:spacing w:after="0" w:line="42" w:lineRule="exact"/>
        <w:rPr>
          <w:sz w:val="20"/>
          <w:szCs w:val="20"/>
          <w:color w:val="auto"/>
        </w:rPr>
      </w:pPr>
    </w:p>
    <w:p>
      <w:pPr>
        <w:jc w:val="both"/>
        <w:ind w:left="320" w:right="160"/>
        <w:spacing w:after="0" w:line="381" w:lineRule="auto"/>
        <w:rPr>
          <w:sz w:val="20"/>
          <w:szCs w:val="20"/>
          <w:color w:val="auto"/>
        </w:rPr>
      </w:pPr>
      <w:r>
        <w:rPr>
          <w:rFonts w:ascii="Arial" w:cs="Arial" w:eastAsia="Arial" w:hAnsi="Arial"/>
          <w:sz w:val="17"/>
          <w:szCs w:val="17"/>
          <w:b w:val="1"/>
          <w:bCs w:val="1"/>
          <w:color w:val="858585"/>
        </w:rPr>
        <w:t xml:space="preserve">OPERATING EXPENSES. </w:t>
      </w:r>
      <w:r>
        <w:rPr>
          <w:rFonts w:ascii="Times New Roman" w:cs="Times New Roman" w:eastAsia="Times New Roman" w:hAnsi="Times New Roman"/>
          <w:sz w:val="18"/>
          <w:szCs w:val="18"/>
          <w:color w:val="262626"/>
        </w:rPr>
        <w:t>Engineering, research and development expenses (“E, R &amp; D”) increased by $15.5 million or 13% from 2021 to 2022,</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but remained at 7% of net sales. E, R &amp; D increased primarily due to additional staffing, professional fees, new product development, and the ongoing product re-designs necessary to mitigate electronics part shortages.</w:t>
      </w:r>
    </w:p>
    <w:p>
      <w:pPr>
        <w:spacing w:after="0" w:line="34" w:lineRule="exact"/>
        <w:rPr>
          <w:sz w:val="20"/>
          <w:szCs w:val="20"/>
          <w:color w:val="auto"/>
        </w:rPr>
      </w:pPr>
    </w:p>
    <w:p>
      <w:pPr>
        <w:ind w:left="320"/>
        <w:spacing w:after="0" w:line="381" w:lineRule="auto"/>
        <w:rPr>
          <w:sz w:val="20"/>
          <w:szCs w:val="20"/>
          <w:color w:val="auto"/>
        </w:rPr>
      </w:pPr>
      <w:r>
        <w:rPr>
          <w:rFonts w:ascii="Times New Roman" w:cs="Times New Roman" w:eastAsia="Times New Roman" w:hAnsi="Times New Roman"/>
          <w:sz w:val="18"/>
          <w:szCs w:val="18"/>
          <w:color w:val="262626"/>
        </w:rPr>
        <w:t>Selling, general and administrative (“S, G &amp; A”) expenses increased by $14.3 million or 16% from 2021 to 2022, which represents 6% of net sales in 2022 compared to 5% in 2021. The primary reason for the increase in S, G &amp; A from 2021 to 2022 was primarily due to staffing, increases in outbound freight expenses, and the return of in-person customer meetings and trade show related expenses. S, G &amp; A expenses were</w:t>
      </w:r>
    </w:p>
    <w:p>
      <w:pPr>
        <w:sectPr>
          <w:pgSz w:w="12240" w:h="15840" w:orient="portrait"/>
          <w:cols w:equalWidth="0" w:num="1">
            <w:col w:w="10760"/>
          </w:cols>
          <w:pgMar w:left="580" w:top="859" w:right="900" w:bottom="0" w:gutter="0" w:footer="0" w:header="0"/>
          <w:type w:val="continuous"/>
        </w:sectPr>
      </w:pPr>
    </w:p>
    <w:p>
      <w:pPr>
        <w:spacing w:after="0" w:line="194" w:lineRule="auto"/>
        <w:tabs>
          <w:tab w:leader="none" w:pos="400" w:val="left"/>
        </w:tabs>
        <w:rPr>
          <w:sz w:val="20"/>
          <w:szCs w:val="20"/>
          <w:color w:val="auto"/>
        </w:rPr>
      </w:pPr>
      <w:r>
        <w:rPr>
          <w:rFonts w:ascii="Arial" w:cs="Arial" w:eastAsia="Arial" w:hAnsi="Arial"/>
          <w:sz w:val="24"/>
          <w:szCs w:val="24"/>
          <w:b w:val="1"/>
          <w:bCs w:val="1"/>
          <w:color w:val="262626"/>
        </w:rPr>
        <w:t>42</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60"/>
          </w:cols>
          <w:pgMar w:left="580" w:top="859" w:right="900" w:bottom="0" w:gutter="0" w:footer="0" w:header="0"/>
          <w:type w:val="continuous"/>
        </w:sectPr>
      </w:pPr>
    </w:p>
    <w:bookmarkStart w:id="42" w:name="page43"/>
    <w:bookmarkEnd w:id="42"/>
    <w:p>
      <w:pPr>
        <w:ind w:right="520"/>
        <w:spacing w:after="0" w:line="427" w:lineRule="auto"/>
        <w:rPr>
          <w:sz w:val="20"/>
          <w:szCs w:val="20"/>
          <w:color w:val="auto"/>
        </w:rPr>
      </w:pPr>
      <w:r>
        <w:rPr>
          <w:rFonts w:ascii="Times New Roman" w:cs="Times New Roman" w:eastAsia="Times New Roman" w:hAnsi="Times New Roman"/>
          <w:sz w:val="18"/>
          <w:szCs w:val="18"/>
          <w:color w:val="262626"/>
        </w:rPr>
        <w:t>also impacted on a year over year basis by the $4.0 million settlement with the SEC that was accrued for in the second and third quarters of 2022, and the related legal and professional fees. See Item 3, Part I.</w:t>
      </w:r>
    </w:p>
    <w:p>
      <w:pPr>
        <w:spacing w:after="0" w:line="2" w:lineRule="exact"/>
        <w:rPr>
          <w:sz w:val="20"/>
          <w:szCs w:val="20"/>
          <w:color w:val="auto"/>
        </w:rPr>
      </w:pPr>
    </w:p>
    <w:p>
      <w:pPr>
        <w:ind w:right="580"/>
        <w:spacing w:after="0" w:line="381" w:lineRule="auto"/>
        <w:rPr>
          <w:sz w:val="20"/>
          <w:szCs w:val="20"/>
          <w:color w:val="auto"/>
        </w:rPr>
      </w:pPr>
      <w:r>
        <w:rPr>
          <w:rFonts w:ascii="Arial" w:cs="Arial" w:eastAsia="Arial" w:hAnsi="Arial"/>
          <w:sz w:val="17"/>
          <w:szCs w:val="17"/>
          <w:b w:val="1"/>
          <w:bCs w:val="1"/>
          <w:color w:val="858585"/>
        </w:rPr>
        <w:t xml:space="preserve">TOTAL OTHER INCOME/(EXPENSE). </w:t>
      </w:r>
      <w:r>
        <w:rPr>
          <w:rFonts w:ascii="Times New Roman" w:cs="Times New Roman" w:eastAsia="Times New Roman" w:hAnsi="Times New Roman"/>
          <w:sz w:val="18"/>
          <w:szCs w:val="18"/>
          <w:color w:val="262626"/>
        </w:rPr>
        <w:t>Investment income increased $1.2 million to $4.8 million for 2022 compared to $3.6 million for 2021</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primarily due to increases in interest income from fixed income investments. Other income – net decreased $8.1 million in 2022 versus 2021, primarily due to additional losses on sales of debt investments on a year over year basis.</w:t>
      </w:r>
    </w:p>
    <w:p>
      <w:pPr>
        <w:spacing w:after="0" w:line="32" w:lineRule="exact"/>
        <w:rPr>
          <w:sz w:val="20"/>
          <w:szCs w:val="20"/>
          <w:color w:val="auto"/>
        </w:rPr>
      </w:pPr>
    </w:p>
    <w:p>
      <w:pPr>
        <w:jc w:val="both"/>
        <w:ind w:right="440"/>
        <w:spacing w:after="0" w:line="381" w:lineRule="auto"/>
        <w:rPr>
          <w:sz w:val="20"/>
          <w:szCs w:val="20"/>
          <w:color w:val="auto"/>
        </w:rPr>
      </w:pPr>
      <w:r>
        <w:rPr>
          <w:rFonts w:ascii="Arial" w:cs="Arial" w:eastAsia="Arial" w:hAnsi="Arial"/>
          <w:sz w:val="17"/>
          <w:szCs w:val="17"/>
          <w:b w:val="1"/>
          <w:bCs w:val="1"/>
          <w:color w:val="858585"/>
        </w:rPr>
        <w:t xml:space="preserve">TAXES. </w:t>
      </w:r>
      <w:r>
        <w:rPr>
          <w:rFonts w:ascii="Times New Roman" w:cs="Times New Roman" w:eastAsia="Times New Roman" w:hAnsi="Times New Roman"/>
          <w:sz w:val="18"/>
          <w:szCs w:val="18"/>
          <w:color w:val="262626"/>
        </w:rPr>
        <w:t>The effective tax rate was 13.8% for the year ended December 31, 2022 compared to 13.3% for the prior year. The effective tax rates in</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2022 and 2021 differed from the statutory federal income tax rate, primarily due to the Foreign Derived Intangible Income Deduction, as well as additional equity compensation deductions and various tax credits.</w:t>
      </w:r>
    </w:p>
    <w:p>
      <w:pPr>
        <w:spacing w:after="0" w:line="32" w:lineRule="exact"/>
        <w:rPr>
          <w:sz w:val="20"/>
          <w:szCs w:val="20"/>
          <w:color w:val="auto"/>
        </w:rPr>
      </w:pPr>
    </w:p>
    <w:p>
      <w:pPr>
        <w:ind w:right="540"/>
        <w:spacing w:after="0" w:line="437" w:lineRule="auto"/>
        <w:rPr>
          <w:sz w:val="20"/>
          <w:szCs w:val="20"/>
          <w:color w:val="auto"/>
        </w:rPr>
      </w:pPr>
      <w:r>
        <w:rPr>
          <w:rFonts w:ascii="Arial" w:cs="Arial" w:eastAsia="Arial" w:hAnsi="Arial"/>
          <w:sz w:val="17"/>
          <w:szCs w:val="17"/>
          <w:b w:val="1"/>
          <w:bCs w:val="1"/>
          <w:color w:val="858585"/>
        </w:rPr>
        <w:t xml:space="preserve">NET INCOME. </w:t>
      </w:r>
      <w:r>
        <w:rPr>
          <w:rFonts w:ascii="Times New Roman" w:cs="Times New Roman" w:eastAsia="Times New Roman" w:hAnsi="Times New Roman"/>
          <w:sz w:val="18"/>
          <w:szCs w:val="18"/>
          <w:color w:val="262626"/>
        </w:rPr>
        <w:t>Net income decreased by $42.0 million in 2022, or 12% compared to 2021, primarily due to the year over year changes in gross</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margin and operating profits.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8F8F8F"/>
        </w:rPr>
        <w:t>Results of Operations: 2021 to 2020</w:t>
      </w:r>
    </w:p>
    <w:p>
      <w:pPr>
        <w:spacing w:after="0" w:line="189" w:lineRule="exact"/>
        <w:rPr>
          <w:sz w:val="20"/>
          <w:szCs w:val="20"/>
          <w:color w:val="auto"/>
        </w:rPr>
      </w:pPr>
    </w:p>
    <w:p>
      <w:pPr>
        <w:ind w:right="360"/>
        <w:spacing w:after="0" w:line="353" w:lineRule="auto"/>
        <w:rPr>
          <w:sz w:val="20"/>
          <w:szCs w:val="20"/>
          <w:color w:val="auto"/>
        </w:rPr>
      </w:pPr>
      <w:r>
        <w:rPr>
          <w:rFonts w:ascii="Arial" w:cs="Arial" w:eastAsia="Arial" w:hAnsi="Arial"/>
          <w:sz w:val="17"/>
          <w:szCs w:val="17"/>
          <w:b w:val="1"/>
          <w:bCs w:val="1"/>
          <w:color w:val="858585"/>
        </w:rPr>
        <w:t xml:space="preserve">NET SALES. </w:t>
      </w:r>
      <w:r>
        <w:rPr>
          <w:rFonts w:ascii="Times New Roman" w:cs="Times New Roman" w:eastAsia="Times New Roman" w:hAnsi="Times New Roman"/>
          <w:sz w:val="18"/>
          <w:szCs w:val="18"/>
          <w:color w:val="262626"/>
        </w:rPr>
        <w:t>In 2021, the Company’s net sales increased by $43.0 million, or 3% compared to the prior year. Net sales for 2021 were negatively</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impacted by lower than forecasted global vehicle production rates for calendar year 2021, which declined 3% on a year over year basis. The increase in the Company’s sales was primarily driven by a 9% year over year increase in automatic-dimming mirror shipments, from 38.2 million units in 2020 to 41.8 million units in 2021, despite the electronics components shortages impacting the Company’s ability to meet customer demand for Full Display Mirror® (FDM), Integrated Toll Module (ITM), and other advanced feature shipments.</w:t>
      </w:r>
    </w:p>
    <w:p>
      <w:pPr>
        <w:spacing w:after="0" w:line="58" w:lineRule="exact"/>
        <w:rPr>
          <w:sz w:val="20"/>
          <w:szCs w:val="20"/>
          <w:color w:val="auto"/>
        </w:rPr>
      </w:pPr>
    </w:p>
    <w:p>
      <w:pPr>
        <w:ind w:right="340"/>
        <w:spacing w:after="0" w:line="362" w:lineRule="auto"/>
        <w:rPr>
          <w:sz w:val="20"/>
          <w:szCs w:val="20"/>
          <w:color w:val="auto"/>
        </w:rPr>
      </w:pPr>
      <w:r>
        <w:rPr>
          <w:rFonts w:ascii="Times New Roman" w:cs="Times New Roman" w:eastAsia="Times New Roman" w:hAnsi="Times New Roman"/>
          <w:sz w:val="18"/>
          <w:szCs w:val="18"/>
          <w:color w:val="262626"/>
        </w:rPr>
        <w:t>Other net sales for calendar year 2021 were $34.0 million, compared to Other net sales of $40.0 million in calendar year 2020. Fire protection sales increased by 10% year over year, while dimmable aircraft windows were down 48% in 2021 compared to calendar year 2020. The Company expects that dimmable aircraft window sales will continue to be impacted until there is a more meaningful recovery of the aerospace industry and the Boeing 787 production levels improve.</w:t>
      </w:r>
    </w:p>
    <w:p>
      <w:pPr>
        <w:spacing w:after="0" w:line="49" w:lineRule="exact"/>
        <w:rPr>
          <w:sz w:val="20"/>
          <w:szCs w:val="20"/>
          <w:color w:val="auto"/>
        </w:rPr>
      </w:pPr>
    </w:p>
    <w:p>
      <w:pPr>
        <w:ind w:right="520"/>
        <w:spacing w:after="0" w:line="347" w:lineRule="auto"/>
        <w:rPr>
          <w:sz w:val="20"/>
          <w:szCs w:val="20"/>
          <w:color w:val="auto"/>
        </w:rPr>
      </w:pPr>
      <w:r>
        <w:rPr>
          <w:rFonts w:ascii="Arial" w:cs="Arial" w:eastAsia="Arial" w:hAnsi="Arial"/>
          <w:sz w:val="17"/>
          <w:szCs w:val="17"/>
          <w:b w:val="1"/>
          <w:bCs w:val="1"/>
          <w:color w:val="858585"/>
        </w:rPr>
        <w:t xml:space="preserve">COST OF GOODS SOLD. </w:t>
      </w:r>
      <w:r>
        <w:rPr>
          <w:rFonts w:ascii="Times New Roman" w:cs="Times New Roman" w:eastAsia="Times New Roman" w:hAnsi="Times New Roman"/>
          <w:sz w:val="18"/>
          <w:szCs w:val="18"/>
          <w:color w:val="262626"/>
        </w:rPr>
        <w:t>As a percentage of net sales, cost of goods sold increased from 64.1% in 2020 to 64.2% in 2021. The year over year</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decrease in the gross margin was primarily the result of annual customer price reductions and freight related cost increases, which were mostly offset by purchasing cost reductions and product mix improvement over 2020. On a year over year basis, annual customer price reductions and freight related cost increases each had a negative impact of approximately 100 - 150 basis points on gross margin. Purchasing cost reductions and product mix improvements in 2021 versus 2020 each independently had a positive impact on gross margin on a year over year basis of approximately 50 - 100 basis points.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858585"/>
        </w:rPr>
        <w:t xml:space="preserve">OPERATING EXPENSES. </w:t>
      </w:r>
      <w:r>
        <w:rPr>
          <w:rFonts w:ascii="Times New Roman" w:cs="Times New Roman" w:eastAsia="Times New Roman" w:hAnsi="Times New Roman"/>
          <w:sz w:val="18"/>
          <w:szCs w:val="18"/>
          <w:color w:val="262626"/>
        </w:rPr>
        <w:t>Engineering, research and development expenses (“E, R &amp; D”) increased by $1.8 million or 2% from 2020 to 2021,</w:t>
      </w:r>
    </w:p>
    <w:p>
      <w:pPr>
        <w:spacing w:after="0" w:line="100" w:lineRule="exact"/>
        <w:rPr>
          <w:sz w:val="20"/>
          <w:szCs w:val="20"/>
          <w:color w:val="auto"/>
        </w:rPr>
      </w:pPr>
    </w:p>
    <w:p>
      <w:pPr>
        <w:ind w:right="420"/>
        <w:spacing w:after="0" w:line="409" w:lineRule="auto"/>
        <w:rPr>
          <w:sz w:val="20"/>
          <w:szCs w:val="20"/>
          <w:color w:val="auto"/>
        </w:rPr>
      </w:pPr>
      <w:r>
        <w:rPr>
          <w:rFonts w:ascii="Times New Roman" w:cs="Times New Roman" w:eastAsia="Times New Roman" w:hAnsi="Times New Roman"/>
          <w:sz w:val="18"/>
          <w:szCs w:val="18"/>
          <w:color w:val="262626"/>
        </w:rPr>
        <w:t>but remained at 7% of net sales. E, R &amp; D increased, primarily due to increased staffing levels, which continue to support growth and development of new business.</w:t>
      </w:r>
    </w:p>
    <w:p>
      <w:pPr>
        <w:spacing w:after="0" w:line="8" w:lineRule="exact"/>
        <w:rPr>
          <w:sz w:val="20"/>
          <w:szCs w:val="20"/>
          <w:color w:val="auto"/>
        </w:rPr>
      </w:pPr>
    </w:p>
    <w:p>
      <w:pPr>
        <w:jc w:val="both"/>
        <w:ind w:right="480"/>
        <w:spacing w:after="0" w:line="382" w:lineRule="auto"/>
        <w:rPr>
          <w:sz w:val="20"/>
          <w:szCs w:val="20"/>
          <w:color w:val="auto"/>
        </w:rPr>
      </w:pPr>
      <w:r>
        <w:rPr>
          <w:rFonts w:ascii="Times New Roman" w:cs="Times New Roman" w:eastAsia="Times New Roman" w:hAnsi="Times New Roman"/>
          <w:sz w:val="18"/>
          <w:szCs w:val="18"/>
          <w:color w:val="262626"/>
        </w:rPr>
        <w:t>Selling, general and administrative (“S, G &amp; A”) expenses increased by $2.2 million or 2% from 2020 to 2021, but remained at 5% of net sales. The primary reason for the increase in S, G &amp; A from 2020 to 2021 was due to wages and benefits, other resources associated with mitigation of the impacts of the global COVID-19 pandemic, and increased legal and professional fees.</w:t>
      </w:r>
    </w:p>
    <w:p>
      <w:pPr>
        <w:spacing w:after="0" w:line="29" w:lineRule="exact"/>
        <w:rPr>
          <w:sz w:val="20"/>
          <w:szCs w:val="20"/>
          <w:color w:val="auto"/>
        </w:rPr>
      </w:pPr>
    </w:p>
    <w:p>
      <w:pPr>
        <w:ind w:right="700"/>
        <w:spacing w:after="0" w:line="362" w:lineRule="auto"/>
        <w:rPr>
          <w:sz w:val="20"/>
          <w:szCs w:val="20"/>
          <w:color w:val="auto"/>
        </w:rPr>
      </w:pPr>
      <w:r>
        <w:rPr>
          <w:rFonts w:ascii="Arial" w:cs="Arial" w:eastAsia="Arial" w:hAnsi="Arial"/>
          <w:sz w:val="17"/>
          <w:szCs w:val="17"/>
          <w:b w:val="1"/>
          <w:bCs w:val="1"/>
          <w:color w:val="858585"/>
        </w:rPr>
        <w:t xml:space="preserve">TOTAL OTHER INCOME/(EXPENSE). </w:t>
      </w:r>
      <w:r>
        <w:rPr>
          <w:rFonts w:ascii="Times New Roman" w:cs="Times New Roman" w:eastAsia="Times New Roman" w:hAnsi="Times New Roman"/>
          <w:sz w:val="18"/>
          <w:szCs w:val="18"/>
          <w:color w:val="262626"/>
        </w:rPr>
        <w:t>Investment income decreased $3.4 million to $3.6 million for 2021 compared to $7.0 million for 2020</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primarily due to decreases in interest income from fixed income investments. Other income – net decreased $2.3 million in 2021 versus 2020, primarily due to decreases in gains on sales of debt investments on a year over year basis, as well as gains recognized in 2020 on initial investments that were fully acquired during 2020.</w:t>
      </w:r>
    </w:p>
    <w:p>
      <w:pPr>
        <w:spacing w:after="0" w:line="49" w:lineRule="exact"/>
        <w:rPr>
          <w:sz w:val="20"/>
          <w:szCs w:val="20"/>
          <w:color w:val="auto"/>
        </w:rPr>
      </w:pPr>
    </w:p>
    <w:p>
      <w:pPr>
        <w:jc w:val="both"/>
        <w:ind w:right="380"/>
        <w:spacing w:after="0" w:line="382" w:lineRule="auto"/>
        <w:rPr>
          <w:sz w:val="20"/>
          <w:szCs w:val="20"/>
          <w:color w:val="auto"/>
        </w:rPr>
      </w:pPr>
      <w:r>
        <w:rPr>
          <w:rFonts w:ascii="Arial" w:cs="Arial" w:eastAsia="Arial" w:hAnsi="Arial"/>
          <w:sz w:val="17"/>
          <w:szCs w:val="17"/>
          <w:b w:val="1"/>
          <w:bCs w:val="1"/>
          <w:color w:val="858585"/>
        </w:rPr>
        <w:t xml:space="preserve">TAXES. </w:t>
      </w:r>
      <w:r>
        <w:rPr>
          <w:rFonts w:ascii="Times New Roman" w:cs="Times New Roman" w:eastAsia="Times New Roman" w:hAnsi="Times New Roman"/>
          <w:sz w:val="18"/>
          <w:szCs w:val="18"/>
          <w:color w:val="262626"/>
        </w:rPr>
        <w:t>The effective tax rate was 13.3% for the year ended December 31, 2021 compared to 15.6% for the prior year. The effective tax rates in</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2021 and 2020 differed from the statutory federal income tax rate, primarily due to the Foreign Derived Intangible Income Deduction, research and development tax credits and discrete benefits from stock based compensation.</w:t>
      </w:r>
    </w:p>
    <w:p>
      <w:pPr>
        <w:spacing w:after="0" w:line="29" w:lineRule="exact"/>
        <w:rPr>
          <w:sz w:val="20"/>
          <w:szCs w:val="20"/>
          <w:color w:val="auto"/>
        </w:rPr>
      </w:pPr>
    </w:p>
    <w:p>
      <w:pPr>
        <w:ind w:right="360"/>
        <w:spacing w:after="0" w:line="437" w:lineRule="auto"/>
        <w:rPr>
          <w:sz w:val="20"/>
          <w:szCs w:val="20"/>
          <w:color w:val="auto"/>
        </w:rPr>
      </w:pPr>
      <w:r>
        <w:rPr>
          <w:rFonts w:ascii="Arial" w:cs="Arial" w:eastAsia="Arial" w:hAnsi="Arial"/>
          <w:sz w:val="17"/>
          <w:szCs w:val="17"/>
          <w:b w:val="1"/>
          <w:bCs w:val="1"/>
          <w:color w:val="858585"/>
        </w:rPr>
        <w:t xml:space="preserve">NET INCOME. </w:t>
      </w:r>
      <w:r>
        <w:rPr>
          <w:rFonts w:ascii="Times New Roman" w:cs="Times New Roman" w:eastAsia="Times New Roman" w:hAnsi="Times New Roman"/>
          <w:sz w:val="18"/>
          <w:szCs w:val="18"/>
          <w:color w:val="262626"/>
        </w:rPr>
        <w:t>Net income increased by $13.2 million, or 4% year over year, primarily due to the 3% increase in revenue on a year over year basis,</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as well as the decrease in the effective tax rate.</w:t>
      </w: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42"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43</w:t>
      </w:r>
    </w:p>
    <w:p>
      <w:pPr>
        <w:sectPr>
          <w:pgSz w:w="12240" w:h="15840" w:orient="portrait"/>
          <w:cols w:equalWidth="0" w:num="1">
            <w:col w:w="10760"/>
          </w:cols>
          <w:pgMar w:left="900" w:top="852" w:right="580" w:bottom="0" w:gutter="0" w:footer="0" w:header="0"/>
          <w:type w:val="continuous"/>
        </w:sectPr>
      </w:pPr>
    </w:p>
    <w:bookmarkStart w:id="43" w:name="page44"/>
    <w:bookmarkEnd w:id="43"/>
    <w:p>
      <w:pPr>
        <w:ind w:left="320"/>
        <w:spacing w:after="0"/>
        <w:rPr>
          <w:sz w:val="20"/>
          <w:szCs w:val="20"/>
          <w:color w:val="auto"/>
        </w:rPr>
      </w:pPr>
      <w:r>
        <w:rPr>
          <w:rFonts w:ascii="Arial" w:cs="Arial" w:eastAsia="Arial" w:hAnsi="Arial"/>
          <w:sz w:val="22"/>
          <w:szCs w:val="22"/>
          <w:b w:val="1"/>
          <w:bCs w:val="1"/>
          <w:color w:val="8F8F8F"/>
        </w:rPr>
        <w:t>Liquidity and Capital Resources</w:t>
      </w:r>
    </w:p>
    <w:p>
      <w:pPr>
        <w:spacing w:after="0" w:line="191" w:lineRule="exact"/>
        <w:rPr>
          <w:sz w:val="20"/>
          <w:szCs w:val="20"/>
          <w:color w:val="auto"/>
        </w:rPr>
      </w:pPr>
    </w:p>
    <w:p>
      <w:pPr>
        <w:jc w:val="both"/>
        <w:ind w:left="320" w:right="360"/>
        <w:spacing w:after="0" w:line="381" w:lineRule="auto"/>
        <w:rPr>
          <w:sz w:val="20"/>
          <w:szCs w:val="20"/>
          <w:color w:val="auto"/>
        </w:rPr>
      </w:pPr>
      <w:r>
        <w:rPr>
          <w:rFonts w:ascii="Times New Roman" w:cs="Times New Roman" w:eastAsia="Times New Roman" w:hAnsi="Times New Roman"/>
          <w:sz w:val="18"/>
          <w:szCs w:val="18"/>
          <w:color w:val="262626"/>
        </w:rPr>
        <w:t>The Company’s financial condition throughout the periods presented has remained very strong, despite lower than forecasted global vehicle production rates and supply chain disruptions in 2022 and a 3% decline in light vehicle production in the Company’s primary markets from 2020 to 2021.</w:t>
      </w:r>
    </w:p>
    <w:p>
      <w:pPr>
        <w:spacing w:after="0" w:line="34" w:lineRule="exact"/>
        <w:rPr>
          <w:sz w:val="20"/>
          <w:szCs w:val="20"/>
          <w:color w:val="auto"/>
        </w:rPr>
      </w:pPr>
    </w:p>
    <w:p>
      <w:pPr>
        <w:jc w:val="both"/>
        <w:ind w:left="320" w:right="220"/>
        <w:spacing w:after="0" w:line="381" w:lineRule="auto"/>
        <w:rPr>
          <w:sz w:val="20"/>
          <w:szCs w:val="20"/>
          <w:color w:val="auto"/>
        </w:rPr>
      </w:pPr>
      <w:r>
        <w:rPr>
          <w:rFonts w:ascii="Times New Roman" w:cs="Times New Roman" w:eastAsia="Times New Roman" w:hAnsi="Times New Roman"/>
          <w:sz w:val="18"/>
          <w:szCs w:val="18"/>
          <w:color w:val="262626"/>
        </w:rPr>
        <w:t>The Company’s cash and cash equivalents were $214.8 million, $262.3 million, and $423.4 million as of December 31, 2022, 2021 and 2020, respectively. The Company’s cash and cash equivalents include amounts held by foreign subsidiaries of $12.5 million, $10.7 million and $7.4 million as of December 31, 2022, 2021 and 2020, respectively.</w:t>
      </w:r>
    </w:p>
    <w:p>
      <w:pPr>
        <w:spacing w:after="0" w:line="34" w:lineRule="exact"/>
        <w:rPr>
          <w:sz w:val="20"/>
          <w:szCs w:val="20"/>
          <w:color w:val="auto"/>
        </w:rPr>
      </w:pPr>
    </w:p>
    <w:p>
      <w:pPr>
        <w:ind w:left="320" w:right="140"/>
        <w:spacing w:after="0" w:line="352" w:lineRule="auto"/>
        <w:rPr>
          <w:sz w:val="20"/>
          <w:szCs w:val="20"/>
          <w:color w:val="auto"/>
        </w:rPr>
      </w:pPr>
      <w:r>
        <w:rPr>
          <w:rFonts w:ascii="Times New Roman" w:cs="Times New Roman" w:eastAsia="Times New Roman" w:hAnsi="Times New Roman"/>
          <w:sz w:val="18"/>
          <w:szCs w:val="18"/>
          <w:color w:val="262626"/>
        </w:rPr>
        <w:t>Cash flow from operating activities was $338.2 million, $362.2 million and $464.5 million for the years ended December 31, 2022, 2021 and 2020, respectively. Cash flow from operating activities decreased $24.0 million for the year ended December 31, 2022 compared to the prior year, primarily due to decreases in net income and changes in working capital, which were partially offset by changes in deferred taxes. Cash flow from operating activities decreased $102.3 million for the year ended December 31, 2021 compared to the same period in 2020, primarily due to changes in working capital and deferred taxes, which were partially offset by the increase in net income.</w:t>
      </w:r>
    </w:p>
    <w:p>
      <w:pPr>
        <w:spacing w:after="0" w:line="63" w:lineRule="exact"/>
        <w:rPr>
          <w:sz w:val="20"/>
          <w:szCs w:val="20"/>
          <w:color w:val="auto"/>
        </w:rPr>
      </w:pPr>
    </w:p>
    <w:p>
      <w:pPr>
        <w:ind w:left="320" w:right="100"/>
        <w:spacing w:after="0" w:line="353" w:lineRule="auto"/>
        <w:rPr>
          <w:sz w:val="20"/>
          <w:szCs w:val="20"/>
          <w:color w:val="auto"/>
        </w:rPr>
      </w:pPr>
      <w:r>
        <w:rPr>
          <w:rFonts w:ascii="Times New Roman" w:cs="Times New Roman" w:eastAsia="Times New Roman" w:hAnsi="Times New Roman"/>
          <w:sz w:val="18"/>
          <w:szCs w:val="18"/>
          <w:color w:val="262626"/>
        </w:rPr>
        <w:t>Cash flow used for investing activities for the year ended December 31, 2022 increased by $59.6 million to $172.7 million, compared with cash flow used for investing activities of $113.1 million for the year ended December 31, 2021, primarily due to increased investment purchases of equity method investments during the year. Cash flow used for investing activities for the year ended December 31, 2021 increased by $139.5 million to $113.1 million, compared to cash flow provided by the year ended December 31, 2020, primarily due to increased investment purchases of fixed income investments during that year.</w:t>
      </w:r>
    </w:p>
    <w:p>
      <w:pPr>
        <w:spacing w:after="0" w:line="58" w:lineRule="exact"/>
        <w:rPr>
          <w:sz w:val="20"/>
          <w:szCs w:val="20"/>
          <w:color w:val="auto"/>
        </w:rPr>
      </w:pPr>
    </w:p>
    <w:p>
      <w:pPr>
        <w:ind w:left="320" w:right="20"/>
        <w:spacing w:after="0" w:line="352" w:lineRule="auto"/>
        <w:rPr>
          <w:sz w:val="20"/>
          <w:szCs w:val="20"/>
          <w:color w:val="auto"/>
        </w:rPr>
      </w:pPr>
      <w:r>
        <w:rPr>
          <w:rFonts w:ascii="Times New Roman" w:cs="Times New Roman" w:eastAsia="Times New Roman" w:hAnsi="Times New Roman"/>
          <w:sz w:val="18"/>
          <w:szCs w:val="18"/>
          <w:color w:val="262626"/>
        </w:rPr>
        <w:t>Capital expenditures were $146.4 million, $68.8 million, and $51.7 million for the years ended December 31, 2022, 2021, and 2020, respectively. Capital expenditures for the year ended December 31, 2022 increased by $77.6 million compared with the year ended December 31, 2021 primarily due to an increase in expenditures related to building and facility construction projects previously discussed. Capital expenditures for the year ended December 31, 2021 increased by $17.1 million compared to the year ended December 31, 2020 primarily due to an increase in production equipment purchases.</w:t>
      </w:r>
    </w:p>
    <w:p>
      <w:pPr>
        <w:spacing w:after="0" w:line="63" w:lineRule="exact"/>
        <w:rPr>
          <w:sz w:val="20"/>
          <w:szCs w:val="20"/>
          <w:color w:val="auto"/>
        </w:rPr>
      </w:pPr>
    </w:p>
    <w:p>
      <w:pPr>
        <w:jc w:val="both"/>
        <w:ind w:left="320" w:right="80"/>
        <w:spacing w:after="0" w:line="381" w:lineRule="auto"/>
        <w:rPr>
          <w:sz w:val="20"/>
          <w:szCs w:val="20"/>
          <w:color w:val="auto"/>
        </w:rPr>
      </w:pPr>
      <w:r>
        <w:rPr>
          <w:rFonts w:ascii="Times New Roman" w:cs="Times New Roman" w:eastAsia="Times New Roman" w:hAnsi="Times New Roman"/>
          <w:sz w:val="18"/>
          <w:szCs w:val="18"/>
          <w:color w:val="262626"/>
        </w:rPr>
        <w:t>Cash flow used for financing activities for the year ended December 31, 2022, decreased $201.1 million to $209.0 million, compared to $410.1 million for the year ended December 31, 2021, primarily due to a decrease in the amount of shares of common stock repurchased which totaled $112.5 million during the calendar year 2022 as compared to $324.6 million during the calendar year 2021.</w:t>
      </w:r>
    </w:p>
    <w:p>
      <w:pPr>
        <w:spacing w:after="0" w:line="34" w:lineRule="exact"/>
        <w:rPr>
          <w:sz w:val="20"/>
          <w:szCs w:val="20"/>
          <w:color w:val="auto"/>
        </w:rPr>
      </w:pPr>
    </w:p>
    <w:p>
      <w:pPr>
        <w:ind w:left="320" w:right="200"/>
        <w:spacing w:after="0" w:line="381" w:lineRule="auto"/>
        <w:rPr>
          <w:sz w:val="20"/>
          <w:szCs w:val="20"/>
          <w:color w:val="auto"/>
        </w:rPr>
      </w:pPr>
      <w:r>
        <w:rPr>
          <w:rFonts w:ascii="Times New Roman" w:cs="Times New Roman" w:eastAsia="Times New Roman" w:hAnsi="Times New Roman"/>
          <w:sz w:val="18"/>
          <w:szCs w:val="18"/>
          <w:color w:val="262626"/>
        </w:rPr>
        <w:t>Cash flow used for financing activities for the year ended December 31, 2021, increased $46.3 million to $410.1 million compared to the year ended December 31, 2020, primarily due to a reduction in the amount of shares of common stock repurchased which totaled $324.6 million during the calendar year 2021 as compared to $288.5 million during the calendar year 2020.</w:t>
      </w:r>
    </w:p>
    <w:p>
      <w:pPr>
        <w:spacing w:after="0" w:line="34" w:lineRule="exact"/>
        <w:rPr>
          <w:sz w:val="20"/>
          <w:szCs w:val="20"/>
          <w:color w:val="auto"/>
        </w:rPr>
      </w:pPr>
    </w:p>
    <w:p>
      <w:pPr>
        <w:ind w:left="320"/>
        <w:spacing w:after="0" w:line="353" w:lineRule="auto"/>
        <w:rPr>
          <w:sz w:val="20"/>
          <w:szCs w:val="20"/>
          <w:color w:val="auto"/>
        </w:rPr>
      </w:pPr>
      <w:r>
        <w:rPr>
          <w:rFonts w:ascii="Times New Roman" w:cs="Times New Roman" w:eastAsia="Times New Roman" w:hAnsi="Times New Roman"/>
          <w:sz w:val="18"/>
          <w:szCs w:val="18"/>
          <w:color w:val="262626"/>
        </w:rPr>
        <w:t>Short-term investments as of December 31, 2022 were $23.0 million, up from $5.4 million as of December 31, 2021 and long-term investments were $153.9 million as of December 31, 2022, down from $207.7 million as of December 31, 2021, due to changes in the Company’s overall investment portfolio and increased investment in equity method investments. Equity method investments increased to $48.4 million, primarily as a result of additional investment purchases during 2022, including the investment in GreenMarbles in the second quarter of 2022. This investment in GreenMarbles was made with $20.0 million in cash and the issuance of $5.0 million of the Company’s common stock.</w:t>
      </w:r>
    </w:p>
    <w:p>
      <w:pPr>
        <w:spacing w:after="0" w:line="58" w:lineRule="exact"/>
        <w:rPr>
          <w:sz w:val="20"/>
          <w:szCs w:val="20"/>
          <w:color w:val="auto"/>
        </w:rPr>
      </w:pPr>
    </w:p>
    <w:p>
      <w:pPr>
        <w:ind w:left="320" w:right="380"/>
        <w:spacing w:after="0" w:line="429" w:lineRule="auto"/>
        <w:rPr>
          <w:sz w:val="20"/>
          <w:szCs w:val="20"/>
          <w:color w:val="auto"/>
        </w:rPr>
      </w:pPr>
      <w:r>
        <w:rPr>
          <w:rFonts w:ascii="Times New Roman" w:cs="Times New Roman" w:eastAsia="Times New Roman" w:hAnsi="Times New Roman"/>
          <w:sz w:val="18"/>
          <w:szCs w:val="18"/>
          <w:color w:val="262626"/>
        </w:rPr>
        <w:t>Accounts receivable as of December 31, 2022 increased $26.7 million compared to December 31, 2021, primarily due to the timing of sales within those years.</w:t>
      </w:r>
    </w:p>
    <w:p>
      <w:pPr>
        <w:ind w:left="320" w:right="660"/>
        <w:spacing w:after="0" w:line="429" w:lineRule="auto"/>
        <w:rPr>
          <w:sz w:val="20"/>
          <w:szCs w:val="20"/>
          <w:color w:val="auto"/>
        </w:rPr>
      </w:pPr>
      <w:r>
        <w:rPr>
          <w:rFonts w:ascii="Times New Roman" w:cs="Times New Roman" w:eastAsia="Times New Roman" w:hAnsi="Times New Roman"/>
          <w:sz w:val="18"/>
          <w:szCs w:val="18"/>
          <w:color w:val="262626"/>
        </w:rPr>
        <w:t>Inventories as of December 31, 2022, increased $88.1 million compared to December 31, 2021, primarily due to increased raw material inventory levels to manage risk related to potential supply chain disruptions and volatility in customer orders.</w:t>
      </w:r>
    </w:p>
    <w:p>
      <w:pPr>
        <w:ind w:left="320" w:right="240"/>
        <w:spacing w:after="0" w:line="429" w:lineRule="auto"/>
        <w:rPr>
          <w:sz w:val="20"/>
          <w:szCs w:val="20"/>
          <w:color w:val="auto"/>
        </w:rPr>
      </w:pPr>
      <w:r>
        <w:rPr>
          <w:rFonts w:ascii="Times New Roman" w:cs="Times New Roman" w:eastAsia="Times New Roman" w:hAnsi="Times New Roman"/>
          <w:sz w:val="18"/>
          <w:szCs w:val="18"/>
          <w:color w:val="262626"/>
        </w:rPr>
        <w:t>Intangible Assets, net as of December 31, 2022 decreased $19.8 million compared to December 31, 2021, due to the amortization of definite lived intangible assets and patents, which is discussed further in Note 10 of the Consolidated Financial Statements.</w:t>
      </w:r>
    </w:p>
    <w:p>
      <w:pPr>
        <w:ind w:left="320" w:right="300"/>
        <w:spacing w:after="0" w:line="437" w:lineRule="auto"/>
        <w:rPr>
          <w:sz w:val="20"/>
          <w:szCs w:val="20"/>
          <w:color w:val="auto"/>
        </w:rPr>
      </w:pPr>
      <w:r>
        <w:rPr>
          <w:rFonts w:ascii="Times New Roman" w:cs="Times New Roman" w:eastAsia="Times New Roman" w:hAnsi="Times New Roman"/>
          <w:sz w:val="18"/>
          <w:szCs w:val="18"/>
          <w:color w:val="262626"/>
        </w:rPr>
        <w:t>Accounts payable as of December 31, 2022, increased $53.4 million compared to December 31, 2021, primarily due increases in, and timing of, inventory and capital expenditure payments.</w:t>
      </w:r>
    </w:p>
    <w:p>
      <w:pPr>
        <w:sectPr>
          <w:pgSz w:w="12240" w:h="15840" w:orient="portrait"/>
          <w:cols w:equalWidth="0" w:num="1">
            <w:col w:w="10740"/>
          </w:cols>
          <w:pgMar w:left="580" w:top="830" w:right="920" w:bottom="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44</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40"/>
          </w:cols>
          <w:pgMar w:left="580" w:top="830" w:right="920" w:bottom="0" w:gutter="0" w:footer="0" w:header="0"/>
          <w:type w:val="continuous"/>
        </w:sectPr>
      </w:pPr>
    </w:p>
    <w:bookmarkStart w:id="44" w:name="page45"/>
    <w:bookmarkEnd w:id="44"/>
    <w:p>
      <w:pPr>
        <w:ind w:right="520"/>
        <w:spacing w:after="0" w:line="362" w:lineRule="auto"/>
        <w:rPr>
          <w:sz w:val="20"/>
          <w:szCs w:val="20"/>
          <w:color w:val="auto"/>
        </w:rPr>
      </w:pPr>
      <w:r>
        <w:rPr>
          <w:rFonts w:ascii="Times New Roman" w:cs="Times New Roman" w:eastAsia="Times New Roman" w:hAnsi="Times New Roman"/>
          <w:sz w:val="18"/>
          <w:szCs w:val="18"/>
          <w:color w:val="262626"/>
        </w:rPr>
        <w:t>Management considers the Company’s current working capital and long-term investments, as well as its existing credit financing arrangement (notwithstanding covenants prohibiting additional indebtedness), discussed further in Note 2 of the Consolidated Financial Statements, in addition to internally generated cash flow, to be sufficient to cover anticipated cash needs for the foreseeable future considering its contractual obligations and commitments.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The following is a summary of working capital and long-term investments: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2022</w:t>
            </w:r>
          </w:p>
        </w:tc>
        <w:tc>
          <w:tcPr>
            <w:tcW w:w="760" w:type="dxa"/>
            <w:vAlign w:val="bottom"/>
          </w:tcPr>
          <w:p>
            <w:pPr>
              <w:spacing w:after="0"/>
              <w:rPr>
                <w:sz w:val="24"/>
                <w:szCs w:val="24"/>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2021</w:t>
            </w:r>
          </w:p>
        </w:tc>
        <w:tc>
          <w:tcPr>
            <w:tcW w:w="7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262626"/>
              </w:rPr>
              <w:t>2020</w:t>
            </w:r>
          </w:p>
        </w:tc>
      </w:tr>
      <w:tr>
        <w:trPr>
          <w:trHeight w:val="345"/>
        </w:trPr>
        <w:tc>
          <w:tcPr>
            <w:tcW w:w="36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Working Capital</w:t>
            </w:r>
          </w:p>
        </w:tc>
        <w:tc>
          <w:tcPr>
            <w:tcW w:w="680" w:type="dxa"/>
            <w:vAlign w:val="bottom"/>
            <w:tcBorders>
              <w:bottom w:val="single" w:sz="8" w:color="838383"/>
            </w:tcBorders>
          </w:tcPr>
          <w:p>
            <w:pPr>
              <w:jc w:val="right"/>
              <w:ind w:right="490"/>
              <w:spacing w:after="0"/>
              <w:rPr>
                <w:sz w:val="20"/>
                <w:szCs w:val="20"/>
                <w:color w:val="auto"/>
              </w:rPr>
            </w:pPr>
            <w:r>
              <w:rPr>
                <w:rFonts w:ascii="Times New Roman" w:cs="Times New Roman" w:eastAsia="Times New Roman" w:hAnsi="Times New Roman"/>
                <w:sz w:val="18"/>
                <w:szCs w:val="18"/>
                <w:color w:val="262626"/>
                <w:w w:val="88"/>
              </w:rPr>
              <w:t>$</w:t>
            </w:r>
          </w:p>
        </w:tc>
        <w:tc>
          <w:tcPr>
            <w:tcW w:w="15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698,099,624</w:t>
            </w:r>
          </w:p>
        </w:tc>
        <w:tc>
          <w:tcPr>
            <w:tcW w:w="760" w:type="dxa"/>
            <w:vAlign w:val="bottom"/>
            <w:tcBorders>
              <w:bottom w:val="single" w:sz="8" w:color="838383"/>
            </w:tcBorders>
          </w:tcPr>
          <w:p>
            <w:pPr>
              <w:jc w:val="right"/>
              <w:ind w:right="490"/>
              <w:spacing w:after="0"/>
              <w:rPr>
                <w:sz w:val="20"/>
                <w:szCs w:val="20"/>
                <w:color w:val="auto"/>
              </w:rPr>
            </w:pPr>
            <w:r>
              <w:rPr>
                <w:rFonts w:ascii="Times New Roman" w:cs="Times New Roman" w:eastAsia="Times New Roman" w:hAnsi="Times New Roman"/>
                <w:sz w:val="18"/>
                <w:szCs w:val="18"/>
                <w:color w:val="262626"/>
              </w:rPr>
              <w:t>$</w:t>
            </w:r>
          </w:p>
        </w:tc>
        <w:tc>
          <w:tcPr>
            <w:tcW w:w="15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691,319,649</w:t>
            </w:r>
          </w:p>
        </w:tc>
        <w:tc>
          <w:tcPr>
            <w:tcW w:w="760" w:type="dxa"/>
            <w:vAlign w:val="bottom"/>
            <w:tcBorders>
              <w:bottom w:val="single" w:sz="8" w:color="838383"/>
            </w:tcBorders>
          </w:tcPr>
          <w:p>
            <w:pPr>
              <w:jc w:val="right"/>
              <w:ind w:right="490"/>
              <w:spacing w:after="0"/>
              <w:rPr>
                <w:sz w:val="20"/>
                <w:szCs w:val="20"/>
                <w:color w:val="auto"/>
              </w:rPr>
            </w:pPr>
            <w:r>
              <w:rPr>
                <w:rFonts w:ascii="Times New Roman" w:cs="Times New Roman" w:eastAsia="Times New Roman" w:hAnsi="Times New Roman"/>
                <w:sz w:val="18"/>
                <w:szCs w:val="18"/>
                <w:color w:val="262626"/>
              </w:rPr>
              <w:t>$</w:t>
            </w:r>
          </w:p>
        </w:tc>
        <w:tc>
          <w:tcPr>
            <w:tcW w:w="14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801,593,707</w:t>
            </w:r>
          </w:p>
        </w:tc>
      </w:tr>
      <w:tr>
        <w:trPr>
          <w:trHeight w:val="355"/>
        </w:trPr>
        <w:tc>
          <w:tcPr>
            <w:tcW w:w="36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Long Term Investments</w:t>
            </w:r>
          </w:p>
        </w:tc>
        <w:tc>
          <w:tcPr>
            <w:tcW w:w="680" w:type="dxa"/>
            <w:vAlign w:val="bottom"/>
            <w:tcBorders>
              <w:bottom w:val="single" w:sz="8" w:color="8F8F8F"/>
            </w:tcBorders>
          </w:tcPr>
          <w:p>
            <w:pPr>
              <w:jc w:val="right"/>
              <w:ind w:right="490"/>
              <w:spacing w:after="0"/>
              <w:rPr>
                <w:sz w:val="20"/>
                <w:szCs w:val="20"/>
                <w:color w:val="auto"/>
              </w:rPr>
            </w:pPr>
            <w:r>
              <w:rPr>
                <w:rFonts w:ascii="Times New Roman" w:cs="Times New Roman" w:eastAsia="Times New Roman" w:hAnsi="Times New Roman"/>
                <w:sz w:val="18"/>
                <w:szCs w:val="18"/>
                <w:color w:val="262626"/>
                <w:w w:val="88"/>
              </w:rPr>
              <w:t>$</w:t>
            </w:r>
          </w:p>
        </w:tc>
        <w:tc>
          <w:tcPr>
            <w:tcW w:w="15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153,906,005</w:t>
            </w:r>
          </w:p>
        </w:tc>
        <w:tc>
          <w:tcPr>
            <w:tcW w:w="760" w:type="dxa"/>
            <w:vAlign w:val="bottom"/>
            <w:tcBorders>
              <w:bottom w:val="single" w:sz="8" w:color="8F8F8F"/>
            </w:tcBorders>
          </w:tcPr>
          <w:p>
            <w:pPr>
              <w:jc w:val="right"/>
              <w:ind w:right="490"/>
              <w:spacing w:after="0"/>
              <w:rPr>
                <w:sz w:val="20"/>
                <w:szCs w:val="20"/>
                <w:color w:val="auto"/>
              </w:rPr>
            </w:pPr>
            <w:r>
              <w:rPr>
                <w:rFonts w:ascii="Times New Roman" w:cs="Times New Roman" w:eastAsia="Times New Roman" w:hAnsi="Times New Roman"/>
                <w:sz w:val="18"/>
                <w:szCs w:val="18"/>
                <w:color w:val="262626"/>
              </w:rPr>
              <w:t>$</w:t>
            </w:r>
          </w:p>
        </w:tc>
        <w:tc>
          <w:tcPr>
            <w:tcW w:w="15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207,693,147</w:t>
            </w:r>
          </w:p>
        </w:tc>
        <w:tc>
          <w:tcPr>
            <w:tcW w:w="760" w:type="dxa"/>
            <w:vAlign w:val="bottom"/>
            <w:tcBorders>
              <w:bottom w:val="single" w:sz="8" w:color="8F8F8F"/>
            </w:tcBorders>
          </w:tcPr>
          <w:p>
            <w:pPr>
              <w:jc w:val="right"/>
              <w:ind w:right="490"/>
              <w:spacing w:after="0"/>
              <w:rPr>
                <w:sz w:val="20"/>
                <w:szCs w:val="20"/>
                <w:color w:val="auto"/>
              </w:rPr>
            </w:pPr>
            <w:r>
              <w:rPr>
                <w:rFonts w:ascii="Times New Roman" w:cs="Times New Roman" w:eastAsia="Times New Roman" w:hAnsi="Times New Roman"/>
                <w:sz w:val="18"/>
                <w:szCs w:val="18"/>
                <w:color w:val="262626"/>
              </w:rPr>
              <w:t>$</w:t>
            </w:r>
          </w:p>
        </w:tc>
        <w:tc>
          <w:tcPr>
            <w:tcW w:w="14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162,028,068</w:t>
            </w:r>
          </w:p>
        </w:tc>
      </w:tr>
      <w:tr>
        <w:trPr>
          <w:trHeight w:val="31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262626"/>
              </w:rPr>
              <w:t>Total</w:t>
            </w:r>
          </w:p>
        </w:tc>
        <w:tc>
          <w:tcPr>
            <w:tcW w:w="680" w:type="dxa"/>
            <w:vAlign w:val="bottom"/>
            <w:tcBorders>
              <w:bottom w:val="single" w:sz="8" w:color="8F8F8F"/>
            </w:tcBorders>
          </w:tcPr>
          <w:p>
            <w:pPr>
              <w:jc w:val="right"/>
              <w:ind w:right="490"/>
              <w:spacing w:after="0"/>
              <w:rPr>
                <w:sz w:val="20"/>
                <w:szCs w:val="20"/>
                <w:color w:val="auto"/>
              </w:rPr>
            </w:pPr>
            <w:r>
              <w:rPr>
                <w:rFonts w:ascii="Times New Roman" w:cs="Times New Roman" w:eastAsia="Times New Roman" w:hAnsi="Times New Roman"/>
                <w:sz w:val="18"/>
                <w:szCs w:val="18"/>
                <w:color w:val="262626"/>
                <w:w w:val="88"/>
              </w:rPr>
              <w:t>$</w:t>
            </w:r>
          </w:p>
        </w:tc>
        <w:tc>
          <w:tcPr>
            <w:tcW w:w="15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852,005,629</w:t>
            </w:r>
          </w:p>
        </w:tc>
        <w:tc>
          <w:tcPr>
            <w:tcW w:w="760" w:type="dxa"/>
            <w:vAlign w:val="bottom"/>
            <w:tcBorders>
              <w:bottom w:val="single" w:sz="8" w:color="8F8F8F"/>
            </w:tcBorders>
          </w:tcPr>
          <w:p>
            <w:pPr>
              <w:jc w:val="right"/>
              <w:ind w:right="490"/>
              <w:spacing w:after="0"/>
              <w:rPr>
                <w:sz w:val="20"/>
                <w:szCs w:val="20"/>
                <w:color w:val="auto"/>
              </w:rPr>
            </w:pPr>
            <w:r>
              <w:rPr>
                <w:rFonts w:ascii="Times New Roman" w:cs="Times New Roman" w:eastAsia="Times New Roman" w:hAnsi="Times New Roman"/>
                <w:sz w:val="18"/>
                <w:szCs w:val="18"/>
                <w:color w:val="262626"/>
              </w:rPr>
              <w:t>$</w:t>
            </w:r>
          </w:p>
        </w:tc>
        <w:tc>
          <w:tcPr>
            <w:tcW w:w="15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899,012,796</w:t>
            </w:r>
          </w:p>
        </w:tc>
        <w:tc>
          <w:tcPr>
            <w:tcW w:w="760" w:type="dxa"/>
            <w:vAlign w:val="bottom"/>
            <w:tcBorders>
              <w:bottom w:val="single" w:sz="8" w:color="8F8F8F"/>
            </w:tcBorders>
          </w:tcPr>
          <w:p>
            <w:pPr>
              <w:jc w:val="right"/>
              <w:ind w:right="490"/>
              <w:spacing w:after="0"/>
              <w:rPr>
                <w:sz w:val="20"/>
                <w:szCs w:val="20"/>
                <w:color w:val="auto"/>
              </w:rPr>
            </w:pPr>
            <w:r>
              <w:rPr>
                <w:rFonts w:ascii="Times New Roman" w:cs="Times New Roman" w:eastAsia="Times New Roman" w:hAnsi="Times New Roman"/>
                <w:sz w:val="18"/>
                <w:szCs w:val="18"/>
                <w:color w:val="262626"/>
              </w:rPr>
              <w:t>$</w:t>
            </w:r>
          </w:p>
        </w:tc>
        <w:tc>
          <w:tcPr>
            <w:tcW w:w="14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963,621,775</w:t>
            </w:r>
          </w:p>
        </w:tc>
      </w:tr>
      <w:tr>
        <w:trPr>
          <w:trHeight w:val="20"/>
        </w:trPr>
        <w:tc>
          <w:tcPr>
            <w:tcW w:w="3600" w:type="dxa"/>
            <w:vAlign w:val="bottom"/>
          </w:tcPr>
          <w:p>
            <w:pPr>
              <w:spacing w:after="0" w:line="20" w:lineRule="exact"/>
              <w:rPr>
                <w:sz w:val="1"/>
                <w:szCs w:val="1"/>
                <w:color w:val="auto"/>
              </w:rPr>
            </w:pPr>
          </w:p>
        </w:tc>
        <w:tc>
          <w:tcPr>
            <w:tcW w:w="680" w:type="dxa"/>
            <w:vAlign w:val="bottom"/>
            <w:tcBorders>
              <w:bottom w:val="single" w:sz="8" w:color="8F8F8F"/>
            </w:tcBorders>
          </w:tcPr>
          <w:p>
            <w:pPr>
              <w:spacing w:after="0" w:line="20" w:lineRule="exact"/>
              <w:rPr>
                <w:sz w:val="1"/>
                <w:szCs w:val="1"/>
                <w:color w:val="auto"/>
              </w:rPr>
            </w:pPr>
          </w:p>
        </w:tc>
        <w:tc>
          <w:tcPr>
            <w:tcW w:w="1580" w:type="dxa"/>
            <w:vAlign w:val="bottom"/>
            <w:tcBorders>
              <w:bottom w:val="single" w:sz="8" w:color="8F8F8F"/>
            </w:tcBorders>
          </w:tcPr>
          <w:p>
            <w:pPr>
              <w:spacing w:after="0" w:line="20" w:lineRule="exact"/>
              <w:rPr>
                <w:sz w:val="1"/>
                <w:szCs w:val="1"/>
                <w:color w:val="auto"/>
              </w:rPr>
            </w:pPr>
          </w:p>
        </w:tc>
        <w:tc>
          <w:tcPr>
            <w:tcW w:w="760" w:type="dxa"/>
            <w:vAlign w:val="bottom"/>
            <w:tcBorders>
              <w:bottom w:val="single" w:sz="8" w:color="8F8F8F"/>
            </w:tcBorders>
          </w:tcPr>
          <w:p>
            <w:pPr>
              <w:spacing w:after="0" w:line="20" w:lineRule="exact"/>
              <w:rPr>
                <w:sz w:val="1"/>
                <w:szCs w:val="1"/>
                <w:color w:val="auto"/>
              </w:rPr>
            </w:pPr>
          </w:p>
        </w:tc>
        <w:tc>
          <w:tcPr>
            <w:tcW w:w="1580" w:type="dxa"/>
            <w:vAlign w:val="bottom"/>
            <w:tcBorders>
              <w:bottom w:val="single" w:sz="8" w:color="8F8F8F"/>
            </w:tcBorders>
          </w:tcPr>
          <w:p>
            <w:pPr>
              <w:spacing w:after="0" w:line="20" w:lineRule="exact"/>
              <w:rPr>
                <w:sz w:val="1"/>
                <w:szCs w:val="1"/>
                <w:color w:val="auto"/>
              </w:rPr>
            </w:pPr>
          </w:p>
        </w:tc>
        <w:tc>
          <w:tcPr>
            <w:tcW w:w="760" w:type="dxa"/>
            <w:vAlign w:val="bottom"/>
            <w:tcBorders>
              <w:bottom w:val="single" w:sz="8" w:color="8F8F8F"/>
            </w:tcBorders>
          </w:tcPr>
          <w:p>
            <w:pPr>
              <w:spacing w:after="0" w:line="20" w:lineRule="exact"/>
              <w:rPr>
                <w:sz w:val="1"/>
                <w:szCs w:val="1"/>
                <w:color w:val="auto"/>
              </w:rPr>
            </w:pPr>
          </w:p>
        </w:tc>
        <w:tc>
          <w:tcPr>
            <w:tcW w:w="1480" w:type="dxa"/>
            <w:vAlign w:val="bottom"/>
            <w:tcBorders>
              <w:bottom w:val="single" w:sz="8" w:color="8F8F8F"/>
            </w:tcBorders>
          </w:tcPr>
          <w:p>
            <w:pPr>
              <w:spacing w:after="0" w:line="20" w:lineRule="exact"/>
              <w:rPr>
                <w:sz w:val="1"/>
                <w:szCs w:val="1"/>
                <w:color w:val="auto"/>
              </w:rPr>
            </w:pPr>
          </w:p>
        </w:tc>
      </w:tr>
    </w:tbl>
    <w:p>
      <w:pPr>
        <w:spacing w:after="0" w:line="200" w:lineRule="exact"/>
        <w:rPr>
          <w:sz w:val="20"/>
          <w:szCs w:val="20"/>
          <w:color w:val="auto"/>
        </w:rPr>
      </w:pPr>
    </w:p>
    <w:p>
      <w:pPr>
        <w:jc w:val="both"/>
        <w:ind w:right="920"/>
        <w:spacing w:after="0" w:line="411" w:lineRule="auto"/>
        <w:rPr>
          <w:sz w:val="20"/>
          <w:szCs w:val="20"/>
          <w:color w:val="auto"/>
        </w:rPr>
      </w:pPr>
      <w:r>
        <w:rPr>
          <w:rFonts w:ascii="Times New Roman" w:cs="Times New Roman" w:eastAsia="Times New Roman" w:hAnsi="Times New Roman"/>
          <w:sz w:val="17"/>
          <w:szCs w:val="17"/>
          <w:color w:val="262626"/>
        </w:rPr>
        <w:t>The increase in working capital as of December 31, 2022 compared to December 31, 2021 is primarily due to increases in inventory and accounts receivable, which was partially offset by decreases in cash and prepaid expenses and other. The decrease in working capital as of December 31, 2021 compared to 2020 is primarily due to decreases in cash flow from operations, as well as additional share repurchases.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Please refer to Part II, Item 5, with regard to the Company’s previously announced share repurchase plan.</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color w:val="8F8F8F"/>
        </w:rPr>
        <w:t>Outlook</w:t>
      </w:r>
    </w:p>
    <w:p>
      <w:pPr>
        <w:spacing w:after="0" w:line="191" w:lineRule="exact"/>
        <w:rPr>
          <w:sz w:val="20"/>
          <w:szCs w:val="20"/>
          <w:color w:val="auto"/>
        </w:rPr>
      </w:pPr>
    </w:p>
    <w:p>
      <w:pPr>
        <w:ind w:right="500"/>
        <w:spacing w:after="0" w:line="381" w:lineRule="auto"/>
        <w:rPr>
          <w:sz w:val="20"/>
          <w:szCs w:val="20"/>
          <w:color w:val="auto"/>
        </w:rPr>
      </w:pPr>
      <w:r>
        <w:rPr>
          <w:rFonts w:ascii="Times New Roman" w:cs="Times New Roman" w:eastAsia="Times New Roman" w:hAnsi="Times New Roman"/>
          <w:sz w:val="18"/>
          <w:szCs w:val="18"/>
          <w:color w:val="262626"/>
        </w:rPr>
        <w:t>The Company utilizes the light vehicle production forecasting services of S&amp;P Global Mobility. The S&amp;P Global Mobility mid-January 2023 forecast for light vehicle production for calendar year 2023 are approximately 15.1 million units for North America, 16.5 million units for Europe, 11.7 million units for Japan and Korea, and 26.6 million units for China.</w:t>
      </w:r>
    </w:p>
    <w:p>
      <w:pPr>
        <w:spacing w:after="0" w:line="34" w:lineRule="exact"/>
        <w:rPr>
          <w:sz w:val="20"/>
          <w:szCs w:val="20"/>
          <w:color w:val="auto"/>
        </w:rPr>
      </w:pPr>
    </w:p>
    <w:p>
      <w:pPr>
        <w:ind w:right="320"/>
        <w:spacing w:after="0" w:line="339" w:lineRule="auto"/>
        <w:rPr>
          <w:sz w:val="20"/>
          <w:szCs w:val="20"/>
          <w:color w:val="auto"/>
        </w:rPr>
      </w:pPr>
      <w:r>
        <w:rPr>
          <w:rFonts w:ascii="Times New Roman" w:cs="Times New Roman" w:eastAsia="Times New Roman" w:hAnsi="Times New Roman"/>
          <w:sz w:val="18"/>
          <w:szCs w:val="18"/>
          <w:color w:val="262626"/>
        </w:rPr>
        <w:t>Based on the foregoing, the Company estimates that top line revenue for calendar year 2023 will be approximately $2.2 billion. All estimates are based on light vehicle production forecasts in the primary regions to which the Company ships product, as well as the estimated option rates for its mirrors and electronics on prospective vehicle models and anticipated product mix. The Company continues to see order rates and booked business that allow for these estimates with an expected vehicle production increase in 2023, as well as an increase in 2024 compared to 2023. Continuing uncertainties, such as: volatilities in customer orders; light vehicle production volumes; supplier part or material shortages, including electronics supply chain constraints; the Ukraine-Russia conflict; labor shortages; automotive plant shutdowns; sales rates in Europe, Asia and North America; challenging macroeconomic and geopolitical environments, including inflation, tariffs and potential tax law changes; OEM strategies and cost pressures; customer inventory management and the impact of potential automotive customer (including their Tier 1 suppliers) and supplier bankruptcies; work stoppages, strikes, etc.; could disrupt shipments to customers and make forecasting difficult.</w:t>
      </w:r>
    </w:p>
    <w:p>
      <w:pPr>
        <w:spacing w:after="0" w:line="69" w:lineRule="exact"/>
        <w:rPr>
          <w:sz w:val="20"/>
          <w:szCs w:val="20"/>
          <w:color w:val="auto"/>
        </w:rPr>
      </w:pPr>
    </w:p>
    <w:p>
      <w:pPr>
        <w:ind w:right="600"/>
        <w:spacing w:after="0" w:line="363" w:lineRule="auto"/>
        <w:rPr>
          <w:sz w:val="20"/>
          <w:szCs w:val="20"/>
          <w:color w:val="auto"/>
        </w:rPr>
      </w:pPr>
      <w:r>
        <w:rPr>
          <w:rFonts w:ascii="Times New Roman" w:cs="Times New Roman" w:eastAsia="Times New Roman" w:hAnsi="Times New Roman"/>
          <w:sz w:val="18"/>
          <w:szCs w:val="18"/>
          <w:color w:val="262626"/>
        </w:rPr>
        <w:t>The Company is estimating that the gross margin will be between 32% and 33% for calendar year 2023. Historically, annual customer price reductions have placed significant pressure on gross margin on an annual basis. Given the current revenue forecast and projected product mix for 2023, the Company hopes it may be able to offset certain raw material cost increases, as well as labor related cost increases with pricing adjustments and improved operational efficiencies, but there is no certainty of being able to do so.</w:t>
      </w:r>
    </w:p>
    <w:p>
      <w:pPr>
        <w:spacing w:after="0" w:line="48" w:lineRule="exact"/>
        <w:rPr>
          <w:sz w:val="20"/>
          <w:szCs w:val="20"/>
          <w:color w:val="auto"/>
        </w:rPr>
      </w:pPr>
    </w:p>
    <w:p>
      <w:pPr>
        <w:ind w:right="460"/>
        <w:spacing w:after="0" w:line="353" w:lineRule="auto"/>
        <w:rPr>
          <w:sz w:val="20"/>
          <w:szCs w:val="20"/>
          <w:color w:val="auto"/>
        </w:rPr>
      </w:pPr>
      <w:r>
        <w:rPr>
          <w:rFonts w:ascii="Times New Roman" w:cs="Times New Roman" w:eastAsia="Times New Roman" w:hAnsi="Times New Roman"/>
          <w:sz w:val="18"/>
          <w:szCs w:val="18"/>
          <w:color w:val="262626"/>
        </w:rPr>
        <w:t>The Company also currently estimates that its operating expenses, which include E, R &amp; D and S, G &amp; A, are expected to be between $260 and $270 million for calendar year 2023, due in part to continued investments that support growth and launch of new business as well as development of new products, which are primarily staffing related. The Company continues to invest heavily in technology directed at funding the development of its current product portfolio and creating iterations of those products that help keep its products new and attractive to our customers, as well as new products.</w:t>
      </w:r>
    </w:p>
    <w:p>
      <w:pPr>
        <w:spacing w:after="0" w:line="58" w:lineRule="exact"/>
        <w:rPr>
          <w:sz w:val="20"/>
          <w:szCs w:val="20"/>
          <w:color w:val="auto"/>
        </w:rPr>
      </w:pPr>
    </w:p>
    <w:p>
      <w:pPr>
        <w:ind w:right="600"/>
        <w:spacing w:after="0" w:line="382" w:lineRule="auto"/>
        <w:rPr>
          <w:sz w:val="20"/>
          <w:szCs w:val="20"/>
          <w:color w:val="auto"/>
        </w:rPr>
      </w:pPr>
      <w:r>
        <w:rPr>
          <w:rFonts w:ascii="Times New Roman" w:cs="Times New Roman" w:eastAsia="Times New Roman" w:hAnsi="Times New Roman"/>
          <w:sz w:val="18"/>
          <w:szCs w:val="18"/>
          <w:color w:val="262626"/>
        </w:rPr>
        <w:t>The Company is a technology leader in the automotive industry, with a focus on developing uniquely designed solutions that are proprietary. The Company continues to make investments intended to maintain a competitive advantage in its current markets, as well as to use its core competencies to develop products that are applicable in other markets.</w:t>
      </w: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45</w:t>
      </w:r>
    </w:p>
    <w:p>
      <w:pPr>
        <w:sectPr>
          <w:pgSz w:w="12240" w:h="15840" w:orient="portrait"/>
          <w:cols w:equalWidth="0" w:num="1">
            <w:col w:w="10760"/>
          </w:cols>
          <w:pgMar w:left="900" w:top="852" w:right="580" w:bottom="0" w:gutter="0" w:footer="0" w:header="0"/>
          <w:type w:val="continuous"/>
        </w:sectPr>
      </w:pPr>
    </w:p>
    <w:bookmarkStart w:id="45" w:name="page46"/>
    <w:bookmarkEnd w:id="45"/>
    <w:p>
      <w:pPr>
        <w:ind w:left="320" w:right="60"/>
        <w:spacing w:after="0" w:line="347" w:lineRule="auto"/>
        <w:rPr>
          <w:sz w:val="20"/>
          <w:szCs w:val="20"/>
          <w:color w:val="auto"/>
        </w:rPr>
      </w:pPr>
      <w:r>
        <w:rPr>
          <w:rFonts w:ascii="Times New Roman" w:cs="Times New Roman" w:eastAsia="Times New Roman" w:hAnsi="Times New Roman"/>
          <w:sz w:val="18"/>
          <w:szCs w:val="18"/>
          <w:color w:val="262626"/>
        </w:rPr>
        <w:t>Based on current light vehicle production forecasts, and the resultant forecast our automatic-dimming mirrors and electronics, the Company currently anticipates that 2023 capital expenditures will be between $200 and $225 million, a majority of which will be related to production equipment purchases but also includes an estimated $70 - 90 million in construction costs related to the construction of a new 345,000 square foot manufacturing facility, which began in January 2022, as well as the other two expansion projects on currently existing facilities. Capital expenditures for calendar year 2023 are currently anticipated to be financed from current cash and cash equivalents on hand and cash flows from operating activities.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62626"/>
        </w:rPr>
        <w:t>The Company also estimates that depreciation and amortization expense for calendar year 2023 will be between $100 and $110 million.</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62626"/>
        </w:rPr>
        <w:t>The Company is further estimating that its tax rate will be between 15.0% and 17.0% for calendar year 2023 based on the current statutory rates.</w:t>
      </w:r>
    </w:p>
    <w:p>
      <w:pPr>
        <w:spacing w:after="0" w:line="246" w:lineRule="exact"/>
        <w:rPr>
          <w:sz w:val="20"/>
          <w:szCs w:val="20"/>
          <w:color w:val="auto"/>
        </w:rPr>
      </w:pPr>
    </w:p>
    <w:p>
      <w:pPr>
        <w:ind w:left="320" w:right="220"/>
        <w:spacing w:after="0" w:line="363" w:lineRule="auto"/>
        <w:rPr>
          <w:sz w:val="20"/>
          <w:szCs w:val="20"/>
          <w:color w:val="auto"/>
        </w:rPr>
      </w:pPr>
      <w:r>
        <w:rPr>
          <w:rFonts w:ascii="Times New Roman" w:cs="Times New Roman" w:eastAsia="Times New Roman" w:hAnsi="Times New Roman"/>
          <w:sz w:val="18"/>
          <w:szCs w:val="18"/>
          <w:color w:val="262626"/>
        </w:rPr>
        <w:t>In accordance with its previously announced share repurchase plan and capital allocation strategy, the Company intends to continue to repurchase additional shares of its common stock in 2023 and into the future depending on a number of factors, including: market, economic, and industry conditions; the market price of the Company’s common stock; anti-dilutive effect on earnings; available cash; and other factors that the Company deems appropriate.</w:t>
      </w:r>
    </w:p>
    <w:p>
      <w:pPr>
        <w:spacing w:after="0" w:line="41" w:lineRule="exact"/>
        <w:rPr>
          <w:sz w:val="20"/>
          <w:szCs w:val="20"/>
          <w:color w:val="auto"/>
        </w:rPr>
      </w:pPr>
    </w:p>
    <w:p>
      <w:pPr>
        <w:ind w:left="320" w:right="60"/>
        <w:spacing w:after="0" w:line="352" w:lineRule="auto"/>
        <w:rPr>
          <w:sz w:val="20"/>
          <w:szCs w:val="20"/>
          <w:color w:val="auto"/>
        </w:rPr>
      </w:pPr>
      <w:r>
        <w:rPr>
          <w:rFonts w:ascii="Times New Roman" w:cs="Times New Roman" w:eastAsia="Times New Roman" w:hAnsi="Times New Roman"/>
          <w:sz w:val="18"/>
          <w:szCs w:val="18"/>
          <w:color w:val="262626"/>
        </w:rPr>
        <w:t>The Company is also providing top line revenue guidance for calendar year 2024, taking into account anticipated increases in light vehicle production in 2024 compared to 2023. S&amp;P Global Mobility current forecasts for light vehicle production for calendar year 2024 are approximately 15.8 million units for North America, 17.5 million units for Europe, 11.4 million units for Japan and Korea, and 28.1 million units for China. Based on these forecasts, the Company is estimating that revenue for calendar year 2023 will increase approximately 10% over current estimates provided for 2023 revenue. As noted above, continuing uncertainties make forecasting difficult.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Market Risk Disclosure</w:t>
      </w:r>
    </w:p>
    <w:p>
      <w:pPr>
        <w:spacing w:after="0" w:line="191" w:lineRule="exact"/>
        <w:rPr>
          <w:sz w:val="20"/>
          <w:szCs w:val="20"/>
          <w:color w:val="auto"/>
        </w:rPr>
      </w:pPr>
    </w:p>
    <w:p>
      <w:pPr>
        <w:ind w:left="320" w:right="440"/>
        <w:spacing w:after="0" w:line="362" w:lineRule="auto"/>
        <w:rPr>
          <w:sz w:val="20"/>
          <w:szCs w:val="20"/>
          <w:color w:val="auto"/>
        </w:rPr>
      </w:pPr>
      <w:r>
        <w:rPr>
          <w:rFonts w:ascii="Times New Roman" w:cs="Times New Roman" w:eastAsia="Times New Roman" w:hAnsi="Times New Roman"/>
          <w:sz w:val="18"/>
          <w:szCs w:val="18"/>
          <w:color w:val="262626"/>
        </w:rPr>
        <w:t>The Company is subject to market risk exposures of varying correlations and volatilities, including foreign exchange rate risk, and interest rate risk. Fluctuating interest rates and securities prices could negatively impact the Company’s financial performance due to realized losses on the sale of fixed income investments and/or realized losses due to an impairment adjustment on investment securities. The Company does not currently believe such risks are necessarily material.</w:t>
      </w:r>
    </w:p>
    <w:p>
      <w:pPr>
        <w:spacing w:after="0" w:line="44" w:lineRule="exact"/>
        <w:rPr>
          <w:sz w:val="20"/>
          <w:szCs w:val="20"/>
          <w:color w:val="auto"/>
        </w:rPr>
      </w:pPr>
    </w:p>
    <w:p>
      <w:pPr>
        <w:ind w:left="320" w:right="280"/>
        <w:spacing w:after="0" w:line="362" w:lineRule="auto"/>
        <w:rPr>
          <w:sz w:val="20"/>
          <w:szCs w:val="20"/>
          <w:color w:val="auto"/>
        </w:rPr>
      </w:pPr>
      <w:r>
        <w:rPr>
          <w:rFonts w:ascii="Times New Roman" w:cs="Times New Roman" w:eastAsia="Times New Roman" w:hAnsi="Times New Roman"/>
          <w:sz w:val="18"/>
          <w:szCs w:val="18"/>
          <w:color w:val="262626"/>
        </w:rPr>
        <w:t>The Company has some assets, liabilities and operations outside the United States, including multi-currency accounts, which currently are not significant overall to the Company as a whole. Because the Company sells its automotive mirrors throughout the world and automobile manufacturing is highly dependent on general economic conditions, it could be significantly affected by weak economic conditions in foreign markets that could reduce demand for its products.</w:t>
      </w:r>
    </w:p>
    <w:p>
      <w:pPr>
        <w:spacing w:after="0" w:line="44" w:lineRule="exact"/>
        <w:rPr>
          <w:sz w:val="20"/>
          <w:szCs w:val="20"/>
          <w:color w:val="auto"/>
        </w:rPr>
      </w:pPr>
    </w:p>
    <w:p>
      <w:pPr>
        <w:ind w:left="320" w:right="240"/>
        <w:spacing w:after="0" w:line="363" w:lineRule="auto"/>
        <w:rPr>
          <w:sz w:val="20"/>
          <w:szCs w:val="20"/>
          <w:color w:val="auto"/>
        </w:rPr>
      </w:pPr>
      <w:r>
        <w:rPr>
          <w:rFonts w:ascii="Times New Roman" w:cs="Times New Roman" w:eastAsia="Times New Roman" w:hAnsi="Times New Roman"/>
          <w:sz w:val="18"/>
          <w:szCs w:val="18"/>
          <w:color w:val="262626"/>
        </w:rPr>
        <w:t>Most of the Company’s non-U.S. sales are invoiced and paid in U.S. dollars. During calendar year 2022, approximately 7% of the Company’s net sales were invoiced and paid in foreign currencies (compared to 8% for calendar year 2021 and 7% for calendar year 2020). The Company currently expects that approximately 7-8% of the Company’s net sales in calendar year 2023 will be invoiced and paid in foreign currencies. The Company does not currently engage in hedging activities of foreign currencies.</w:t>
      </w:r>
    </w:p>
    <w:p>
      <w:pPr>
        <w:spacing w:after="0" w:line="41" w:lineRule="exact"/>
        <w:rPr>
          <w:sz w:val="20"/>
          <w:szCs w:val="20"/>
          <w:color w:val="auto"/>
        </w:rPr>
      </w:pPr>
    </w:p>
    <w:p>
      <w:pPr>
        <w:jc w:val="both"/>
        <w:ind w:left="320" w:right="240"/>
        <w:spacing w:after="0" w:line="439" w:lineRule="auto"/>
        <w:rPr>
          <w:sz w:val="20"/>
          <w:szCs w:val="20"/>
          <w:color w:val="auto"/>
        </w:rPr>
      </w:pPr>
      <w:r>
        <w:rPr>
          <w:rFonts w:ascii="Times New Roman" w:cs="Times New Roman" w:eastAsia="Times New Roman" w:hAnsi="Times New Roman"/>
          <w:sz w:val="18"/>
          <w:szCs w:val="18"/>
          <w:color w:val="262626"/>
        </w:rPr>
        <w:t>The Company does not have any significant off-balance sheet arrangements or commitments that have not been recorded in its Consolidated Financial Statements.</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Significant Accounting Policies and Critical Accounting Estimates</w:t>
      </w:r>
    </w:p>
    <w:p>
      <w:pPr>
        <w:spacing w:after="0" w:line="191" w:lineRule="exact"/>
        <w:rPr>
          <w:sz w:val="20"/>
          <w:szCs w:val="20"/>
          <w:color w:val="auto"/>
        </w:rPr>
      </w:pPr>
    </w:p>
    <w:p>
      <w:pPr>
        <w:ind w:left="320" w:right="160"/>
        <w:spacing w:after="0" w:line="363" w:lineRule="auto"/>
        <w:rPr>
          <w:sz w:val="20"/>
          <w:szCs w:val="20"/>
          <w:color w:val="auto"/>
        </w:rPr>
      </w:pPr>
      <w:r>
        <w:rPr>
          <w:rFonts w:ascii="Times New Roman" w:cs="Times New Roman" w:eastAsia="Times New Roman" w:hAnsi="Times New Roman"/>
          <w:sz w:val="18"/>
          <w:szCs w:val="18"/>
          <w:color w:val="262626"/>
        </w:rPr>
        <w:t>The preparation of the Company’s Consolidated Financial Statements, which have been prepared in accordance with accounting principles generally accepted in the United States, requires management to make estimates, assumptions and apply judgments that affect its financial position and results of operations. On an ongoing basis, management evaluates these estimates and assumptions. Management also continually reviews its accounting policies and financial information disclosures.</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62626"/>
        </w:rPr>
        <w:t>The Company’s significant accounting policies are described in Note 1 of the Consolidated Financial Statements.</w:t>
      </w:r>
    </w:p>
    <w:p>
      <w:pPr>
        <w:spacing w:after="0" w:line="246" w:lineRule="exact"/>
        <w:rPr>
          <w:sz w:val="20"/>
          <w:szCs w:val="20"/>
          <w:color w:val="auto"/>
        </w:rPr>
      </w:pPr>
    </w:p>
    <w:p>
      <w:pPr>
        <w:ind w:left="320" w:right="200"/>
        <w:spacing w:after="0" w:line="388" w:lineRule="auto"/>
        <w:rPr>
          <w:sz w:val="20"/>
          <w:szCs w:val="20"/>
          <w:color w:val="auto"/>
        </w:rPr>
      </w:pPr>
      <w:r>
        <w:rPr>
          <w:rFonts w:ascii="Times New Roman" w:cs="Times New Roman" w:eastAsia="Times New Roman" w:hAnsi="Times New Roman"/>
          <w:sz w:val="17"/>
          <w:szCs w:val="17"/>
          <w:color w:val="262626"/>
        </w:rPr>
        <w:t>Certain of our accounting policies require management to make estimates and assumptions that affect the reported amounts of assets and liabilities as of the date of the Consolidated Financial statements and the reported amounts of revenues and expenses during the reporting period. These estimates and assumptions are based on our historical experience, the terms of existing contracts, our evaluation of trends in the industry, information provided by our customers and suppliers and information available from other outside sources, as appropriate. However,</w:t>
      </w:r>
    </w:p>
    <w:p>
      <w:pPr>
        <w:sectPr>
          <w:pgSz w:w="12240" w:h="15840" w:orient="portrait"/>
          <w:cols w:equalWidth="0" w:num="1">
            <w:col w:w="10760"/>
          </w:cols>
          <w:pgMar w:left="580" w:top="852" w:right="900" w:bottom="0" w:gutter="0" w:footer="0" w:header="0"/>
        </w:sectPr>
      </w:pPr>
    </w:p>
    <w:p>
      <w:pPr>
        <w:spacing w:after="0" w:line="185" w:lineRule="auto"/>
        <w:tabs>
          <w:tab w:leader="none" w:pos="400" w:val="left"/>
        </w:tabs>
        <w:rPr>
          <w:sz w:val="20"/>
          <w:szCs w:val="20"/>
          <w:color w:val="auto"/>
        </w:rPr>
      </w:pPr>
      <w:r>
        <w:rPr>
          <w:rFonts w:ascii="Arial" w:cs="Arial" w:eastAsia="Arial" w:hAnsi="Arial"/>
          <w:sz w:val="21"/>
          <w:szCs w:val="21"/>
          <w:b w:val="1"/>
          <w:bCs w:val="1"/>
          <w:color w:val="262626"/>
        </w:rPr>
        <w:t>46</w:t>
      </w:r>
      <w:r>
        <w:rPr>
          <w:sz w:val="20"/>
          <w:szCs w:val="20"/>
          <w:color w:val="auto"/>
        </w:rPr>
        <w:tab/>
      </w:r>
      <w:r>
        <w:rPr>
          <w:rFonts w:ascii="Times New Roman" w:cs="Times New Roman" w:eastAsia="Times New Roman" w:hAnsi="Times New Roman"/>
          <w:sz w:val="9"/>
          <w:szCs w:val="9"/>
          <w:color w:val="262626"/>
        </w:rPr>
        <w:t>GENTEX CORPORATION</w:t>
      </w:r>
    </w:p>
    <w:p>
      <w:pPr>
        <w:sectPr>
          <w:pgSz w:w="12240" w:h="15840" w:orient="portrait"/>
          <w:cols w:equalWidth="0" w:num="1">
            <w:col w:w="10760"/>
          </w:cols>
          <w:pgMar w:left="580" w:top="852" w:right="900" w:bottom="0" w:gutter="0" w:footer="0" w:header="0"/>
          <w:type w:val="continuous"/>
        </w:sectPr>
      </w:pPr>
    </w:p>
    <w:bookmarkStart w:id="46" w:name="page47"/>
    <w:bookmarkEnd w:id="46"/>
    <w:p>
      <w:pPr>
        <w:ind w:right="380"/>
        <w:spacing w:after="0" w:line="429" w:lineRule="auto"/>
        <w:rPr>
          <w:sz w:val="20"/>
          <w:szCs w:val="20"/>
          <w:color w:val="auto"/>
        </w:rPr>
      </w:pPr>
      <w:r>
        <w:rPr>
          <w:rFonts w:ascii="Times New Roman" w:cs="Times New Roman" w:eastAsia="Times New Roman" w:hAnsi="Times New Roman"/>
          <w:sz w:val="18"/>
          <w:szCs w:val="18"/>
          <w:color w:val="262626"/>
        </w:rPr>
        <w:t>these estimates and assumptions are inherently subject to a degree of uncertainty. As a result, actual results in these areas may differ significantly from our estimates, as is the case in any application of generally accepted accounting principles.</w:t>
      </w:r>
    </w:p>
    <w:p>
      <w:pPr>
        <w:spacing w:after="0"/>
        <w:rPr>
          <w:sz w:val="20"/>
          <w:szCs w:val="20"/>
          <w:color w:val="auto"/>
        </w:rPr>
      </w:pPr>
      <w:r>
        <w:rPr>
          <w:rFonts w:ascii="Times New Roman" w:cs="Times New Roman" w:eastAsia="Times New Roman" w:hAnsi="Times New Roman"/>
          <w:sz w:val="18"/>
          <w:szCs w:val="18"/>
          <w:color w:val="262626"/>
        </w:rPr>
        <w:t>The Company considers an accounting estimate to be critical if:</w:t>
      </w:r>
    </w:p>
    <w:p>
      <w:pPr>
        <w:spacing w:after="0" w:line="2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62626"/>
        </w:rPr>
        <w:t>It requires management to make assumptions about matters that were uncertain at the time of the estimate, and</w:t>
      </w:r>
    </w:p>
    <w:p>
      <w:pPr>
        <w:spacing w:after="0" w:line="162" w:lineRule="exact"/>
        <w:rPr>
          <w:sz w:val="20"/>
          <w:szCs w:val="20"/>
          <w:color w:val="auto"/>
        </w:rPr>
      </w:pPr>
    </w:p>
    <w:p>
      <w:pPr>
        <w:ind w:left="720" w:right="940"/>
        <w:spacing w:after="0" w:line="435" w:lineRule="auto"/>
        <w:rPr>
          <w:sz w:val="20"/>
          <w:szCs w:val="20"/>
          <w:color w:val="auto"/>
        </w:rPr>
      </w:pPr>
      <w:r>
        <w:rPr>
          <w:rFonts w:ascii="Times New Roman" w:cs="Times New Roman" w:eastAsia="Times New Roman" w:hAnsi="Times New Roman"/>
          <w:sz w:val="18"/>
          <w:szCs w:val="18"/>
          <w:color w:val="262626"/>
        </w:rPr>
        <w:t>Changes in the estimate or different estimates that could have been selected would have had a material impact on our financial condition or results of operations.</w:t>
      </w:r>
    </w:p>
    <w:p>
      <w:pPr>
        <w:ind w:right="340"/>
        <w:spacing w:after="0" w:line="343" w:lineRule="auto"/>
        <w:rPr>
          <w:sz w:val="20"/>
          <w:szCs w:val="20"/>
          <w:color w:val="auto"/>
        </w:rPr>
      </w:pPr>
      <w:r>
        <w:rPr>
          <w:rFonts w:ascii="Arial" w:cs="Arial" w:eastAsia="Arial" w:hAnsi="Arial"/>
          <w:sz w:val="17"/>
          <w:szCs w:val="17"/>
          <w:b w:val="1"/>
          <w:bCs w:val="1"/>
          <w:color w:val="858585"/>
        </w:rPr>
        <w:t xml:space="preserve">REVENUE RECOGNITION. </w:t>
      </w:r>
      <w:r>
        <w:rPr>
          <w:rFonts w:ascii="Times New Roman" w:cs="Times New Roman" w:eastAsia="Times New Roman" w:hAnsi="Times New Roman"/>
          <w:sz w:val="18"/>
          <w:szCs w:val="18"/>
          <w:color w:val="262626"/>
        </w:rPr>
        <w:t>The Company recognizes revenue in accordance with Accounting Standards Codification (ASC) 606, Revenue from</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Contracts with Customers. Accordingly, revenue is recognized in an amount that reflects the consideration to which the Company expects to be entitled in exchange for promised goods or services when it transfers those goods or services to customers. Sales are shown net of returns, which have not historically been significant. The Company does not generate sales from arrangements with multiple deliverables. The Company generally receives purchase orders from customers on an annual basis in the ordinary course of business. Typically, such purchase orders provide the annual terms, including pricing, related to a particular vehicle model. Purchase orders generally do not specify quantities. The Company recognizes revenue based on the pricing terms included in such annual purchase orders.</w:t>
      </w:r>
    </w:p>
    <w:p>
      <w:pPr>
        <w:spacing w:after="0" w:line="70" w:lineRule="exact"/>
        <w:rPr>
          <w:sz w:val="20"/>
          <w:szCs w:val="20"/>
          <w:color w:val="auto"/>
        </w:rPr>
      </w:pPr>
    </w:p>
    <w:p>
      <w:pPr>
        <w:ind w:right="500"/>
        <w:spacing w:after="0" w:line="338" w:lineRule="auto"/>
        <w:rPr>
          <w:sz w:val="20"/>
          <w:szCs w:val="20"/>
          <w:color w:val="auto"/>
        </w:rPr>
      </w:pPr>
      <w:r>
        <w:rPr>
          <w:rFonts w:ascii="Times New Roman" w:cs="Times New Roman" w:eastAsia="Times New Roman" w:hAnsi="Times New Roman"/>
          <w:sz w:val="18"/>
          <w:szCs w:val="18"/>
          <w:color w:val="262626"/>
        </w:rPr>
        <w:t>As part of certain agreements, entered into in the ordinary course of business, the Company is asked to provide customers with annual price reductions. Such amounts are estimated and accrued as a reduction of revenue as products are shipped to those customers.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In addition, the Company has ongoing adjustments to our pricing arrangements with customers based on the related content, the cost of our products and other commercial factors. Such pricing accruals are adjusted as they are settled with our customers.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See also Item 13 of Part III with respect to “Certain Transactions”, which is incorporated herein.</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32"/>
          <w:szCs w:val="32"/>
          <w:color w:val="838383"/>
        </w:rPr>
        <w:t xml:space="preserve">Item 7A. </w:t>
      </w:r>
      <w:r>
        <w:rPr>
          <w:rFonts w:ascii="Arial" w:cs="Arial" w:eastAsia="Arial" w:hAnsi="Arial"/>
          <w:sz w:val="32"/>
          <w:szCs w:val="32"/>
          <w:color w:val="262626"/>
        </w:rPr>
        <w:t>Quantitative and Qualitative Disclosures About Market Risk.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See “Market Risk Disclosure” in Management’s Discussion and Analysis of Financial Condition and Results of Operations. See Item 7, Part II.</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32"/>
          <w:szCs w:val="32"/>
          <w:color w:val="838383"/>
        </w:rPr>
        <w:t xml:space="preserve">Item 8. </w:t>
      </w:r>
      <w:r>
        <w:rPr>
          <w:rFonts w:ascii="Arial" w:cs="Arial" w:eastAsia="Arial" w:hAnsi="Arial"/>
          <w:sz w:val="32"/>
          <w:szCs w:val="32"/>
          <w:color w:val="262626"/>
        </w:rPr>
        <w:t>Financial Statements and Supplementary Data.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62626"/>
        </w:rPr>
        <w:t>The following financial statements and reports of independent registered public accounting firm are filed with this report following the signature page:</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8F8F8F"/>
        </w:rPr>
        <w:t>Index to Consolidated Financial Statements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262626"/>
              </w:rPr>
              <w:t>Document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Page</w:t>
            </w:r>
          </w:p>
        </w:tc>
      </w:tr>
      <w:tr>
        <w:trPr>
          <w:trHeight w:val="343"/>
        </w:trPr>
        <w:tc>
          <w:tcPr>
            <w:tcW w:w="90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Report of Independent Registered Public Accounting Firm (PCAOB ID:42)</w:t>
            </w: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56</w:t>
            </w:r>
          </w:p>
        </w:tc>
      </w:tr>
      <w:tr>
        <w:trPr>
          <w:trHeight w:val="340"/>
        </w:trPr>
        <w:tc>
          <w:tcPr>
            <w:tcW w:w="90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Report of Independent Registered Public Accounting Firm on Internal Control over Financial Reporting</w:t>
            </w: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57</w:t>
            </w:r>
          </w:p>
        </w:tc>
      </w:tr>
      <w:tr>
        <w:trPr>
          <w:trHeight w:val="340"/>
        </w:trPr>
        <w:tc>
          <w:tcPr>
            <w:tcW w:w="90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Consolidated Balance Sheets as of December 31, 2022 and 2021</w:t>
            </w: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58</w:t>
            </w:r>
          </w:p>
        </w:tc>
      </w:tr>
      <w:tr>
        <w:trPr>
          <w:trHeight w:val="340"/>
        </w:trPr>
        <w:tc>
          <w:tcPr>
            <w:tcW w:w="90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Consolidated Statements of Income for the years ended December 31, 2022, 2021, and 2020</w:t>
            </w: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60</w:t>
            </w:r>
          </w:p>
        </w:tc>
      </w:tr>
      <w:tr>
        <w:trPr>
          <w:trHeight w:val="340"/>
        </w:trPr>
        <w:tc>
          <w:tcPr>
            <w:tcW w:w="90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Consolidated Statements of Comprehensive Income for the years ended December 31, 2022, 2021, and 2020</w:t>
            </w: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60</w:t>
            </w:r>
          </w:p>
        </w:tc>
      </w:tr>
      <w:tr>
        <w:trPr>
          <w:trHeight w:val="340"/>
        </w:trPr>
        <w:tc>
          <w:tcPr>
            <w:tcW w:w="90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Consolidated Statements of Cash Flows for the years ended December 31, 2022, 2021, and 2020</w:t>
            </w: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61</w:t>
            </w:r>
          </w:p>
        </w:tc>
      </w:tr>
      <w:tr>
        <w:trPr>
          <w:trHeight w:val="340"/>
        </w:trPr>
        <w:tc>
          <w:tcPr>
            <w:tcW w:w="90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Consolidated Statements of Shareholders’ Investment for the years ended December 31, 2022, 2021, and 2020</w:t>
            </w: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62</w:t>
            </w:r>
          </w:p>
        </w:tc>
      </w:tr>
      <w:tr>
        <w:trPr>
          <w:trHeight w:val="358"/>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262626"/>
              </w:rPr>
              <w:t>Notes to Consolidated Financial Statements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64</w:t>
            </w:r>
          </w:p>
        </w:tc>
      </w:tr>
    </w:tbl>
    <w:p>
      <w:pPr>
        <w:spacing w:after="0" w:line="141" w:lineRule="exact"/>
        <w:rPr>
          <w:sz w:val="20"/>
          <w:szCs w:val="20"/>
          <w:color w:val="auto"/>
        </w:rPr>
      </w:pPr>
    </w:p>
    <w:p>
      <w:pPr>
        <w:sectPr>
          <w:pgSz w:w="12240" w:h="15840" w:orient="portrait"/>
          <w:cols w:equalWidth="0" w:num="1">
            <w:col w:w="10760"/>
          </w:cols>
          <w:pgMar w:left="900" w:top="852" w:right="580" w:bottom="0" w:gutter="0" w:footer="0" w:header="0"/>
        </w:sect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47</w:t>
      </w:r>
    </w:p>
    <w:p>
      <w:pPr>
        <w:sectPr>
          <w:pgSz w:w="12240" w:h="15840" w:orient="portrait"/>
          <w:cols w:equalWidth="0" w:num="1">
            <w:col w:w="10760"/>
          </w:cols>
          <w:pgMar w:left="900" w:top="852" w:right="580" w:bottom="0" w:gutter="0" w:footer="0" w:header="0"/>
          <w:type w:val="continuous"/>
        </w:sectPr>
      </w:pPr>
    </w:p>
    <w:bookmarkStart w:id="47" w:name="page48"/>
    <w:bookmarkEnd w:id="47"/>
    <w:p>
      <w:pPr>
        <w:ind w:left="320"/>
        <w:spacing w:after="0"/>
        <w:rPr>
          <w:sz w:val="20"/>
          <w:szCs w:val="20"/>
          <w:color w:val="auto"/>
        </w:rPr>
      </w:pPr>
      <w:r>
        <w:rPr>
          <w:rFonts w:ascii="Arial" w:cs="Arial" w:eastAsia="Arial" w:hAnsi="Arial"/>
          <w:sz w:val="24"/>
          <w:szCs w:val="24"/>
          <w:color w:val="838383"/>
        </w:rPr>
        <w:t xml:space="preserve">Item 9. </w:t>
      </w:r>
      <w:r>
        <w:rPr>
          <w:rFonts w:ascii="Arial" w:cs="Arial" w:eastAsia="Arial" w:hAnsi="Arial"/>
          <w:sz w:val="24"/>
          <w:szCs w:val="24"/>
          <w:color w:val="262626"/>
        </w:rPr>
        <w:t>Changes in and Disagreements with Accountants on Accounting and Financial Disclosure.</w:t>
      </w:r>
    </w:p>
    <w:p>
      <w:pPr>
        <w:spacing w:after="0" w:line="284" w:lineRule="exact"/>
        <w:rPr>
          <w:sz w:val="20"/>
          <w:szCs w:val="20"/>
          <w:color w:val="auto"/>
        </w:rPr>
      </w:pPr>
    </w:p>
    <w:p>
      <w:pPr>
        <w:ind w:left="320" w:right="400"/>
        <w:spacing w:after="0" w:line="437" w:lineRule="auto"/>
        <w:rPr>
          <w:sz w:val="20"/>
          <w:szCs w:val="20"/>
          <w:color w:val="auto"/>
        </w:rPr>
      </w:pPr>
      <w:r>
        <w:rPr>
          <w:rFonts w:ascii="Times New Roman" w:cs="Times New Roman" w:eastAsia="Times New Roman" w:hAnsi="Times New Roman"/>
          <w:sz w:val="18"/>
          <w:szCs w:val="18"/>
          <w:color w:val="262626"/>
        </w:rPr>
        <w:t>As defined in Item 304 of Regulation S-K, there have been no changes in, or disagreements with, accountants during the 24-month period ended December 31, 2022.</w:t>
      </w:r>
    </w:p>
    <w:p>
      <w:pPr>
        <w:spacing w:after="0" w:line="327" w:lineRule="exact"/>
        <w:rPr>
          <w:sz w:val="20"/>
          <w:szCs w:val="20"/>
          <w:color w:val="auto"/>
        </w:rPr>
      </w:pPr>
    </w:p>
    <w:p>
      <w:pPr>
        <w:ind w:left="320"/>
        <w:spacing w:after="0"/>
        <w:rPr>
          <w:sz w:val="20"/>
          <w:szCs w:val="20"/>
          <w:color w:val="auto"/>
        </w:rPr>
      </w:pPr>
      <w:r>
        <w:rPr>
          <w:rFonts w:ascii="Arial" w:cs="Arial" w:eastAsia="Arial" w:hAnsi="Arial"/>
          <w:sz w:val="32"/>
          <w:szCs w:val="32"/>
          <w:color w:val="838383"/>
        </w:rPr>
        <w:t xml:space="preserve">Item 9A. </w:t>
      </w:r>
      <w:r>
        <w:rPr>
          <w:rFonts w:ascii="Arial" w:cs="Arial" w:eastAsia="Arial" w:hAnsi="Arial"/>
          <w:sz w:val="32"/>
          <w:szCs w:val="32"/>
          <w:color w:val="262626"/>
        </w:rPr>
        <w:t>Controls and Procedures.</w:t>
      </w:r>
    </w:p>
    <w:p>
      <w:pPr>
        <w:spacing w:after="0" w:line="340"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Disclosure Controls and Procedures</w:t>
      </w:r>
    </w:p>
    <w:p>
      <w:pPr>
        <w:spacing w:after="0" w:line="191" w:lineRule="exact"/>
        <w:rPr>
          <w:sz w:val="20"/>
          <w:szCs w:val="20"/>
          <w:color w:val="auto"/>
        </w:rPr>
      </w:pPr>
    </w:p>
    <w:p>
      <w:pPr>
        <w:ind w:left="320" w:right="240"/>
        <w:spacing w:after="0" w:line="362" w:lineRule="auto"/>
        <w:rPr>
          <w:sz w:val="20"/>
          <w:szCs w:val="20"/>
          <w:color w:val="auto"/>
        </w:rPr>
      </w:pPr>
      <w:r>
        <w:rPr>
          <w:rFonts w:ascii="Times New Roman" w:cs="Times New Roman" w:eastAsia="Times New Roman" w:hAnsi="Times New Roman"/>
          <w:sz w:val="18"/>
          <w:szCs w:val="18"/>
          <w:color w:val="262626"/>
        </w:rPr>
        <w:t>Under the supervision of and with the participation of the Company’s management, the Company’s principal executive officer and principal financial officer have evaluated the effectiveness of the design and operation of the Company’s disclosure controls and procedures ([as defined in Exchange Act Rules 13a – 15(e) and 15d – 15(e)]) as of December 31, 2022, and have concluded that the Company’s disclosure controls and procedures are adequate and effective.</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Management’s Report on Internal Control Over Financial Reporting</w:t>
      </w:r>
    </w:p>
    <w:p>
      <w:pPr>
        <w:spacing w:after="0" w:line="191" w:lineRule="exact"/>
        <w:rPr>
          <w:sz w:val="20"/>
          <w:szCs w:val="20"/>
          <w:color w:val="auto"/>
        </w:rPr>
      </w:pPr>
    </w:p>
    <w:p>
      <w:pPr>
        <w:ind w:left="320" w:right="60"/>
        <w:spacing w:after="0" w:line="347" w:lineRule="auto"/>
        <w:rPr>
          <w:sz w:val="20"/>
          <w:szCs w:val="20"/>
          <w:color w:val="auto"/>
        </w:rPr>
      </w:pPr>
      <w:r>
        <w:rPr>
          <w:rFonts w:ascii="Times New Roman" w:cs="Times New Roman" w:eastAsia="Times New Roman" w:hAnsi="Times New Roman"/>
          <w:sz w:val="18"/>
          <w:szCs w:val="18"/>
          <w:color w:val="262626"/>
        </w:rPr>
        <w:t>Our management is responsible for establishing and maintaining adequate internal control over financial reporting, as such term is defined in Exchange Act Rules 13a – 15(f) and 15d – 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Control-Integrated Framework issued by the Committee of Sponsoring Organizations of the Treadway Commission (2013 Framework)(the COSO criteria). Based on this assessment, management asserts that the Company has maintained effective internal control over financial reporting as of December 31, 2022.</w:t>
      </w:r>
    </w:p>
    <w:p>
      <w:pPr>
        <w:spacing w:after="0" w:line="65" w:lineRule="exact"/>
        <w:rPr>
          <w:sz w:val="20"/>
          <w:szCs w:val="20"/>
          <w:color w:val="auto"/>
        </w:rPr>
      </w:pPr>
    </w:p>
    <w:p>
      <w:pPr>
        <w:ind w:left="320" w:right="40"/>
        <w:spacing w:after="0" w:line="382" w:lineRule="auto"/>
        <w:rPr>
          <w:sz w:val="20"/>
          <w:szCs w:val="20"/>
          <w:color w:val="auto"/>
        </w:rPr>
      </w:pPr>
      <w:r>
        <w:rPr>
          <w:rFonts w:ascii="Times New Roman" w:cs="Times New Roman" w:eastAsia="Times New Roman" w:hAnsi="Times New Roman"/>
          <w:sz w:val="18"/>
          <w:szCs w:val="18"/>
          <w:color w:val="262626"/>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32" w:lineRule="exact"/>
        <w:rPr>
          <w:sz w:val="20"/>
          <w:szCs w:val="20"/>
          <w:color w:val="auto"/>
        </w:rPr>
      </w:pPr>
    </w:p>
    <w:p>
      <w:pPr>
        <w:ind w:left="320"/>
        <w:spacing w:after="0" w:line="429" w:lineRule="auto"/>
        <w:rPr>
          <w:sz w:val="20"/>
          <w:szCs w:val="20"/>
          <w:color w:val="auto"/>
        </w:rPr>
      </w:pPr>
      <w:r>
        <w:rPr>
          <w:rFonts w:ascii="Times New Roman" w:cs="Times New Roman" w:eastAsia="Times New Roman" w:hAnsi="Times New Roman"/>
          <w:sz w:val="18"/>
          <w:szCs w:val="18"/>
          <w:color w:val="262626"/>
        </w:rPr>
        <w:t>The effectiveness of the Company’s internal control over financial reporting as of December 31, 2022, has been audited by Ernst &amp; Young LLP, an independent registered public accounting firm, as stated in their report which is included in Part IV of this Form 10K.</w:t>
      </w:r>
    </w:p>
    <w:p>
      <w:pPr>
        <w:ind w:left="320" w:right="300"/>
        <w:spacing w:after="0" w:line="362" w:lineRule="auto"/>
        <w:rPr>
          <w:sz w:val="20"/>
          <w:szCs w:val="20"/>
          <w:color w:val="auto"/>
        </w:rPr>
      </w:pPr>
      <w:r>
        <w:rPr>
          <w:rFonts w:ascii="Times New Roman" w:cs="Times New Roman" w:eastAsia="Times New Roman" w:hAnsi="Times New Roman"/>
          <w:sz w:val="18"/>
          <w:szCs w:val="18"/>
          <w:color w:val="262626"/>
        </w:rPr>
        <w:t>During the period covered by this annual report, there have been no changes in the Company’s internal controls over financial reporting that have materially affected or are reasonably likely to materially affect the Company’s internal controls over financial reporting. In addition, there have been no significant changes in the Company’s internal controls or in other factors that could significantly affect internal controls subsequent to December 31, 2022.</w:t>
      </w:r>
    </w:p>
    <w:p>
      <w:pPr>
        <w:spacing w:after="0" w:line="391" w:lineRule="exact"/>
        <w:rPr>
          <w:sz w:val="20"/>
          <w:szCs w:val="20"/>
          <w:color w:val="auto"/>
        </w:rPr>
      </w:pPr>
    </w:p>
    <w:p>
      <w:pPr>
        <w:ind w:left="320"/>
        <w:spacing w:after="0"/>
        <w:rPr>
          <w:sz w:val="20"/>
          <w:szCs w:val="20"/>
          <w:color w:val="auto"/>
        </w:rPr>
      </w:pPr>
      <w:r>
        <w:rPr>
          <w:rFonts w:ascii="Arial" w:cs="Arial" w:eastAsia="Arial" w:hAnsi="Arial"/>
          <w:sz w:val="32"/>
          <w:szCs w:val="32"/>
          <w:color w:val="838383"/>
        </w:rPr>
        <w:t xml:space="preserve">Item 9B. </w:t>
      </w:r>
      <w:r>
        <w:rPr>
          <w:rFonts w:ascii="Arial" w:cs="Arial" w:eastAsia="Arial" w:hAnsi="Arial"/>
          <w:sz w:val="32"/>
          <w:szCs w:val="32"/>
          <w:color w:val="262626"/>
        </w:rPr>
        <w:t>Other Information.</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62626"/>
        </w:rPr>
        <w:t>None.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Arial" w:cs="Arial" w:eastAsia="Arial" w:hAnsi="Arial"/>
          <w:sz w:val="30"/>
          <w:szCs w:val="30"/>
          <w:color w:val="838383"/>
        </w:rPr>
        <w:t xml:space="preserve">Item 9C. </w:t>
      </w:r>
      <w:r>
        <w:rPr>
          <w:rFonts w:ascii="Arial" w:cs="Arial" w:eastAsia="Arial" w:hAnsi="Arial"/>
          <w:sz w:val="30"/>
          <w:szCs w:val="30"/>
          <w:color w:val="262626"/>
        </w:rPr>
        <w:t>Disclosure Regarding Foreign Jurisdictions that Prevent Inspections.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62626"/>
        </w:rPr>
        <w:t>None.</w:t>
      </w:r>
    </w:p>
    <w:p>
      <w:pPr>
        <w:sectPr>
          <w:pgSz w:w="12240" w:h="15840" w:orient="portrait"/>
          <w:cols w:equalWidth="0" w:num="1">
            <w:col w:w="10760"/>
          </w:cols>
          <w:pgMar w:left="580" w:top="85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48</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60"/>
          </w:cols>
          <w:pgMar w:left="580" w:top="859" w:right="900" w:bottom="0" w:gutter="0" w:footer="0" w:header="0"/>
          <w:type w:val="continuous"/>
        </w:sectPr>
      </w:pPr>
    </w:p>
    <w:bookmarkStart w:id="48" w:name="page49"/>
    <w:bookmarkEnd w:id="48"/>
    <w:p>
      <w:pPr>
        <w:spacing w:after="0"/>
        <w:rPr>
          <w:sz w:val="20"/>
          <w:szCs w:val="20"/>
          <w:color w:val="auto"/>
        </w:rPr>
      </w:pPr>
      <w:r>
        <w:rPr>
          <w:rFonts w:ascii="Arial" w:cs="Arial" w:eastAsia="Arial" w:hAnsi="Arial"/>
          <w:sz w:val="32"/>
          <w:szCs w:val="32"/>
          <w:color w:val="838383"/>
        </w:rPr>
        <w:t xml:space="preserve">Item 10. </w:t>
      </w:r>
      <w:r>
        <w:rPr>
          <w:rFonts w:ascii="Arial" w:cs="Arial" w:eastAsia="Arial" w:hAnsi="Arial"/>
          <w:sz w:val="32"/>
          <w:szCs w:val="32"/>
          <w:color w:val="262626"/>
        </w:rPr>
        <w:t>Directors, Executive Officers and Corporate Governance.</w:t>
      </w: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b w:val="1"/>
          <w:bCs w:val="1"/>
          <w:color w:val="8F8F8F"/>
        </w:rPr>
        <w:t>Information about Our Executive Oﬃcers</w:t>
      </w:r>
    </w:p>
    <w:p>
      <w:pPr>
        <w:spacing w:after="0" w:line="191" w:lineRule="exact"/>
        <w:rPr>
          <w:sz w:val="20"/>
          <w:szCs w:val="20"/>
          <w:color w:val="auto"/>
        </w:rPr>
      </w:pPr>
    </w:p>
    <w:p>
      <w:pPr>
        <w:ind w:right="20"/>
        <w:spacing w:after="0" w:line="439" w:lineRule="auto"/>
        <w:rPr>
          <w:sz w:val="20"/>
          <w:szCs w:val="20"/>
          <w:color w:val="auto"/>
        </w:rPr>
      </w:pPr>
      <w:r>
        <w:rPr>
          <w:rFonts w:ascii="Times New Roman" w:cs="Times New Roman" w:eastAsia="Times New Roman" w:hAnsi="Times New Roman"/>
          <w:sz w:val="18"/>
          <w:szCs w:val="18"/>
          <w:color w:val="262626"/>
        </w:rPr>
        <w:t>The following table lists the names, ages, and positions of all of the Company’s executive officers at the time of this report. Officers are generally elected at the meeting of the Board of Directors following the annual meeting of shareholders.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1420" w:type="dxa"/>
            <w:vAlign w:val="bottom"/>
          </w:tcPr>
          <w:p>
            <w:pPr>
              <w:spacing w:after="0"/>
              <w:rPr>
                <w:sz w:val="20"/>
                <w:szCs w:val="20"/>
                <w:color w:val="auto"/>
              </w:rPr>
            </w:pPr>
            <w:r>
              <w:rPr>
                <w:rFonts w:ascii="Arial" w:cs="Arial" w:eastAsia="Arial" w:hAnsi="Arial"/>
                <w:sz w:val="18"/>
                <w:szCs w:val="18"/>
                <w:b w:val="1"/>
                <w:bCs w:val="1"/>
                <w:color w:val="262626"/>
              </w:rPr>
              <w:t>Name</w:t>
            </w:r>
          </w:p>
        </w:tc>
        <w:tc>
          <w:tcPr>
            <w:tcW w:w="640" w:type="dxa"/>
            <w:vAlign w:val="bottom"/>
          </w:tcPr>
          <w:p>
            <w:pPr>
              <w:ind w:left="160"/>
              <w:spacing w:after="0"/>
              <w:rPr>
                <w:sz w:val="20"/>
                <w:szCs w:val="20"/>
                <w:color w:val="auto"/>
              </w:rPr>
            </w:pPr>
            <w:r>
              <w:rPr>
                <w:rFonts w:ascii="Arial" w:cs="Arial" w:eastAsia="Arial" w:hAnsi="Arial"/>
                <w:sz w:val="18"/>
                <w:szCs w:val="18"/>
                <w:b w:val="1"/>
                <w:bCs w:val="1"/>
                <w:color w:val="262626"/>
              </w:rPr>
              <w:t>Age</w:t>
            </w:r>
          </w:p>
        </w:tc>
        <w:tc>
          <w:tcPr>
            <w:tcW w:w="5480" w:type="dxa"/>
            <w:vAlign w:val="bottom"/>
          </w:tcPr>
          <w:p>
            <w:pPr>
              <w:ind w:left="180"/>
              <w:spacing w:after="0"/>
              <w:rPr>
                <w:sz w:val="20"/>
                <w:szCs w:val="20"/>
                <w:color w:val="auto"/>
              </w:rPr>
            </w:pPr>
            <w:r>
              <w:rPr>
                <w:rFonts w:ascii="Arial" w:cs="Arial" w:eastAsia="Arial" w:hAnsi="Arial"/>
                <w:sz w:val="18"/>
                <w:szCs w:val="18"/>
                <w:b w:val="1"/>
                <w:bCs w:val="1"/>
                <w:color w:val="262626"/>
              </w:rPr>
              <w:t>Position</w:t>
            </w:r>
          </w:p>
        </w:tc>
        <w:tc>
          <w:tcPr>
            <w:tcW w:w="2900" w:type="dxa"/>
            <w:vAlign w:val="bottom"/>
          </w:tcPr>
          <w:p>
            <w:pPr>
              <w:jc w:val="right"/>
              <w:spacing w:after="0"/>
              <w:rPr>
                <w:sz w:val="20"/>
                <w:szCs w:val="20"/>
                <w:color w:val="auto"/>
              </w:rPr>
            </w:pPr>
            <w:r>
              <w:rPr>
                <w:rFonts w:ascii="Arial" w:cs="Arial" w:eastAsia="Arial" w:hAnsi="Arial"/>
                <w:sz w:val="18"/>
                <w:szCs w:val="18"/>
                <w:b w:val="1"/>
                <w:bCs w:val="1"/>
                <w:color w:val="262626"/>
              </w:rPr>
              <w:t>Current Position Held Since</w:t>
            </w:r>
          </w:p>
        </w:tc>
      </w:tr>
      <w:tr>
        <w:trPr>
          <w:trHeight w:val="345"/>
        </w:trPr>
        <w:tc>
          <w:tcPr>
            <w:tcW w:w="14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Steve Downing</w:t>
            </w:r>
          </w:p>
        </w:tc>
        <w:tc>
          <w:tcPr>
            <w:tcW w:w="640" w:type="dxa"/>
            <w:vAlign w:val="bottom"/>
            <w:tcBorders>
              <w:bottom w:val="single" w:sz="8" w:color="838383"/>
            </w:tcBorders>
          </w:tcPr>
          <w:p>
            <w:pPr>
              <w:ind w:left="160"/>
              <w:spacing w:after="0"/>
              <w:rPr>
                <w:sz w:val="20"/>
                <w:szCs w:val="20"/>
                <w:color w:val="auto"/>
              </w:rPr>
            </w:pPr>
            <w:r>
              <w:rPr>
                <w:rFonts w:ascii="Times New Roman" w:cs="Times New Roman" w:eastAsia="Times New Roman" w:hAnsi="Times New Roman"/>
                <w:sz w:val="18"/>
                <w:szCs w:val="18"/>
                <w:color w:val="262626"/>
              </w:rPr>
              <w:t>45</w:t>
            </w:r>
          </w:p>
        </w:tc>
        <w:tc>
          <w:tcPr>
            <w:tcW w:w="5480" w:type="dxa"/>
            <w:vAlign w:val="bottom"/>
            <w:tcBorders>
              <w:bottom w:val="single" w:sz="8" w:color="838383"/>
            </w:tcBorders>
          </w:tcPr>
          <w:p>
            <w:pPr>
              <w:ind w:left="180"/>
              <w:spacing w:after="0"/>
              <w:rPr>
                <w:sz w:val="20"/>
                <w:szCs w:val="20"/>
                <w:color w:val="auto"/>
              </w:rPr>
            </w:pPr>
            <w:r>
              <w:rPr>
                <w:rFonts w:ascii="Times New Roman" w:cs="Times New Roman" w:eastAsia="Times New Roman" w:hAnsi="Times New Roman"/>
                <w:sz w:val="18"/>
                <w:szCs w:val="18"/>
                <w:color w:val="262626"/>
              </w:rPr>
              <w:t>President and Chief Executive Officer</w:t>
            </w:r>
          </w:p>
        </w:tc>
        <w:tc>
          <w:tcPr>
            <w:tcW w:w="29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January 2018</w:t>
            </w:r>
          </w:p>
        </w:tc>
      </w:tr>
      <w:tr>
        <w:trPr>
          <w:trHeight w:val="340"/>
        </w:trPr>
        <w:tc>
          <w:tcPr>
            <w:tcW w:w="14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Neil Boehm</w:t>
            </w:r>
          </w:p>
        </w:tc>
        <w:tc>
          <w:tcPr>
            <w:tcW w:w="640" w:type="dxa"/>
            <w:vAlign w:val="bottom"/>
            <w:tcBorders>
              <w:bottom w:val="single" w:sz="8" w:color="838383"/>
            </w:tcBorders>
          </w:tcPr>
          <w:p>
            <w:pPr>
              <w:ind w:left="160"/>
              <w:spacing w:after="0"/>
              <w:rPr>
                <w:sz w:val="20"/>
                <w:szCs w:val="20"/>
                <w:color w:val="auto"/>
              </w:rPr>
            </w:pPr>
            <w:r>
              <w:rPr>
                <w:rFonts w:ascii="Times New Roman" w:cs="Times New Roman" w:eastAsia="Times New Roman" w:hAnsi="Times New Roman"/>
                <w:sz w:val="18"/>
                <w:szCs w:val="18"/>
                <w:color w:val="262626"/>
              </w:rPr>
              <w:t>51</w:t>
            </w:r>
          </w:p>
        </w:tc>
        <w:tc>
          <w:tcPr>
            <w:tcW w:w="5480" w:type="dxa"/>
            <w:vAlign w:val="bottom"/>
            <w:tcBorders>
              <w:bottom w:val="single" w:sz="8" w:color="838383"/>
            </w:tcBorders>
          </w:tcPr>
          <w:p>
            <w:pPr>
              <w:ind w:left="180"/>
              <w:spacing w:after="0"/>
              <w:rPr>
                <w:sz w:val="20"/>
                <w:szCs w:val="20"/>
                <w:color w:val="auto"/>
              </w:rPr>
            </w:pPr>
            <w:r>
              <w:rPr>
                <w:rFonts w:ascii="Times New Roman" w:cs="Times New Roman" w:eastAsia="Times New Roman" w:hAnsi="Times New Roman"/>
                <w:sz w:val="18"/>
                <w:szCs w:val="18"/>
                <w:color w:val="262626"/>
              </w:rPr>
              <w:t>Chief Technology Officer and Vice President, Engineering</w:t>
            </w:r>
          </w:p>
        </w:tc>
        <w:tc>
          <w:tcPr>
            <w:tcW w:w="29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February 2018</w:t>
            </w:r>
          </w:p>
        </w:tc>
      </w:tr>
      <w:tr>
        <w:trPr>
          <w:trHeight w:val="340"/>
        </w:trPr>
        <w:tc>
          <w:tcPr>
            <w:tcW w:w="14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Kevin Nash</w:t>
            </w:r>
          </w:p>
        </w:tc>
        <w:tc>
          <w:tcPr>
            <w:tcW w:w="640" w:type="dxa"/>
            <w:vAlign w:val="bottom"/>
            <w:tcBorders>
              <w:bottom w:val="single" w:sz="8" w:color="838383"/>
            </w:tcBorders>
          </w:tcPr>
          <w:p>
            <w:pPr>
              <w:ind w:left="160"/>
              <w:spacing w:after="0"/>
              <w:rPr>
                <w:sz w:val="20"/>
                <w:szCs w:val="20"/>
                <w:color w:val="auto"/>
              </w:rPr>
            </w:pPr>
            <w:r>
              <w:rPr>
                <w:rFonts w:ascii="Times New Roman" w:cs="Times New Roman" w:eastAsia="Times New Roman" w:hAnsi="Times New Roman"/>
                <w:sz w:val="18"/>
                <w:szCs w:val="18"/>
                <w:color w:val="262626"/>
              </w:rPr>
              <w:t>48</w:t>
            </w:r>
          </w:p>
        </w:tc>
        <w:tc>
          <w:tcPr>
            <w:tcW w:w="5480" w:type="dxa"/>
            <w:vAlign w:val="bottom"/>
            <w:tcBorders>
              <w:bottom w:val="single" w:sz="8" w:color="838383"/>
            </w:tcBorders>
          </w:tcPr>
          <w:p>
            <w:pPr>
              <w:ind w:left="180"/>
              <w:spacing w:after="0"/>
              <w:rPr>
                <w:sz w:val="20"/>
                <w:szCs w:val="20"/>
                <w:color w:val="auto"/>
              </w:rPr>
            </w:pPr>
            <w:r>
              <w:rPr>
                <w:rFonts w:ascii="Times New Roman" w:cs="Times New Roman" w:eastAsia="Times New Roman" w:hAnsi="Times New Roman"/>
                <w:sz w:val="18"/>
                <w:szCs w:val="18"/>
                <w:color w:val="262626"/>
              </w:rPr>
              <w:t>Vice President, Finance, Chief Financial Officer and Treasurer</w:t>
            </w:r>
          </w:p>
        </w:tc>
        <w:tc>
          <w:tcPr>
            <w:tcW w:w="29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February 2018</w:t>
            </w:r>
          </w:p>
        </w:tc>
      </w:tr>
      <w:tr>
        <w:trPr>
          <w:trHeight w:val="340"/>
        </w:trPr>
        <w:tc>
          <w:tcPr>
            <w:tcW w:w="14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Matthew Chiodo</w:t>
            </w:r>
          </w:p>
        </w:tc>
        <w:tc>
          <w:tcPr>
            <w:tcW w:w="640" w:type="dxa"/>
            <w:vAlign w:val="bottom"/>
            <w:tcBorders>
              <w:bottom w:val="single" w:sz="8" w:color="838383"/>
            </w:tcBorders>
          </w:tcPr>
          <w:p>
            <w:pPr>
              <w:ind w:left="160"/>
              <w:spacing w:after="0"/>
              <w:rPr>
                <w:sz w:val="20"/>
                <w:szCs w:val="20"/>
                <w:color w:val="auto"/>
              </w:rPr>
            </w:pPr>
            <w:r>
              <w:rPr>
                <w:rFonts w:ascii="Times New Roman" w:cs="Times New Roman" w:eastAsia="Times New Roman" w:hAnsi="Times New Roman"/>
                <w:sz w:val="18"/>
                <w:szCs w:val="18"/>
                <w:color w:val="262626"/>
              </w:rPr>
              <w:t>58</w:t>
            </w:r>
          </w:p>
        </w:tc>
        <w:tc>
          <w:tcPr>
            <w:tcW w:w="5480" w:type="dxa"/>
            <w:vAlign w:val="bottom"/>
            <w:tcBorders>
              <w:bottom w:val="single" w:sz="8" w:color="838383"/>
            </w:tcBorders>
          </w:tcPr>
          <w:p>
            <w:pPr>
              <w:ind w:left="180"/>
              <w:spacing w:after="0"/>
              <w:rPr>
                <w:sz w:val="20"/>
                <w:szCs w:val="20"/>
                <w:color w:val="auto"/>
              </w:rPr>
            </w:pPr>
            <w:r>
              <w:rPr>
                <w:rFonts w:ascii="Times New Roman" w:cs="Times New Roman" w:eastAsia="Times New Roman" w:hAnsi="Times New Roman"/>
                <w:sz w:val="18"/>
                <w:szCs w:val="18"/>
                <w:color w:val="262626"/>
              </w:rPr>
              <w:t>Chief Sales Officer and Senior Vice President, Sales</w:t>
            </w:r>
          </w:p>
        </w:tc>
        <w:tc>
          <w:tcPr>
            <w:tcW w:w="29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January 2022</w:t>
            </w:r>
          </w:p>
        </w:tc>
      </w:tr>
      <w:tr>
        <w:trPr>
          <w:trHeight w:val="36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262626"/>
              </w:rPr>
              <w:t>Scott Ryan</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262626"/>
              </w:rPr>
              <w:t>42</w:t>
            </w:r>
          </w:p>
        </w:tc>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262626"/>
              </w:rPr>
              <w:t>Vice President, General Counsel and Corporate Secretary</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August 2018</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There are no family relationships among the officers listed in the preceding table.</w:t>
      </w:r>
    </w:p>
    <w:p>
      <w:pPr>
        <w:spacing w:after="0" w:line="253" w:lineRule="exact"/>
        <w:rPr>
          <w:sz w:val="20"/>
          <w:szCs w:val="20"/>
          <w:color w:val="auto"/>
        </w:rPr>
      </w:pPr>
    </w:p>
    <w:p>
      <w:pPr>
        <w:ind w:right="240" w:firstLine="1"/>
        <w:spacing w:after="0" w:line="353" w:lineRule="auto"/>
        <w:rPr>
          <w:sz w:val="20"/>
          <w:szCs w:val="20"/>
          <w:color w:val="auto"/>
        </w:rPr>
      </w:pPr>
      <w:r>
        <w:rPr>
          <w:rFonts w:ascii="Times New Roman" w:cs="Times New Roman" w:eastAsia="Times New Roman" w:hAnsi="Times New Roman"/>
          <w:sz w:val="18"/>
          <w:szCs w:val="18"/>
          <w:color w:val="262626"/>
        </w:rPr>
        <w:t>Steve Downing was elected Chief Executive Officer effective as of January 1, 2018. Mr. Downing has been employed by the Company since 2002. Prior to being elected Chief Executive Officer, he served as President and Chief Operating Officer from August 2017 to December 2017, as Senior Vice President and Chief Financial Officer from June 2015 to August 2017, and as Vice President of Finance and Chief Financial Officer from May 2013 to June 2015. He served in a variety of roles before that time. Certain terms of Mr. Downing’s employment arrangement are contained herein in Part III, Item 11 to this Form 10-K.</w:t>
      </w:r>
    </w:p>
    <w:p>
      <w:pPr>
        <w:spacing w:after="0" w:line="58" w:lineRule="exact"/>
        <w:rPr>
          <w:sz w:val="20"/>
          <w:szCs w:val="20"/>
          <w:color w:val="auto"/>
        </w:rPr>
      </w:pPr>
    </w:p>
    <w:p>
      <w:pPr>
        <w:ind w:right="220"/>
        <w:spacing w:after="0" w:line="362" w:lineRule="auto"/>
        <w:rPr>
          <w:sz w:val="20"/>
          <w:szCs w:val="20"/>
          <w:color w:val="auto"/>
        </w:rPr>
      </w:pPr>
      <w:r>
        <w:rPr>
          <w:rFonts w:ascii="Times New Roman" w:cs="Times New Roman" w:eastAsia="Times New Roman" w:hAnsi="Times New Roman"/>
          <w:sz w:val="18"/>
          <w:szCs w:val="18"/>
          <w:color w:val="262626"/>
        </w:rPr>
        <w:t>Neil Boehm was appointed as the Company’s Vice President, Engineering and Chief Technology Officer as of February 15, 2018 and was also appointed an executive officer. Mr. Boehm has been employed by the Company since 2001. Prior to his current position, he served as the Company’s Vice President of Engineering, beginning in 2015 and before that served as Senior Director of Engineering. Certain terms of Mr. Boehm’s employment arrangement are contained herein in Part III, Item 11 to this Form 10-K.</w:t>
      </w:r>
    </w:p>
    <w:p>
      <w:pPr>
        <w:spacing w:after="0" w:line="52" w:lineRule="exact"/>
        <w:rPr>
          <w:sz w:val="20"/>
          <w:szCs w:val="20"/>
          <w:color w:val="auto"/>
        </w:rPr>
      </w:pPr>
    </w:p>
    <w:p>
      <w:pPr>
        <w:ind w:right="60"/>
        <w:spacing w:after="0" w:line="352" w:lineRule="auto"/>
        <w:rPr>
          <w:sz w:val="20"/>
          <w:szCs w:val="20"/>
          <w:color w:val="auto"/>
        </w:rPr>
      </w:pPr>
      <w:r>
        <w:rPr>
          <w:rFonts w:ascii="Times New Roman" w:cs="Times New Roman" w:eastAsia="Times New Roman" w:hAnsi="Times New Roman"/>
          <w:sz w:val="18"/>
          <w:szCs w:val="18"/>
          <w:color w:val="262626"/>
        </w:rPr>
        <w:t>Kevin Nash was appointed as the Company’s Vice President, Finance, Chief Financial Officer, and Treasurer, effective as of February 15, 2018. He is also the Company’s Chief Accounting Officer. Mr. Nash has been employed by the Company since 1999. Prior to his current position, he served as the Company’s Vice President of Accounting and Chief Accounting Officer, beginning in 2014 and before that served as Director of Accounting and Chief Accounting Officer. Certain terms of Mr. Nash’s employment arrangement are contained herein in Part III, Item 11 to this Form 10-K.</w:t>
      </w:r>
    </w:p>
    <w:p>
      <w:pPr>
        <w:spacing w:after="0" w:line="63" w:lineRule="exact"/>
        <w:rPr>
          <w:sz w:val="20"/>
          <w:szCs w:val="20"/>
          <w:color w:val="auto"/>
        </w:rPr>
      </w:pPr>
    </w:p>
    <w:p>
      <w:pPr>
        <w:ind w:right="440"/>
        <w:spacing w:after="0" w:line="363" w:lineRule="auto"/>
        <w:rPr>
          <w:sz w:val="20"/>
          <w:szCs w:val="20"/>
          <w:color w:val="auto"/>
        </w:rPr>
      </w:pPr>
      <w:r>
        <w:rPr>
          <w:rFonts w:ascii="Times New Roman" w:cs="Times New Roman" w:eastAsia="Times New Roman" w:hAnsi="Times New Roman"/>
          <w:sz w:val="18"/>
          <w:szCs w:val="18"/>
          <w:color w:val="262626"/>
        </w:rPr>
        <w:t>Matthew Chiodo’s title changed to Chief Sales Officer and Senior Vice President of Sales on January 17, 2022, though he was already and continues to be a named executive officer. Mr. Chiodo has been employed by the Company since 2001. Prior to his current title, his title was the Company’s Vice President of Sales, beginning in 2017 and before that served as Director of Sales for several years. Certain terms of Mr. Chiodo’s employment arrangement are contained herein in Part III, Item 11 to this Form 10-K.</w:t>
      </w:r>
    </w:p>
    <w:p>
      <w:pPr>
        <w:spacing w:after="0" w:line="48" w:lineRule="exact"/>
        <w:rPr>
          <w:sz w:val="20"/>
          <w:szCs w:val="20"/>
          <w:color w:val="auto"/>
        </w:rPr>
      </w:pPr>
    </w:p>
    <w:p>
      <w:pPr>
        <w:jc w:val="both"/>
        <w:ind w:right="380"/>
        <w:spacing w:after="0" w:line="363" w:lineRule="auto"/>
        <w:rPr>
          <w:sz w:val="20"/>
          <w:szCs w:val="20"/>
          <w:color w:val="auto"/>
        </w:rPr>
      </w:pPr>
      <w:r>
        <w:rPr>
          <w:rFonts w:ascii="Times New Roman" w:cs="Times New Roman" w:eastAsia="Times New Roman" w:hAnsi="Times New Roman"/>
          <w:sz w:val="18"/>
          <w:szCs w:val="18"/>
          <w:color w:val="262626"/>
        </w:rPr>
        <w:t>Scott Ryan was appointed as the Company’s Vice President, General Counsel and Corporate Secretary on August 16, 2018. Mr. Ryan has been employed by the Company since 2010. Prior to his current position, he served as Assistant General Counsel and Corporate Secretary from June 2015 to August 2018. Prior to that he served as Patent Counsel from November 2013 to June 2015. Certain terms of Mr. Ryan’s employment arrangement are contained herein in Part III, Item 11 to this Form 10-K.</w:t>
      </w:r>
    </w:p>
    <w:p>
      <w:pPr>
        <w:spacing w:after="0" w:line="48" w:lineRule="exact"/>
        <w:rPr>
          <w:sz w:val="20"/>
          <w:szCs w:val="20"/>
          <w:color w:val="auto"/>
        </w:rPr>
      </w:pPr>
    </w:p>
    <w:p>
      <w:pPr>
        <w:ind w:right="200"/>
        <w:spacing w:after="0" w:line="332" w:lineRule="auto"/>
        <w:rPr>
          <w:sz w:val="20"/>
          <w:szCs w:val="20"/>
          <w:color w:val="auto"/>
        </w:rPr>
      </w:pPr>
      <w:r>
        <w:rPr>
          <w:rFonts w:ascii="Times New Roman" w:cs="Times New Roman" w:eastAsia="Times New Roman" w:hAnsi="Times New Roman"/>
          <w:sz w:val="18"/>
          <w:szCs w:val="18"/>
          <w:color w:val="262626"/>
        </w:rPr>
        <w:t>Information relating to directors appearing under the caption “Election of Directors” in the definitive Proxy Statement for 2023 Annual Meeting of Shareholders and filed with the Commission within 120 days after the Company’s fiscal year end, December 31, 2022 (the “Proxy Statement”), is hereby incorporated herein by reference. No changes were made to the procedures by which shareholders may recommend nominees for the Board of Directors. Any information concerning compliance with Section 16(a) of the Securities and Exchange Act of</w:t>
      </w:r>
    </w:p>
    <w:p>
      <w:pPr>
        <w:spacing w:after="0" w:line="1" w:lineRule="exact"/>
        <w:rPr>
          <w:sz w:val="20"/>
          <w:szCs w:val="20"/>
          <w:color w:val="auto"/>
        </w:rPr>
      </w:pPr>
    </w:p>
    <w:p>
      <w:pPr>
        <w:ind w:right="300"/>
        <w:spacing w:after="0" w:line="352" w:lineRule="auto"/>
        <w:rPr>
          <w:sz w:val="20"/>
          <w:szCs w:val="20"/>
          <w:color w:val="auto"/>
        </w:rPr>
      </w:pPr>
      <w:r>
        <w:rPr>
          <w:rFonts w:ascii="Times New Roman" w:cs="Times New Roman" w:eastAsia="Times New Roman" w:hAnsi="Times New Roman"/>
          <w:sz w:val="18"/>
          <w:szCs w:val="18"/>
          <w:color w:val="262626"/>
        </w:rPr>
        <w:t>1934 that may appear under the caption “Delinquent Section 16 Reports” in the definitive Proxy Statement is hereby incorporated herein by reference. Information relating to the Company’s Audit Committee and concerning whether at least one member of the Audit Committee is an “audit committee financial expert” as that term is defined under Item 407(d)(5) of Regulation S-K appearing under the caption “Corporate Governance – Audit Committee” in the definitive Proxy Statement is hereby incorporated herein by reference.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00"/>
        </w:trPr>
        <w:tc>
          <w:tcPr>
            <w:tcW w:w="241" w:type="dxa"/>
            <w:vAlign w:val="bottom"/>
            <w:textDirection w:val="btLr"/>
          </w:tcPr>
          <w:p>
            <w:pPr>
              <w:spacing w:after="0"/>
              <w:rPr>
                <w:sz w:val="20"/>
                <w:szCs w:val="20"/>
                <w:color w:val="auto"/>
              </w:rPr>
            </w:pPr>
            <w:r>
              <w:rPr>
                <w:rFonts w:ascii="Arial" w:cs="Arial" w:eastAsia="Arial" w:hAnsi="Arial"/>
                <w:sz w:val="21"/>
                <w:szCs w:val="21"/>
                <w:color w:val="FFFFFF"/>
              </w:rPr>
              <w:t>10-K PART III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-901065</wp:posOffset>
            </wp:positionV>
            <wp:extent cx="384175" cy="1002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7">
                      <a:extLst>
                        <a:ext uri="{28A0092B-C50C-407E-A947-70E740481C1C}"/>
                      </a:extLst>
                    </a:blip>
                    <a:srcRect/>
                    <a:stretch>
                      <a:fillRect/>
                    </a:stretch>
                  </pic:blipFill>
                  <pic:spPr bwMode="auto">
                    <a:xfrm>
                      <a:off x="0" y="0"/>
                      <a:ext cx="384175" cy="1002030"/>
                    </a:xfrm>
                    <a:prstGeom prst="rect">
                      <a:avLst/>
                    </a:prstGeom>
                    <a:noFill/>
                  </pic:spPr>
                </pic:pic>
              </a:graphicData>
            </a:graphic>
          </wp:anchor>
        </w:drawing>
      </w:r>
    </w:p>
    <w:p>
      <w:pPr>
        <w:spacing w:after="0" w:line="12829" w:lineRule="exact"/>
        <w:rPr>
          <w:sz w:val="20"/>
          <w:szCs w:val="20"/>
          <w:color w:val="auto"/>
        </w:rPr>
      </w:pPr>
    </w:p>
    <w:p>
      <w:pPr>
        <w:sectPr>
          <w:pgSz w:w="12240" w:h="15840" w:orient="portrait"/>
          <w:cols w:equalWidth="0" w:num="2">
            <w:col w:w="10440" w:space="526"/>
            <w:col w:w="241"/>
          </w:cols>
          <w:pgMar w:left="900" w:top="836" w:right="132" w:bottom="0" w:gutter="0" w:footer="0" w:header="0"/>
        </w:sectPr>
      </w:pPr>
    </w:p>
    <w:p>
      <w:pPr>
        <w:spacing w:after="0" w:line="87"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49</w:t>
      </w:r>
    </w:p>
    <w:p>
      <w:pPr>
        <w:sectPr>
          <w:pgSz w:w="12240" w:h="15840" w:orient="portrait"/>
          <w:cols w:equalWidth="0" w:num="1">
            <w:col w:w="11208"/>
          </w:cols>
          <w:pgMar w:left="900" w:top="836" w:right="132" w:bottom="0" w:gutter="0" w:footer="0" w:header="0"/>
          <w:type w:val="continuous"/>
        </w:sectPr>
      </w:pPr>
    </w:p>
    <w:bookmarkStart w:id="49" w:name="page50"/>
    <w:bookmarkEnd w:id="49"/>
    <w:p>
      <w:pPr>
        <w:ind w:left="320" w:right="80"/>
        <w:spacing w:after="0" w:line="347" w:lineRule="auto"/>
        <w:rPr>
          <w:sz w:val="20"/>
          <w:szCs w:val="20"/>
          <w:color w:val="auto"/>
        </w:rPr>
      </w:pPr>
      <w:r>
        <w:rPr>
          <w:rFonts w:ascii="Times New Roman" w:cs="Times New Roman" w:eastAsia="Times New Roman" w:hAnsi="Times New Roman"/>
          <w:sz w:val="18"/>
          <w:szCs w:val="18"/>
          <w:color w:val="262626"/>
        </w:rPr>
        <w:t>The Company has adopted a Code of Ethics for Certain Senior Officers that applies to its principal executive officer, principal financial officer, and principal accounting officer. A copy of the Code of Ethics for Certain Senior Officers is available without charge, upon written request, from the Corporate Secretary of the Company, 600 N. Centennial Street, Zeeland, Michigan 49464 and on the Company’s website. The Company intends to satisfy the disclosure requirement under Item 5.05 of Form 8-K regarding an amendment to, or waiver from, a provision of this Code of Ethics by posting such information on its website. Information contained in the Company’s website, whether currently posted or posted in the future, is not part of this document or the documents incorporated by reference in this document.</w:t>
      </w: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Arial" w:cs="Arial" w:eastAsia="Arial" w:hAnsi="Arial"/>
          <w:sz w:val="32"/>
          <w:szCs w:val="32"/>
          <w:color w:val="838383"/>
        </w:rPr>
        <w:t xml:space="preserve">Item 11. </w:t>
      </w:r>
      <w:r>
        <w:rPr>
          <w:rFonts w:ascii="Arial" w:cs="Arial" w:eastAsia="Arial" w:hAnsi="Arial"/>
          <w:sz w:val="32"/>
          <w:szCs w:val="32"/>
          <w:color w:val="262626"/>
        </w:rPr>
        <w:t>Executive Compensation.</w:t>
      </w:r>
    </w:p>
    <w:p>
      <w:pPr>
        <w:spacing w:after="0" w:line="216" w:lineRule="exact"/>
        <w:rPr>
          <w:sz w:val="20"/>
          <w:szCs w:val="20"/>
          <w:color w:val="auto"/>
        </w:rPr>
      </w:pPr>
    </w:p>
    <w:p>
      <w:pPr>
        <w:ind w:left="320" w:right="320"/>
        <w:spacing w:after="0" w:line="362" w:lineRule="auto"/>
        <w:rPr>
          <w:sz w:val="20"/>
          <w:szCs w:val="20"/>
          <w:color w:val="auto"/>
        </w:rPr>
      </w:pPr>
      <w:r>
        <w:rPr>
          <w:rFonts w:ascii="Times New Roman" w:cs="Times New Roman" w:eastAsia="Times New Roman" w:hAnsi="Times New Roman"/>
          <w:sz w:val="18"/>
          <w:szCs w:val="18"/>
          <w:color w:val="262626"/>
        </w:rPr>
        <w:t>The information contained under the caption “Compensation Committee Report,” “Compensation Discussion and Analysis,” “Executive Compensation,” “Director Compensation,” and “Compensation Committee Interlocks and Insider Participation” contained in the definitive Proxy Statement is hereby incorporated herein by reference. The “Compensation Committee Report” shall not be deemed to be soliciting material or to be filed with the commission.</w:t>
      </w:r>
    </w:p>
    <w:p>
      <w:pPr>
        <w:spacing w:after="0" w:line="52" w:lineRule="exact"/>
        <w:rPr>
          <w:sz w:val="20"/>
          <w:szCs w:val="20"/>
          <w:color w:val="auto"/>
        </w:rPr>
      </w:pPr>
    </w:p>
    <w:p>
      <w:pPr>
        <w:ind w:left="320"/>
        <w:spacing w:after="0" w:line="429" w:lineRule="auto"/>
        <w:rPr>
          <w:sz w:val="20"/>
          <w:szCs w:val="20"/>
          <w:color w:val="auto"/>
        </w:rPr>
      </w:pPr>
      <w:r>
        <w:rPr>
          <w:rFonts w:ascii="Times New Roman" w:cs="Times New Roman" w:eastAsia="Times New Roman" w:hAnsi="Times New Roman"/>
          <w:sz w:val="18"/>
          <w:szCs w:val="18"/>
          <w:color w:val="262626"/>
        </w:rPr>
        <w:t>As previously disclosed, the Compensation Committee has a goal that base salaries for officers, including named executive officers, are at or near the market median for base salaries when compared to the Company’s established peer group.</w:t>
      </w:r>
    </w:p>
    <w:p>
      <w:pPr>
        <w:ind w:left="320" w:right="60"/>
        <w:spacing w:after="0" w:line="343" w:lineRule="auto"/>
        <w:rPr>
          <w:sz w:val="20"/>
          <w:szCs w:val="20"/>
          <w:color w:val="auto"/>
        </w:rPr>
      </w:pPr>
      <w:r>
        <w:rPr>
          <w:rFonts w:ascii="Times New Roman" w:cs="Times New Roman" w:eastAsia="Times New Roman" w:hAnsi="Times New Roman"/>
          <w:sz w:val="18"/>
          <w:szCs w:val="18"/>
          <w:color w:val="262626"/>
        </w:rPr>
        <w:t>In light of that, the Compensation Committee has periodically reviewed base salaries for officers, including where officers rank compared to the Company’s established peer group. It was determined by the Compensation Committee that certain officer base salaries continue to trail the announced goal of base salaries at market median, in some instances base salaries significantly trailed the stated goal. As such, in light of an improving outlook for the Company the ever-increasing competition for talent, the need to attract and retain management to fulfil the Company’s strategic goals, desire for base salaries to approach market median, and the high level individual performances of officers, the Compensation Committee recommended to the Board and the Board approved certain changes in base salaries for 2023. The Board, therefore, on February 16, 2023, approved the following base salaries for the CEO and named executive officers for 2023:</w:t>
      </w:r>
    </w:p>
    <w:p>
      <w:pPr>
        <w:spacing w:after="0" w:line="117"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1600" w:type="dxa"/>
            <w:vAlign w:val="bottom"/>
          </w:tcPr>
          <w:p>
            <w:pPr>
              <w:spacing w:after="0"/>
              <w:rPr>
                <w:sz w:val="20"/>
                <w:szCs w:val="20"/>
                <w:color w:val="auto"/>
              </w:rPr>
            </w:pPr>
            <w:r>
              <w:rPr>
                <w:rFonts w:ascii="Arial" w:cs="Arial" w:eastAsia="Arial" w:hAnsi="Arial"/>
                <w:sz w:val="18"/>
                <w:szCs w:val="18"/>
                <w:b w:val="1"/>
                <w:bCs w:val="1"/>
                <w:color w:val="262626"/>
              </w:rPr>
              <w:t>Executive Officer</w:t>
            </w:r>
          </w:p>
        </w:tc>
        <w:tc>
          <w:tcPr>
            <w:tcW w:w="4280" w:type="dxa"/>
            <w:vAlign w:val="bottom"/>
          </w:tcPr>
          <w:p>
            <w:pPr>
              <w:ind w:left="260"/>
              <w:spacing w:after="0"/>
              <w:rPr>
                <w:sz w:val="20"/>
                <w:szCs w:val="20"/>
                <w:color w:val="auto"/>
              </w:rPr>
            </w:pPr>
            <w:r>
              <w:rPr>
                <w:rFonts w:ascii="Arial" w:cs="Arial" w:eastAsia="Arial" w:hAnsi="Arial"/>
                <w:sz w:val="18"/>
                <w:szCs w:val="18"/>
                <w:b w:val="1"/>
                <w:bCs w:val="1"/>
                <w:color w:val="262626"/>
              </w:rPr>
              <w:t>Position</w:t>
            </w:r>
          </w:p>
        </w:tc>
        <w:tc>
          <w:tcPr>
            <w:tcW w:w="1000" w:type="dxa"/>
            <w:vAlign w:val="bottom"/>
          </w:tcPr>
          <w:p>
            <w:pPr>
              <w:spacing w:after="0"/>
              <w:rPr>
                <w:sz w:val="24"/>
                <w:szCs w:val="24"/>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262626"/>
                <w:w w:val="99"/>
              </w:rPr>
              <w:t>2023 Base Salary</w:t>
            </w:r>
          </w:p>
        </w:tc>
        <w:tc>
          <w:tcPr>
            <w:tcW w:w="4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262626"/>
                <w:w w:val="99"/>
              </w:rPr>
              <w:t>2022 Base Salary</w:t>
            </w:r>
          </w:p>
        </w:tc>
      </w:tr>
      <w:tr>
        <w:trPr>
          <w:trHeight w:val="345"/>
        </w:trPr>
        <w:tc>
          <w:tcPr>
            <w:tcW w:w="16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Steve Downing</w:t>
            </w:r>
          </w:p>
        </w:tc>
        <w:tc>
          <w:tcPr>
            <w:tcW w:w="4280" w:type="dxa"/>
            <w:vAlign w:val="bottom"/>
            <w:tcBorders>
              <w:bottom w:val="single" w:sz="8" w:color="838383"/>
            </w:tcBorders>
          </w:tcPr>
          <w:p>
            <w:pPr>
              <w:ind w:left="260"/>
              <w:spacing w:after="0"/>
              <w:rPr>
                <w:sz w:val="20"/>
                <w:szCs w:val="20"/>
                <w:color w:val="auto"/>
              </w:rPr>
            </w:pPr>
            <w:r>
              <w:rPr>
                <w:rFonts w:ascii="Times New Roman" w:cs="Times New Roman" w:eastAsia="Times New Roman" w:hAnsi="Times New Roman"/>
                <w:sz w:val="18"/>
                <w:szCs w:val="18"/>
                <w:color w:val="262626"/>
              </w:rPr>
              <w:t>President and CEO</w:t>
            </w:r>
          </w:p>
        </w:tc>
        <w:tc>
          <w:tcPr>
            <w:tcW w:w="100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160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850,000</w:t>
            </w:r>
          </w:p>
        </w:tc>
        <w:tc>
          <w:tcPr>
            <w:tcW w:w="46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14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800,000</w:t>
            </w:r>
          </w:p>
        </w:tc>
      </w:tr>
      <w:tr>
        <w:trPr>
          <w:trHeight w:val="340"/>
        </w:trPr>
        <w:tc>
          <w:tcPr>
            <w:tcW w:w="16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Neil Boehm</w:t>
            </w:r>
          </w:p>
        </w:tc>
        <w:tc>
          <w:tcPr>
            <w:tcW w:w="4280" w:type="dxa"/>
            <w:vAlign w:val="bottom"/>
            <w:tcBorders>
              <w:bottom w:val="single" w:sz="8" w:color="838383"/>
            </w:tcBorders>
          </w:tcPr>
          <w:p>
            <w:pPr>
              <w:ind w:left="260"/>
              <w:spacing w:after="0"/>
              <w:rPr>
                <w:sz w:val="20"/>
                <w:szCs w:val="20"/>
                <w:color w:val="auto"/>
              </w:rPr>
            </w:pPr>
            <w:r>
              <w:rPr>
                <w:rFonts w:ascii="Times New Roman" w:cs="Times New Roman" w:eastAsia="Times New Roman" w:hAnsi="Times New Roman"/>
                <w:sz w:val="18"/>
                <w:szCs w:val="18"/>
                <w:color w:val="262626"/>
              </w:rPr>
              <w:t>VP, Engineering and CTO</w:t>
            </w:r>
          </w:p>
        </w:tc>
        <w:tc>
          <w:tcPr>
            <w:tcW w:w="100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160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515,000</w:t>
            </w:r>
          </w:p>
        </w:tc>
        <w:tc>
          <w:tcPr>
            <w:tcW w:w="46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14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475,000</w:t>
            </w:r>
          </w:p>
        </w:tc>
      </w:tr>
      <w:tr>
        <w:trPr>
          <w:trHeight w:val="340"/>
        </w:trPr>
        <w:tc>
          <w:tcPr>
            <w:tcW w:w="16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Kevin Nash</w:t>
            </w:r>
          </w:p>
        </w:tc>
        <w:tc>
          <w:tcPr>
            <w:tcW w:w="4280" w:type="dxa"/>
            <w:vAlign w:val="bottom"/>
            <w:tcBorders>
              <w:bottom w:val="single" w:sz="8" w:color="838383"/>
            </w:tcBorders>
          </w:tcPr>
          <w:p>
            <w:pPr>
              <w:ind w:left="260"/>
              <w:spacing w:after="0"/>
              <w:rPr>
                <w:sz w:val="20"/>
                <w:szCs w:val="20"/>
                <w:color w:val="auto"/>
              </w:rPr>
            </w:pPr>
            <w:r>
              <w:rPr>
                <w:rFonts w:ascii="Times New Roman" w:cs="Times New Roman" w:eastAsia="Times New Roman" w:hAnsi="Times New Roman"/>
                <w:sz w:val="18"/>
                <w:szCs w:val="18"/>
                <w:color w:val="262626"/>
              </w:rPr>
              <w:t>VP, Finance, CFO and Treasurer</w:t>
            </w:r>
          </w:p>
        </w:tc>
        <w:tc>
          <w:tcPr>
            <w:tcW w:w="100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160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515,000</w:t>
            </w:r>
          </w:p>
        </w:tc>
        <w:tc>
          <w:tcPr>
            <w:tcW w:w="46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14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475,000</w:t>
            </w:r>
          </w:p>
        </w:tc>
      </w:tr>
      <w:tr>
        <w:trPr>
          <w:trHeight w:val="340"/>
        </w:trPr>
        <w:tc>
          <w:tcPr>
            <w:tcW w:w="16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Matt Chiodo</w:t>
            </w:r>
          </w:p>
        </w:tc>
        <w:tc>
          <w:tcPr>
            <w:tcW w:w="4280" w:type="dxa"/>
            <w:vAlign w:val="bottom"/>
            <w:tcBorders>
              <w:bottom w:val="single" w:sz="8" w:color="838383"/>
            </w:tcBorders>
          </w:tcPr>
          <w:p>
            <w:pPr>
              <w:ind w:left="260"/>
              <w:spacing w:after="0"/>
              <w:rPr>
                <w:sz w:val="20"/>
                <w:szCs w:val="20"/>
                <w:color w:val="auto"/>
              </w:rPr>
            </w:pPr>
            <w:r>
              <w:rPr>
                <w:rFonts w:ascii="Times New Roman" w:cs="Times New Roman" w:eastAsia="Times New Roman" w:hAnsi="Times New Roman"/>
                <w:sz w:val="18"/>
                <w:szCs w:val="18"/>
                <w:color w:val="262626"/>
              </w:rPr>
              <w:t>Senior VP, Sales and CSO</w:t>
            </w:r>
          </w:p>
        </w:tc>
        <w:tc>
          <w:tcPr>
            <w:tcW w:w="100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160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455,000</w:t>
            </w:r>
          </w:p>
        </w:tc>
        <w:tc>
          <w:tcPr>
            <w:tcW w:w="46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14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415,000</w:t>
            </w:r>
          </w:p>
        </w:tc>
      </w:tr>
      <w:tr>
        <w:trPr>
          <w:trHeight w:val="36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262626"/>
              </w:rPr>
              <w:t>Scott Ryan</w:t>
            </w:r>
          </w:p>
        </w:tc>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color w:val="262626"/>
              </w:rPr>
              <w:t>VP, General Counsel and Corporate Secretary</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62626"/>
              </w:rPr>
              <w:t>415,000</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375,000</w:t>
            </w:r>
          </w:p>
        </w:tc>
      </w:tr>
    </w:tbl>
    <w:p>
      <w:pPr>
        <w:spacing w:after="0" w:line="309"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Amended and Restated Annual Incentive Performance-Based Bonus Plan</w:t>
      </w:r>
    </w:p>
    <w:p>
      <w:pPr>
        <w:spacing w:after="0" w:line="191" w:lineRule="exact"/>
        <w:rPr>
          <w:sz w:val="20"/>
          <w:szCs w:val="20"/>
          <w:color w:val="auto"/>
        </w:rPr>
      </w:pPr>
    </w:p>
    <w:p>
      <w:pPr>
        <w:ind w:left="320" w:right="220"/>
        <w:spacing w:after="0" w:line="353" w:lineRule="auto"/>
        <w:rPr>
          <w:sz w:val="20"/>
          <w:szCs w:val="20"/>
          <w:color w:val="auto"/>
        </w:rPr>
      </w:pPr>
      <w:r>
        <w:rPr>
          <w:rFonts w:ascii="Times New Roman" w:cs="Times New Roman" w:eastAsia="Times New Roman" w:hAnsi="Times New Roman"/>
          <w:sz w:val="18"/>
          <w:szCs w:val="18"/>
          <w:color w:val="262626"/>
        </w:rPr>
        <w:t>The Board of Directors previously approved the Amended and Restated Annual Incentive Performance-Based Bonus Plan (the “Annual Plan”) to further emphasize performance-based compensation. In lieu of participating in the profit-sharing bonus paid to all employees, the Annual Plan provides potential cash-based bonuses for officers based on the achievement of three key performance metrics: Revenue (33.33% weighting); Operating Income (33.33% weighting); and Earnings per Diluted Share (33.33% weighting). The Annual Plan covers certain officers, including named executive officers.</w:t>
      </w:r>
    </w:p>
    <w:p>
      <w:pPr>
        <w:spacing w:after="0" w:line="58" w:lineRule="exact"/>
        <w:rPr>
          <w:sz w:val="20"/>
          <w:szCs w:val="20"/>
          <w:color w:val="auto"/>
        </w:rPr>
      </w:pPr>
    </w:p>
    <w:p>
      <w:pPr>
        <w:ind w:left="320" w:right="40"/>
        <w:spacing w:after="0" w:line="363" w:lineRule="auto"/>
        <w:rPr>
          <w:sz w:val="20"/>
          <w:szCs w:val="20"/>
          <w:color w:val="auto"/>
        </w:rPr>
      </w:pPr>
      <w:r>
        <w:rPr>
          <w:rFonts w:ascii="Times New Roman" w:cs="Times New Roman" w:eastAsia="Times New Roman" w:hAnsi="Times New Roman"/>
          <w:sz w:val="18"/>
          <w:szCs w:val="18"/>
          <w:color w:val="262626"/>
        </w:rPr>
        <w:t>At the beginning of each year, the Compensation Committee reviews and approves a cash bonus target for each officer, as a percentage of base salary for the year. The CEO may earn from 0% - 200% of base salary. The non-CEO named executive officers may earn from 0% to 150% of their base salaries. All performance-related targets are set by, and achievement of targets are approved by, the Compensation Committee and/or the Board of Directors.</w:t>
      </w:r>
    </w:p>
    <w:p>
      <w:pPr>
        <w:sectPr>
          <w:pgSz w:w="12240" w:h="15840" w:orient="portrait"/>
          <w:cols w:equalWidth="0" w:num="1">
            <w:col w:w="10740"/>
          </w:cols>
          <w:pgMar w:left="580" w:top="85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50</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40"/>
          </w:cols>
          <w:pgMar w:left="580" w:top="852" w:right="920" w:bottom="0" w:gutter="0" w:footer="0" w:header="0"/>
          <w:type w:val="continuous"/>
        </w:sectPr>
      </w:pPr>
    </w:p>
    <w:bookmarkStart w:id="50" w:name="page51"/>
    <w:bookmarkEnd w:id="50"/>
    <w:p>
      <w:pPr>
        <w:ind w:right="540"/>
        <w:spacing w:after="0" w:line="437" w:lineRule="auto"/>
        <w:rPr>
          <w:sz w:val="20"/>
          <w:szCs w:val="20"/>
          <w:color w:val="auto"/>
        </w:rPr>
      </w:pPr>
      <w:r>
        <w:rPr>
          <w:rFonts w:ascii="Times New Roman" w:cs="Times New Roman" w:eastAsia="Times New Roman" w:hAnsi="Times New Roman"/>
          <w:sz w:val="18"/>
          <w:szCs w:val="18"/>
          <w:color w:val="262626"/>
        </w:rPr>
        <w:t>For our executive officers, the 2023 Annual Plan payout opportunities as a percentage of base salary applicable to each performance metric are shown in the table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2380" w:type="dxa"/>
            <w:vAlign w:val="bottom"/>
          </w:tcPr>
          <w:p>
            <w:pPr>
              <w:spacing w:after="0"/>
              <w:rPr>
                <w:sz w:val="20"/>
                <w:szCs w:val="20"/>
                <w:color w:val="auto"/>
              </w:rPr>
            </w:pPr>
            <w:r>
              <w:rPr>
                <w:rFonts w:ascii="Arial" w:cs="Arial" w:eastAsia="Arial" w:hAnsi="Arial"/>
                <w:sz w:val="18"/>
                <w:szCs w:val="18"/>
                <w:b w:val="1"/>
                <w:bCs w:val="1"/>
                <w:color w:val="262626"/>
              </w:rPr>
              <w:t>Executive Officer</w:t>
            </w:r>
          </w:p>
        </w:tc>
        <w:tc>
          <w:tcPr>
            <w:tcW w:w="3380" w:type="dxa"/>
            <w:vAlign w:val="bottom"/>
          </w:tcPr>
          <w:p>
            <w:pPr>
              <w:jc w:val="right"/>
              <w:ind w:right="450"/>
              <w:spacing w:after="0"/>
              <w:rPr>
                <w:sz w:val="20"/>
                <w:szCs w:val="20"/>
                <w:color w:val="auto"/>
              </w:rPr>
            </w:pPr>
            <w:r>
              <w:rPr>
                <w:rFonts w:ascii="Arial" w:cs="Arial" w:eastAsia="Arial" w:hAnsi="Arial"/>
                <w:sz w:val="18"/>
                <w:szCs w:val="18"/>
                <w:b w:val="1"/>
                <w:bCs w:val="1"/>
                <w:color w:val="262626"/>
              </w:rPr>
              <w:t>Annual Plan Threshold</w:t>
            </w:r>
          </w:p>
        </w:tc>
        <w:tc>
          <w:tcPr>
            <w:tcW w:w="2480" w:type="dxa"/>
            <w:vAlign w:val="bottom"/>
          </w:tcPr>
          <w:p>
            <w:pPr>
              <w:jc w:val="right"/>
              <w:ind w:right="330"/>
              <w:spacing w:after="0"/>
              <w:rPr>
                <w:sz w:val="20"/>
                <w:szCs w:val="20"/>
                <w:color w:val="auto"/>
              </w:rPr>
            </w:pPr>
            <w:r>
              <w:rPr>
                <w:rFonts w:ascii="Arial" w:cs="Arial" w:eastAsia="Arial" w:hAnsi="Arial"/>
                <w:sz w:val="18"/>
                <w:szCs w:val="18"/>
                <w:b w:val="1"/>
                <w:bCs w:val="1"/>
                <w:color w:val="262626"/>
              </w:rPr>
              <w:t>Annual Plan Target</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262626"/>
              </w:rPr>
              <w:t>Annual Plan Maximum</w:t>
            </w:r>
          </w:p>
        </w:tc>
      </w:tr>
      <w:tr>
        <w:trPr>
          <w:trHeight w:val="345"/>
        </w:trPr>
        <w:tc>
          <w:tcPr>
            <w:tcW w:w="23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Steve Downing</w:t>
            </w:r>
          </w:p>
        </w:tc>
        <w:tc>
          <w:tcPr>
            <w:tcW w:w="3380" w:type="dxa"/>
            <w:vAlign w:val="bottom"/>
            <w:tcBorders>
              <w:bottom w:val="single" w:sz="8" w:color="838383"/>
            </w:tcBorders>
          </w:tcPr>
          <w:p>
            <w:pPr>
              <w:jc w:val="right"/>
              <w:ind w:right="450"/>
              <w:spacing w:after="0"/>
              <w:rPr>
                <w:sz w:val="20"/>
                <w:szCs w:val="20"/>
                <w:color w:val="auto"/>
              </w:rPr>
            </w:pPr>
            <w:r>
              <w:rPr>
                <w:rFonts w:ascii="Times New Roman" w:cs="Times New Roman" w:eastAsia="Times New Roman" w:hAnsi="Times New Roman"/>
                <w:sz w:val="18"/>
                <w:szCs w:val="18"/>
                <w:color w:val="262626"/>
              </w:rPr>
              <w:t>50.0%</w:t>
            </w:r>
          </w:p>
        </w:tc>
        <w:tc>
          <w:tcPr>
            <w:tcW w:w="2480" w:type="dxa"/>
            <w:vAlign w:val="bottom"/>
            <w:tcBorders>
              <w:bottom w:val="single" w:sz="8" w:color="838383"/>
            </w:tcBorders>
          </w:tcPr>
          <w:p>
            <w:pPr>
              <w:jc w:val="right"/>
              <w:ind w:right="330"/>
              <w:spacing w:after="0"/>
              <w:rPr>
                <w:sz w:val="20"/>
                <w:szCs w:val="20"/>
                <w:color w:val="auto"/>
              </w:rPr>
            </w:pPr>
            <w:r>
              <w:rPr>
                <w:rFonts w:ascii="Times New Roman" w:cs="Times New Roman" w:eastAsia="Times New Roman" w:hAnsi="Times New Roman"/>
                <w:sz w:val="18"/>
                <w:szCs w:val="18"/>
                <w:color w:val="262626"/>
              </w:rPr>
              <w:t>100.0%</w:t>
            </w:r>
          </w:p>
        </w:tc>
        <w:tc>
          <w:tcPr>
            <w:tcW w:w="22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200.0%</w:t>
            </w:r>
          </w:p>
        </w:tc>
      </w:tr>
      <w:tr>
        <w:trPr>
          <w:trHeight w:val="340"/>
        </w:trPr>
        <w:tc>
          <w:tcPr>
            <w:tcW w:w="23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Neil Boehm</w:t>
            </w:r>
          </w:p>
        </w:tc>
        <w:tc>
          <w:tcPr>
            <w:tcW w:w="3380" w:type="dxa"/>
            <w:vAlign w:val="bottom"/>
            <w:tcBorders>
              <w:bottom w:val="single" w:sz="8" w:color="838383"/>
            </w:tcBorders>
          </w:tcPr>
          <w:p>
            <w:pPr>
              <w:jc w:val="right"/>
              <w:ind w:right="450"/>
              <w:spacing w:after="0"/>
              <w:rPr>
                <w:sz w:val="20"/>
                <w:szCs w:val="20"/>
                <w:color w:val="auto"/>
              </w:rPr>
            </w:pPr>
            <w:r>
              <w:rPr>
                <w:rFonts w:ascii="Times New Roman" w:cs="Times New Roman" w:eastAsia="Times New Roman" w:hAnsi="Times New Roman"/>
                <w:sz w:val="18"/>
                <w:szCs w:val="18"/>
                <w:color w:val="262626"/>
              </w:rPr>
              <w:t>37.5%</w:t>
            </w:r>
          </w:p>
        </w:tc>
        <w:tc>
          <w:tcPr>
            <w:tcW w:w="2480" w:type="dxa"/>
            <w:vAlign w:val="bottom"/>
            <w:tcBorders>
              <w:bottom w:val="single" w:sz="8" w:color="838383"/>
            </w:tcBorders>
          </w:tcPr>
          <w:p>
            <w:pPr>
              <w:jc w:val="right"/>
              <w:ind w:right="330"/>
              <w:spacing w:after="0"/>
              <w:rPr>
                <w:sz w:val="20"/>
                <w:szCs w:val="20"/>
                <w:color w:val="auto"/>
              </w:rPr>
            </w:pPr>
            <w:r>
              <w:rPr>
                <w:rFonts w:ascii="Times New Roman" w:cs="Times New Roman" w:eastAsia="Times New Roman" w:hAnsi="Times New Roman"/>
                <w:sz w:val="18"/>
                <w:szCs w:val="18"/>
                <w:color w:val="262626"/>
              </w:rPr>
              <w:t>75.0%</w:t>
            </w:r>
          </w:p>
        </w:tc>
        <w:tc>
          <w:tcPr>
            <w:tcW w:w="22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150.0%</w:t>
            </w:r>
          </w:p>
        </w:tc>
      </w:tr>
      <w:tr>
        <w:trPr>
          <w:trHeight w:val="340"/>
        </w:trPr>
        <w:tc>
          <w:tcPr>
            <w:tcW w:w="23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Kevin Nash</w:t>
            </w:r>
          </w:p>
        </w:tc>
        <w:tc>
          <w:tcPr>
            <w:tcW w:w="3380" w:type="dxa"/>
            <w:vAlign w:val="bottom"/>
            <w:tcBorders>
              <w:bottom w:val="single" w:sz="8" w:color="838383"/>
            </w:tcBorders>
          </w:tcPr>
          <w:p>
            <w:pPr>
              <w:jc w:val="right"/>
              <w:ind w:right="450"/>
              <w:spacing w:after="0"/>
              <w:rPr>
                <w:sz w:val="20"/>
                <w:szCs w:val="20"/>
                <w:color w:val="auto"/>
              </w:rPr>
            </w:pPr>
            <w:r>
              <w:rPr>
                <w:rFonts w:ascii="Times New Roman" w:cs="Times New Roman" w:eastAsia="Times New Roman" w:hAnsi="Times New Roman"/>
                <w:sz w:val="18"/>
                <w:szCs w:val="18"/>
                <w:color w:val="262626"/>
              </w:rPr>
              <w:t>37.5%</w:t>
            </w:r>
          </w:p>
        </w:tc>
        <w:tc>
          <w:tcPr>
            <w:tcW w:w="2480" w:type="dxa"/>
            <w:vAlign w:val="bottom"/>
            <w:tcBorders>
              <w:bottom w:val="single" w:sz="8" w:color="838383"/>
            </w:tcBorders>
          </w:tcPr>
          <w:p>
            <w:pPr>
              <w:jc w:val="right"/>
              <w:ind w:right="330"/>
              <w:spacing w:after="0"/>
              <w:rPr>
                <w:sz w:val="20"/>
                <w:szCs w:val="20"/>
                <w:color w:val="auto"/>
              </w:rPr>
            </w:pPr>
            <w:r>
              <w:rPr>
                <w:rFonts w:ascii="Times New Roman" w:cs="Times New Roman" w:eastAsia="Times New Roman" w:hAnsi="Times New Roman"/>
                <w:sz w:val="18"/>
                <w:szCs w:val="18"/>
                <w:color w:val="262626"/>
              </w:rPr>
              <w:t>75.0%</w:t>
            </w:r>
          </w:p>
        </w:tc>
        <w:tc>
          <w:tcPr>
            <w:tcW w:w="22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150.0%</w:t>
            </w:r>
          </w:p>
        </w:tc>
      </w:tr>
      <w:tr>
        <w:trPr>
          <w:trHeight w:val="340"/>
        </w:trPr>
        <w:tc>
          <w:tcPr>
            <w:tcW w:w="23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Matt Chiodo</w:t>
            </w:r>
          </w:p>
        </w:tc>
        <w:tc>
          <w:tcPr>
            <w:tcW w:w="3380" w:type="dxa"/>
            <w:vAlign w:val="bottom"/>
            <w:tcBorders>
              <w:bottom w:val="single" w:sz="8" w:color="838383"/>
            </w:tcBorders>
          </w:tcPr>
          <w:p>
            <w:pPr>
              <w:jc w:val="right"/>
              <w:ind w:right="450"/>
              <w:spacing w:after="0"/>
              <w:rPr>
                <w:sz w:val="20"/>
                <w:szCs w:val="20"/>
                <w:color w:val="auto"/>
              </w:rPr>
            </w:pPr>
            <w:r>
              <w:rPr>
                <w:rFonts w:ascii="Times New Roman" w:cs="Times New Roman" w:eastAsia="Times New Roman" w:hAnsi="Times New Roman"/>
                <w:sz w:val="18"/>
                <w:szCs w:val="18"/>
                <w:color w:val="262626"/>
              </w:rPr>
              <w:t>37.5%</w:t>
            </w:r>
          </w:p>
        </w:tc>
        <w:tc>
          <w:tcPr>
            <w:tcW w:w="2480" w:type="dxa"/>
            <w:vAlign w:val="bottom"/>
            <w:tcBorders>
              <w:bottom w:val="single" w:sz="8" w:color="838383"/>
            </w:tcBorders>
          </w:tcPr>
          <w:p>
            <w:pPr>
              <w:jc w:val="right"/>
              <w:ind w:right="330"/>
              <w:spacing w:after="0"/>
              <w:rPr>
                <w:sz w:val="20"/>
                <w:szCs w:val="20"/>
                <w:color w:val="auto"/>
              </w:rPr>
            </w:pPr>
            <w:r>
              <w:rPr>
                <w:rFonts w:ascii="Times New Roman" w:cs="Times New Roman" w:eastAsia="Times New Roman" w:hAnsi="Times New Roman"/>
                <w:sz w:val="18"/>
                <w:szCs w:val="18"/>
                <w:color w:val="262626"/>
              </w:rPr>
              <w:t>75.0%</w:t>
            </w:r>
          </w:p>
        </w:tc>
        <w:tc>
          <w:tcPr>
            <w:tcW w:w="22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150.0%</w:t>
            </w:r>
          </w:p>
        </w:tc>
      </w:tr>
      <w:tr>
        <w:trPr>
          <w:trHeight w:val="35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262626"/>
              </w:rPr>
              <w:t>Scott Ryan</w:t>
            </w:r>
          </w:p>
        </w:tc>
        <w:tc>
          <w:tcPr>
            <w:tcW w:w="33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262626"/>
              </w:rPr>
              <w:t>37.5%</w:t>
            </w:r>
          </w:p>
        </w:tc>
        <w:tc>
          <w:tcPr>
            <w:tcW w:w="24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262626"/>
              </w:rPr>
              <w:t>75.0%</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150.0%</w:t>
            </w:r>
          </w:p>
        </w:tc>
      </w:tr>
    </w:tbl>
    <w:p>
      <w:pPr>
        <w:spacing w:after="0" w:line="187" w:lineRule="exact"/>
        <w:rPr>
          <w:sz w:val="20"/>
          <w:szCs w:val="20"/>
          <w:color w:val="auto"/>
        </w:rPr>
      </w:pPr>
    </w:p>
    <w:p>
      <w:pPr>
        <w:ind w:right="320"/>
        <w:spacing w:after="0" w:line="343" w:lineRule="auto"/>
        <w:rPr>
          <w:sz w:val="20"/>
          <w:szCs w:val="20"/>
          <w:color w:val="auto"/>
        </w:rPr>
      </w:pPr>
      <w:r>
        <w:rPr>
          <w:rFonts w:ascii="Times New Roman" w:cs="Times New Roman" w:eastAsia="Times New Roman" w:hAnsi="Times New Roman"/>
          <w:sz w:val="18"/>
          <w:szCs w:val="18"/>
          <w:color w:val="262626"/>
        </w:rPr>
        <w:t>No changes were made to the Annual Plan target opportunities for executive officers in 2023, as it is believed the threshold, target, and maximum opportunity levels remain appropriate. The foregoing payout opportunities are multiplied by the weighting factor of a particular performance metric to determine the amounts of cash bonuses payable to officers to the extent the threshold, target, or maximum for a performance metric is met or exceeded. To the extent performance exceeds the established threshold or target, as applicable, for any performance metric, but does not meet or exceed the established target or maximum, as applicable, linear interpolation is used to determine the pro rata portion of the performance bonus. The Compensation Committee also has discretion to increase (or decrease) such performance-based bonuses using its judgment, provided that bonuses are not in any event to exceed 250% of the applicable base salary.</w:t>
      </w:r>
    </w:p>
    <w:p>
      <w:pPr>
        <w:spacing w:after="0" w:line="70" w:lineRule="exact"/>
        <w:rPr>
          <w:sz w:val="20"/>
          <w:szCs w:val="20"/>
          <w:color w:val="auto"/>
        </w:rPr>
      </w:pPr>
    </w:p>
    <w:p>
      <w:pPr>
        <w:ind w:right="900"/>
        <w:spacing w:after="0" w:line="381" w:lineRule="auto"/>
        <w:rPr>
          <w:sz w:val="20"/>
          <w:szCs w:val="20"/>
          <w:color w:val="auto"/>
        </w:rPr>
      </w:pPr>
      <w:r>
        <w:rPr>
          <w:rFonts w:ascii="Times New Roman" w:cs="Times New Roman" w:eastAsia="Times New Roman" w:hAnsi="Times New Roman"/>
          <w:sz w:val="18"/>
          <w:szCs w:val="18"/>
          <w:color w:val="262626"/>
        </w:rPr>
        <w:t>Since its inception in 2019, the Annual Plan uses the same three key performance metrics and weighting: Revenue (weighted 33.33%), Operating Income (weighted 33.33%) and Earnings per Diluted Share (33.33%) since such metrics are not only appropriate measures of performance, but also align with the Company’s overall business strategy.</w:t>
      </w:r>
    </w:p>
    <w:p>
      <w:pPr>
        <w:spacing w:after="0" w:line="34" w:lineRule="exact"/>
        <w:rPr>
          <w:sz w:val="20"/>
          <w:szCs w:val="20"/>
          <w:color w:val="auto"/>
        </w:rPr>
      </w:pPr>
    </w:p>
    <w:p>
      <w:pPr>
        <w:ind w:right="680"/>
        <w:spacing w:after="0" w:line="347" w:lineRule="auto"/>
        <w:rPr>
          <w:sz w:val="20"/>
          <w:szCs w:val="20"/>
          <w:color w:val="auto"/>
        </w:rPr>
      </w:pPr>
      <w:r>
        <w:rPr>
          <w:rFonts w:ascii="Times New Roman" w:cs="Times New Roman" w:eastAsia="Times New Roman" w:hAnsi="Times New Roman"/>
          <w:sz w:val="18"/>
          <w:szCs w:val="18"/>
          <w:color w:val="262626"/>
        </w:rPr>
        <w:t>In determining whether annual cash bonuses are paid under the Annual Plan, actual performance for the year is measured against specified target levels for each performance metric. Generally, the target for the three performance metrics reflects a level of performance, which at the time set would be anticipated to be challenging but achievable. The threshold level is set to be reflective of performance at which the Compensation Committee believed a portion of the award opportunity should be earned. The maximum level was set well above the target, requiring significant achievements and reflecting performance at which the Compensation Committee believed an additional 100% of the target award was warranted.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For 2022, target performance and actual results for the performance metrics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2340" w:type="dxa"/>
            <w:vAlign w:val="bottom"/>
          </w:tcPr>
          <w:p>
            <w:pPr>
              <w:spacing w:after="0"/>
              <w:rPr>
                <w:sz w:val="20"/>
                <w:szCs w:val="20"/>
                <w:color w:val="auto"/>
              </w:rPr>
            </w:pPr>
            <w:r>
              <w:rPr>
                <w:rFonts w:ascii="Arial" w:cs="Arial" w:eastAsia="Arial" w:hAnsi="Arial"/>
                <w:sz w:val="18"/>
                <w:szCs w:val="18"/>
                <w:b w:val="1"/>
                <w:bCs w:val="1"/>
                <w:color w:val="262626"/>
              </w:rPr>
              <w:t>Performance Metric</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262626"/>
              </w:rPr>
              <w:t>Weight</w:t>
            </w:r>
          </w:p>
        </w:tc>
        <w:tc>
          <w:tcPr>
            <w:tcW w:w="52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262626"/>
              </w:rPr>
              <w:t>Threshold*</w:t>
            </w:r>
          </w:p>
        </w:tc>
        <w:tc>
          <w:tcPr>
            <w:tcW w:w="58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262626"/>
              </w:rPr>
              <w:t>Target*</w:t>
            </w:r>
          </w:p>
        </w:tc>
        <w:tc>
          <w:tcPr>
            <w:tcW w:w="52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262626"/>
              </w:rPr>
              <w:t>Maximum*</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262626"/>
                <w:w w:val="94"/>
              </w:rPr>
              <w:t>Actual Performance*</w:t>
            </w:r>
          </w:p>
        </w:tc>
      </w:tr>
      <w:tr>
        <w:trPr>
          <w:trHeight w:val="345"/>
        </w:trPr>
        <w:tc>
          <w:tcPr>
            <w:tcW w:w="23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Revenue</w:t>
            </w:r>
          </w:p>
        </w:tc>
        <w:tc>
          <w:tcPr>
            <w:tcW w:w="10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33.33%</w:t>
            </w:r>
          </w:p>
        </w:tc>
        <w:tc>
          <w:tcPr>
            <w:tcW w:w="52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2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1,457,429</w:t>
            </w:r>
          </w:p>
        </w:tc>
        <w:tc>
          <w:tcPr>
            <w:tcW w:w="58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2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1,943,238</w:t>
            </w:r>
          </w:p>
        </w:tc>
        <w:tc>
          <w:tcPr>
            <w:tcW w:w="52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2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2,429,048</w:t>
            </w:r>
          </w:p>
        </w:tc>
        <w:tc>
          <w:tcPr>
            <w:tcW w:w="58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1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1,918,958</w:t>
            </w:r>
          </w:p>
        </w:tc>
      </w:tr>
      <w:tr>
        <w:trPr>
          <w:trHeight w:val="340"/>
        </w:trPr>
        <w:tc>
          <w:tcPr>
            <w:tcW w:w="23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Operating Income</w:t>
            </w:r>
          </w:p>
        </w:tc>
        <w:tc>
          <w:tcPr>
            <w:tcW w:w="10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33.33%</w:t>
            </w:r>
          </w:p>
        </w:tc>
        <w:tc>
          <w:tcPr>
            <w:tcW w:w="52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2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341,138</w:t>
            </w:r>
          </w:p>
        </w:tc>
        <w:tc>
          <w:tcPr>
            <w:tcW w:w="58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2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454,850</w:t>
            </w:r>
          </w:p>
        </w:tc>
        <w:tc>
          <w:tcPr>
            <w:tcW w:w="52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2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568,563</w:t>
            </w:r>
          </w:p>
        </w:tc>
        <w:tc>
          <w:tcPr>
            <w:tcW w:w="58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1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370,006</w:t>
            </w:r>
          </w:p>
        </w:tc>
      </w:tr>
      <w:tr>
        <w:trPr>
          <w:trHeight w:val="340"/>
        </w:trPr>
        <w:tc>
          <w:tcPr>
            <w:tcW w:w="23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Earnings per Diluted Share</w:t>
            </w:r>
          </w:p>
        </w:tc>
        <w:tc>
          <w:tcPr>
            <w:tcW w:w="10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33.33%</w:t>
            </w:r>
          </w:p>
        </w:tc>
        <w:tc>
          <w:tcPr>
            <w:tcW w:w="52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2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1.22</w:t>
            </w:r>
          </w:p>
        </w:tc>
        <w:tc>
          <w:tcPr>
            <w:tcW w:w="58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2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1.63</w:t>
            </w:r>
          </w:p>
        </w:tc>
        <w:tc>
          <w:tcPr>
            <w:tcW w:w="52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2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2.04</w:t>
            </w:r>
          </w:p>
        </w:tc>
        <w:tc>
          <w:tcPr>
            <w:tcW w:w="58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1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1.36</w:t>
            </w:r>
          </w:p>
        </w:tc>
      </w:tr>
    </w:tbl>
    <w:p>
      <w:pPr>
        <w:spacing w:after="0" w:line="142" w:lineRule="exact"/>
        <w:rPr>
          <w:sz w:val="20"/>
          <w:szCs w:val="20"/>
          <w:color w:val="auto"/>
        </w:rPr>
      </w:pPr>
    </w:p>
    <w:p>
      <w:pPr>
        <w:spacing w:after="0"/>
        <w:tabs>
          <w:tab w:leader="none" w:pos="160" w:val="left"/>
        </w:tabs>
        <w:rPr>
          <w:sz w:val="20"/>
          <w:szCs w:val="20"/>
          <w:color w:val="auto"/>
        </w:rPr>
      </w:pPr>
      <w:r>
        <w:rPr>
          <w:rFonts w:ascii="Times New Roman" w:cs="Times New Roman" w:eastAsia="Times New Roman" w:hAnsi="Times New Roman"/>
          <w:sz w:val="14"/>
          <w:szCs w:val="14"/>
          <w:color w:val="838383"/>
        </w:rPr>
        <w:t>*</w:t>
        <w:tab/>
        <w:t>Amounts in thousands (000) except for per share amounts.</w:t>
      </w:r>
    </w:p>
    <w:p>
      <w:pPr>
        <w:spacing w:after="0" w:line="167" w:lineRule="exact"/>
        <w:rPr>
          <w:sz w:val="20"/>
          <w:szCs w:val="20"/>
          <w:color w:val="auto"/>
        </w:rPr>
      </w:pPr>
    </w:p>
    <w:p>
      <w:pPr>
        <w:ind w:right="620"/>
        <w:spacing w:after="0" w:line="439" w:lineRule="auto"/>
        <w:rPr>
          <w:sz w:val="20"/>
          <w:szCs w:val="20"/>
          <w:color w:val="auto"/>
        </w:rPr>
      </w:pPr>
      <w:r>
        <w:rPr>
          <w:rFonts w:ascii="Times New Roman" w:cs="Times New Roman" w:eastAsia="Times New Roman" w:hAnsi="Times New Roman"/>
          <w:sz w:val="18"/>
          <w:szCs w:val="18"/>
          <w:color w:val="262626"/>
        </w:rPr>
        <w:t>Based on actual Revenue, Operating Income, and Earnings per Diluted Share results compared to the targets and performance of the named executive officers, the payments for 2022 under the Annual Plan are shown in the table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2320" w:type="dxa"/>
            <w:vAlign w:val="bottom"/>
          </w:tcPr>
          <w:p>
            <w:pPr>
              <w:spacing w:after="0"/>
              <w:rPr>
                <w:sz w:val="20"/>
                <w:szCs w:val="20"/>
                <w:color w:val="auto"/>
              </w:rPr>
            </w:pPr>
            <w:r>
              <w:rPr>
                <w:rFonts w:ascii="Arial" w:cs="Arial" w:eastAsia="Arial" w:hAnsi="Arial"/>
                <w:sz w:val="18"/>
                <w:szCs w:val="18"/>
                <w:b w:val="1"/>
                <w:bCs w:val="1"/>
                <w:color w:val="262626"/>
              </w:rPr>
              <w:t>Executive Officer</w:t>
            </w:r>
          </w:p>
        </w:tc>
        <w:tc>
          <w:tcPr>
            <w:tcW w:w="1320" w:type="dxa"/>
            <w:vAlign w:val="bottom"/>
          </w:tcPr>
          <w:p>
            <w:pPr>
              <w:spacing w:after="0"/>
              <w:rPr>
                <w:sz w:val="24"/>
                <w:szCs w:val="24"/>
                <w:color w:val="auto"/>
              </w:rPr>
            </w:pPr>
          </w:p>
        </w:tc>
        <w:tc>
          <w:tcPr>
            <w:tcW w:w="3220" w:type="dxa"/>
            <w:vAlign w:val="bottom"/>
          </w:tcPr>
          <w:p>
            <w:pPr>
              <w:jc w:val="right"/>
              <w:spacing w:after="0"/>
              <w:rPr>
                <w:sz w:val="20"/>
                <w:szCs w:val="20"/>
                <w:color w:val="auto"/>
              </w:rPr>
            </w:pPr>
            <w:r>
              <w:rPr>
                <w:rFonts w:ascii="Arial" w:cs="Arial" w:eastAsia="Arial" w:hAnsi="Arial"/>
                <w:sz w:val="18"/>
                <w:szCs w:val="18"/>
                <w:b w:val="1"/>
                <w:bCs w:val="1"/>
                <w:color w:val="262626"/>
                <w:w w:val="95"/>
              </w:rPr>
              <w:t>2022 Annual Plan Performance Bonus</w:t>
            </w:r>
          </w:p>
        </w:tc>
        <w:tc>
          <w:tcPr>
            <w:tcW w:w="400" w:type="dxa"/>
            <w:vAlign w:val="bottom"/>
          </w:tcPr>
          <w:p>
            <w:pPr>
              <w:spacing w:after="0"/>
              <w:rPr>
                <w:sz w:val="24"/>
                <w:szCs w:val="24"/>
                <w:color w:val="auto"/>
              </w:rPr>
            </w:pPr>
          </w:p>
        </w:tc>
        <w:tc>
          <w:tcPr>
            <w:tcW w:w="3180" w:type="dxa"/>
            <w:vAlign w:val="bottom"/>
          </w:tcPr>
          <w:p>
            <w:pPr>
              <w:jc w:val="right"/>
              <w:spacing w:after="0"/>
              <w:rPr>
                <w:sz w:val="20"/>
                <w:szCs w:val="20"/>
                <w:color w:val="auto"/>
              </w:rPr>
            </w:pPr>
            <w:r>
              <w:rPr>
                <w:rFonts w:ascii="Arial" w:cs="Arial" w:eastAsia="Arial" w:hAnsi="Arial"/>
                <w:sz w:val="18"/>
                <w:szCs w:val="18"/>
                <w:b w:val="1"/>
                <w:bCs w:val="1"/>
                <w:color w:val="262626"/>
                <w:w w:val="95"/>
              </w:rPr>
              <w:t>2022 Annual Plan Discretionary Bonus</w:t>
            </w:r>
          </w:p>
        </w:tc>
      </w:tr>
      <w:tr>
        <w:trPr>
          <w:trHeight w:val="343"/>
        </w:trPr>
        <w:tc>
          <w:tcPr>
            <w:tcW w:w="23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Steve Downing</w:t>
            </w:r>
          </w:p>
        </w:tc>
        <w:tc>
          <w:tcPr>
            <w:tcW w:w="132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3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604,720</w:t>
            </w:r>
          </w:p>
        </w:tc>
        <w:tc>
          <w:tcPr>
            <w:tcW w:w="40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w:t>
            </w:r>
          </w:p>
        </w:tc>
        <w:tc>
          <w:tcPr>
            <w:tcW w:w="31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0</w:t>
            </w:r>
          </w:p>
        </w:tc>
      </w:tr>
      <w:tr>
        <w:trPr>
          <w:trHeight w:val="340"/>
        </w:trPr>
        <w:tc>
          <w:tcPr>
            <w:tcW w:w="23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Neil Boehm</w:t>
            </w:r>
          </w:p>
        </w:tc>
        <w:tc>
          <w:tcPr>
            <w:tcW w:w="132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3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269,289</w:t>
            </w:r>
          </w:p>
        </w:tc>
        <w:tc>
          <w:tcPr>
            <w:tcW w:w="40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w:t>
            </w:r>
          </w:p>
        </w:tc>
        <w:tc>
          <w:tcPr>
            <w:tcW w:w="31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0</w:t>
            </w:r>
          </w:p>
        </w:tc>
      </w:tr>
      <w:tr>
        <w:trPr>
          <w:trHeight w:val="340"/>
        </w:trPr>
        <w:tc>
          <w:tcPr>
            <w:tcW w:w="23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Kevin Nash</w:t>
            </w:r>
          </w:p>
        </w:tc>
        <w:tc>
          <w:tcPr>
            <w:tcW w:w="132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3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269,289</w:t>
            </w:r>
          </w:p>
        </w:tc>
        <w:tc>
          <w:tcPr>
            <w:tcW w:w="40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w:t>
            </w:r>
          </w:p>
        </w:tc>
        <w:tc>
          <w:tcPr>
            <w:tcW w:w="31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0</w:t>
            </w:r>
          </w:p>
        </w:tc>
      </w:tr>
      <w:tr>
        <w:trPr>
          <w:trHeight w:val="340"/>
        </w:trPr>
        <w:tc>
          <w:tcPr>
            <w:tcW w:w="23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Matt Chiodo</w:t>
            </w:r>
          </w:p>
        </w:tc>
        <w:tc>
          <w:tcPr>
            <w:tcW w:w="132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3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235,274</w:t>
            </w:r>
          </w:p>
        </w:tc>
        <w:tc>
          <w:tcPr>
            <w:tcW w:w="40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w:t>
            </w:r>
          </w:p>
        </w:tc>
        <w:tc>
          <w:tcPr>
            <w:tcW w:w="31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0</w:t>
            </w:r>
          </w:p>
        </w:tc>
      </w:tr>
      <w:tr>
        <w:trPr>
          <w:trHeight w:val="35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262626"/>
              </w:rPr>
              <w:t>Scott Ryan</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212,597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62626"/>
              </w:rPr>
              <w:t>$</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0</w:t>
            </w:r>
          </w:p>
        </w:tc>
      </w:tr>
    </w:tbl>
    <w:p>
      <w:pPr>
        <w:spacing w:after="0" w:line="200" w:lineRule="exact"/>
        <w:rPr>
          <w:sz w:val="20"/>
          <w:szCs w:val="20"/>
          <w:color w:val="auto"/>
        </w:rPr>
      </w:pP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51</w:t>
      </w:r>
    </w:p>
    <w:p>
      <w:pPr>
        <w:sectPr>
          <w:pgSz w:w="12240" w:h="15840" w:orient="portrait"/>
          <w:cols w:equalWidth="0" w:num="1">
            <w:col w:w="10760"/>
          </w:cols>
          <w:pgMar w:left="900" w:top="852" w:right="580" w:bottom="0" w:gutter="0" w:footer="0" w:header="0"/>
          <w:type w:val="continuous"/>
        </w:sectPr>
      </w:pPr>
    </w:p>
    <w:bookmarkStart w:id="51" w:name="page52"/>
    <w:bookmarkEnd w:id="51"/>
    <w:p>
      <w:pPr>
        <w:ind w:left="320"/>
        <w:spacing w:after="0" w:line="347" w:lineRule="auto"/>
        <w:rPr>
          <w:sz w:val="20"/>
          <w:szCs w:val="20"/>
          <w:color w:val="auto"/>
        </w:rPr>
      </w:pPr>
      <w:r>
        <w:rPr>
          <w:rFonts w:ascii="Times New Roman" w:cs="Times New Roman" w:eastAsia="Times New Roman" w:hAnsi="Times New Roman"/>
          <w:sz w:val="18"/>
          <w:szCs w:val="18"/>
          <w:color w:val="262626"/>
        </w:rPr>
        <w:t>These Annual Plan results appropriately reflect management’s excellent work in addressing the ongoing impacts stemming from the ongoing pandemic supply chain shortages, especially electronics components, as well as labor disruptions and significant volatility within customer orders. Were it not for management’s leadership in redesigning products to allow more customer demand to be met notwithstanding the parts shortages and labor market constraints, more revenue would have been lost in 2022. For 2023, the Compensation Committee has established targets for Revenue, Operating Income, and Earnings per Diluted Share for the Annual Plan performance metrics as it has done in the past, and consistent with 2022 is using ± 25% of target in 2023for determining thresholds and maximums and is not making any adjustments for tariffs.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2019 Omnibus Incentive Plan and Long-Term Incentive Program</w:t>
      </w:r>
    </w:p>
    <w:p>
      <w:pPr>
        <w:spacing w:after="0" w:line="191" w:lineRule="exact"/>
        <w:rPr>
          <w:sz w:val="20"/>
          <w:szCs w:val="20"/>
          <w:color w:val="auto"/>
        </w:rPr>
      </w:pPr>
    </w:p>
    <w:p>
      <w:pPr>
        <w:ind w:left="320" w:right="180"/>
        <w:spacing w:after="0" w:line="362" w:lineRule="auto"/>
        <w:rPr>
          <w:sz w:val="20"/>
          <w:szCs w:val="20"/>
          <w:color w:val="auto"/>
        </w:rPr>
      </w:pPr>
      <w:r>
        <w:rPr>
          <w:rFonts w:ascii="Times New Roman" w:cs="Times New Roman" w:eastAsia="Times New Roman" w:hAnsi="Times New Roman"/>
          <w:sz w:val="18"/>
          <w:szCs w:val="18"/>
          <w:color w:val="262626"/>
        </w:rPr>
        <w:t>The Company’s 2019 Omnibus Incentive Plan (“OIP”) has been approved by shareholders. Pursuant to the 2019 OIP, the Company implemented the Long-Term Incentive Plan (the “Long-Term Plan”). The Long-Term Plan provides officers, including our named executive officers, with incentive awards that serve an important role by balancing other applicable short-term goals with longer term shareholder value creation, while minimizing risk-taking behaviors that could negatively affect long-term results.</w:t>
      </w:r>
    </w:p>
    <w:p>
      <w:pPr>
        <w:spacing w:after="0" w:line="52" w:lineRule="exact"/>
        <w:rPr>
          <w:sz w:val="20"/>
          <w:szCs w:val="20"/>
          <w:color w:val="auto"/>
        </w:rPr>
      </w:pPr>
    </w:p>
    <w:p>
      <w:pPr>
        <w:ind w:left="320" w:right="100"/>
        <w:spacing w:after="0" w:line="343" w:lineRule="auto"/>
        <w:rPr>
          <w:sz w:val="20"/>
          <w:szCs w:val="20"/>
          <w:color w:val="auto"/>
        </w:rPr>
      </w:pPr>
      <w:r>
        <w:rPr>
          <w:rFonts w:ascii="Times New Roman" w:cs="Times New Roman" w:eastAsia="Times New Roman" w:hAnsi="Times New Roman"/>
          <w:sz w:val="18"/>
          <w:szCs w:val="18"/>
          <w:color w:val="262626"/>
        </w:rPr>
        <w:t>The Long-Term Plan uses three-year performance periods and selected performance objectives to determine equity incentive awards so as to balance short-term goals under the Annual Plan, with performance objectives associated with longer-term shareholder value creation under the Long-Term Plan. Under the Long-Term Plan, the Board of Directors and/or the Compensation Committee determines the amount of the long-term incentive awards. Each officer’s award opportunity is based on a target dollar value (determined toward the very beginning of the performance period) as a percentage of base salary assigned to his or her position based on market comparisons for similar positions, using both a peer group and general industry market data. The following target opportunities apply for the 2023-2025 performance period under the Long-Term Incentive Plan:</w:t>
      </w:r>
    </w:p>
    <w:p>
      <w:pPr>
        <w:spacing w:after="0" w:line="117" w:lineRule="exact"/>
        <w:rPr>
          <w:sz w:val="20"/>
          <w:szCs w:val="20"/>
          <w:color w:val="auto"/>
        </w:rPr>
      </w:pPr>
    </w:p>
    <w:tbl>
      <w:tblPr>
        <w:tblLayout w:type="fixed"/>
        <w:tblInd w:w="320" w:type="dxa"/>
        <w:tblCellMar>
          <w:top w:w="0" w:type="dxa"/>
          <w:left w:w="0" w:type="dxa"/>
          <w:bottom w:w="0" w:type="dxa"/>
          <w:right w:w="0" w:type="dxa"/>
        </w:tblCellMar>
      </w:tblPr>
      <w:tr>
        <w:trPr>
          <w:trHeight w:val="304"/>
        </w:trPr>
        <w:tc>
          <w:tcPr>
            <w:tcW w:w="2940" w:type="dxa"/>
            <w:vAlign w:val="bottom"/>
          </w:tcPr>
          <w:p>
            <w:pPr>
              <w:spacing w:after="0"/>
              <w:rPr>
                <w:sz w:val="20"/>
                <w:szCs w:val="20"/>
                <w:color w:val="auto"/>
              </w:rPr>
            </w:pPr>
            <w:r>
              <w:rPr>
                <w:rFonts w:ascii="Arial" w:cs="Arial" w:eastAsia="Arial" w:hAnsi="Arial"/>
                <w:sz w:val="18"/>
                <w:szCs w:val="18"/>
                <w:b w:val="1"/>
                <w:bCs w:val="1"/>
                <w:color w:val="262626"/>
              </w:rPr>
              <w:t>Executive Officer</w:t>
            </w:r>
          </w:p>
        </w:tc>
        <w:tc>
          <w:tcPr>
            <w:tcW w:w="7500" w:type="dxa"/>
            <w:vAlign w:val="bottom"/>
          </w:tcPr>
          <w:p>
            <w:pPr>
              <w:jc w:val="right"/>
              <w:spacing w:after="0"/>
              <w:rPr>
                <w:sz w:val="20"/>
                <w:szCs w:val="20"/>
                <w:color w:val="auto"/>
              </w:rPr>
            </w:pPr>
            <w:r>
              <w:rPr>
                <w:rFonts w:ascii="Arial" w:cs="Arial" w:eastAsia="Arial" w:hAnsi="Arial"/>
                <w:sz w:val="18"/>
                <w:szCs w:val="18"/>
                <w:b w:val="1"/>
                <w:bCs w:val="1"/>
                <w:color w:val="262626"/>
              </w:rPr>
              <w:t>Long-Term Plan Target Opportunity Percentage of Base Salary for 2023-2025</w:t>
            </w:r>
          </w:p>
        </w:tc>
      </w:tr>
      <w:tr>
        <w:trPr>
          <w:trHeight w:val="343"/>
        </w:trPr>
        <w:tc>
          <w:tcPr>
            <w:tcW w:w="29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Steve Downing</w:t>
            </w:r>
          </w:p>
        </w:tc>
        <w:tc>
          <w:tcPr>
            <w:tcW w:w="7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365%</w:t>
            </w:r>
          </w:p>
        </w:tc>
      </w:tr>
      <w:tr>
        <w:trPr>
          <w:trHeight w:val="340"/>
        </w:trPr>
        <w:tc>
          <w:tcPr>
            <w:tcW w:w="29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Neil Boehm</w:t>
            </w:r>
          </w:p>
        </w:tc>
        <w:tc>
          <w:tcPr>
            <w:tcW w:w="7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155%</w:t>
            </w:r>
          </w:p>
        </w:tc>
      </w:tr>
      <w:tr>
        <w:trPr>
          <w:trHeight w:val="340"/>
        </w:trPr>
        <w:tc>
          <w:tcPr>
            <w:tcW w:w="29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Kevin Nash</w:t>
            </w:r>
          </w:p>
        </w:tc>
        <w:tc>
          <w:tcPr>
            <w:tcW w:w="7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185%</w:t>
            </w:r>
          </w:p>
        </w:tc>
      </w:tr>
      <w:tr>
        <w:trPr>
          <w:trHeight w:val="340"/>
        </w:trPr>
        <w:tc>
          <w:tcPr>
            <w:tcW w:w="29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Matt Chiodo</w:t>
            </w:r>
          </w:p>
        </w:tc>
        <w:tc>
          <w:tcPr>
            <w:tcW w:w="7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155%</w:t>
            </w:r>
          </w:p>
        </w:tc>
      </w:tr>
      <w:tr>
        <w:trPr>
          <w:trHeight w:val="35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262626"/>
              </w:rPr>
              <w:t>Scott Ryan</w:t>
            </w:r>
          </w:p>
        </w:tc>
        <w:tc>
          <w:tcPr>
            <w:tcW w:w="75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155%</w:t>
            </w: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62626"/>
        </w:rPr>
        <w:t>These Long-Term Plan Target Opportunity Percentages of Base Salary for 2023 - 2025 remain the same as those applicable for 2022 - 2024.</w:t>
      </w:r>
    </w:p>
    <w:p>
      <w:pPr>
        <w:spacing w:after="0" w:line="253" w:lineRule="exact"/>
        <w:rPr>
          <w:sz w:val="20"/>
          <w:szCs w:val="20"/>
          <w:color w:val="auto"/>
        </w:rPr>
      </w:pPr>
    </w:p>
    <w:p>
      <w:pPr>
        <w:ind w:left="320" w:right="260"/>
        <w:spacing w:after="0" w:line="362" w:lineRule="auto"/>
        <w:rPr>
          <w:sz w:val="20"/>
          <w:szCs w:val="20"/>
          <w:color w:val="auto"/>
        </w:rPr>
      </w:pPr>
      <w:r>
        <w:rPr>
          <w:rFonts w:ascii="Times New Roman" w:cs="Times New Roman" w:eastAsia="Times New Roman" w:hAnsi="Times New Roman"/>
          <w:sz w:val="18"/>
          <w:szCs w:val="18"/>
          <w:color w:val="262626"/>
        </w:rPr>
        <w:t>Achievement at threshold performance yields 50% of the target award and achievement of the maximum performance yields another 100% of the target award. To the extent performance exceeds the established threshold or target, as applicable, for an applicable performance objective, but does not meet or exceed the established target or maximum, as applicable, linear interpolation is used to determine the pro rata portion of such award.</w:t>
      </w:r>
    </w:p>
    <w:p>
      <w:pPr>
        <w:spacing w:after="0" w:line="52" w:lineRule="exact"/>
        <w:rPr>
          <w:sz w:val="20"/>
          <w:szCs w:val="20"/>
          <w:color w:val="auto"/>
        </w:rPr>
      </w:pPr>
    </w:p>
    <w:p>
      <w:pPr>
        <w:ind w:left="320" w:right="100"/>
        <w:spacing w:after="0" w:line="362" w:lineRule="auto"/>
        <w:rPr>
          <w:sz w:val="20"/>
          <w:szCs w:val="20"/>
          <w:color w:val="auto"/>
        </w:rPr>
      </w:pPr>
      <w:r>
        <w:rPr>
          <w:rFonts w:ascii="Times New Roman" w:cs="Times New Roman" w:eastAsia="Times New Roman" w:hAnsi="Times New Roman"/>
          <w:sz w:val="18"/>
          <w:szCs w:val="18"/>
          <w:color w:val="262626"/>
        </w:rPr>
        <w:t>Seventy percent (70%) of the total value of the target long-term incentive opportunity is delivered through performance share awards (“PSAs”) and the other thirty percent (30%) through restricted stock (“RS”). Both PSAs and RS are forms of performance-based incentive compensation because PSAs involve performance objectives that provide direct alignment with shareholder interests and the value of RS fluctuates based on stock price performance.</w:t>
      </w:r>
    </w:p>
    <w:p>
      <w:pPr>
        <w:spacing w:after="0" w:line="52" w:lineRule="exact"/>
        <w:rPr>
          <w:sz w:val="20"/>
          <w:szCs w:val="20"/>
          <w:color w:val="auto"/>
        </w:rPr>
      </w:pPr>
    </w:p>
    <w:p>
      <w:pPr>
        <w:ind w:left="320" w:right="340"/>
        <w:spacing w:after="0" w:line="382" w:lineRule="auto"/>
        <w:rPr>
          <w:sz w:val="20"/>
          <w:szCs w:val="20"/>
          <w:color w:val="auto"/>
        </w:rPr>
      </w:pPr>
      <w:r>
        <w:rPr>
          <w:rFonts w:ascii="Times New Roman" w:cs="Times New Roman" w:eastAsia="Times New Roman" w:hAnsi="Times New Roman"/>
          <w:sz w:val="18"/>
          <w:szCs w:val="18"/>
          <w:color w:val="262626"/>
        </w:rPr>
        <w:t>In addition to requiring achievement of performance objectives in respect of PSAs, PSAs and RS require the executive officers to remain employed with the Company for three years from the grant date (unless the executive officer attains retirement age, departs for good reason, dies, or becomes disabled or a change in control occurs whereby an award may be paid or partially paid).</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Performance Shares for 2023-2025 Performance Period</w:t>
      </w:r>
    </w:p>
    <w:p>
      <w:pPr>
        <w:spacing w:after="0" w:line="191" w:lineRule="exact"/>
        <w:rPr>
          <w:sz w:val="20"/>
          <w:szCs w:val="20"/>
          <w:color w:val="auto"/>
        </w:rPr>
      </w:pPr>
    </w:p>
    <w:p>
      <w:pPr>
        <w:jc w:val="both"/>
        <w:ind w:left="320" w:right="80"/>
        <w:spacing w:after="0" w:line="334" w:lineRule="auto"/>
        <w:rPr>
          <w:sz w:val="20"/>
          <w:szCs w:val="20"/>
          <w:color w:val="auto"/>
        </w:rPr>
      </w:pPr>
      <w:r>
        <w:rPr>
          <w:rFonts w:ascii="Times New Roman" w:cs="Times New Roman" w:eastAsia="Times New Roman" w:hAnsi="Times New Roman"/>
          <w:sz w:val="18"/>
          <w:szCs w:val="18"/>
          <w:color w:val="262626"/>
        </w:rPr>
        <w:t>The Long-Term Plan is designed to provide PSAs for officers, including our named executive officers. PSAs are tied to the achievement of two performance objectives, each weighted equally: earnings before interest, taxes, depreciation and amortization (EBITDA) and return on invested capital (ROIC), in each case adjusted and calculated as determined by the Compensation Committee. Each performance objective is based</w:t>
      </w:r>
    </w:p>
    <w:p>
      <w:pPr>
        <w:ind w:left="320"/>
        <w:spacing w:after="0"/>
        <w:rPr>
          <w:sz w:val="20"/>
          <w:szCs w:val="20"/>
          <w:color w:val="auto"/>
        </w:rPr>
      </w:pPr>
      <w:r>
        <w:rPr>
          <w:rFonts w:ascii="Times New Roman" w:cs="Times New Roman" w:eastAsia="Times New Roman" w:hAnsi="Times New Roman"/>
          <w:sz w:val="18"/>
          <w:szCs w:val="18"/>
          <w:color w:val="262626"/>
        </w:rPr>
        <w:t>on a three-year performance period (2023-2025) with a performance range that can result in PSAs of 0% for failure to achieve threshold,</w:t>
      </w:r>
    </w:p>
    <w:p>
      <w:pPr>
        <w:sectPr>
          <w:pgSz w:w="12240" w:h="15840" w:orient="portrait"/>
          <w:cols w:equalWidth="0" w:num="1">
            <w:col w:w="10760"/>
          </w:cols>
          <w:pgMar w:left="580" w:top="852" w:right="900" w:bottom="0" w:gutter="0" w:footer="0" w:header="0"/>
        </w:sectPr>
      </w:pPr>
    </w:p>
    <w:p>
      <w:pPr>
        <w:spacing w:after="0" w:line="350"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52</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60"/>
          </w:cols>
          <w:pgMar w:left="580" w:top="852" w:right="90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262626"/>
        </w:rPr>
        <w:t>50% of target for achieving threshold, to 200% of the target opportunity for achieving maximum. The targets for EBITDA and ROIC for</w:t>
      </w:r>
    </w:p>
    <w:p>
      <w:pPr>
        <w:spacing w:after="0" w:line="97" w:lineRule="exact"/>
        <w:rPr>
          <w:sz w:val="20"/>
          <w:szCs w:val="20"/>
          <w:color w:val="auto"/>
        </w:rPr>
      </w:pPr>
    </w:p>
    <w:p>
      <w:pPr>
        <w:ind w:right="320"/>
        <w:spacing w:after="0" w:line="409" w:lineRule="auto"/>
        <w:rPr>
          <w:sz w:val="20"/>
          <w:szCs w:val="20"/>
          <w:color w:val="auto"/>
        </w:rPr>
      </w:pPr>
      <w:r>
        <w:rPr>
          <w:rFonts w:ascii="Times New Roman" w:cs="Times New Roman" w:eastAsia="Times New Roman" w:hAnsi="Times New Roman"/>
          <w:sz w:val="18"/>
          <w:szCs w:val="18"/>
          <w:color w:val="262626"/>
        </w:rPr>
        <w:t>2022-2024 were established by the Compensation Committee as it has done in the past. For the 2023-2025 performance period, ± 25% of target is being used for determining thresholds and maximums, which is consistent with 2022.</w:t>
      </w:r>
    </w:p>
    <w:p>
      <w:pPr>
        <w:spacing w:after="0" w:line="10" w:lineRule="exact"/>
        <w:rPr>
          <w:sz w:val="20"/>
          <w:szCs w:val="20"/>
          <w:color w:val="auto"/>
        </w:rPr>
      </w:pPr>
    </w:p>
    <w:p>
      <w:pPr>
        <w:ind w:right="460"/>
        <w:spacing w:after="0" w:line="352" w:lineRule="auto"/>
        <w:rPr>
          <w:sz w:val="20"/>
          <w:szCs w:val="20"/>
          <w:color w:val="auto"/>
        </w:rPr>
      </w:pPr>
      <w:r>
        <w:rPr>
          <w:rFonts w:ascii="Times New Roman" w:cs="Times New Roman" w:eastAsia="Times New Roman" w:hAnsi="Times New Roman"/>
          <w:sz w:val="18"/>
          <w:szCs w:val="18"/>
          <w:color w:val="262626"/>
        </w:rPr>
        <w:t>EBITDA drives the ability to commit resources to continued growth, but is also a measure of ability to provide shareholder return. It also drives profitable sales growth and optimizes the Company’s cost structure. ROIC ensures management uses the Company’s capital in an effective manner that drives shareholder value. Since the value of PSAs is tied to the Company’s actual performance in financial objectives, it aligns the officers’ interests with those of shareholders. The target opportunities of PSAs awarded in 2023 for the named executive officers are shown in the table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3720" w:type="dxa"/>
            <w:vAlign w:val="bottom"/>
          </w:tcPr>
          <w:p>
            <w:pPr>
              <w:spacing w:after="0"/>
              <w:rPr>
                <w:sz w:val="20"/>
                <w:szCs w:val="20"/>
                <w:color w:val="auto"/>
              </w:rPr>
            </w:pPr>
            <w:r>
              <w:rPr>
                <w:rFonts w:ascii="Arial" w:cs="Arial" w:eastAsia="Arial" w:hAnsi="Arial"/>
                <w:sz w:val="18"/>
                <w:szCs w:val="18"/>
                <w:b w:val="1"/>
                <w:bCs w:val="1"/>
                <w:color w:val="262626"/>
              </w:rPr>
              <w:t>Executive Officer</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262626"/>
              </w:rPr>
              <w:t>Number of PSAs Awarded in 2023 (Target) for 2023-2025</w:t>
            </w:r>
          </w:p>
        </w:tc>
      </w:tr>
      <w:tr>
        <w:trPr>
          <w:trHeight w:val="345"/>
        </w:trPr>
        <w:tc>
          <w:tcPr>
            <w:tcW w:w="37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Steve Downing</w:t>
            </w:r>
          </w:p>
        </w:tc>
        <w:tc>
          <w:tcPr>
            <w:tcW w:w="67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75,018</w:t>
            </w:r>
          </w:p>
        </w:tc>
      </w:tr>
      <w:tr>
        <w:trPr>
          <w:trHeight w:val="340"/>
        </w:trPr>
        <w:tc>
          <w:tcPr>
            <w:tcW w:w="37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Neil Boehm</w:t>
            </w:r>
          </w:p>
        </w:tc>
        <w:tc>
          <w:tcPr>
            <w:tcW w:w="67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19,302</w:t>
            </w:r>
          </w:p>
        </w:tc>
      </w:tr>
      <w:tr>
        <w:trPr>
          <w:trHeight w:val="340"/>
        </w:trPr>
        <w:tc>
          <w:tcPr>
            <w:tcW w:w="37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Kevin Nash</w:t>
            </w:r>
          </w:p>
        </w:tc>
        <w:tc>
          <w:tcPr>
            <w:tcW w:w="67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23,038</w:t>
            </w:r>
          </w:p>
        </w:tc>
      </w:tr>
      <w:tr>
        <w:trPr>
          <w:trHeight w:val="340"/>
        </w:trPr>
        <w:tc>
          <w:tcPr>
            <w:tcW w:w="37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Matt Chiodo</w:t>
            </w:r>
          </w:p>
        </w:tc>
        <w:tc>
          <w:tcPr>
            <w:tcW w:w="67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17,053</w:t>
            </w:r>
          </w:p>
        </w:tc>
      </w:tr>
      <w:tr>
        <w:trPr>
          <w:trHeight w:val="35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262626"/>
              </w:rPr>
              <w:t>Scott Ryan</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15,554</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8F8F8F"/>
        </w:rPr>
        <w:t>Restricted Stock Awards for 2023-2025 Performance Period</w:t>
      </w:r>
    </w:p>
    <w:p>
      <w:pPr>
        <w:spacing w:after="0" w:line="191" w:lineRule="exact"/>
        <w:rPr>
          <w:sz w:val="20"/>
          <w:szCs w:val="20"/>
          <w:color w:val="auto"/>
        </w:rPr>
      </w:pPr>
    </w:p>
    <w:p>
      <w:pPr>
        <w:ind w:right="320"/>
        <w:spacing w:after="0" w:line="362" w:lineRule="auto"/>
        <w:rPr>
          <w:sz w:val="20"/>
          <w:szCs w:val="20"/>
          <w:color w:val="auto"/>
        </w:rPr>
      </w:pPr>
      <w:r>
        <w:rPr>
          <w:rFonts w:ascii="Times New Roman" w:cs="Times New Roman" w:eastAsia="Times New Roman" w:hAnsi="Times New Roman"/>
          <w:sz w:val="18"/>
          <w:szCs w:val="18"/>
          <w:color w:val="262626"/>
        </w:rPr>
        <w:t>The other 30% of the total value of the long-term incentive opportunity consists of RS awards. RS incentivizes and rewards executives for improving long-term stock value and serves as a retention tool. Under the Long-Term Plan, RS will generally be granted in February to officers, including our named executive officers, and cliff vest on the third anniversary of the grant. The RS awarded in 2023, based on the target opportunities, for the named executive officers are shown in the table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4140" w:type="dxa"/>
            <w:vAlign w:val="bottom"/>
          </w:tcPr>
          <w:p>
            <w:pPr>
              <w:spacing w:after="0"/>
              <w:rPr>
                <w:sz w:val="20"/>
                <w:szCs w:val="20"/>
                <w:color w:val="auto"/>
              </w:rPr>
            </w:pPr>
            <w:r>
              <w:rPr>
                <w:rFonts w:ascii="Arial" w:cs="Arial" w:eastAsia="Arial" w:hAnsi="Arial"/>
                <w:sz w:val="18"/>
                <w:szCs w:val="18"/>
                <w:b w:val="1"/>
                <w:bCs w:val="1"/>
                <w:color w:val="262626"/>
              </w:rPr>
              <w:t>Executive Officer</w:t>
            </w:r>
          </w:p>
        </w:tc>
        <w:tc>
          <w:tcPr>
            <w:tcW w:w="6300" w:type="dxa"/>
            <w:vAlign w:val="bottom"/>
          </w:tcPr>
          <w:p>
            <w:pPr>
              <w:jc w:val="right"/>
              <w:spacing w:after="0"/>
              <w:rPr>
                <w:sz w:val="20"/>
                <w:szCs w:val="20"/>
                <w:color w:val="auto"/>
              </w:rPr>
            </w:pPr>
            <w:r>
              <w:rPr>
                <w:rFonts w:ascii="Arial" w:cs="Arial" w:eastAsia="Arial" w:hAnsi="Arial"/>
                <w:sz w:val="18"/>
                <w:szCs w:val="18"/>
                <w:b w:val="1"/>
                <w:bCs w:val="1"/>
                <w:color w:val="262626"/>
              </w:rPr>
              <w:t>Number of RS Awarded in 2022 for 2023-2025</w:t>
            </w:r>
          </w:p>
        </w:tc>
      </w:tr>
      <w:tr>
        <w:trPr>
          <w:trHeight w:val="345"/>
        </w:trPr>
        <w:tc>
          <w:tcPr>
            <w:tcW w:w="41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Steve Downing</w:t>
            </w:r>
          </w:p>
        </w:tc>
        <w:tc>
          <w:tcPr>
            <w:tcW w:w="6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32,151</w:t>
            </w:r>
          </w:p>
        </w:tc>
      </w:tr>
      <w:tr>
        <w:trPr>
          <w:trHeight w:val="340"/>
        </w:trPr>
        <w:tc>
          <w:tcPr>
            <w:tcW w:w="41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Neil Boehm</w:t>
            </w:r>
          </w:p>
        </w:tc>
        <w:tc>
          <w:tcPr>
            <w:tcW w:w="6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8,273</w:t>
            </w:r>
          </w:p>
        </w:tc>
      </w:tr>
      <w:tr>
        <w:trPr>
          <w:trHeight w:val="340"/>
        </w:trPr>
        <w:tc>
          <w:tcPr>
            <w:tcW w:w="41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Kevin Nash</w:t>
            </w:r>
          </w:p>
        </w:tc>
        <w:tc>
          <w:tcPr>
            <w:tcW w:w="6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9,874</w:t>
            </w:r>
          </w:p>
        </w:tc>
      </w:tr>
      <w:tr>
        <w:trPr>
          <w:trHeight w:val="340"/>
        </w:trPr>
        <w:tc>
          <w:tcPr>
            <w:tcW w:w="41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Matt Chiodo</w:t>
            </w:r>
          </w:p>
        </w:tc>
        <w:tc>
          <w:tcPr>
            <w:tcW w:w="6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7,309</w:t>
            </w:r>
          </w:p>
        </w:tc>
      </w:tr>
      <w:tr>
        <w:trPr>
          <w:trHeight w:val="36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262626"/>
              </w:rPr>
              <w:t>Scott Ryan</w:t>
            </w:r>
          </w:p>
        </w:tc>
        <w:tc>
          <w:tcPr>
            <w:tcW w:w="63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6,666</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8F8F8F"/>
        </w:rPr>
        <w:t>Retention Grant</w:t>
      </w:r>
    </w:p>
    <w:p>
      <w:pPr>
        <w:spacing w:after="0" w:line="191" w:lineRule="exact"/>
        <w:rPr>
          <w:sz w:val="20"/>
          <w:szCs w:val="20"/>
          <w:color w:val="auto"/>
        </w:rPr>
      </w:pPr>
    </w:p>
    <w:p>
      <w:pPr>
        <w:ind w:right="320"/>
        <w:spacing w:after="0" w:line="339" w:lineRule="auto"/>
        <w:rPr>
          <w:sz w:val="20"/>
          <w:szCs w:val="20"/>
          <w:color w:val="auto"/>
        </w:rPr>
      </w:pPr>
      <w:r>
        <w:rPr>
          <w:rFonts w:ascii="Times New Roman" w:cs="Times New Roman" w:eastAsia="Times New Roman" w:hAnsi="Times New Roman"/>
          <w:sz w:val="18"/>
          <w:szCs w:val="18"/>
          <w:color w:val="262626"/>
        </w:rPr>
        <w:t>As part of its objective of attracting and retaining management to fulfil the Company’s strategic goals, the Compensation Committee recommended and the Board approved on February 16, 2023, a retention grant of PSAs. In addition to the retention of management, the PSA’s have been granted to further align management goals with those of the Company’s shareholders. For that reason, the PSAs have been granted with performance criteria and will be based upon achievement of the Company’s relative total shareholder return (TSR) over a four year period (2023-2026), against a predetermined peer group. Achievement levels vary from 50% to 200% of granted PSA’s, for relative TSR between 0 and the 100th Percentile of relative TSR as disclosed in the below table. In addition to requiring achievement of performance objectives in respect of PSAs, this grant also requires the executive officers to remain employed with the Company for four years from the grant date (unless the executive officer attains retirement age, departs for good reason, dies, or becomes disabled or a change in control occurs whereby an award may be paid or partially paid).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920" w:type="dxa"/>
            <w:vAlign w:val="bottom"/>
          </w:tcPr>
          <w:p>
            <w:pPr>
              <w:spacing w:after="0"/>
              <w:rPr>
                <w:sz w:val="20"/>
                <w:szCs w:val="20"/>
                <w:color w:val="auto"/>
              </w:rPr>
            </w:pPr>
            <w:r>
              <w:rPr>
                <w:rFonts w:ascii="Arial" w:cs="Arial" w:eastAsia="Arial" w:hAnsi="Arial"/>
                <w:sz w:val="18"/>
                <w:szCs w:val="18"/>
                <w:b w:val="1"/>
                <w:bCs w:val="1"/>
                <w:color w:val="262626"/>
              </w:rPr>
              <w:t>Relative TSR Criteria</w:t>
            </w:r>
          </w:p>
        </w:tc>
        <w:tc>
          <w:tcPr>
            <w:tcW w:w="5500" w:type="dxa"/>
            <w:vAlign w:val="bottom"/>
          </w:tcPr>
          <w:p>
            <w:pPr>
              <w:jc w:val="right"/>
              <w:spacing w:after="0"/>
              <w:rPr>
                <w:sz w:val="20"/>
                <w:szCs w:val="20"/>
                <w:color w:val="auto"/>
              </w:rPr>
            </w:pPr>
            <w:r>
              <w:rPr>
                <w:rFonts w:ascii="Arial" w:cs="Arial" w:eastAsia="Arial" w:hAnsi="Arial"/>
                <w:sz w:val="18"/>
                <w:szCs w:val="18"/>
                <w:b w:val="1"/>
                <w:bCs w:val="1"/>
                <w:color w:val="262626"/>
              </w:rPr>
              <w:t>Achievement Level of Award</w:t>
            </w:r>
          </w:p>
        </w:tc>
      </w:tr>
      <w:tr>
        <w:trPr>
          <w:trHeight w:val="343"/>
        </w:trPr>
        <w:tc>
          <w:tcPr>
            <w:tcW w:w="49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0 - 25th percentile</w:t>
            </w:r>
          </w:p>
        </w:tc>
        <w:tc>
          <w:tcPr>
            <w:tcW w:w="5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50%</w:t>
            </w:r>
          </w:p>
        </w:tc>
      </w:tr>
      <w:tr>
        <w:trPr>
          <w:trHeight w:val="340"/>
        </w:trPr>
        <w:tc>
          <w:tcPr>
            <w:tcW w:w="49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25 - 50th percentile</w:t>
            </w:r>
          </w:p>
        </w:tc>
        <w:tc>
          <w:tcPr>
            <w:tcW w:w="5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100%</w:t>
            </w:r>
          </w:p>
        </w:tc>
      </w:tr>
      <w:tr>
        <w:trPr>
          <w:trHeight w:val="340"/>
        </w:trPr>
        <w:tc>
          <w:tcPr>
            <w:tcW w:w="49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50 - 75th percentile</w:t>
            </w:r>
          </w:p>
        </w:tc>
        <w:tc>
          <w:tcPr>
            <w:tcW w:w="5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150%</w:t>
            </w:r>
          </w:p>
        </w:tc>
      </w:tr>
      <w:tr>
        <w:trPr>
          <w:trHeight w:val="358"/>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262626"/>
              </w:rPr>
              <w:t>Above 75th percentile</w:t>
            </w:r>
          </w:p>
        </w:tc>
        <w:tc>
          <w:tcPr>
            <w:tcW w:w="55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200%</w:t>
            </w:r>
          </w:p>
        </w:tc>
      </w:tr>
    </w:tbl>
    <w:p>
      <w:pPr>
        <w:spacing w:after="0" w:line="176" w:lineRule="exact"/>
        <w:rPr>
          <w:sz w:val="20"/>
          <w:szCs w:val="20"/>
          <w:color w:val="auto"/>
        </w:rPr>
      </w:pPr>
    </w:p>
    <w:p>
      <w:pPr>
        <w:sectPr>
          <w:pgSz w:w="12240" w:h="15840" w:orient="portrait"/>
          <w:cols w:equalWidth="0" w:num="1">
            <w:col w:w="10760"/>
          </w:cols>
          <w:pgMar w:left="900" w:top="852" w:right="580" w:bottom="0" w:gutter="0" w:footer="0" w:header="0"/>
        </w:sect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53</w:t>
      </w:r>
    </w:p>
    <w:p>
      <w:pPr>
        <w:sectPr>
          <w:pgSz w:w="12240" w:h="15840" w:orient="portrait"/>
          <w:cols w:equalWidth="0" w:num="1">
            <w:col w:w="10760"/>
          </w:cols>
          <w:pgMar w:left="900" w:top="852" w:right="580" w:bottom="0" w:gutter="0" w:footer="0" w:header="0"/>
          <w:type w:val="continuous"/>
        </w:sectPr>
      </w:pPr>
    </w:p>
    <w:bookmarkStart w:id="53" w:name="page54"/>
    <w:bookmarkEnd w:id="53"/>
    <w:tbl>
      <w:tblPr>
        <w:tblLayout w:type="fixed"/>
        <w:tblInd w:w="320" w:type="dxa"/>
        <w:tblCellMar>
          <w:top w:w="0" w:type="dxa"/>
          <w:left w:w="0" w:type="dxa"/>
          <w:bottom w:w="0" w:type="dxa"/>
          <w:right w:w="0" w:type="dxa"/>
        </w:tblCellMar>
      </w:tblPr>
      <w:tr>
        <w:trPr>
          <w:trHeight w:val="30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262626"/>
              </w:rPr>
              <w:t>The Retention grant of PSA’s for the named officers are shown in the table below:</w:t>
            </w:r>
          </w:p>
        </w:tc>
        <w:tc>
          <w:tcPr>
            <w:tcW w:w="3460" w:type="dxa"/>
            <w:vAlign w:val="bottom"/>
          </w:tcPr>
          <w:p>
            <w:pPr>
              <w:spacing w:after="0"/>
              <w:rPr>
                <w:sz w:val="24"/>
                <w:szCs w:val="24"/>
                <w:color w:val="auto"/>
              </w:rPr>
            </w:pPr>
          </w:p>
        </w:tc>
      </w:tr>
      <w:tr>
        <w:trPr>
          <w:trHeight w:val="686"/>
        </w:trPr>
        <w:tc>
          <w:tcPr>
            <w:tcW w:w="6960" w:type="dxa"/>
            <w:vAlign w:val="bottom"/>
          </w:tcPr>
          <w:p>
            <w:pPr>
              <w:spacing w:after="0"/>
              <w:rPr>
                <w:sz w:val="20"/>
                <w:szCs w:val="20"/>
                <w:color w:val="auto"/>
              </w:rPr>
            </w:pPr>
            <w:r>
              <w:rPr>
                <w:rFonts w:ascii="Arial" w:cs="Arial" w:eastAsia="Arial" w:hAnsi="Arial"/>
                <w:sz w:val="18"/>
                <w:szCs w:val="18"/>
                <w:b w:val="1"/>
                <w:bCs w:val="1"/>
                <w:color w:val="262626"/>
              </w:rPr>
              <w:t>Executive Officer</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262626"/>
              </w:rPr>
              <w:t>Retention PSA Awarded in 2023</w:t>
            </w:r>
          </w:p>
        </w:tc>
      </w:tr>
      <w:tr>
        <w:trPr>
          <w:trHeight w:val="345"/>
        </w:trPr>
        <w:tc>
          <w:tcPr>
            <w:tcW w:w="69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Steve Downing</w:t>
            </w:r>
          </w:p>
        </w:tc>
        <w:tc>
          <w:tcPr>
            <w:tcW w:w="34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29,361</w:t>
            </w:r>
          </w:p>
        </w:tc>
      </w:tr>
      <w:tr>
        <w:trPr>
          <w:trHeight w:val="340"/>
        </w:trPr>
        <w:tc>
          <w:tcPr>
            <w:tcW w:w="69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Neil Boehm</w:t>
            </w:r>
          </w:p>
        </w:tc>
        <w:tc>
          <w:tcPr>
            <w:tcW w:w="34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17,790</w:t>
            </w:r>
          </w:p>
        </w:tc>
      </w:tr>
      <w:tr>
        <w:trPr>
          <w:trHeight w:val="340"/>
        </w:trPr>
        <w:tc>
          <w:tcPr>
            <w:tcW w:w="69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Kevin Nash</w:t>
            </w:r>
          </w:p>
        </w:tc>
        <w:tc>
          <w:tcPr>
            <w:tcW w:w="34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17,790</w:t>
            </w:r>
          </w:p>
        </w:tc>
      </w:tr>
      <w:tr>
        <w:trPr>
          <w:trHeight w:val="340"/>
        </w:trPr>
        <w:tc>
          <w:tcPr>
            <w:tcW w:w="69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Matt Chiodo</w:t>
            </w:r>
          </w:p>
        </w:tc>
        <w:tc>
          <w:tcPr>
            <w:tcW w:w="34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15,717</w:t>
            </w:r>
          </w:p>
        </w:tc>
      </w:tr>
      <w:tr>
        <w:trPr>
          <w:trHeight w:val="358"/>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262626"/>
              </w:rPr>
              <w:t>Scott Ryan</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14,336</w:t>
            </w:r>
          </w:p>
        </w:tc>
      </w:tr>
    </w:tbl>
    <w:p>
      <w:pPr>
        <w:spacing w:after="0" w:line="31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2020-2022 Long-Term Plan Performance (three-year performance period ending December 31, 2022)</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62626"/>
        </w:rPr>
        <w:t>December 31, 2022, marked the end of the three-year performance period for PSA and RS Long-Term Plan awards made in February 2020.</w:t>
      </w:r>
    </w:p>
    <w:p>
      <w:pPr>
        <w:spacing w:after="0" w:line="37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Performance Share Awards</w:t>
      </w:r>
    </w:p>
    <w:p>
      <w:pPr>
        <w:spacing w:after="0" w:line="191" w:lineRule="exact"/>
        <w:rPr>
          <w:sz w:val="20"/>
          <w:szCs w:val="20"/>
          <w:color w:val="auto"/>
        </w:rPr>
      </w:pPr>
    </w:p>
    <w:p>
      <w:pPr>
        <w:ind w:left="320" w:right="20"/>
        <w:spacing w:after="0" w:line="347" w:lineRule="auto"/>
        <w:rPr>
          <w:sz w:val="20"/>
          <w:szCs w:val="20"/>
          <w:color w:val="auto"/>
        </w:rPr>
      </w:pPr>
      <w:r>
        <w:rPr>
          <w:rFonts w:ascii="Times New Roman" w:cs="Times New Roman" w:eastAsia="Times New Roman" w:hAnsi="Times New Roman"/>
          <w:sz w:val="18"/>
          <w:szCs w:val="18"/>
          <w:color w:val="262626"/>
        </w:rPr>
        <w:t>The performance metrics, targets and performance payout ranges for these awards were set and approved by the Compensation Committee and the Board in February 2020. Consistent with the Long-Term Plan, incentive could be earned by the officers based on performance associated with two equally weighted metrics, EBITDA and ROIC, in each case adjusted as determined by the Compensation Committee, both measured cumulatively over the three-year performance period. The target levels of achievement for the EBITDA and the ROIC were established to align with financial goals set at the beginning of the three-year performance period for the years 2020 through 2022, The table below summarizes the results of the 2020-2022 performance period relative to target and the achievement level of the 2020-2022 PSAs:.</w:t>
      </w:r>
    </w:p>
    <w:p>
      <w:pPr>
        <w:spacing w:after="0" w:line="76" w:lineRule="exact"/>
        <w:rPr>
          <w:sz w:val="20"/>
          <w:szCs w:val="20"/>
          <w:color w:val="auto"/>
        </w:rPr>
      </w:pPr>
    </w:p>
    <w:tbl>
      <w:tblPr>
        <w:tblLayout w:type="fixed"/>
        <w:tblInd w:w="320" w:type="dxa"/>
        <w:tblCellMar>
          <w:top w:w="0" w:type="dxa"/>
          <w:left w:w="0" w:type="dxa"/>
          <w:bottom w:w="0" w:type="dxa"/>
          <w:right w:w="0" w:type="dxa"/>
        </w:tblCellMar>
      </w:tblPr>
      <w:tr>
        <w:trPr>
          <w:trHeight w:val="240"/>
        </w:trPr>
        <w:tc>
          <w:tcPr>
            <w:tcW w:w="1820" w:type="dxa"/>
            <w:vAlign w:val="bottom"/>
            <w:vMerge w:val="restart"/>
          </w:tcPr>
          <w:p>
            <w:pPr>
              <w:spacing w:after="0"/>
              <w:rPr>
                <w:sz w:val="20"/>
                <w:szCs w:val="20"/>
                <w:color w:val="auto"/>
              </w:rPr>
            </w:pPr>
            <w:r>
              <w:rPr>
                <w:rFonts w:ascii="Arial" w:cs="Arial" w:eastAsia="Arial" w:hAnsi="Arial"/>
                <w:sz w:val="18"/>
                <w:szCs w:val="18"/>
                <w:b w:val="1"/>
                <w:bCs w:val="1"/>
                <w:color w:val="262626"/>
              </w:rPr>
              <w:t>Performance Metric</w:t>
            </w: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Weight</w:t>
            </w:r>
          </w:p>
        </w:tc>
        <w:tc>
          <w:tcPr>
            <w:tcW w:w="2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Threshold*</w:t>
            </w:r>
          </w:p>
        </w:tc>
        <w:tc>
          <w:tcPr>
            <w:tcW w:w="34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Target*</w:t>
            </w:r>
          </w:p>
        </w:tc>
        <w:tc>
          <w:tcPr>
            <w:tcW w:w="2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Maximum*</w:t>
            </w:r>
          </w:p>
        </w:tc>
        <w:tc>
          <w:tcPr>
            <w:tcW w:w="18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262626"/>
              </w:rPr>
              <w:t>Actual</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262626"/>
                <w:w w:val="99"/>
              </w:rPr>
              <w:t>Performance</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262626"/>
              </w:rPr>
              <w:t>Weighted</w:t>
            </w:r>
          </w:p>
        </w:tc>
        <w:tc>
          <w:tcPr>
            <w:tcW w:w="0" w:type="dxa"/>
            <w:vAlign w:val="bottom"/>
          </w:tcPr>
          <w:p>
            <w:pPr>
              <w:spacing w:after="0"/>
              <w:rPr>
                <w:sz w:val="1"/>
                <w:szCs w:val="1"/>
                <w:color w:val="auto"/>
              </w:rPr>
            </w:pPr>
          </w:p>
        </w:tc>
      </w:tr>
      <w:tr>
        <w:trPr>
          <w:trHeight w:val="302"/>
        </w:trPr>
        <w:tc>
          <w:tcPr>
            <w:tcW w:w="182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262626"/>
                <w:w w:val="88"/>
              </w:rPr>
              <w:t>Performance*</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262626"/>
              </w:rPr>
              <w:t>to Target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262626"/>
                <w:w w:val="99"/>
              </w:rPr>
              <w:t>Performance</w:t>
            </w:r>
          </w:p>
        </w:tc>
        <w:tc>
          <w:tcPr>
            <w:tcW w:w="0" w:type="dxa"/>
            <w:vAlign w:val="bottom"/>
          </w:tcPr>
          <w:p>
            <w:pPr>
              <w:spacing w:after="0"/>
              <w:rPr>
                <w:sz w:val="1"/>
                <w:szCs w:val="1"/>
                <w:color w:val="auto"/>
              </w:rPr>
            </w:pPr>
          </w:p>
        </w:tc>
      </w:tr>
      <w:tr>
        <w:trPr>
          <w:trHeight w:val="321"/>
        </w:trPr>
        <w:tc>
          <w:tcPr>
            <w:tcW w:w="18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EBITDA</w:t>
            </w:r>
          </w:p>
        </w:tc>
        <w:tc>
          <w:tcPr>
            <w:tcW w:w="9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50%</w:t>
            </w:r>
          </w:p>
        </w:tc>
        <w:tc>
          <w:tcPr>
            <w:tcW w:w="2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10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1,512,514</w:t>
            </w:r>
          </w:p>
        </w:tc>
        <w:tc>
          <w:tcPr>
            <w:tcW w:w="34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w:t>
            </w:r>
          </w:p>
        </w:tc>
        <w:tc>
          <w:tcPr>
            <w:tcW w:w="9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1,890,643</w:t>
            </w:r>
          </w:p>
        </w:tc>
        <w:tc>
          <w:tcPr>
            <w:tcW w:w="28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w:t>
            </w:r>
          </w:p>
        </w:tc>
        <w:tc>
          <w:tcPr>
            <w:tcW w:w="10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2,268,772</w:t>
            </w:r>
          </w:p>
        </w:tc>
        <w:tc>
          <w:tcPr>
            <w:tcW w:w="1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18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1,535,931</w:t>
            </w:r>
          </w:p>
        </w:tc>
        <w:tc>
          <w:tcPr>
            <w:tcW w:w="124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53.10%</w:t>
            </w:r>
          </w:p>
        </w:tc>
        <w:tc>
          <w:tcPr>
            <w:tcW w:w="11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26.55%</w:t>
            </w:r>
          </w:p>
        </w:tc>
        <w:tc>
          <w:tcPr>
            <w:tcW w:w="0" w:type="dxa"/>
            <w:vAlign w:val="bottom"/>
          </w:tcPr>
          <w:p>
            <w:pPr>
              <w:spacing w:after="0"/>
              <w:rPr>
                <w:sz w:val="1"/>
                <w:szCs w:val="1"/>
                <w:color w:val="auto"/>
              </w:rPr>
            </w:pPr>
          </w:p>
        </w:tc>
      </w:tr>
      <w:tr>
        <w:trPr>
          <w:trHeight w:val="36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262626"/>
              </w:rPr>
              <w:t>ROIC</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50%</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36.80%</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46.00%</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55.20%</w:t>
            </w:r>
          </w:p>
        </w:tc>
        <w:tc>
          <w:tcPr>
            <w:tcW w:w="18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62626"/>
              </w:rPr>
              <w:t>37.12%</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62626"/>
              </w:rPr>
              <w:t>51.74%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25.87%</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500" w:right="80" w:hanging="180"/>
        <w:spacing w:after="0" w:line="324" w:lineRule="auto"/>
        <w:tabs>
          <w:tab w:leader="none" w:pos="500" w:val="left"/>
        </w:tabs>
        <w:numPr>
          <w:ilvl w:val="0"/>
          <w:numId w:val="17"/>
        </w:numPr>
        <w:rPr>
          <w:rFonts w:ascii="Times New Roman" w:cs="Times New Roman" w:eastAsia="Times New Roman" w:hAnsi="Times New Roman"/>
          <w:sz w:val="14"/>
          <w:szCs w:val="14"/>
          <w:color w:val="838383"/>
        </w:rPr>
      </w:pPr>
      <w:r>
        <w:rPr>
          <w:rFonts w:ascii="Times New Roman" w:cs="Times New Roman" w:eastAsia="Times New Roman" w:hAnsi="Times New Roman"/>
          <w:sz w:val="14"/>
          <w:szCs w:val="14"/>
          <w:color w:val="838383"/>
        </w:rPr>
        <w:t>amounts in thousands (000) percentages. Threshold, Target, and Maximum for EBITDA and ROIC were adjusted to address the estimated impact of tariffs and the Actual Performance was similarly adjusted with respect to the actual impact of tariffs. Additionally, Actual performance was adjusted by $8.8 million of previously disclosed severance related costs incurred in 2020.</w:t>
      </w:r>
    </w:p>
    <w:p>
      <w:pPr>
        <w:spacing w:after="0" w:line="36" w:lineRule="exact"/>
        <w:rPr>
          <w:sz w:val="20"/>
          <w:szCs w:val="20"/>
          <w:color w:val="auto"/>
        </w:rPr>
      </w:pPr>
    </w:p>
    <w:p>
      <w:pPr>
        <w:ind w:left="320" w:right="100"/>
        <w:spacing w:after="0" w:line="435" w:lineRule="auto"/>
        <w:rPr>
          <w:sz w:val="20"/>
          <w:szCs w:val="20"/>
          <w:color w:val="auto"/>
        </w:rPr>
      </w:pPr>
      <w:r>
        <w:rPr>
          <w:rFonts w:ascii="Times New Roman" w:cs="Times New Roman" w:eastAsia="Times New Roman" w:hAnsi="Times New Roman"/>
          <w:sz w:val="18"/>
          <w:szCs w:val="18"/>
          <w:color w:val="262626"/>
        </w:rPr>
        <w:t>The PSAs awarded in February 2020, based on target opportunity, along with the actual payout of PSAs to the executive officers, for the 2020-2022 performance period are reflected in the table below and include dividend equivalents assuming reinvestment of dividends.</w:t>
      </w:r>
    </w:p>
    <w:p>
      <w:pPr>
        <w:spacing w:after="0" w:line="2" w:lineRule="exact"/>
        <w:rPr>
          <w:sz w:val="20"/>
          <w:szCs w:val="20"/>
          <w:color w:val="auto"/>
        </w:rPr>
      </w:pPr>
    </w:p>
    <w:tbl>
      <w:tblPr>
        <w:tblLayout w:type="fixed"/>
        <w:tblInd w:w="320" w:type="dxa"/>
        <w:tblCellMar>
          <w:top w:w="0" w:type="dxa"/>
          <w:left w:w="0" w:type="dxa"/>
          <w:bottom w:w="0" w:type="dxa"/>
          <w:right w:w="0" w:type="dxa"/>
        </w:tblCellMar>
      </w:tblPr>
      <w:tr>
        <w:trPr>
          <w:trHeight w:val="240"/>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262626"/>
              </w:rPr>
              <w:t>Executive Officer</w:t>
            </w:r>
          </w:p>
        </w:tc>
        <w:tc>
          <w:tcPr>
            <w:tcW w:w="4940" w:type="dxa"/>
            <w:vAlign w:val="bottom"/>
          </w:tcPr>
          <w:p>
            <w:pPr>
              <w:jc w:val="right"/>
              <w:ind w:right="750"/>
              <w:spacing w:after="0"/>
              <w:rPr>
                <w:sz w:val="20"/>
                <w:szCs w:val="20"/>
                <w:color w:val="auto"/>
              </w:rPr>
            </w:pPr>
            <w:r>
              <w:rPr>
                <w:rFonts w:ascii="Arial" w:cs="Arial" w:eastAsia="Arial" w:hAnsi="Arial"/>
                <w:sz w:val="18"/>
                <w:szCs w:val="18"/>
                <w:b w:val="1"/>
                <w:bCs w:val="1"/>
                <w:color w:val="262626"/>
              </w:rPr>
              <w:t>Number of PSAs Awarded in 2020</w:t>
            </w:r>
          </w:p>
        </w:tc>
        <w:tc>
          <w:tcPr>
            <w:tcW w:w="266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2020-2022 PSAs Payout</w:t>
            </w:r>
          </w:p>
        </w:tc>
        <w:tc>
          <w:tcPr>
            <w:tcW w:w="0" w:type="dxa"/>
            <w:vAlign w:val="bottom"/>
          </w:tcPr>
          <w:p>
            <w:pPr>
              <w:spacing w:after="0"/>
              <w:rPr>
                <w:sz w:val="1"/>
                <w:szCs w:val="1"/>
                <w:color w:val="auto"/>
              </w:rPr>
            </w:pPr>
          </w:p>
        </w:tc>
      </w:tr>
      <w:tr>
        <w:trPr>
          <w:trHeight w:val="304"/>
        </w:trPr>
        <w:tc>
          <w:tcPr>
            <w:tcW w:w="2840" w:type="dxa"/>
            <w:vAlign w:val="bottom"/>
            <w:vMerge w:val="continue"/>
          </w:tcPr>
          <w:p>
            <w:pPr>
              <w:spacing w:after="0"/>
              <w:rPr>
                <w:sz w:val="24"/>
                <w:szCs w:val="24"/>
                <w:color w:val="auto"/>
              </w:rPr>
            </w:pPr>
          </w:p>
        </w:tc>
        <w:tc>
          <w:tcPr>
            <w:tcW w:w="4940" w:type="dxa"/>
            <w:vAlign w:val="bottom"/>
          </w:tcPr>
          <w:p>
            <w:pPr>
              <w:jc w:val="right"/>
              <w:ind w:right="750"/>
              <w:spacing w:after="0"/>
              <w:rPr>
                <w:sz w:val="20"/>
                <w:szCs w:val="20"/>
                <w:color w:val="auto"/>
              </w:rPr>
            </w:pPr>
            <w:r>
              <w:rPr>
                <w:rFonts w:ascii="Arial" w:cs="Arial" w:eastAsia="Arial" w:hAnsi="Arial"/>
                <w:sz w:val="18"/>
                <w:szCs w:val="18"/>
                <w:b w:val="1"/>
                <w:bCs w:val="1"/>
                <w:color w:val="262626"/>
              </w:rPr>
              <w:t>(Target) for 2020-2022</w:t>
            </w:r>
          </w:p>
        </w:tc>
        <w:tc>
          <w:tcPr>
            <w:tcW w:w="2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8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Steve Downing</w:t>
            </w:r>
          </w:p>
        </w:tc>
        <w:tc>
          <w:tcPr>
            <w:tcW w:w="4940" w:type="dxa"/>
            <w:vAlign w:val="bottom"/>
            <w:tcBorders>
              <w:bottom w:val="single" w:sz="8" w:color="838383"/>
            </w:tcBorders>
          </w:tcPr>
          <w:p>
            <w:pPr>
              <w:jc w:val="right"/>
              <w:ind w:right="750"/>
              <w:spacing w:after="0"/>
              <w:rPr>
                <w:sz w:val="20"/>
                <w:szCs w:val="20"/>
                <w:color w:val="auto"/>
              </w:rPr>
            </w:pPr>
            <w:r>
              <w:rPr>
                <w:rFonts w:ascii="Times New Roman" w:cs="Times New Roman" w:eastAsia="Times New Roman" w:hAnsi="Times New Roman"/>
                <w:sz w:val="18"/>
                <w:szCs w:val="18"/>
                <w:color w:val="262626"/>
              </w:rPr>
              <w:t>41,516</w:t>
            </w:r>
          </w:p>
        </w:tc>
        <w:tc>
          <w:tcPr>
            <w:tcW w:w="26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22,912</w:t>
            </w:r>
          </w:p>
        </w:tc>
        <w:tc>
          <w:tcPr>
            <w:tcW w:w="0" w:type="dxa"/>
            <w:vAlign w:val="bottom"/>
          </w:tcPr>
          <w:p>
            <w:pPr>
              <w:spacing w:after="0"/>
              <w:rPr>
                <w:sz w:val="1"/>
                <w:szCs w:val="1"/>
                <w:color w:val="auto"/>
              </w:rPr>
            </w:pPr>
          </w:p>
        </w:tc>
      </w:tr>
      <w:tr>
        <w:trPr>
          <w:trHeight w:val="340"/>
        </w:trPr>
        <w:tc>
          <w:tcPr>
            <w:tcW w:w="28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Neil Boehm</w:t>
            </w:r>
          </w:p>
        </w:tc>
        <w:tc>
          <w:tcPr>
            <w:tcW w:w="4940" w:type="dxa"/>
            <w:vAlign w:val="bottom"/>
            <w:tcBorders>
              <w:bottom w:val="single" w:sz="8" w:color="838383"/>
            </w:tcBorders>
          </w:tcPr>
          <w:p>
            <w:pPr>
              <w:jc w:val="right"/>
              <w:ind w:right="750"/>
              <w:spacing w:after="0"/>
              <w:rPr>
                <w:sz w:val="20"/>
                <w:szCs w:val="20"/>
                <w:color w:val="auto"/>
              </w:rPr>
            </w:pPr>
            <w:r>
              <w:rPr>
                <w:rFonts w:ascii="Times New Roman" w:cs="Times New Roman" w:eastAsia="Times New Roman" w:hAnsi="Times New Roman"/>
                <w:sz w:val="18"/>
                <w:szCs w:val="18"/>
                <w:color w:val="262626"/>
              </w:rPr>
              <w:t>14,081</w:t>
            </w:r>
          </w:p>
        </w:tc>
        <w:tc>
          <w:tcPr>
            <w:tcW w:w="26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7,772</w:t>
            </w:r>
          </w:p>
        </w:tc>
        <w:tc>
          <w:tcPr>
            <w:tcW w:w="0" w:type="dxa"/>
            <w:vAlign w:val="bottom"/>
          </w:tcPr>
          <w:p>
            <w:pPr>
              <w:spacing w:after="0"/>
              <w:rPr>
                <w:sz w:val="1"/>
                <w:szCs w:val="1"/>
                <w:color w:val="auto"/>
              </w:rPr>
            </w:pPr>
          </w:p>
        </w:tc>
      </w:tr>
      <w:tr>
        <w:trPr>
          <w:trHeight w:val="340"/>
        </w:trPr>
        <w:tc>
          <w:tcPr>
            <w:tcW w:w="28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Kevin Nash</w:t>
            </w:r>
          </w:p>
        </w:tc>
        <w:tc>
          <w:tcPr>
            <w:tcW w:w="4940" w:type="dxa"/>
            <w:vAlign w:val="bottom"/>
            <w:tcBorders>
              <w:bottom w:val="single" w:sz="8" w:color="838383"/>
            </w:tcBorders>
          </w:tcPr>
          <w:p>
            <w:pPr>
              <w:jc w:val="right"/>
              <w:ind w:right="750"/>
              <w:spacing w:after="0"/>
              <w:rPr>
                <w:sz w:val="20"/>
                <w:szCs w:val="20"/>
                <w:color w:val="auto"/>
              </w:rPr>
            </w:pPr>
            <w:r>
              <w:rPr>
                <w:rFonts w:ascii="Times New Roman" w:cs="Times New Roman" w:eastAsia="Times New Roman" w:hAnsi="Times New Roman"/>
                <w:sz w:val="18"/>
                <w:szCs w:val="18"/>
                <w:color w:val="262626"/>
              </w:rPr>
              <w:t>12,916</w:t>
            </w:r>
          </w:p>
        </w:tc>
        <w:tc>
          <w:tcPr>
            <w:tcW w:w="26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7,129</w:t>
            </w:r>
          </w:p>
        </w:tc>
        <w:tc>
          <w:tcPr>
            <w:tcW w:w="0" w:type="dxa"/>
            <w:vAlign w:val="bottom"/>
          </w:tcPr>
          <w:p>
            <w:pPr>
              <w:spacing w:after="0"/>
              <w:rPr>
                <w:sz w:val="1"/>
                <w:szCs w:val="1"/>
                <w:color w:val="auto"/>
              </w:rPr>
            </w:pPr>
          </w:p>
        </w:tc>
      </w:tr>
      <w:tr>
        <w:trPr>
          <w:trHeight w:val="340"/>
        </w:trPr>
        <w:tc>
          <w:tcPr>
            <w:tcW w:w="28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Matt Chiodo</w:t>
            </w:r>
          </w:p>
        </w:tc>
        <w:tc>
          <w:tcPr>
            <w:tcW w:w="4940" w:type="dxa"/>
            <w:vAlign w:val="bottom"/>
            <w:tcBorders>
              <w:bottom w:val="single" w:sz="8" w:color="838383"/>
            </w:tcBorders>
          </w:tcPr>
          <w:p>
            <w:pPr>
              <w:jc w:val="right"/>
              <w:ind w:right="750"/>
              <w:spacing w:after="0"/>
              <w:rPr>
                <w:sz w:val="20"/>
                <w:szCs w:val="20"/>
                <w:color w:val="auto"/>
              </w:rPr>
            </w:pPr>
            <w:r>
              <w:rPr>
                <w:rFonts w:ascii="Times New Roman" w:cs="Times New Roman" w:eastAsia="Times New Roman" w:hAnsi="Times New Roman"/>
                <w:sz w:val="18"/>
                <w:szCs w:val="18"/>
                <w:color w:val="262626"/>
              </w:rPr>
              <w:t>11,394</w:t>
            </w:r>
          </w:p>
        </w:tc>
        <w:tc>
          <w:tcPr>
            <w:tcW w:w="26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6,289</w:t>
            </w:r>
          </w:p>
        </w:tc>
        <w:tc>
          <w:tcPr>
            <w:tcW w:w="0" w:type="dxa"/>
            <w:vAlign w:val="bottom"/>
          </w:tcPr>
          <w:p>
            <w:pPr>
              <w:spacing w:after="0"/>
              <w:rPr>
                <w:sz w:val="1"/>
                <w:szCs w:val="1"/>
                <w:color w:val="auto"/>
              </w:rPr>
            </w:pPr>
          </w:p>
        </w:tc>
      </w:tr>
      <w:tr>
        <w:trPr>
          <w:trHeight w:val="360"/>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262626"/>
              </w:rPr>
              <w:t>Scott Ryan</w:t>
            </w:r>
          </w:p>
        </w:tc>
        <w:tc>
          <w:tcPr>
            <w:tcW w:w="4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262626"/>
              </w:rPr>
              <w:t>10,091</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5,570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580" w:top="85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54</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60"/>
          </w:cols>
          <w:pgMar w:left="580" w:top="852" w:right="900" w:bottom="0" w:gutter="0" w:footer="0" w:header="0"/>
          <w:type w:val="continuous"/>
        </w:sectPr>
      </w:pPr>
    </w:p>
    <w:bookmarkStart w:id="54" w:name="page55"/>
    <w:bookmarkEnd w:id="54"/>
    <w:p>
      <w:pPr>
        <w:spacing w:after="0"/>
        <w:rPr>
          <w:sz w:val="20"/>
          <w:szCs w:val="20"/>
          <w:color w:val="auto"/>
        </w:rPr>
      </w:pPr>
      <w:r>
        <w:rPr>
          <w:rFonts w:ascii="Arial" w:cs="Arial" w:eastAsia="Arial" w:hAnsi="Arial"/>
          <w:sz w:val="22"/>
          <w:szCs w:val="22"/>
          <w:b w:val="1"/>
          <w:bCs w:val="1"/>
          <w:color w:val="8F8F8F"/>
        </w:rPr>
        <w:t>Restricted Stock</w:t>
      </w:r>
    </w:p>
    <w:p>
      <w:pPr>
        <w:spacing w:after="0" w:line="191" w:lineRule="exact"/>
        <w:rPr>
          <w:sz w:val="20"/>
          <w:szCs w:val="20"/>
          <w:color w:val="auto"/>
        </w:rPr>
      </w:pPr>
    </w:p>
    <w:p>
      <w:pPr>
        <w:ind w:right="640"/>
        <w:spacing w:after="0" w:line="435" w:lineRule="auto"/>
        <w:rPr>
          <w:sz w:val="20"/>
          <w:szCs w:val="20"/>
          <w:color w:val="auto"/>
        </w:rPr>
      </w:pPr>
      <w:r>
        <w:rPr>
          <w:rFonts w:ascii="Times New Roman" w:cs="Times New Roman" w:eastAsia="Times New Roman" w:hAnsi="Times New Roman"/>
          <w:sz w:val="18"/>
          <w:szCs w:val="18"/>
          <w:color w:val="262626"/>
        </w:rPr>
        <w:t>The RS awarded in February 2020, based on target opportunities, along with the actual payment of RS to executive officers, awarded for the 2020-2022 period are reflected in the table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940" w:type="dxa"/>
            <w:vAlign w:val="bottom"/>
            <w:vMerge w:val="restart"/>
          </w:tcPr>
          <w:p>
            <w:pPr>
              <w:spacing w:after="0"/>
              <w:rPr>
                <w:sz w:val="20"/>
                <w:szCs w:val="20"/>
                <w:color w:val="auto"/>
              </w:rPr>
            </w:pPr>
            <w:r>
              <w:rPr>
                <w:rFonts w:ascii="Arial" w:cs="Arial" w:eastAsia="Arial" w:hAnsi="Arial"/>
                <w:sz w:val="18"/>
                <w:szCs w:val="18"/>
                <w:b w:val="1"/>
                <w:bCs w:val="1"/>
                <w:color w:val="262626"/>
              </w:rPr>
              <w:t>Executive Officer</w:t>
            </w:r>
          </w:p>
        </w:tc>
        <w:tc>
          <w:tcPr>
            <w:tcW w:w="4600" w:type="dxa"/>
            <w:vAlign w:val="bottom"/>
          </w:tcPr>
          <w:p>
            <w:pPr>
              <w:jc w:val="right"/>
              <w:ind w:right="510"/>
              <w:spacing w:after="0"/>
              <w:rPr>
                <w:sz w:val="20"/>
                <w:szCs w:val="20"/>
                <w:color w:val="auto"/>
              </w:rPr>
            </w:pPr>
            <w:r>
              <w:rPr>
                <w:rFonts w:ascii="Arial" w:cs="Arial" w:eastAsia="Arial" w:hAnsi="Arial"/>
                <w:sz w:val="18"/>
                <w:szCs w:val="18"/>
                <w:b w:val="1"/>
                <w:bCs w:val="1"/>
                <w:color w:val="262626"/>
              </w:rPr>
              <w:t>Number of RS Awarded in 2020</w:t>
            </w:r>
          </w:p>
        </w:tc>
        <w:tc>
          <w:tcPr>
            <w:tcW w:w="288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2020-2022 RS Payout/Vesting</w:t>
            </w:r>
          </w:p>
        </w:tc>
        <w:tc>
          <w:tcPr>
            <w:tcW w:w="0" w:type="dxa"/>
            <w:vAlign w:val="bottom"/>
          </w:tcPr>
          <w:p>
            <w:pPr>
              <w:spacing w:after="0"/>
              <w:rPr>
                <w:sz w:val="1"/>
                <w:szCs w:val="1"/>
                <w:color w:val="auto"/>
              </w:rPr>
            </w:pPr>
          </w:p>
        </w:tc>
      </w:tr>
      <w:tr>
        <w:trPr>
          <w:trHeight w:val="302"/>
        </w:trPr>
        <w:tc>
          <w:tcPr>
            <w:tcW w:w="2940" w:type="dxa"/>
            <w:vAlign w:val="bottom"/>
            <w:vMerge w:val="continue"/>
          </w:tcPr>
          <w:p>
            <w:pPr>
              <w:spacing w:after="0"/>
              <w:rPr>
                <w:sz w:val="24"/>
                <w:szCs w:val="24"/>
                <w:color w:val="auto"/>
              </w:rPr>
            </w:pPr>
          </w:p>
        </w:tc>
        <w:tc>
          <w:tcPr>
            <w:tcW w:w="4600" w:type="dxa"/>
            <w:vAlign w:val="bottom"/>
          </w:tcPr>
          <w:p>
            <w:pPr>
              <w:jc w:val="right"/>
              <w:ind w:right="510"/>
              <w:spacing w:after="0"/>
              <w:rPr>
                <w:sz w:val="20"/>
                <w:szCs w:val="20"/>
                <w:color w:val="auto"/>
              </w:rPr>
            </w:pPr>
            <w:r>
              <w:rPr>
                <w:rFonts w:ascii="Arial" w:cs="Arial" w:eastAsia="Arial" w:hAnsi="Arial"/>
                <w:sz w:val="18"/>
                <w:szCs w:val="18"/>
                <w:b w:val="1"/>
                <w:bCs w:val="1"/>
                <w:color w:val="262626"/>
              </w:rPr>
              <w:t>(Target) for 2020-2022</w:t>
            </w:r>
          </w:p>
        </w:tc>
        <w:tc>
          <w:tcPr>
            <w:tcW w:w="2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9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Steve Downing</w:t>
            </w:r>
          </w:p>
        </w:tc>
        <w:tc>
          <w:tcPr>
            <w:tcW w:w="4600" w:type="dxa"/>
            <w:vAlign w:val="bottom"/>
            <w:tcBorders>
              <w:bottom w:val="single" w:sz="8" w:color="838383"/>
            </w:tcBorders>
          </w:tcPr>
          <w:p>
            <w:pPr>
              <w:jc w:val="right"/>
              <w:ind w:right="510"/>
              <w:spacing w:after="0"/>
              <w:rPr>
                <w:sz w:val="20"/>
                <w:szCs w:val="20"/>
                <w:color w:val="auto"/>
              </w:rPr>
            </w:pPr>
            <w:r>
              <w:rPr>
                <w:rFonts w:ascii="Times New Roman" w:cs="Times New Roman" w:eastAsia="Times New Roman" w:hAnsi="Times New Roman"/>
                <w:sz w:val="18"/>
                <w:szCs w:val="18"/>
                <w:color w:val="262626"/>
              </w:rPr>
              <w:t>17,792</w:t>
            </w:r>
          </w:p>
        </w:tc>
        <w:tc>
          <w:tcPr>
            <w:tcW w:w="28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17,792</w:t>
            </w:r>
          </w:p>
        </w:tc>
        <w:tc>
          <w:tcPr>
            <w:tcW w:w="0" w:type="dxa"/>
            <w:vAlign w:val="bottom"/>
          </w:tcPr>
          <w:p>
            <w:pPr>
              <w:spacing w:after="0"/>
              <w:rPr>
                <w:sz w:val="1"/>
                <w:szCs w:val="1"/>
                <w:color w:val="auto"/>
              </w:rPr>
            </w:pPr>
          </w:p>
        </w:tc>
      </w:tr>
      <w:tr>
        <w:trPr>
          <w:trHeight w:val="340"/>
        </w:trPr>
        <w:tc>
          <w:tcPr>
            <w:tcW w:w="29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Neil Boehm</w:t>
            </w:r>
          </w:p>
        </w:tc>
        <w:tc>
          <w:tcPr>
            <w:tcW w:w="4600" w:type="dxa"/>
            <w:vAlign w:val="bottom"/>
            <w:tcBorders>
              <w:bottom w:val="single" w:sz="8" w:color="838383"/>
            </w:tcBorders>
          </w:tcPr>
          <w:p>
            <w:pPr>
              <w:jc w:val="right"/>
              <w:ind w:right="510"/>
              <w:spacing w:after="0"/>
              <w:rPr>
                <w:sz w:val="20"/>
                <w:szCs w:val="20"/>
                <w:color w:val="auto"/>
              </w:rPr>
            </w:pPr>
            <w:r>
              <w:rPr>
                <w:rFonts w:ascii="Times New Roman" w:cs="Times New Roman" w:eastAsia="Times New Roman" w:hAnsi="Times New Roman"/>
                <w:sz w:val="18"/>
                <w:szCs w:val="18"/>
                <w:color w:val="262626"/>
              </w:rPr>
              <w:t>6,035</w:t>
            </w:r>
          </w:p>
        </w:tc>
        <w:tc>
          <w:tcPr>
            <w:tcW w:w="28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6,035</w:t>
            </w:r>
          </w:p>
        </w:tc>
        <w:tc>
          <w:tcPr>
            <w:tcW w:w="0" w:type="dxa"/>
            <w:vAlign w:val="bottom"/>
          </w:tcPr>
          <w:p>
            <w:pPr>
              <w:spacing w:after="0"/>
              <w:rPr>
                <w:sz w:val="1"/>
                <w:szCs w:val="1"/>
                <w:color w:val="auto"/>
              </w:rPr>
            </w:pPr>
          </w:p>
        </w:tc>
      </w:tr>
      <w:tr>
        <w:trPr>
          <w:trHeight w:val="340"/>
        </w:trPr>
        <w:tc>
          <w:tcPr>
            <w:tcW w:w="29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Kevin Nash</w:t>
            </w:r>
          </w:p>
        </w:tc>
        <w:tc>
          <w:tcPr>
            <w:tcW w:w="4600" w:type="dxa"/>
            <w:vAlign w:val="bottom"/>
            <w:tcBorders>
              <w:bottom w:val="single" w:sz="8" w:color="838383"/>
            </w:tcBorders>
          </w:tcPr>
          <w:p>
            <w:pPr>
              <w:jc w:val="right"/>
              <w:ind w:right="510"/>
              <w:spacing w:after="0"/>
              <w:rPr>
                <w:sz w:val="20"/>
                <w:szCs w:val="20"/>
                <w:color w:val="auto"/>
              </w:rPr>
            </w:pPr>
            <w:r>
              <w:rPr>
                <w:rFonts w:ascii="Times New Roman" w:cs="Times New Roman" w:eastAsia="Times New Roman" w:hAnsi="Times New Roman"/>
                <w:sz w:val="18"/>
                <w:szCs w:val="18"/>
                <w:color w:val="262626"/>
              </w:rPr>
              <w:t>5,535</w:t>
            </w:r>
          </w:p>
        </w:tc>
        <w:tc>
          <w:tcPr>
            <w:tcW w:w="28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5,535</w:t>
            </w:r>
          </w:p>
        </w:tc>
        <w:tc>
          <w:tcPr>
            <w:tcW w:w="0" w:type="dxa"/>
            <w:vAlign w:val="bottom"/>
          </w:tcPr>
          <w:p>
            <w:pPr>
              <w:spacing w:after="0"/>
              <w:rPr>
                <w:sz w:val="1"/>
                <w:szCs w:val="1"/>
                <w:color w:val="auto"/>
              </w:rPr>
            </w:pPr>
          </w:p>
        </w:tc>
      </w:tr>
      <w:tr>
        <w:trPr>
          <w:trHeight w:val="340"/>
        </w:trPr>
        <w:tc>
          <w:tcPr>
            <w:tcW w:w="29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Matt Chiodo</w:t>
            </w:r>
          </w:p>
        </w:tc>
        <w:tc>
          <w:tcPr>
            <w:tcW w:w="4600" w:type="dxa"/>
            <w:vAlign w:val="bottom"/>
            <w:tcBorders>
              <w:bottom w:val="single" w:sz="8" w:color="838383"/>
            </w:tcBorders>
          </w:tcPr>
          <w:p>
            <w:pPr>
              <w:jc w:val="right"/>
              <w:ind w:right="510"/>
              <w:spacing w:after="0"/>
              <w:rPr>
                <w:sz w:val="20"/>
                <w:szCs w:val="20"/>
                <w:color w:val="auto"/>
              </w:rPr>
            </w:pPr>
            <w:r>
              <w:rPr>
                <w:rFonts w:ascii="Times New Roman" w:cs="Times New Roman" w:eastAsia="Times New Roman" w:hAnsi="Times New Roman"/>
                <w:sz w:val="18"/>
                <w:szCs w:val="18"/>
                <w:color w:val="262626"/>
              </w:rPr>
              <w:t>4,883</w:t>
            </w:r>
          </w:p>
        </w:tc>
        <w:tc>
          <w:tcPr>
            <w:tcW w:w="28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4,883</w:t>
            </w:r>
          </w:p>
        </w:tc>
        <w:tc>
          <w:tcPr>
            <w:tcW w:w="0" w:type="dxa"/>
            <w:vAlign w:val="bottom"/>
          </w:tcPr>
          <w:p>
            <w:pPr>
              <w:spacing w:after="0"/>
              <w:rPr>
                <w:sz w:val="1"/>
                <w:szCs w:val="1"/>
                <w:color w:val="auto"/>
              </w:rPr>
            </w:pPr>
          </w:p>
        </w:tc>
      </w:tr>
      <w:tr>
        <w:trPr>
          <w:trHeight w:val="340"/>
        </w:trPr>
        <w:tc>
          <w:tcPr>
            <w:tcW w:w="29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Scott Ryan</w:t>
            </w:r>
          </w:p>
        </w:tc>
        <w:tc>
          <w:tcPr>
            <w:tcW w:w="4600" w:type="dxa"/>
            <w:vAlign w:val="bottom"/>
            <w:tcBorders>
              <w:bottom w:val="single" w:sz="8" w:color="838383"/>
            </w:tcBorders>
          </w:tcPr>
          <w:p>
            <w:pPr>
              <w:jc w:val="right"/>
              <w:ind w:right="510"/>
              <w:spacing w:after="0"/>
              <w:rPr>
                <w:sz w:val="20"/>
                <w:szCs w:val="20"/>
                <w:color w:val="auto"/>
              </w:rPr>
            </w:pPr>
            <w:r>
              <w:rPr>
                <w:rFonts w:ascii="Times New Roman" w:cs="Times New Roman" w:eastAsia="Times New Roman" w:hAnsi="Times New Roman"/>
                <w:sz w:val="18"/>
                <w:szCs w:val="18"/>
                <w:color w:val="262626"/>
              </w:rPr>
              <w:t>4,325</w:t>
            </w:r>
          </w:p>
        </w:tc>
        <w:tc>
          <w:tcPr>
            <w:tcW w:w="28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4,325</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760"/>
        <w:spacing w:after="0" w:line="437" w:lineRule="auto"/>
        <w:rPr>
          <w:sz w:val="20"/>
          <w:szCs w:val="20"/>
          <w:color w:val="auto"/>
        </w:rPr>
      </w:pPr>
      <w:r>
        <w:rPr>
          <w:rFonts w:ascii="Times New Roman" w:cs="Times New Roman" w:eastAsia="Times New Roman" w:hAnsi="Times New Roman"/>
          <w:sz w:val="18"/>
          <w:szCs w:val="18"/>
          <w:color w:val="262626"/>
        </w:rPr>
        <w:t>Since each executive officer awarded restricted stock in 2020 remained employed by the Company for three years from the grant date, each restricted stock awarded vested with such executive officers.</w:t>
      </w:r>
    </w:p>
    <w:p>
      <w:pPr>
        <w:spacing w:after="0" w:line="350" w:lineRule="exact"/>
        <w:rPr>
          <w:sz w:val="20"/>
          <w:szCs w:val="20"/>
          <w:color w:val="auto"/>
        </w:rPr>
      </w:pPr>
    </w:p>
    <w:p>
      <w:pPr>
        <w:ind w:right="1000"/>
        <w:spacing w:after="0" w:line="237" w:lineRule="auto"/>
        <w:rPr>
          <w:sz w:val="20"/>
          <w:szCs w:val="20"/>
          <w:color w:val="auto"/>
        </w:rPr>
      </w:pPr>
      <w:r>
        <w:rPr>
          <w:rFonts w:ascii="Arial" w:cs="Arial" w:eastAsia="Arial" w:hAnsi="Arial"/>
          <w:sz w:val="32"/>
          <w:szCs w:val="32"/>
          <w:color w:val="838383"/>
        </w:rPr>
        <w:t xml:space="preserve">Item 12. </w:t>
      </w:r>
      <w:r>
        <w:rPr>
          <w:rFonts w:ascii="Arial" w:cs="Arial" w:eastAsia="Arial" w:hAnsi="Arial"/>
          <w:sz w:val="32"/>
          <w:szCs w:val="32"/>
          <w:color w:val="262626"/>
        </w:rPr>
        <w:t>Security Ownership of Certain Beneficial Owners and Management and Related</w:t>
      </w:r>
      <w:r>
        <w:rPr>
          <w:rFonts w:ascii="Arial" w:cs="Arial" w:eastAsia="Arial" w:hAnsi="Arial"/>
          <w:sz w:val="32"/>
          <w:szCs w:val="32"/>
          <w:color w:val="838383"/>
        </w:rPr>
        <w:t xml:space="preserve"> </w:t>
      </w:r>
      <w:r>
        <w:rPr>
          <w:rFonts w:ascii="Arial" w:cs="Arial" w:eastAsia="Arial" w:hAnsi="Arial"/>
          <w:sz w:val="32"/>
          <w:szCs w:val="32"/>
          <w:color w:val="262626"/>
        </w:rPr>
        <w:t>Stockholder Matters.</w:t>
      </w:r>
    </w:p>
    <w:p>
      <w:pPr>
        <w:spacing w:after="0" w:line="218" w:lineRule="exact"/>
        <w:rPr>
          <w:sz w:val="20"/>
          <w:szCs w:val="20"/>
          <w:color w:val="auto"/>
        </w:rPr>
      </w:pPr>
    </w:p>
    <w:p>
      <w:pPr>
        <w:jc w:val="both"/>
        <w:ind w:right="320"/>
        <w:spacing w:after="0" w:line="382" w:lineRule="auto"/>
        <w:rPr>
          <w:sz w:val="20"/>
          <w:szCs w:val="20"/>
          <w:color w:val="auto"/>
        </w:rPr>
      </w:pPr>
      <w:r>
        <w:rPr>
          <w:rFonts w:ascii="Times New Roman" w:cs="Times New Roman" w:eastAsia="Times New Roman" w:hAnsi="Times New Roman"/>
          <w:sz w:val="18"/>
          <w:szCs w:val="18"/>
          <w:color w:val="262626"/>
        </w:rPr>
        <w:t>The information contained under the captions “Common Stock Ownership of Management,” “Common Stock Ownership of Certain Beneficial Owners,” and “Equity Compensation Plan Information” contained in the definitive Proxy Statement is hereby incorporated herein by reference. There are no arrangements known to the registrant, the operation of which may at a subsequent date result in a change in control.</w:t>
      </w:r>
    </w:p>
    <w:p>
      <w:pPr>
        <w:spacing w:after="0" w:line="395" w:lineRule="exact"/>
        <w:rPr>
          <w:sz w:val="20"/>
          <w:szCs w:val="20"/>
          <w:color w:val="auto"/>
        </w:rPr>
      </w:pPr>
    </w:p>
    <w:p>
      <w:pPr>
        <w:spacing w:after="0"/>
        <w:rPr>
          <w:sz w:val="20"/>
          <w:szCs w:val="20"/>
          <w:color w:val="auto"/>
        </w:rPr>
      </w:pPr>
      <w:r>
        <w:rPr>
          <w:rFonts w:ascii="Arial" w:cs="Arial" w:eastAsia="Arial" w:hAnsi="Arial"/>
          <w:sz w:val="27"/>
          <w:szCs w:val="27"/>
          <w:color w:val="838383"/>
        </w:rPr>
        <w:t xml:space="preserve">Item 13. </w:t>
      </w:r>
      <w:r>
        <w:rPr>
          <w:rFonts w:ascii="Arial" w:cs="Arial" w:eastAsia="Arial" w:hAnsi="Arial"/>
          <w:sz w:val="27"/>
          <w:szCs w:val="27"/>
          <w:color w:val="262626"/>
        </w:rPr>
        <w:t>Certain Relationships and Related Transactions, and Director Independence.</w:t>
      </w:r>
    </w:p>
    <w:p>
      <w:pPr>
        <w:spacing w:after="0" w:line="250" w:lineRule="exact"/>
        <w:rPr>
          <w:sz w:val="20"/>
          <w:szCs w:val="20"/>
          <w:color w:val="auto"/>
        </w:rPr>
      </w:pPr>
    </w:p>
    <w:p>
      <w:pPr>
        <w:ind w:right="420"/>
        <w:spacing w:after="0" w:line="382" w:lineRule="auto"/>
        <w:rPr>
          <w:sz w:val="20"/>
          <w:szCs w:val="20"/>
          <w:color w:val="auto"/>
        </w:rPr>
      </w:pPr>
      <w:r>
        <w:rPr>
          <w:rFonts w:ascii="Times New Roman" w:cs="Times New Roman" w:eastAsia="Times New Roman" w:hAnsi="Times New Roman"/>
          <w:sz w:val="18"/>
          <w:szCs w:val="18"/>
          <w:color w:val="262626"/>
        </w:rPr>
        <w:t>The information contained under the caption “Certain Transactions” contained in the definitive Proxy Statement is hereby incorporated herein by reference. The information contained under the caption “Election of Directors” contained in the definitive Proxy Statement is hereby incorporated herein by reference.</w:t>
      </w: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color w:val="838383"/>
        </w:rPr>
        <w:t xml:space="preserve">Item 14. </w:t>
      </w:r>
      <w:r>
        <w:rPr>
          <w:rFonts w:ascii="Arial" w:cs="Arial" w:eastAsia="Arial" w:hAnsi="Arial"/>
          <w:sz w:val="32"/>
          <w:szCs w:val="32"/>
          <w:color w:val="262626"/>
        </w:rPr>
        <w:t>Principal Accounting Fee and Services.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Information regarding principal accounting fees and services set forth under the caption “Ratification of Appointment of Independent Auditors</w:t>
      </w:r>
    </w:p>
    <w:p>
      <w:pPr>
        <w:spacing w:after="0" w:line="99" w:lineRule="exact"/>
        <w:rPr>
          <w:sz w:val="20"/>
          <w:szCs w:val="20"/>
          <w:color w:val="auto"/>
        </w:rPr>
      </w:pPr>
    </w:p>
    <w:p>
      <w:pPr>
        <w:jc w:val="both"/>
        <w:ind w:right="360"/>
        <w:spacing w:after="0" w:line="324" w:lineRule="auto"/>
        <w:rPr>
          <w:sz w:val="20"/>
          <w:szCs w:val="20"/>
          <w:color w:val="auto"/>
        </w:rPr>
      </w:pPr>
      <w:r>
        <w:rPr>
          <w:rFonts w:ascii="Times New Roman" w:cs="Times New Roman" w:eastAsia="Times New Roman" w:hAnsi="Times New Roman"/>
          <w:sz w:val="18"/>
          <w:szCs w:val="18"/>
          <w:color w:val="262626"/>
        </w:rPr>
        <w:t>– Principal Accounting Fees and Services” in the definitive Proxy Statement is hereby incorporated herein by reference. Information concerning the policy adopted by the Audit Committee regarding the pre-approval of audit and non-audit services provided by the Company’s independent</w:t>
      </w:r>
    </w:p>
    <w:p>
      <w:pPr>
        <w:spacing w:after="0" w:line="1" w:lineRule="exact"/>
        <w:rPr>
          <w:sz w:val="20"/>
          <w:szCs w:val="20"/>
          <w:color w:val="auto"/>
        </w:rPr>
      </w:pPr>
    </w:p>
    <w:p>
      <w:pPr>
        <w:ind w:right="800"/>
        <w:spacing w:after="0" w:line="407" w:lineRule="auto"/>
        <w:rPr>
          <w:sz w:val="20"/>
          <w:szCs w:val="20"/>
          <w:color w:val="auto"/>
        </w:rPr>
      </w:pPr>
      <w:r>
        <w:rPr>
          <w:rFonts w:ascii="Times New Roman" w:cs="Times New Roman" w:eastAsia="Times New Roman" w:hAnsi="Times New Roman"/>
          <w:sz w:val="18"/>
          <w:szCs w:val="18"/>
          <w:color w:val="262626"/>
        </w:rPr>
        <w:t>auditors set forth under the caption “Corporate Governance – Audit Committee” in the definitive Proxy Statement is hereby incorporated herein by reference.</w:t>
      </w:r>
    </w:p>
    <w:p>
      <w:pPr>
        <w:sectPr>
          <w:pgSz w:w="12240" w:h="15840" w:orient="portrait"/>
          <w:cols w:equalWidth="0" w:num="1">
            <w:col w:w="10760"/>
          </w:cols>
          <w:pgMar w:left="900" w:top="83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55</w:t>
      </w:r>
    </w:p>
    <w:p>
      <w:pPr>
        <w:sectPr>
          <w:pgSz w:w="12240" w:h="15840" w:orient="portrait"/>
          <w:cols w:equalWidth="0" w:num="1">
            <w:col w:w="10760"/>
          </w:cols>
          <w:pgMar w:left="900" w:top="830" w:right="580" w:bottom="0" w:gutter="0" w:footer="0" w:header="0"/>
          <w:type w:val="continuous"/>
        </w:sectPr>
      </w:pPr>
    </w:p>
    <w:bookmarkStart w:id="55" w:name="page56"/>
    <w:bookmarkEnd w:id="55"/>
    <w:p>
      <w:pPr>
        <w:ind w:left="320"/>
        <w:spacing w:after="0"/>
        <w:rPr>
          <w:sz w:val="20"/>
          <w:szCs w:val="20"/>
          <w:color w:val="auto"/>
        </w:rPr>
      </w:pPr>
      <w:r>
        <w:rPr>
          <w:rFonts w:ascii="Arial" w:cs="Arial" w:eastAsia="Arial" w:hAnsi="Arial"/>
          <w:sz w:val="32"/>
          <w:szCs w:val="32"/>
          <w:color w:val="161616"/>
        </w:rPr>
        <w:t>Report of Independent Registered Public Accounting Firm</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161616"/>
        </w:rPr>
        <w:t>To the Shareholders and the Board of Directors of Gentex Corporation</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C8C8C"/>
        </w:rPr>
        <w:t>Opinion on the Financial Statements</w:t>
      </w:r>
    </w:p>
    <w:p>
      <w:pPr>
        <w:spacing w:after="0" w:line="73" w:lineRule="exact"/>
        <w:rPr>
          <w:sz w:val="20"/>
          <w:szCs w:val="20"/>
          <w:color w:val="auto"/>
        </w:rPr>
      </w:pPr>
    </w:p>
    <w:p>
      <w:pPr>
        <w:ind w:left="320" w:right="40"/>
        <w:spacing w:after="0" w:line="330" w:lineRule="auto"/>
        <w:rPr>
          <w:sz w:val="20"/>
          <w:szCs w:val="20"/>
          <w:color w:val="auto"/>
        </w:rPr>
      </w:pPr>
      <w:r>
        <w:rPr>
          <w:rFonts w:ascii="Times New Roman" w:cs="Times New Roman" w:eastAsia="Times New Roman" w:hAnsi="Times New Roman"/>
          <w:sz w:val="18"/>
          <w:szCs w:val="18"/>
          <w:color w:val="161616"/>
        </w:rPr>
        <w:t>We have audited the accompanying consolidated balance sheets of Gentex Corporation and subsidiaries (the Company) as of December 31, 2022 and 2021, the related consolidated statements of income, comprehensive income, shareholders’ investment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 w:lineRule="exact"/>
        <w:rPr>
          <w:sz w:val="20"/>
          <w:szCs w:val="20"/>
          <w:color w:val="auto"/>
        </w:rPr>
      </w:pPr>
    </w:p>
    <w:p>
      <w:pPr>
        <w:ind w:left="320" w:right="140"/>
        <w:spacing w:after="0" w:line="350" w:lineRule="auto"/>
        <w:rPr>
          <w:sz w:val="20"/>
          <w:szCs w:val="20"/>
          <w:color w:val="auto"/>
        </w:rPr>
      </w:pPr>
      <w:r>
        <w:rPr>
          <w:rFonts w:ascii="Times New Roman" w:cs="Times New Roman" w:eastAsia="Times New Roman" w:hAnsi="Times New Roman"/>
          <w:sz w:val="18"/>
          <w:szCs w:val="18"/>
          <w:color w:val="161616"/>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22, 2023 expressed an unqualified opinion thereon.</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C8C8C"/>
        </w:rPr>
        <w:t>Basis for Opinion</w:t>
      </w:r>
    </w:p>
    <w:p>
      <w:pPr>
        <w:spacing w:after="0" w:line="73" w:lineRule="exact"/>
        <w:rPr>
          <w:sz w:val="20"/>
          <w:szCs w:val="20"/>
          <w:color w:val="auto"/>
        </w:rPr>
      </w:pPr>
    </w:p>
    <w:p>
      <w:pPr>
        <w:ind w:left="320" w:right="60"/>
        <w:spacing w:after="0" w:line="391" w:lineRule="auto"/>
        <w:rPr>
          <w:sz w:val="20"/>
          <w:szCs w:val="20"/>
          <w:color w:val="auto"/>
        </w:rPr>
      </w:pPr>
      <w:r>
        <w:rPr>
          <w:rFonts w:ascii="Times New Roman" w:cs="Times New Roman" w:eastAsia="Times New Roman" w:hAnsi="Times New Roman"/>
          <w:sz w:val="16"/>
          <w:szCs w:val="16"/>
          <w:color w:val="161616"/>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 w:lineRule="exact"/>
        <w:rPr>
          <w:sz w:val="20"/>
          <w:szCs w:val="20"/>
          <w:color w:val="auto"/>
        </w:rPr>
      </w:pPr>
    </w:p>
    <w:p>
      <w:pPr>
        <w:ind w:left="320"/>
        <w:spacing w:after="0" w:line="358" w:lineRule="auto"/>
        <w:rPr>
          <w:sz w:val="20"/>
          <w:szCs w:val="20"/>
          <w:color w:val="auto"/>
        </w:rPr>
      </w:pPr>
      <w:r>
        <w:rPr>
          <w:rFonts w:ascii="Times New Roman" w:cs="Times New Roman" w:eastAsia="Times New Roman" w:hAnsi="Times New Roman"/>
          <w:sz w:val="17"/>
          <w:szCs w:val="17"/>
          <w:color w:val="161616"/>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C8C8C"/>
        </w:rPr>
        <w:t>Critical Audit Matter</w:t>
      </w:r>
    </w:p>
    <w:p>
      <w:pPr>
        <w:spacing w:after="0" w:line="73" w:lineRule="exact"/>
        <w:rPr>
          <w:sz w:val="20"/>
          <w:szCs w:val="20"/>
          <w:color w:val="auto"/>
        </w:rPr>
      </w:pPr>
    </w:p>
    <w:p>
      <w:pPr>
        <w:jc w:val="both"/>
        <w:ind w:left="320" w:right="40"/>
        <w:spacing w:after="0" w:line="341" w:lineRule="auto"/>
        <w:rPr>
          <w:sz w:val="20"/>
          <w:szCs w:val="20"/>
          <w:color w:val="auto"/>
        </w:rPr>
      </w:pPr>
      <w:r>
        <w:rPr>
          <w:rFonts w:ascii="Times New Roman" w:cs="Times New Roman" w:eastAsia="Times New Roman" w:hAnsi="Times New Roman"/>
          <w:sz w:val="18"/>
          <w:szCs w:val="18"/>
          <w:color w:val="161616"/>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C8C8C"/>
        </w:rPr>
        <w:t>Revenue - Estimate of Variable Consideration</w:t>
      </w:r>
    </w:p>
    <w:p>
      <w:pPr>
        <w:spacing w:after="0" w:line="71" w:lineRule="exact"/>
        <w:rPr>
          <w:sz w:val="20"/>
          <w:szCs w:val="20"/>
          <w:color w:val="auto"/>
        </w:rPr>
      </w:pPr>
    </w:p>
    <w:p>
      <w:pPr>
        <w:ind w:left="320" w:right="60"/>
        <w:spacing w:after="0" w:line="347" w:lineRule="auto"/>
        <w:rPr>
          <w:sz w:val="20"/>
          <w:szCs w:val="20"/>
          <w:color w:val="auto"/>
        </w:rPr>
      </w:pPr>
      <w:r>
        <w:rPr>
          <w:rFonts w:ascii="Arial" w:cs="Arial" w:eastAsia="Arial" w:hAnsi="Arial"/>
          <w:sz w:val="17"/>
          <w:szCs w:val="17"/>
          <w:b w:val="1"/>
          <w:bCs w:val="1"/>
          <w:color w:val="818181"/>
        </w:rPr>
        <w:t xml:space="preserve">DESCRIPTION OF THE MATTER </w:t>
      </w:r>
      <w:r>
        <w:rPr>
          <w:rFonts w:ascii="Times New Roman" w:cs="Times New Roman" w:eastAsia="Times New Roman" w:hAnsi="Times New Roman"/>
          <w:sz w:val="18"/>
          <w:szCs w:val="18"/>
          <w:color w:val="161616"/>
        </w:rPr>
        <w:t>As discussed in Notes 1 and 11 to the Company’s consolidated financial statements, the Company occasionally enters</w:t>
      </w:r>
      <w:r>
        <w:rPr>
          <w:rFonts w:ascii="Arial" w:cs="Arial" w:eastAsia="Arial" w:hAnsi="Arial"/>
          <w:sz w:val="17"/>
          <w:szCs w:val="17"/>
          <w:b w:val="1"/>
          <w:bCs w:val="1"/>
          <w:color w:val="818181"/>
        </w:rPr>
        <w:t xml:space="preserve"> </w:t>
      </w:r>
      <w:r>
        <w:rPr>
          <w:rFonts w:ascii="Times New Roman" w:cs="Times New Roman" w:eastAsia="Times New Roman" w:hAnsi="Times New Roman"/>
          <w:sz w:val="18"/>
          <w:szCs w:val="18"/>
          <w:color w:val="161616"/>
        </w:rPr>
        <w:t>into sales contracts with its customers that provide for annual price reductions over the production life of a particular part. Prices may also be adjusted on an ongoing basis to reflect changes in product content, product cost and other commercial factors.</w:t>
      </w:r>
    </w:p>
    <w:p>
      <w:pPr>
        <w:spacing w:after="0" w:line="2" w:lineRule="exact"/>
        <w:rPr>
          <w:sz w:val="20"/>
          <w:szCs w:val="20"/>
          <w:color w:val="auto"/>
        </w:rPr>
      </w:pPr>
    </w:p>
    <w:p>
      <w:pPr>
        <w:jc w:val="both"/>
        <w:ind w:left="320"/>
        <w:spacing w:after="0" w:line="347" w:lineRule="auto"/>
        <w:rPr>
          <w:sz w:val="20"/>
          <w:szCs w:val="20"/>
          <w:color w:val="auto"/>
        </w:rPr>
      </w:pPr>
      <w:r>
        <w:rPr>
          <w:rFonts w:ascii="Times New Roman" w:cs="Times New Roman" w:eastAsia="Times New Roman" w:hAnsi="Times New Roman"/>
          <w:sz w:val="18"/>
          <w:szCs w:val="18"/>
          <w:color w:val="161616"/>
        </w:rPr>
        <w:t>Auditing the accounting for and the completeness of the amount of revenue that the Company expects to be entitled to in exchange for its products (for arrangements containing annual price reductions) is judgmental due to the unique facts and circumstances involved with each revenue arrangement, as well as on-going commercial negotiations with customers.</w:t>
      </w:r>
    </w:p>
    <w:p>
      <w:pPr>
        <w:ind w:left="320"/>
        <w:spacing w:after="0" w:line="384" w:lineRule="auto"/>
        <w:rPr>
          <w:sz w:val="20"/>
          <w:szCs w:val="20"/>
          <w:color w:val="auto"/>
        </w:rPr>
      </w:pPr>
      <w:r>
        <w:rPr>
          <w:rFonts w:ascii="Arial" w:cs="Arial" w:eastAsia="Arial" w:hAnsi="Arial"/>
          <w:sz w:val="15"/>
          <w:szCs w:val="15"/>
          <w:b w:val="1"/>
          <w:bCs w:val="1"/>
          <w:color w:val="818181"/>
        </w:rPr>
        <w:t xml:space="preserve">HOW WE ADDRESSED THE MATTER IN OUR AUDIT </w:t>
      </w:r>
      <w:r>
        <w:rPr>
          <w:rFonts w:ascii="Times New Roman" w:cs="Times New Roman" w:eastAsia="Times New Roman" w:hAnsi="Times New Roman"/>
          <w:sz w:val="16"/>
          <w:szCs w:val="16"/>
          <w:color w:val="161616"/>
        </w:rPr>
        <w:t>We obtained an understanding, evaluated the design and tested the operating effectiveness of controls</w:t>
      </w:r>
      <w:r>
        <w:rPr>
          <w:rFonts w:ascii="Arial" w:cs="Arial" w:eastAsia="Arial" w:hAnsi="Arial"/>
          <w:sz w:val="15"/>
          <w:szCs w:val="15"/>
          <w:b w:val="1"/>
          <w:bCs w:val="1"/>
          <w:color w:val="818181"/>
        </w:rPr>
        <w:t xml:space="preserve"> </w:t>
      </w:r>
      <w:r>
        <w:rPr>
          <w:rFonts w:ascii="Times New Roman" w:cs="Times New Roman" w:eastAsia="Times New Roman" w:hAnsi="Times New Roman"/>
          <w:sz w:val="16"/>
          <w:szCs w:val="16"/>
          <w:color w:val="161616"/>
        </w:rPr>
        <w:t>over annual price reductions. This included testing controls over the Company’s process to identify and evaluate customer contracts that contain matters that impact revenue recognition, as well as testing controls relating to the completeness and measurement of revenue related to those sales contracts. Our audit procedures included, among others, testing the completeness and valuation of the Company’s price reductions, including interviews of executive and commercial management personnel responsible for negotiations with customers, inspecting communications between the Company and its customers related to the price reductions, and testing manual price reduction entries recorded using lower materiality thresholds for our testing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-88900</wp:posOffset>
            </wp:positionV>
            <wp:extent cx="1755775" cy="492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8">
                      <a:extLst>
                        <a:ext uri="{28A0092B-C50C-407E-A947-70E740481C1C}"/>
                      </a:extLst>
                    </a:blip>
                    <a:srcRect/>
                    <a:stretch>
                      <a:fillRect/>
                    </a:stretch>
                  </pic:blipFill>
                  <pic:spPr bwMode="auto">
                    <a:xfrm>
                      <a:off x="0" y="0"/>
                      <a:ext cx="1755775" cy="49212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161616"/>
        </w:rPr>
        <w:t>We have served as the Company’s auditor since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-99060</wp:posOffset>
            </wp:positionV>
            <wp:extent cx="175577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9">
                      <a:extLst>
                        <a:ext uri="{28A0092B-C50C-407E-A947-70E740481C1C}"/>
                      </a:extLst>
                    </a:blip>
                    <a:srcRect/>
                    <a:stretch>
                      <a:fillRect/>
                    </a:stretch>
                  </pic:blipFill>
                  <pic:spPr bwMode="auto">
                    <a:xfrm>
                      <a:off x="0" y="0"/>
                      <a:ext cx="1755775" cy="17145"/>
                    </a:xfrm>
                    <a:prstGeom prst="rect">
                      <a:avLst/>
                    </a:prstGeom>
                    <a:noFill/>
                  </pic:spPr>
                </pic:pic>
              </a:graphicData>
            </a:graphic>
          </wp:anchor>
        </w:drawing>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161616"/>
        </w:rPr>
        <w:t>Grand Rapids, Michigan</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161616"/>
        </w:rPr>
        <w:t>February 22, 2023</w:t>
      </w:r>
    </w:p>
    <w:p>
      <w:pPr>
        <w:sectPr>
          <w:pgSz w:w="12240" w:h="15840" w:orient="portrait"/>
          <w:cols w:equalWidth="0" w:num="1">
            <w:col w:w="10740"/>
          </w:cols>
          <w:pgMar w:left="580" w:top="836" w:right="920" w:bottom="0" w:gutter="0" w:footer="0" w:header="0"/>
        </w:sectPr>
      </w:pPr>
    </w:p>
    <w:p>
      <w:pPr>
        <w:spacing w:after="0" w:line="238" w:lineRule="auto"/>
        <w:tabs>
          <w:tab w:leader="none" w:pos="400" w:val="left"/>
        </w:tabs>
        <w:rPr>
          <w:sz w:val="20"/>
          <w:szCs w:val="20"/>
          <w:color w:val="auto"/>
        </w:rPr>
      </w:pPr>
      <w:r>
        <w:rPr>
          <w:rFonts w:ascii="Arial" w:cs="Arial" w:eastAsia="Arial" w:hAnsi="Arial"/>
          <w:sz w:val="24"/>
          <w:szCs w:val="24"/>
          <w:b w:val="1"/>
          <w:bCs w:val="1"/>
          <w:color w:val="161616"/>
        </w:rPr>
        <w:t>56</w:t>
      </w:r>
      <w:r>
        <w:rPr>
          <w:sz w:val="20"/>
          <w:szCs w:val="20"/>
          <w:color w:val="auto"/>
        </w:rPr>
        <w:tab/>
      </w:r>
      <w:r>
        <w:rPr>
          <w:rFonts w:ascii="Times New Roman" w:cs="Times New Roman" w:eastAsia="Times New Roman" w:hAnsi="Times New Roman"/>
          <w:sz w:val="10"/>
          <w:szCs w:val="10"/>
          <w:color w:val="161616"/>
        </w:rPr>
        <w:t>GENTEX CORPORATION</w:t>
      </w:r>
    </w:p>
    <w:p>
      <w:pPr>
        <w:sectPr>
          <w:pgSz w:w="12240" w:h="15840" w:orient="portrait"/>
          <w:cols w:equalWidth="0" w:num="1">
            <w:col w:w="10740"/>
          </w:cols>
          <w:pgMar w:left="580" w:top="836" w:right="920" w:bottom="0" w:gutter="0" w:footer="0" w:header="0"/>
          <w:type w:val="continuous"/>
        </w:sectPr>
      </w:pPr>
    </w:p>
    <w:bookmarkStart w:id="56" w:name="page57"/>
    <w:bookmarkEnd w:id="56"/>
    <w:p>
      <w:pPr>
        <w:spacing w:after="0"/>
        <w:rPr>
          <w:sz w:val="20"/>
          <w:szCs w:val="20"/>
          <w:color w:val="auto"/>
        </w:rPr>
      </w:pPr>
      <w:r>
        <w:rPr>
          <w:rFonts w:ascii="Arial" w:cs="Arial" w:eastAsia="Arial" w:hAnsi="Arial"/>
          <w:sz w:val="32"/>
          <w:szCs w:val="32"/>
          <w:color w:val="161616"/>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61616"/>
        </w:rPr>
        <w:t>To the Shareholders and the Board of Directors of Gentex Corporation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8C8C8C"/>
        </w:rPr>
        <w:t>Opinion on Internal Control Over Financial Reporting</w:t>
      </w:r>
    </w:p>
    <w:p>
      <w:pPr>
        <w:spacing w:after="0" w:line="73" w:lineRule="exact"/>
        <w:rPr>
          <w:sz w:val="20"/>
          <w:szCs w:val="20"/>
          <w:color w:val="auto"/>
        </w:rPr>
      </w:pPr>
    </w:p>
    <w:p>
      <w:pPr>
        <w:ind w:right="360"/>
        <w:spacing w:after="0" w:line="339" w:lineRule="auto"/>
        <w:rPr>
          <w:sz w:val="20"/>
          <w:szCs w:val="20"/>
          <w:color w:val="auto"/>
        </w:rPr>
      </w:pPr>
      <w:r>
        <w:rPr>
          <w:rFonts w:ascii="Times New Roman" w:cs="Times New Roman" w:eastAsia="Times New Roman" w:hAnsi="Times New Roman"/>
          <w:sz w:val="18"/>
          <w:szCs w:val="18"/>
          <w:color w:val="161616"/>
        </w:rPr>
        <w:t>We have audited Gentex Corporation and subsidiaries’ internal control over financial reporting as of December 31, 2022 based on criteria established in Internal Control—Integrated Framework issued by the Committee of Sponsoring Organizations of the Treadway Commission (2013 framework) (the COSO criteria). In our opinion, Gentex Corporation and subsidiaries (the Company) maintained, in all material respects, effective internal control over financial reporting as of December 31, 2022, based on the COSO criteria.</w:t>
      </w:r>
    </w:p>
    <w:p>
      <w:pPr>
        <w:spacing w:after="0" w:line="1" w:lineRule="exact"/>
        <w:rPr>
          <w:sz w:val="20"/>
          <w:szCs w:val="20"/>
          <w:color w:val="auto"/>
        </w:rPr>
      </w:pPr>
    </w:p>
    <w:p>
      <w:pPr>
        <w:ind w:right="420"/>
        <w:spacing w:after="0" w:line="350" w:lineRule="auto"/>
        <w:rPr>
          <w:sz w:val="20"/>
          <w:szCs w:val="20"/>
          <w:color w:val="auto"/>
        </w:rPr>
      </w:pPr>
      <w:r>
        <w:rPr>
          <w:rFonts w:ascii="Times New Roman" w:cs="Times New Roman" w:eastAsia="Times New Roman" w:hAnsi="Times New Roman"/>
          <w:sz w:val="18"/>
          <w:szCs w:val="18"/>
          <w:color w:val="161616"/>
        </w:rPr>
        <w:t>We also have audited, in accordance with the standards of the Public Company Accounting Oversight Board (United States) (PCAOB), the consolidated balance sheets of Gentex Corporation and subsidiaries as of December 31, 2022 and 2021, the related consolidated statements of income, comprehensive income, shareholders’ investment and cash flows for each of the three years in the period ended December 31, 2022, and the related notes and our report dated February 22, 2023 expressed an unqualified opinion thereon.</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b w:val="1"/>
          <w:bCs w:val="1"/>
          <w:color w:val="8C8C8C"/>
        </w:rPr>
        <w:t>Basis for Opinion</w:t>
      </w:r>
    </w:p>
    <w:p>
      <w:pPr>
        <w:spacing w:after="0" w:line="73" w:lineRule="exact"/>
        <w:rPr>
          <w:sz w:val="20"/>
          <w:szCs w:val="20"/>
          <w:color w:val="auto"/>
        </w:rPr>
      </w:pPr>
    </w:p>
    <w:p>
      <w:pPr>
        <w:ind w:right="380"/>
        <w:spacing w:after="0" w:line="333" w:lineRule="auto"/>
        <w:rPr>
          <w:sz w:val="20"/>
          <w:szCs w:val="20"/>
          <w:color w:val="auto"/>
        </w:rPr>
      </w:pPr>
      <w:r>
        <w:rPr>
          <w:rFonts w:ascii="Times New Roman" w:cs="Times New Roman" w:eastAsia="Times New Roman" w:hAnsi="Times New Roman"/>
          <w:sz w:val="18"/>
          <w:szCs w:val="18"/>
          <w:color w:val="161616"/>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 w:lineRule="exact"/>
        <w:rPr>
          <w:sz w:val="20"/>
          <w:szCs w:val="20"/>
          <w:color w:val="auto"/>
        </w:rPr>
      </w:pPr>
    </w:p>
    <w:p>
      <w:pPr>
        <w:ind w:right="600"/>
        <w:spacing w:after="0" w:line="365" w:lineRule="auto"/>
        <w:rPr>
          <w:sz w:val="20"/>
          <w:szCs w:val="20"/>
          <w:color w:val="auto"/>
        </w:rPr>
      </w:pPr>
      <w:r>
        <w:rPr>
          <w:rFonts w:ascii="Times New Roman" w:cs="Times New Roman" w:eastAsia="Times New Roman" w:hAnsi="Times New Roman"/>
          <w:sz w:val="18"/>
          <w:szCs w:val="18"/>
          <w:color w:val="161616"/>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ind w:right="340"/>
        <w:spacing w:after="0" w:line="364" w:lineRule="auto"/>
        <w:rPr>
          <w:sz w:val="20"/>
          <w:szCs w:val="20"/>
          <w:color w:val="auto"/>
        </w:rPr>
      </w:pPr>
      <w:r>
        <w:rPr>
          <w:rFonts w:ascii="Times New Roman" w:cs="Times New Roman" w:eastAsia="Times New Roman" w:hAnsi="Times New Roman"/>
          <w:sz w:val="18"/>
          <w:szCs w:val="18"/>
          <w:color w:val="161616"/>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8C8C8C"/>
        </w:rPr>
        <w:t>Definition and Limitations of Internal Control Over Financial Reporting</w:t>
      </w:r>
    </w:p>
    <w:p>
      <w:pPr>
        <w:spacing w:after="0" w:line="73" w:lineRule="exact"/>
        <w:rPr>
          <w:sz w:val="20"/>
          <w:szCs w:val="20"/>
          <w:color w:val="auto"/>
        </w:rPr>
      </w:pPr>
    </w:p>
    <w:p>
      <w:pPr>
        <w:ind w:right="340"/>
        <w:spacing w:after="0" w:line="326" w:lineRule="auto"/>
        <w:rPr>
          <w:sz w:val="20"/>
          <w:szCs w:val="20"/>
          <w:color w:val="auto"/>
        </w:rPr>
      </w:pPr>
      <w:r>
        <w:rPr>
          <w:rFonts w:ascii="Times New Roman" w:cs="Times New Roman" w:eastAsia="Times New Roman" w:hAnsi="Times New Roman"/>
          <w:sz w:val="18"/>
          <w:szCs w:val="18"/>
          <w:color w:val="161616"/>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 w:lineRule="exact"/>
        <w:rPr>
          <w:sz w:val="20"/>
          <w:szCs w:val="20"/>
          <w:color w:val="auto"/>
        </w:rPr>
      </w:pPr>
    </w:p>
    <w:p>
      <w:pPr>
        <w:ind w:right="360"/>
        <w:spacing w:after="0" w:line="370" w:lineRule="auto"/>
        <w:rPr>
          <w:sz w:val="20"/>
          <w:szCs w:val="20"/>
          <w:color w:val="auto"/>
        </w:rPr>
      </w:pPr>
      <w:r>
        <w:rPr>
          <w:rFonts w:ascii="Times New Roman" w:cs="Times New Roman" w:eastAsia="Times New Roman" w:hAnsi="Times New Roman"/>
          <w:sz w:val="18"/>
          <w:szCs w:val="18"/>
          <w:color w:val="161616"/>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-87630</wp:posOffset>
            </wp:positionV>
            <wp:extent cx="1755775" cy="5092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0">
                      <a:extLst>
                        <a:ext uri="{28A0092B-C50C-407E-A947-70E740481C1C}"/>
                      </a:extLst>
                    </a:blip>
                    <a:srcRect/>
                    <a:stretch>
                      <a:fillRect/>
                    </a:stretch>
                  </pic:blipFill>
                  <pic:spPr bwMode="auto">
                    <a:xfrm>
                      <a:off x="0" y="0"/>
                      <a:ext cx="1755775" cy="50927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61616"/>
        </w:rPr>
        <w:t>Grand Rapids, Michigan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61616"/>
        </w:rPr>
        <w:t>February 22, 2023</w:t>
      </w:r>
    </w:p>
    <w:p>
      <w:pPr>
        <w:sectPr>
          <w:pgSz w:w="12240" w:h="15840" w:orient="portrait"/>
          <w:cols w:equalWidth="0" w:num="1">
            <w:col w:w="10760"/>
          </w:cols>
          <w:pgMar w:left="900" w:top="836"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161616"/>
        </w:rPr>
        <w:t>2022 ANNUAL REPORT</w:t>
      </w:r>
      <w:r>
        <w:rPr>
          <w:sz w:val="20"/>
          <w:szCs w:val="20"/>
          <w:color w:val="auto"/>
        </w:rPr>
        <w:tab/>
      </w:r>
      <w:r>
        <w:rPr>
          <w:rFonts w:ascii="Arial" w:cs="Arial" w:eastAsia="Arial" w:hAnsi="Arial"/>
          <w:sz w:val="12"/>
          <w:szCs w:val="12"/>
          <w:b w:val="1"/>
          <w:bCs w:val="1"/>
          <w:color w:val="161616"/>
        </w:rPr>
        <w:t>57</w:t>
      </w:r>
    </w:p>
    <w:p>
      <w:pPr>
        <w:sectPr>
          <w:pgSz w:w="12240" w:h="15840" w:orient="portrait"/>
          <w:cols w:equalWidth="0" w:num="1">
            <w:col w:w="10760"/>
          </w:cols>
          <w:pgMar w:left="900" w:top="836" w:right="580" w:bottom="0" w:gutter="0" w:footer="0" w:header="0"/>
          <w:type w:val="continuous"/>
        </w:sectPr>
      </w:pPr>
    </w:p>
    <w:bookmarkStart w:id="57" w:name="page58"/>
    <w:bookmarkEnd w:id="57"/>
    <w:p>
      <w:pPr>
        <w:spacing w:after="0" w:line="214"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571500</wp:posOffset>
                </wp:positionV>
                <wp:extent cx="384175" cy="100203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4175" cy="1002030"/>
                        </a:xfrm>
                        <a:prstGeom prst="rect">
                          <a:avLst/>
                        </a:prstGeom>
                        <a:solidFill>
                          <a:srgbClr val="555555"/>
                        </a:solidFill>
                      </wps:spPr>
                      <wps:bodyPr/>
                    </wps:wsp>
                  </a:graphicData>
                </a:graphic>
              </wp:anchor>
            </w:drawing>
          </mc:Choice>
          <mc:Fallback>
            <w:pict>
              <v:rect id="Shape 52" o:spid="_x0000_s1077" style="position:absolute;margin-left:0pt;margin-top:45pt;width:30.25pt;height:78.9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55555" stroked="f">
                <w10:wrap anchorx="page" anchory="page"/>
              </v:rect>
            </w:pict>
          </mc:Fallback>
        </mc:AlternateContent>
      </w:r>
    </w:p>
    <w:tbl>
      <w:tblPr>
        <w:tblLayout w:type="fixed"/>
        <w:tblInd w:w="0" w:type="dxa"/>
        <w:tblCellMar>
          <w:top w:w="0" w:type="dxa"/>
          <w:left w:w="0" w:type="dxa"/>
          <w:bottom w:w="0" w:type="dxa"/>
          <w:right w:w="0" w:type="dxa"/>
        </w:tblCellMar>
      </w:tblPr>
      <w:tr>
        <w:trPr>
          <w:trHeight w:val="1280"/>
        </w:trPr>
        <w:tc>
          <w:tcPr>
            <w:tcW w:w="230" w:type="dxa"/>
            <w:vAlign w:val="bottom"/>
            <w:textDirection w:val="btLr"/>
          </w:tcPr>
          <w:p>
            <w:pPr>
              <w:spacing w:after="0"/>
              <w:rPr>
                <w:sz w:val="20"/>
                <w:szCs w:val="20"/>
                <w:color w:val="auto"/>
              </w:rPr>
            </w:pPr>
            <w:r>
              <w:rPr>
                <w:rFonts w:ascii="Arial" w:cs="Arial" w:eastAsia="Arial" w:hAnsi="Arial"/>
                <w:sz w:val="20"/>
                <w:szCs w:val="20"/>
                <w:color w:val="FFFFFF"/>
              </w:rPr>
              <w:t>10-K PART IV</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858585"/>
        </w:rPr>
        <w:t>GENTEX CORPORATION AND SUBSIDIARIES CONSOLIDATED BALANCE SHEETS AS OF DECEMBER 31, 2022 AND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838383"/>
        </w:rPr>
        <w:t>The accompanying notes are an integral part of these consolidated financial statements.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6660" w:type="dxa"/>
            <w:vAlign w:val="bottom"/>
          </w:tcPr>
          <w:p>
            <w:pPr>
              <w:spacing w:after="0"/>
              <w:rPr>
                <w:sz w:val="20"/>
                <w:szCs w:val="20"/>
                <w:color w:val="auto"/>
              </w:rPr>
            </w:pPr>
            <w:r>
              <w:rPr>
                <w:rFonts w:ascii="Arial" w:cs="Arial" w:eastAsia="Arial" w:hAnsi="Arial"/>
                <w:sz w:val="17"/>
                <w:szCs w:val="17"/>
                <w:b w:val="1"/>
                <w:bCs w:val="1"/>
                <w:color w:val="8F8F8F"/>
              </w:rPr>
              <w:t>ASSETS</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2022</w:t>
            </w:r>
          </w:p>
        </w:tc>
        <w:tc>
          <w:tcPr>
            <w:tcW w:w="5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262626"/>
              </w:rPr>
              <w:t>2021</w:t>
            </w:r>
          </w:p>
        </w:tc>
      </w:tr>
      <w:tr>
        <w:trPr>
          <w:trHeight w:val="274"/>
        </w:trPr>
        <w:tc>
          <w:tcPr>
            <w:tcW w:w="6660" w:type="dxa"/>
            <w:vAlign w:val="bottom"/>
          </w:tcPr>
          <w:p>
            <w:pPr>
              <w:spacing w:after="0"/>
              <w:rPr>
                <w:sz w:val="20"/>
                <w:szCs w:val="20"/>
                <w:color w:val="auto"/>
              </w:rPr>
            </w:pPr>
            <w:r>
              <w:rPr>
                <w:rFonts w:ascii="Arial" w:cs="Arial" w:eastAsia="Arial" w:hAnsi="Arial"/>
                <w:sz w:val="17"/>
                <w:szCs w:val="17"/>
                <w:b w:val="1"/>
                <w:bCs w:val="1"/>
                <w:color w:val="838383"/>
              </w:rPr>
              <w:t>CURRENT ASSETS:</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69"/>
        </w:trPr>
        <w:tc>
          <w:tcPr>
            <w:tcW w:w="6660" w:type="dxa"/>
            <w:vAlign w:val="bottom"/>
            <w:tcBorders>
              <w:bottom w:val="single" w:sz="8" w:color="838383"/>
            </w:tcBorders>
          </w:tcPr>
          <w:p>
            <w:pPr>
              <w:spacing w:after="0"/>
              <w:rPr>
                <w:sz w:val="6"/>
                <w:szCs w:val="6"/>
                <w:color w:val="auto"/>
              </w:rPr>
            </w:pPr>
          </w:p>
        </w:tc>
        <w:tc>
          <w:tcPr>
            <w:tcW w:w="20" w:type="dxa"/>
            <w:vAlign w:val="bottom"/>
            <w:tcBorders>
              <w:bottom w:val="single" w:sz="8" w:color="838383"/>
            </w:tcBorders>
          </w:tcPr>
          <w:p>
            <w:pPr>
              <w:spacing w:after="0"/>
              <w:rPr>
                <w:sz w:val="6"/>
                <w:szCs w:val="6"/>
                <w:color w:val="auto"/>
              </w:rPr>
            </w:pPr>
          </w:p>
        </w:tc>
        <w:tc>
          <w:tcPr>
            <w:tcW w:w="400" w:type="dxa"/>
            <w:vAlign w:val="bottom"/>
            <w:tcBorders>
              <w:bottom w:val="single" w:sz="8" w:color="838383"/>
            </w:tcBorders>
          </w:tcPr>
          <w:p>
            <w:pPr>
              <w:spacing w:after="0"/>
              <w:rPr>
                <w:sz w:val="6"/>
                <w:szCs w:val="6"/>
                <w:color w:val="auto"/>
              </w:rPr>
            </w:pPr>
          </w:p>
        </w:tc>
        <w:tc>
          <w:tcPr>
            <w:tcW w:w="1480" w:type="dxa"/>
            <w:vAlign w:val="bottom"/>
            <w:tcBorders>
              <w:bottom w:val="single" w:sz="8" w:color="838383"/>
            </w:tcBorders>
          </w:tcPr>
          <w:p>
            <w:pPr>
              <w:spacing w:after="0"/>
              <w:rPr>
                <w:sz w:val="6"/>
                <w:szCs w:val="6"/>
                <w:color w:val="auto"/>
              </w:rPr>
            </w:pPr>
          </w:p>
        </w:tc>
        <w:tc>
          <w:tcPr>
            <w:tcW w:w="500" w:type="dxa"/>
            <w:vAlign w:val="bottom"/>
            <w:tcBorders>
              <w:bottom w:val="single" w:sz="8" w:color="838383"/>
            </w:tcBorders>
          </w:tcPr>
          <w:p>
            <w:pPr>
              <w:spacing w:after="0"/>
              <w:rPr>
                <w:sz w:val="6"/>
                <w:szCs w:val="6"/>
                <w:color w:val="auto"/>
              </w:rPr>
            </w:pPr>
          </w:p>
        </w:tc>
        <w:tc>
          <w:tcPr>
            <w:tcW w:w="1380" w:type="dxa"/>
            <w:vAlign w:val="bottom"/>
            <w:tcBorders>
              <w:bottom w:val="single" w:sz="8" w:color="838383"/>
            </w:tcBorders>
          </w:tcPr>
          <w:p>
            <w:pPr>
              <w:spacing w:after="0"/>
              <w:rPr>
                <w:sz w:val="6"/>
                <w:szCs w:val="6"/>
                <w:color w:val="auto"/>
              </w:rPr>
            </w:pPr>
          </w:p>
        </w:tc>
      </w:tr>
      <w:tr>
        <w:trPr>
          <w:trHeight w:val="340"/>
        </w:trPr>
        <w:tc>
          <w:tcPr>
            <w:tcW w:w="66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Cash and cash equivalents</w:t>
            </w:r>
          </w:p>
        </w:tc>
        <w:tc>
          <w:tcPr>
            <w:tcW w:w="420" w:type="dxa"/>
            <w:vAlign w:val="bottom"/>
            <w:tcBorders>
              <w:bottom w:val="single" w:sz="8" w:color="838383"/>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262626"/>
                <w:w w:val="88"/>
              </w:rPr>
              <w:t>$</w:t>
            </w: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214,754,638</w:t>
            </w:r>
          </w:p>
        </w:tc>
        <w:tc>
          <w:tcPr>
            <w:tcW w:w="500" w:type="dxa"/>
            <w:vAlign w:val="bottom"/>
            <w:tcBorders>
              <w:bottom w:val="single" w:sz="8" w:color="838383"/>
            </w:tcBorders>
          </w:tcPr>
          <w:p>
            <w:pPr>
              <w:jc w:val="right"/>
              <w:ind w:right="230"/>
              <w:spacing w:after="0"/>
              <w:rPr>
                <w:sz w:val="20"/>
                <w:szCs w:val="20"/>
                <w:color w:val="auto"/>
              </w:rPr>
            </w:pPr>
            <w:r>
              <w:rPr>
                <w:rFonts w:ascii="Times New Roman" w:cs="Times New Roman" w:eastAsia="Times New Roman" w:hAnsi="Times New Roman"/>
                <w:sz w:val="18"/>
                <w:szCs w:val="18"/>
                <w:color w:val="262626"/>
              </w:rPr>
              <w:t>$</w:t>
            </w: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262,311,670</w:t>
            </w:r>
          </w:p>
        </w:tc>
      </w:tr>
      <w:tr>
        <w:trPr>
          <w:trHeight w:val="340"/>
        </w:trPr>
        <w:tc>
          <w:tcPr>
            <w:tcW w:w="6660" w:type="dxa"/>
            <w:vAlign w:val="bottom"/>
            <w:tcBorders>
              <w:bottom w:val="single" w:sz="8" w:color="8F8F8F"/>
            </w:tcBorders>
          </w:tcPr>
          <w:p>
            <w:pPr>
              <w:ind w:left="360"/>
              <w:spacing w:after="0"/>
              <w:rPr>
                <w:sz w:val="20"/>
                <w:szCs w:val="20"/>
                <w:color w:val="auto"/>
              </w:rPr>
            </w:pPr>
            <w:r>
              <w:rPr>
                <w:rFonts w:ascii="Times New Roman" w:cs="Times New Roman" w:eastAsia="Times New Roman" w:hAnsi="Times New Roman"/>
                <w:sz w:val="18"/>
                <w:szCs w:val="18"/>
                <w:color w:val="262626"/>
              </w:rPr>
              <w:t>Restricted cash</w:t>
            </w:r>
          </w:p>
        </w:tc>
        <w:tc>
          <w:tcPr>
            <w:tcW w:w="20" w:type="dxa"/>
            <w:vAlign w:val="bottom"/>
            <w:tcBorders>
              <w:bottom w:val="single" w:sz="8" w:color="8F8F8F"/>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4,000,000</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r>
      <w:tr>
        <w:trPr>
          <w:trHeight w:val="340"/>
        </w:trPr>
        <w:tc>
          <w:tcPr>
            <w:tcW w:w="66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Short-term investments</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23,007,385</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5,423,612</w:t>
            </w:r>
          </w:p>
        </w:tc>
      </w:tr>
      <w:tr>
        <w:trPr>
          <w:trHeight w:val="340"/>
        </w:trPr>
        <w:tc>
          <w:tcPr>
            <w:tcW w:w="66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Accounts receivable, net</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276,493,752</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249,794,906</w:t>
            </w:r>
          </w:p>
        </w:tc>
      </w:tr>
      <w:tr>
        <w:trPr>
          <w:trHeight w:val="340"/>
        </w:trPr>
        <w:tc>
          <w:tcPr>
            <w:tcW w:w="66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Inventories, net</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404,360,270</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316,267,442</w:t>
            </w:r>
          </w:p>
        </w:tc>
      </w:tr>
      <w:tr>
        <w:trPr>
          <w:trHeight w:val="355"/>
        </w:trPr>
        <w:tc>
          <w:tcPr>
            <w:tcW w:w="66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Prepaid expenses and other</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26,036,331</w:t>
            </w:r>
          </w:p>
        </w:tc>
        <w:tc>
          <w:tcPr>
            <w:tcW w:w="50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39,178,119</w:t>
            </w:r>
          </w:p>
        </w:tc>
      </w:tr>
      <w:tr>
        <w:trPr>
          <w:trHeight w:val="325"/>
        </w:trPr>
        <w:tc>
          <w:tcPr>
            <w:tcW w:w="6660" w:type="dxa"/>
            <w:vAlign w:val="bottom"/>
            <w:tcBorders>
              <w:bottom w:val="single" w:sz="8" w:color="838383"/>
            </w:tcBorders>
          </w:tcPr>
          <w:p>
            <w:pPr>
              <w:ind w:left="720"/>
              <w:spacing w:after="0"/>
              <w:rPr>
                <w:sz w:val="20"/>
                <w:szCs w:val="20"/>
                <w:color w:val="auto"/>
              </w:rPr>
            </w:pPr>
            <w:r>
              <w:rPr>
                <w:rFonts w:ascii="Times New Roman" w:cs="Times New Roman" w:eastAsia="Times New Roman" w:hAnsi="Times New Roman"/>
                <w:sz w:val="18"/>
                <w:szCs w:val="18"/>
                <w:color w:val="262626"/>
              </w:rPr>
              <w:t>Total current assets</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948,652,376</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872,975,749</w:t>
            </w:r>
          </w:p>
        </w:tc>
      </w:tr>
      <w:tr>
        <w:trPr>
          <w:trHeight w:val="273"/>
        </w:trPr>
        <w:tc>
          <w:tcPr>
            <w:tcW w:w="6660" w:type="dxa"/>
            <w:vAlign w:val="bottom"/>
          </w:tcPr>
          <w:p>
            <w:pPr>
              <w:spacing w:after="0"/>
              <w:rPr>
                <w:sz w:val="20"/>
                <w:szCs w:val="20"/>
                <w:color w:val="auto"/>
              </w:rPr>
            </w:pPr>
            <w:r>
              <w:rPr>
                <w:rFonts w:ascii="Arial" w:cs="Arial" w:eastAsia="Arial" w:hAnsi="Arial"/>
                <w:sz w:val="17"/>
                <w:szCs w:val="17"/>
                <w:b w:val="1"/>
                <w:bCs w:val="1"/>
                <w:color w:val="838383"/>
              </w:rPr>
              <w:t>PLANT AND EQUIPMENT:</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67"/>
        </w:trPr>
        <w:tc>
          <w:tcPr>
            <w:tcW w:w="6660" w:type="dxa"/>
            <w:vAlign w:val="bottom"/>
            <w:tcBorders>
              <w:bottom w:val="single" w:sz="8" w:color="838383"/>
            </w:tcBorders>
          </w:tcPr>
          <w:p>
            <w:pPr>
              <w:spacing w:after="0"/>
              <w:rPr>
                <w:sz w:val="5"/>
                <w:szCs w:val="5"/>
                <w:color w:val="auto"/>
              </w:rPr>
            </w:pPr>
          </w:p>
        </w:tc>
        <w:tc>
          <w:tcPr>
            <w:tcW w:w="20" w:type="dxa"/>
            <w:vAlign w:val="bottom"/>
            <w:tcBorders>
              <w:bottom w:val="single" w:sz="8" w:color="838383"/>
            </w:tcBorders>
          </w:tcPr>
          <w:p>
            <w:pPr>
              <w:spacing w:after="0"/>
              <w:rPr>
                <w:sz w:val="5"/>
                <w:szCs w:val="5"/>
                <w:color w:val="auto"/>
              </w:rPr>
            </w:pPr>
          </w:p>
        </w:tc>
        <w:tc>
          <w:tcPr>
            <w:tcW w:w="400" w:type="dxa"/>
            <w:vAlign w:val="bottom"/>
            <w:tcBorders>
              <w:bottom w:val="single" w:sz="8" w:color="838383"/>
            </w:tcBorders>
          </w:tcPr>
          <w:p>
            <w:pPr>
              <w:spacing w:after="0"/>
              <w:rPr>
                <w:sz w:val="5"/>
                <w:szCs w:val="5"/>
                <w:color w:val="auto"/>
              </w:rPr>
            </w:pPr>
          </w:p>
        </w:tc>
        <w:tc>
          <w:tcPr>
            <w:tcW w:w="1480" w:type="dxa"/>
            <w:vAlign w:val="bottom"/>
            <w:tcBorders>
              <w:bottom w:val="single" w:sz="8" w:color="838383"/>
            </w:tcBorders>
          </w:tcPr>
          <w:p>
            <w:pPr>
              <w:spacing w:after="0"/>
              <w:rPr>
                <w:sz w:val="5"/>
                <w:szCs w:val="5"/>
                <w:color w:val="auto"/>
              </w:rPr>
            </w:pPr>
          </w:p>
        </w:tc>
        <w:tc>
          <w:tcPr>
            <w:tcW w:w="500" w:type="dxa"/>
            <w:vAlign w:val="bottom"/>
            <w:tcBorders>
              <w:bottom w:val="single" w:sz="8" w:color="838383"/>
            </w:tcBorders>
          </w:tcPr>
          <w:p>
            <w:pPr>
              <w:spacing w:after="0"/>
              <w:rPr>
                <w:sz w:val="5"/>
                <w:szCs w:val="5"/>
                <w:color w:val="auto"/>
              </w:rPr>
            </w:pPr>
          </w:p>
        </w:tc>
        <w:tc>
          <w:tcPr>
            <w:tcW w:w="1380" w:type="dxa"/>
            <w:vAlign w:val="bottom"/>
            <w:tcBorders>
              <w:bottom w:val="single" w:sz="8" w:color="838383"/>
            </w:tcBorders>
          </w:tcPr>
          <w:p>
            <w:pPr>
              <w:spacing w:after="0"/>
              <w:rPr>
                <w:sz w:val="5"/>
                <w:szCs w:val="5"/>
                <w:color w:val="auto"/>
              </w:rPr>
            </w:pPr>
          </w:p>
        </w:tc>
      </w:tr>
      <w:tr>
        <w:trPr>
          <w:trHeight w:val="340"/>
        </w:trPr>
        <w:tc>
          <w:tcPr>
            <w:tcW w:w="66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Land, buildings and improvements</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376,934,354</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363,646,380</w:t>
            </w:r>
          </w:p>
        </w:tc>
      </w:tr>
      <w:tr>
        <w:trPr>
          <w:trHeight w:val="340"/>
        </w:trPr>
        <w:tc>
          <w:tcPr>
            <w:tcW w:w="66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Machinery and equipment</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935,848,288</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883,240,100</w:t>
            </w:r>
          </w:p>
        </w:tc>
      </w:tr>
      <w:tr>
        <w:trPr>
          <w:trHeight w:val="355"/>
        </w:trPr>
        <w:tc>
          <w:tcPr>
            <w:tcW w:w="66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Construction-in-process</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165,574,867</w:t>
            </w:r>
          </w:p>
        </w:tc>
        <w:tc>
          <w:tcPr>
            <w:tcW w:w="50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77,592,152</w:t>
            </w:r>
          </w:p>
        </w:tc>
      </w:tr>
      <w:tr>
        <w:trPr>
          <w:trHeight w:val="325"/>
        </w:trPr>
        <w:tc>
          <w:tcPr>
            <w:tcW w:w="6660" w:type="dxa"/>
            <w:vAlign w:val="bottom"/>
            <w:tcBorders>
              <w:bottom w:val="single" w:sz="8" w:color="838383"/>
            </w:tcBorders>
          </w:tcPr>
          <w:p>
            <w:pPr>
              <w:ind w:left="720"/>
              <w:spacing w:after="0"/>
              <w:rPr>
                <w:sz w:val="20"/>
                <w:szCs w:val="20"/>
                <w:color w:val="auto"/>
              </w:rPr>
            </w:pPr>
            <w:r>
              <w:rPr>
                <w:rFonts w:ascii="Times New Roman" w:cs="Times New Roman" w:eastAsia="Times New Roman" w:hAnsi="Times New Roman"/>
                <w:sz w:val="18"/>
                <w:szCs w:val="18"/>
                <w:color w:val="262626"/>
              </w:rPr>
              <w:t>Total Plant and Equipment</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1,478,357,509</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1,324,478,632</w:t>
            </w:r>
          </w:p>
        </w:tc>
      </w:tr>
      <w:tr>
        <w:trPr>
          <w:trHeight w:val="355"/>
        </w:trPr>
        <w:tc>
          <w:tcPr>
            <w:tcW w:w="66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Less- Accumulated depreciation</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(928,324,473)</w:t>
            </w:r>
          </w:p>
        </w:tc>
        <w:tc>
          <w:tcPr>
            <w:tcW w:w="50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(860,356,956)</w:t>
            </w:r>
          </w:p>
        </w:tc>
      </w:tr>
      <w:tr>
        <w:trPr>
          <w:trHeight w:val="325"/>
        </w:trPr>
        <w:tc>
          <w:tcPr>
            <w:tcW w:w="6660" w:type="dxa"/>
            <w:vAlign w:val="bottom"/>
            <w:tcBorders>
              <w:bottom w:val="single" w:sz="8" w:color="838383"/>
            </w:tcBorders>
          </w:tcPr>
          <w:p>
            <w:pPr>
              <w:ind w:left="720"/>
              <w:spacing w:after="0"/>
              <w:rPr>
                <w:sz w:val="20"/>
                <w:szCs w:val="20"/>
                <w:color w:val="auto"/>
              </w:rPr>
            </w:pPr>
            <w:r>
              <w:rPr>
                <w:rFonts w:ascii="Times New Roman" w:cs="Times New Roman" w:eastAsia="Times New Roman" w:hAnsi="Times New Roman"/>
                <w:sz w:val="18"/>
                <w:szCs w:val="18"/>
                <w:color w:val="262626"/>
              </w:rPr>
              <w:t>Net Plant and Equipment</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550,033,036</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464,121,676</w:t>
            </w:r>
          </w:p>
        </w:tc>
      </w:tr>
      <w:tr>
        <w:trPr>
          <w:trHeight w:val="273"/>
        </w:trPr>
        <w:tc>
          <w:tcPr>
            <w:tcW w:w="6660" w:type="dxa"/>
            <w:vAlign w:val="bottom"/>
          </w:tcPr>
          <w:p>
            <w:pPr>
              <w:spacing w:after="0"/>
              <w:rPr>
                <w:sz w:val="20"/>
                <w:szCs w:val="20"/>
                <w:color w:val="auto"/>
              </w:rPr>
            </w:pPr>
            <w:r>
              <w:rPr>
                <w:rFonts w:ascii="Arial" w:cs="Arial" w:eastAsia="Arial" w:hAnsi="Arial"/>
                <w:sz w:val="17"/>
                <w:szCs w:val="17"/>
                <w:b w:val="1"/>
                <w:bCs w:val="1"/>
                <w:color w:val="838383"/>
              </w:rPr>
              <w:t>OTHER ASSETS:</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67"/>
        </w:trPr>
        <w:tc>
          <w:tcPr>
            <w:tcW w:w="6660" w:type="dxa"/>
            <w:vAlign w:val="bottom"/>
            <w:tcBorders>
              <w:bottom w:val="single" w:sz="8" w:color="838383"/>
            </w:tcBorders>
          </w:tcPr>
          <w:p>
            <w:pPr>
              <w:spacing w:after="0"/>
              <w:rPr>
                <w:sz w:val="5"/>
                <w:szCs w:val="5"/>
                <w:color w:val="auto"/>
              </w:rPr>
            </w:pPr>
          </w:p>
        </w:tc>
        <w:tc>
          <w:tcPr>
            <w:tcW w:w="20" w:type="dxa"/>
            <w:vAlign w:val="bottom"/>
            <w:tcBorders>
              <w:bottom w:val="single" w:sz="8" w:color="838383"/>
            </w:tcBorders>
          </w:tcPr>
          <w:p>
            <w:pPr>
              <w:spacing w:after="0"/>
              <w:rPr>
                <w:sz w:val="5"/>
                <w:szCs w:val="5"/>
                <w:color w:val="auto"/>
              </w:rPr>
            </w:pPr>
          </w:p>
        </w:tc>
        <w:tc>
          <w:tcPr>
            <w:tcW w:w="400" w:type="dxa"/>
            <w:vAlign w:val="bottom"/>
            <w:tcBorders>
              <w:bottom w:val="single" w:sz="8" w:color="838383"/>
            </w:tcBorders>
          </w:tcPr>
          <w:p>
            <w:pPr>
              <w:spacing w:after="0"/>
              <w:rPr>
                <w:sz w:val="5"/>
                <w:szCs w:val="5"/>
                <w:color w:val="auto"/>
              </w:rPr>
            </w:pPr>
          </w:p>
        </w:tc>
        <w:tc>
          <w:tcPr>
            <w:tcW w:w="1480" w:type="dxa"/>
            <w:vAlign w:val="bottom"/>
            <w:tcBorders>
              <w:bottom w:val="single" w:sz="8" w:color="838383"/>
            </w:tcBorders>
          </w:tcPr>
          <w:p>
            <w:pPr>
              <w:spacing w:after="0"/>
              <w:rPr>
                <w:sz w:val="5"/>
                <w:szCs w:val="5"/>
                <w:color w:val="auto"/>
              </w:rPr>
            </w:pPr>
          </w:p>
        </w:tc>
        <w:tc>
          <w:tcPr>
            <w:tcW w:w="500" w:type="dxa"/>
            <w:vAlign w:val="bottom"/>
            <w:tcBorders>
              <w:bottom w:val="single" w:sz="8" w:color="838383"/>
            </w:tcBorders>
          </w:tcPr>
          <w:p>
            <w:pPr>
              <w:spacing w:after="0"/>
              <w:rPr>
                <w:sz w:val="5"/>
                <w:szCs w:val="5"/>
                <w:color w:val="auto"/>
              </w:rPr>
            </w:pPr>
          </w:p>
        </w:tc>
        <w:tc>
          <w:tcPr>
            <w:tcW w:w="1380" w:type="dxa"/>
            <w:vAlign w:val="bottom"/>
            <w:tcBorders>
              <w:bottom w:val="single" w:sz="8" w:color="838383"/>
            </w:tcBorders>
          </w:tcPr>
          <w:p>
            <w:pPr>
              <w:spacing w:after="0"/>
              <w:rPr>
                <w:sz w:val="5"/>
                <w:szCs w:val="5"/>
                <w:color w:val="auto"/>
              </w:rPr>
            </w:pPr>
          </w:p>
        </w:tc>
      </w:tr>
      <w:tr>
        <w:trPr>
          <w:trHeight w:val="340"/>
        </w:trPr>
        <w:tc>
          <w:tcPr>
            <w:tcW w:w="66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Goodwill</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313,807,494</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313,960,209</w:t>
            </w:r>
          </w:p>
        </w:tc>
      </w:tr>
      <w:tr>
        <w:trPr>
          <w:trHeight w:val="340"/>
        </w:trPr>
        <w:tc>
          <w:tcPr>
            <w:tcW w:w="66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Long-term investments</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153,906,005</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207,693,147</w:t>
            </w:r>
          </w:p>
        </w:tc>
      </w:tr>
      <w:tr>
        <w:trPr>
          <w:trHeight w:val="340"/>
        </w:trPr>
        <w:tc>
          <w:tcPr>
            <w:tcW w:w="66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Equity method investments</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48,425,978</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r>
      <w:tr>
        <w:trPr>
          <w:trHeight w:val="340"/>
        </w:trPr>
        <w:tc>
          <w:tcPr>
            <w:tcW w:w="66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Intangible assets, net</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219,360,910</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239,189,627</w:t>
            </w:r>
          </w:p>
        </w:tc>
      </w:tr>
      <w:tr>
        <w:trPr>
          <w:trHeight w:val="340"/>
        </w:trPr>
        <w:tc>
          <w:tcPr>
            <w:tcW w:w="66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Deferred tax asset</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25,528,700</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4,795,678</w:t>
            </w:r>
          </w:p>
        </w:tc>
      </w:tr>
      <w:tr>
        <w:trPr>
          <w:trHeight w:val="355"/>
        </w:trPr>
        <w:tc>
          <w:tcPr>
            <w:tcW w:w="66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Patents and other assets, net</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67,515,425</w:t>
            </w:r>
          </w:p>
        </w:tc>
        <w:tc>
          <w:tcPr>
            <w:tcW w:w="50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28,655,080</w:t>
            </w:r>
          </w:p>
        </w:tc>
      </w:tr>
      <w:tr>
        <w:trPr>
          <w:trHeight w:val="320"/>
        </w:trPr>
        <w:tc>
          <w:tcPr>
            <w:tcW w:w="6660" w:type="dxa"/>
            <w:vAlign w:val="bottom"/>
            <w:tcBorders>
              <w:bottom w:val="single" w:sz="8" w:color="838383"/>
            </w:tcBorders>
          </w:tcPr>
          <w:p>
            <w:pPr>
              <w:ind w:left="720"/>
              <w:spacing w:after="0"/>
              <w:rPr>
                <w:sz w:val="20"/>
                <w:szCs w:val="20"/>
                <w:color w:val="auto"/>
              </w:rPr>
            </w:pPr>
            <w:r>
              <w:rPr>
                <w:rFonts w:ascii="Times New Roman" w:cs="Times New Roman" w:eastAsia="Times New Roman" w:hAnsi="Times New Roman"/>
                <w:sz w:val="18"/>
                <w:szCs w:val="18"/>
                <w:color w:val="262626"/>
              </w:rPr>
              <w:t>Total Other Assets</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828,544,512</w:t>
            </w:r>
          </w:p>
        </w:tc>
        <w:tc>
          <w:tcPr>
            <w:tcW w:w="50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794,293,741</w:t>
            </w:r>
          </w:p>
        </w:tc>
      </w:tr>
      <w:tr>
        <w:trPr>
          <w:trHeight w:val="330"/>
        </w:trPr>
        <w:tc>
          <w:tcPr>
            <w:tcW w:w="6660" w:type="dxa"/>
            <w:vAlign w:val="bottom"/>
          </w:tcPr>
          <w:p>
            <w:pPr>
              <w:spacing w:after="0"/>
              <w:rPr>
                <w:sz w:val="20"/>
                <w:szCs w:val="20"/>
                <w:color w:val="auto"/>
              </w:rPr>
            </w:pPr>
            <w:r>
              <w:rPr>
                <w:rFonts w:ascii="Arial" w:cs="Arial" w:eastAsia="Arial" w:hAnsi="Arial"/>
                <w:sz w:val="17"/>
                <w:szCs w:val="17"/>
                <w:b w:val="1"/>
                <w:bCs w:val="1"/>
                <w:color w:val="838383"/>
              </w:rPr>
              <w:t>TOTAL ASSETS</w:t>
            </w:r>
          </w:p>
        </w:tc>
        <w:tc>
          <w:tcPr>
            <w:tcW w:w="420" w:type="dxa"/>
            <w:vAlign w:val="bottom"/>
            <w:tcBorders>
              <w:bottom w:val="single" w:sz="8" w:color="8F8F8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262626"/>
                <w:w w:val="88"/>
              </w:rPr>
              <w:t>$</w:t>
            </w: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2,327,229,924</w:t>
            </w:r>
          </w:p>
        </w:tc>
        <w:tc>
          <w:tcPr>
            <w:tcW w:w="500" w:type="dxa"/>
            <w:vAlign w:val="bottom"/>
            <w:tcBorders>
              <w:bottom w:val="single" w:sz="8" w:color="8F8F8F"/>
            </w:tcBorders>
          </w:tcPr>
          <w:p>
            <w:pPr>
              <w:jc w:val="right"/>
              <w:ind w:right="230"/>
              <w:spacing w:after="0"/>
              <w:rPr>
                <w:sz w:val="20"/>
                <w:szCs w:val="20"/>
                <w:color w:val="auto"/>
              </w:rPr>
            </w:pPr>
            <w:r>
              <w:rPr>
                <w:rFonts w:ascii="Times New Roman" w:cs="Times New Roman" w:eastAsia="Times New Roman" w:hAnsi="Times New Roman"/>
                <w:sz w:val="18"/>
                <w:szCs w:val="18"/>
                <w:color w:val="262626"/>
              </w:rPr>
              <w:t>$</w:t>
            </w: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2,131,391,166</w:t>
            </w: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8F8F8F"/>
            </w:tcBorders>
          </w:tcPr>
          <w:p>
            <w:pPr>
              <w:spacing w:after="0" w:line="20" w:lineRule="exact"/>
              <w:rPr>
                <w:sz w:val="1"/>
                <w:szCs w:val="1"/>
                <w:color w:val="auto"/>
              </w:rPr>
            </w:pPr>
          </w:p>
        </w:tc>
        <w:tc>
          <w:tcPr>
            <w:tcW w:w="1480" w:type="dxa"/>
            <w:vAlign w:val="bottom"/>
            <w:tcBorders>
              <w:bottom w:val="single" w:sz="8" w:color="8F8F8F"/>
            </w:tcBorders>
          </w:tcPr>
          <w:p>
            <w:pPr>
              <w:spacing w:after="0" w:line="20" w:lineRule="exact"/>
              <w:rPr>
                <w:sz w:val="1"/>
                <w:szCs w:val="1"/>
                <w:color w:val="auto"/>
              </w:rPr>
            </w:pPr>
          </w:p>
        </w:tc>
        <w:tc>
          <w:tcPr>
            <w:tcW w:w="500" w:type="dxa"/>
            <w:vAlign w:val="bottom"/>
            <w:tcBorders>
              <w:bottom w:val="single" w:sz="8" w:color="8F8F8F"/>
            </w:tcBorders>
          </w:tcPr>
          <w:p>
            <w:pPr>
              <w:spacing w:after="0" w:line="20" w:lineRule="exact"/>
              <w:rPr>
                <w:sz w:val="1"/>
                <w:szCs w:val="1"/>
                <w:color w:val="auto"/>
              </w:rPr>
            </w:pPr>
          </w:p>
        </w:tc>
        <w:tc>
          <w:tcPr>
            <w:tcW w:w="1380" w:type="dxa"/>
            <w:vAlign w:val="bottom"/>
            <w:tcBorders>
              <w:bottom w:val="single" w:sz="8" w:color="8F8F8F"/>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230" w:space="428"/>
            <w:col w:w="10440"/>
          </w:cols>
          <w:pgMar w:left="242" w:top="84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38"/>
        <w:spacing w:after="0"/>
        <w:tabs>
          <w:tab w:leader="none" w:pos="737" w:val="left"/>
        </w:tabs>
        <w:rPr>
          <w:sz w:val="20"/>
          <w:szCs w:val="20"/>
          <w:color w:val="auto"/>
        </w:rPr>
      </w:pPr>
      <w:r>
        <w:rPr>
          <w:rFonts w:ascii="Arial" w:cs="Arial" w:eastAsia="Arial" w:hAnsi="Arial"/>
          <w:sz w:val="24"/>
          <w:szCs w:val="24"/>
          <w:b w:val="1"/>
          <w:bCs w:val="1"/>
          <w:color w:val="262626"/>
        </w:rPr>
        <w:t>58</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1098"/>
          </w:cols>
          <w:pgMar w:left="242" w:top="846" w:right="900" w:bottom="0" w:gutter="0" w:footer="0" w:header="0"/>
          <w:type w:val="continuous"/>
        </w:sectPr>
      </w:pPr>
    </w:p>
    <w:bookmarkStart w:id="58" w:name="page59"/>
    <w:bookmarkEnd w:id="58"/>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6660" w:type="dxa"/>
            <w:vAlign w:val="bottom"/>
          </w:tcPr>
          <w:p>
            <w:pPr>
              <w:spacing w:after="0"/>
              <w:rPr>
                <w:sz w:val="20"/>
                <w:szCs w:val="20"/>
                <w:color w:val="auto"/>
              </w:rPr>
            </w:pPr>
            <w:r>
              <w:rPr>
                <w:rFonts w:ascii="Arial" w:cs="Arial" w:eastAsia="Arial" w:hAnsi="Arial"/>
                <w:sz w:val="17"/>
                <w:szCs w:val="17"/>
                <w:b w:val="1"/>
                <w:bCs w:val="1"/>
                <w:color w:val="8F8F8F"/>
              </w:rPr>
              <w:t>LIABILITIES AND SHAREHOLDERS’ INVESTMENT</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2022</w:t>
            </w:r>
          </w:p>
        </w:tc>
        <w:tc>
          <w:tcPr>
            <w:tcW w:w="5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262626"/>
              </w:rPr>
              <w:t>2021</w:t>
            </w:r>
          </w:p>
        </w:tc>
        <w:tc>
          <w:tcPr>
            <w:tcW w:w="0" w:type="dxa"/>
            <w:vAlign w:val="bottom"/>
          </w:tcPr>
          <w:p>
            <w:pPr>
              <w:spacing w:after="0"/>
              <w:rPr>
                <w:sz w:val="1"/>
                <w:szCs w:val="1"/>
                <w:color w:val="auto"/>
              </w:rPr>
            </w:pPr>
          </w:p>
        </w:tc>
      </w:tr>
      <w:tr>
        <w:trPr>
          <w:trHeight w:val="276"/>
        </w:trPr>
        <w:tc>
          <w:tcPr>
            <w:tcW w:w="6660" w:type="dxa"/>
            <w:vAlign w:val="bottom"/>
          </w:tcPr>
          <w:p>
            <w:pPr>
              <w:spacing w:after="0"/>
              <w:rPr>
                <w:sz w:val="20"/>
                <w:szCs w:val="20"/>
                <w:color w:val="auto"/>
              </w:rPr>
            </w:pPr>
            <w:r>
              <w:rPr>
                <w:rFonts w:ascii="Arial" w:cs="Arial" w:eastAsia="Arial" w:hAnsi="Arial"/>
                <w:sz w:val="17"/>
                <w:szCs w:val="17"/>
                <w:b w:val="1"/>
                <w:bCs w:val="1"/>
                <w:color w:val="838383"/>
              </w:rPr>
              <w:t>CURRENT LIABILITIES:</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6660" w:type="dxa"/>
            <w:vAlign w:val="bottom"/>
            <w:tcBorders>
              <w:bottom w:val="single" w:sz="8" w:color="838383"/>
            </w:tcBorders>
          </w:tcPr>
          <w:p>
            <w:pPr>
              <w:spacing w:after="0"/>
              <w:rPr>
                <w:sz w:val="6"/>
                <w:szCs w:val="6"/>
                <w:color w:val="auto"/>
              </w:rPr>
            </w:pPr>
          </w:p>
        </w:tc>
        <w:tc>
          <w:tcPr>
            <w:tcW w:w="20" w:type="dxa"/>
            <w:vAlign w:val="bottom"/>
            <w:tcBorders>
              <w:bottom w:val="single" w:sz="8" w:color="838383"/>
            </w:tcBorders>
          </w:tcPr>
          <w:p>
            <w:pPr>
              <w:spacing w:after="0"/>
              <w:rPr>
                <w:sz w:val="6"/>
                <w:szCs w:val="6"/>
                <w:color w:val="auto"/>
              </w:rPr>
            </w:pPr>
          </w:p>
        </w:tc>
        <w:tc>
          <w:tcPr>
            <w:tcW w:w="400" w:type="dxa"/>
            <w:vAlign w:val="bottom"/>
            <w:tcBorders>
              <w:bottom w:val="single" w:sz="8" w:color="838383"/>
            </w:tcBorders>
          </w:tcPr>
          <w:p>
            <w:pPr>
              <w:spacing w:after="0"/>
              <w:rPr>
                <w:sz w:val="6"/>
                <w:szCs w:val="6"/>
                <w:color w:val="auto"/>
              </w:rPr>
            </w:pPr>
          </w:p>
        </w:tc>
        <w:tc>
          <w:tcPr>
            <w:tcW w:w="1480" w:type="dxa"/>
            <w:vAlign w:val="bottom"/>
            <w:tcBorders>
              <w:bottom w:val="single" w:sz="8" w:color="838383"/>
            </w:tcBorders>
          </w:tcPr>
          <w:p>
            <w:pPr>
              <w:spacing w:after="0"/>
              <w:rPr>
                <w:sz w:val="6"/>
                <w:szCs w:val="6"/>
                <w:color w:val="auto"/>
              </w:rPr>
            </w:pPr>
          </w:p>
        </w:tc>
        <w:tc>
          <w:tcPr>
            <w:tcW w:w="500" w:type="dxa"/>
            <w:vAlign w:val="bottom"/>
            <w:tcBorders>
              <w:bottom w:val="single" w:sz="8" w:color="838383"/>
            </w:tcBorders>
          </w:tcPr>
          <w:p>
            <w:pPr>
              <w:spacing w:after="0"/>
              <w:rPr>
                <w:sz w:val="6"/>
                <w:szCs w:val="6"/>
                <w:color w:val="auto"/>
              </w:rPr>
            </w:pPr>
          </w:p>
        </w:tc>
        <w:tc>
          <w:tcPr>
            <w:tcW w:w="1380" w:type="dxa"/>
            <w:vAlign w:val="bottom"/>
            <w:tcBorders>
              <w:bottom w:val="single" w:sz="8" w:color="838383"/>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66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Accounts payable</w:t>
            </w:r>
          </w:p>
        </w:tc>
        <w:tc>
          <w:tcPr>
            <w:tcW w:w="420" w:type="dxa"/>
            <w:vAlign w:val="bottom"/>
            <w:tcBorders>
              <w:bottom w:val="single" w:sz="8" w:color="838383"/>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262626"/>
                <w:w w:val="88"/>
              </w:rPr>
              <w:t>$</w:t>
            </w: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151,740,046</w:t>
            </w:r>
          </w:p>
        </w:tc>
        <w:tc>
          <w:tcPr>
            <w:tcW w:w="500" w:type="dxa"/>
            <w:vAlign w:val="bottom"/>
            <w:tcBorders>
              <w:bottom w:val="single" w:sz="8" w:color="838383"/>
            </w:tcBorders>
          </w:tcPr>
          <w:p>
            <w:pPr>
              <w:jc w:val="right"/>
              <w:ind w:right="230"/>
              <w:spacing w:after="0"/>
              <w:rPr>
                <w:sz w:val="20"/>
                <w:szCs w:val="20"/>
                <w:color w:val="auto"/>
              </w:rPr>
            </w:pPr>
            <w:r>
              <w:rPr>
                <w:rFonts w:ascii="Times New Roman" w:cs="Times New Roman" w:eastAsia="Times New Roman" w:hAnsi="Times New Roman"/>
                <w:sz w:val="18"/>
                <w:szCs w:val="18"/>
                <w:color w:val="262626"/>
              </w:rPr>
              <w:t>$</w:t>
            </w: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98,342,928</w:t>
            </w:r>
          </w:p>
        </w:tc>
        <w:tc>
          <w:tcPr>
            <w:tcW w:w="0" w:type="dxa"/>
            <w:vAlign w:val="bottom"/>
          </w:tcPr>
          <w:p>
            <w:pPr>
              <w:spacing w:after="0"/>
              <w:rPr>
                <w:sz w:val="1"/>
                <w:szCs w:val="1"/>
                <w:color w:val="auto"/>
              </w:rPr>
            </w:pPr>
          </w:p>
        </w:tc>
      </w:tr>
      <w:tr>
        <w:trPr>
          <w:trHeight w:val="340"/>
        </w:trPr>
        <w:tc>
          <w:tcPr>
            <w:tcW w:w="66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Accrued liabilities:</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spacing w:after="0"/>
              <w:rPr>
                <w:sz w:val="24"/>
                <w:szCs w:val="24"/>
                <w:color w:val="auto"/>
              </w:rPr>
            </w:pP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660" w:type="dxa"/>
            <w:vAlign w:val="bottom"/>
            <w:tcBorders>
              <w:bottom w:val="single" w:sz="8" w:color="838383"/>
            </w:tcBorders>
          </w:tcPr>
          <w:p>
            <w:pPr>
              <w:ind w:left="720"/>
              <w:spacing w:after="0"/>
              <w:rPr>
                <w:sz w:val="20"/>
                <w:szCs w:val="20"/>
                <w:color w:val="auto"/>
              </w:rPr>
            </w:pPr>
            <w:r>
              <w:rPr>
                <w:rFonts w:ascii="Times New Roman" w:cs="Times New Roman" w:eastAsia="Times New Roman" w:hAnsi="Times New Roman"/>
                <w:sz w:val="18"/>
                <w:szCs w:val="18"/>
                <w:color w:val="262626"/>
              </w:rPr>
              <w:t>Salaries, wages and vacation</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17,517,580</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14,019,643</w:t>
            </w:r>
          </w:p>
        </w:tc>
        <w:tc>
          <w:tcPr>
            <w:tcW w:w="0" w:type="dxa"/>
            <w:vAlign w:val="bottom"/>
          </w:tcPr>
          <w:p>
            <w:pPr>
              <w:spacing w:after="0"/>
              <w:rPr>
                <w:sz w:val="1"/>
                <w:szCs w:val="1"/>
                <w:color w:val="auto"/>
              </w:rPr>
            </w:pPr>
          </w:p>
        </w:tc>
      </w:tr>
      <w:tr>
        <w:trPr>
          <w:trHeight w:val="340"/>
        </w:trPr>
        <w:tc>
          <w:tcPr>
            <w:tcW w:w="6660" w:type="dxa"/>
            <w:vAlign w:val="bottom"/>
            <w:tcBorders>
              <w:bottom w:val="single" w:sz="8" w:color="838383"/>
            </w:tcBorders>
          </w:tcPr>
          <w:p>
            <w:pPr>
              <w:ind w:left="720"/>
              <w:spacing w:after="0"/>
              <w:rPr>
                <w:sz w:val="20"/>
                <w:szCs w:val="20"/>
                <w:color w:val="auto"/>
              </w:rPr>
            </w:pPr>
            <w:r>
              <w:rPr>
                <w:rFonts w:ascii="Times New Roman" w:cs="Times New Roman" w:eastAsia="Times New Roman" w:hAnsi="Times New Roman"/>
                <w:sz w:val="18"/>
                <w:szCs w:val="18"/>
                <w:color w:val="262626"/>
              </w:rPr>
              <w:t>Income taxes</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18,726,857</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196,863</w:t>
            </w:r>
          </w:p>
        </w:tc>
        <w:tc>
          <w:tcPr>
            <w:tcW w:w="0" w:type="dxa"/>
            <w:vAlign w:val="bottom"/>
          </w:tcPr>
          <w:p>
            <w:pPr>
              <w:spacing w:after="0"/>
              <w:rPr>
                <w:sz w:val="1"/>
                <w:szCs w:val="1"/>
                <w:color w:val="auto"/>
              </w:rPr>
            </w:pPr>
          </w:p>
        </w:tc>
      </w:tr>
      <w:tr>
        <w:trPr>
          <w:trHeight w:val="340"/>
        </w:trPr>
        <w:tc>
          <w:tcPr>
            <w:tcW w:w="6660" w:type="dxa"/>
            <w:vAlign w:val="bottom"/>
            <w:tcBorders>
              <w:bottom w:val="single" w:sz="8" w:color="838383"/>
            </w:tcBorders>
          </w:tcPr>
          <w:p>
            <w:pPr>
              <w:ind w:left="720"/>
              <w:spacing w:after="0"/>
              <w:rPr>
                <w:sz w:val="20"/>
                <w:szCs w:val="20"/>
                <w:color w:val="auto"/>
              </w:rPr>
            </w:pPr>
            <w:r>
              <w:rPr>
                <w:rFonts w:ascii="Times New Roman" w:cs="Times New Roman" w:eastAsia="Times New Roman" w:hAnsi="Times New Roman"/>
                <w:sz w:val="18"/>
                <w:szCs w:val="18"/>
                <w:color w:val="262626"/>
              </w:rPr>
              <w:t>Royalties</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19,208,411</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19,140,907</w:t>
            </w:r>
          </w:p>
        </w:tc>
        <w:tc>
          <w:tcPr>
            <w:tcW w:w="0" w:type="dxa"/>
            <w:vAlign w:val="bottom"/>
          </w:tcPr>
          <w:p>
            <w:pPr>
              <w:spacing w:after="0"/>
              <w:rPr>
                <w:sz w:val="1"/>
                <w:szCs w:val="1"/>
                <w:color w:val="auto"/>
              </w:rPr>
            </w:pPr>
          </w:p>
        </w:tc>
      </w:tr>
      <w:tr>
        <w:trPr>
          <w:trHeight w:val="340"/>
        </w:trPr>
        <w:tc>
          <w:tcPr>
            <w:tcW w:w="6660" w:type="dxa"/>
            <w:vAlign w:val="bottom"/>
            <w:tcBorders>
              <w:bottom w:val="single" w:sz="8" w:color="838383"/>
            </w:tcBorders>
          </w:tcPr>
          <w:p>
            <w:pPr>
              <w:ind w:left="720"/>
              <w:spacing w:after="0"/>
              <w:rPr>
                <w:sz w:val="20"/>
                <w:szCs w:val="20"/>
                <w:color w:val="auto"/>
              </w:rPr>
            </w:pPr>
            <w:r>
              <w:rPr>
                <w:rFonts w:ascii="Times New Roman" w:cs="Times New Roman" w:eastAsia="Times New Roman" w:hAnsi="Times New Roman"/>
                <w:sz w:val="18"/>
                <w:szCs w:val="18"/>
                <w:color w:val="262626"/>
              </w:rPr>
              <w:t>Dividends payable</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28,100,320</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28,372,901</w:t>
            </w:r>
          </w:p>
        </w:tc>
        <w:tc>
          <w:tcPr>
            <w:tcW w:w="0" w:type="dxa"/>
            <w:vAlign w:val="bottom"/>
          </w:tcPr>
          <w:p>
            <w:pPr>
              <w:spacing w:after="0"/>
              <w:rPr>
                <w:sz w:val="1"/>
                <w:szCs w:val="1"/>
                <w:color w:val="auto"/>
              </w:rPr>
            </w:pPr>
          </w:p>
        </w:tc>
      </w:tr>
      <w:tr>
        <w:trPr>
          <w:trHeight w:val="355"/>
        </w:trPr>
        <w:tc>
          <w:tcPr>
            <w:tcW w:w="6660" w:type="dxa"/>
            <w:vAlign w:val="bottom"/>
            <w:tcBorders>
              <w:bottom w:val="single" w:sz="8" w:color="838383"/>
            </w:tcBorders>
          </w:tcPr>
          <w:p>
            <w:pPr>
              <w:ind w:left="720"/>
              <w:spacing w:after="0"/>
              <w:rPr>
                <w:sz w:val="20"/>
                <w:szCs w:val="20"/>
                <w:color w:val="auto"/>
              </w:rPr>
            </w:pPr>
            <w:r>
              <w:rPr>
                <w:rFonts w:ascii="Times New Roman" w:cs="Times New Roman" w:eastAsia="Times New Roman" w:hAnsi="Times New Roman"/>
                <w:sz w:val="18"/>
                <w:szCs w:val="18"/>
                <w:color w:val="262626"/>
              </w:rPr>
              <w:t>Other</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15,259,538</w:t>
            </w:r>
          </w:p>
        </w:tc>
        <w:tc>
          <w:tcPr>
            <w:tcW w:w="50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21,582,858</w:t>
            </w:r>
          </w:p>
        </w:tc>
        <w:tc>
          <w:tcPr>
            <w:tcW w:w="0" w:type="dxa"/>
            <w:vAlign w:val="bottom"/>
          </w:tcPr>
          <w:p>
            <w:pPr>
              <w:spacing w:after="0"/>
              <w:rPr>
                <w:sz w:val="1"/>
                <w:szCs w:val="1"/>
                <w:color w:val="auto"/>
              </w:rPr>
            </w:pPr>
          </w:p>
        </w:tc>
      </w:tr>
      <w:tr>
        <w:trPr>
          <w:trHeight w:val="325"/>
        </w:trPr>
        <w:tc>
          <w:tcPr>
            <w:tcW w:w="6660" w:type="dxa"/>
            <w:vAlign w:val="bottom"/>
            <w:tcBorders>
              <w:bottom w:val="single" w:sz="8" w:color="838383"/>
            </w:tcBorders>
          </w:tcPr>
          <w:p>
            <w:pPr>
              <w:ind w:left="1080"/>
              <w:spacing w:after="0"/>
              <w:rPr>
                <w:sz w:val="20"/>
                <w:szCs w:val="20"/>
                <w:color w:val="auto"/>
              </w:rPr>
            </w:pPr>
            <w:r>
              <w:rPr>
                <w:rFonts w:ascii="Times New Roman" w:cs="Times New Roman" w:eastAsia="Times New Roman" w:hAnsi="Times New Roman"/>
                <w:sz w:val="18"/>
                <w:szCs w:val="18"/>
                <w:color w:val="262626"/>
              </w:rPr>
              <w:t>Total current liabilities</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250,552,752</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181,656,100</w:t>
            </w:r>
          </w:p>
        </w:tc>
        <w:tc>
          <w:tcPr>
            <w:tcW w:w="0" w:type="dxa"/>
            <w:vAlign w:val="bottom"/>
          </w:tcPr>
          <w:p>
            <w:pPr>
              <w:spacing w:after="0"/>
              <w:rPr>
                <w:sz w:val="1"/>
                <w:szCs w:val="1"/>
                <w:color w:val="auto"/>
              </w:rPr>
            </w:pPr>
          </w:p>
        </w:tc>
      </w:tr>
      <w:tr>
        <w:trPr>
          <w:trHeight w:val="340"/>
        </w:trPr>
        <w:tc>
          <w:tcPr>
            <w:tcW w:w="6660" w:type="dxa"/>
            <w:vAlign w:val="bottom"/>
            <w:tcBorders>
              <w:bottom w:val="single" w:sz="8" w:color="838383"/>
            </w:tcBorders>
          </w:tcPr>
          <w:p>
            <w:pPr>
              <w:spacing w:after="0"/>
              <w:rPr>
                <w:sz w:val="20"/>
                <w:szCs w:val="20"/>
                <w:color w:val="auto"/>
              </w:rPr>
            </w:pPr>
            <w:r>
              <w:rPr>
                <w:rFonts w:ascii="Arial" w:cs="Arial" w:eastAsia="Arial" w:hAnsi="Arial"/>
                <w:sz w:val="17"/>
                <w:szCs w:val="17"/>
                <w:b w:val="1"/>
                <w:bCs w:val="1"/>
                <w:color w:val="838383"/>
              </w:rPr>
              <w:t>OTHER NON-CURRENT LIABILITIES</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10,884,351</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11,746,599</w:t>
            </w:r>
          </w:p>
        </w:tc>
        <w:tc>
          <w:tcPr>
            <w:tcW w:w="0" w:type="dxa"/>
            <w:vAlign w:val="bottom"/>
          </w:tcPr>
          <w:p>
            <w:pPr>
              <w:spacing w:after="0"/>
              <w:rPr>
                <w:sz w:val="1"/>
                <w:szCs w:val="1"/>
                <w:color w:val="auto"/>
              </w:rPr>
            </w:pPr>
          </w:p>
        </w:tc>
      </w:tr>
      <w:tr>
        <w:trPr>
          <w:trHeight w:val="355"/>
        </w:trPr>
        <w:tc>
          <w:tcPr>
            <w:tcW w:w="6660" w:type="dxa"/>
            <w:vAlign w:val="bottom"/>
            <w:tcBorders>
              <w:bottom w:val="single" w:sz="8" w:color="838383"/>
            </w:tcBorders>
          </w:tcPr>
          <w:p>
            <w:pPr>
              <w:spacing w:after="0"/>
              <w:rPr>
                <w:sz w:val="20"/>
                <w:szCs w:val="20"/>
                <w:color w:val="auto"/>
              </w:rPr>
            </w:pPr>
            <w:r>
              <w:rPr>
                <w:rFonts w:ascii="Arial" w:cs="Arial" w:eastAsia="Arial" w:hAnsi="Arial"/>
                <w:sz w:val="17"/>
                <w:szCs w:val="17"/>
                <w:b w:val="1"/>
                <w:bCs w:val="1"/>
                <w:color w:val="838383"/>
              </w:rPr>
              <w:t>DEFERRED INCOME TAXES</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50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25"/>
        </w:trPr>
        <w:tc>
          <w:tcPr>
            <w:tcW w:w="6660" w:type="dxa"/>
            <w:vAlign w:val="bottom"/>
            <w:tcBorders>
              <w:bottom w:val="single" w:sz="8" w:color="838383"/>
            </w:tcBorders>
          </w:tcPr>
          <w:p>
            <w:pPr>
              <w:spacing w:after="0"/>
              <w:rPr>
                <w:sz w:val="20"/>
                <w:szCs w:val="20"/>
                <w:color w:val="auto"/>
              </w:rPr>
            </w:pPr>
            <w:r>
              <w:rPr>
                <w:rFonts w:ascii="Arial" w:cs="Arial" w:eastAsia="Arial" w:hAnsi="Arial"/>
                <w:sz w:val="17"/>
                <w:szCs w:val="17"/>
                <w:b w:val="1"/>
                <w:bCs w:val="1"/>
                <w:color w:val="838383"/>
              </w:rPr>
              <w:t>TOTAL LIABILITIES</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261,437,103</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193,402,699</w:t>
            </w:r>
          </w:p>
        </w:tc>
        <w:tc>
          <w:tcPr>
            <w:tcW w:w="0" w:type="dxa"/>
            <w:vAlign w:val="bottom"/>
          </w:tcPr>
          <w:p>
            <w:pPr>
              <w:spacing w:after="0"/>
              <w:rPr>
                <w:sz w:val="1"/>
                <w:szCs w:val="1"/>
                <w:color w:val="auto"/>
              </w:rPr>
            </w:pPr>
          </w:p>
        </w:tc>
      </w:tr>
      <w:tr>
        <w:trPr>
          <w:trHeight w:val="348"/>
        </w:trPr>
        <w:tc>
          <w:tcPr>
            <w:tcW w:w="6660" w:type="dxa"/>
            <w:vAlign w:val="bottom"/>
          </w:tcPr>
          <w:p>
            <w:pPr>
              <w:spacing w:after="0"/>
              <w:rPr>
                <w:sz w:val="20"/>
                <w:szCs w:val="20"/>
                <w:color w:val="auto"/>
              </w:rPr>
            </w:pPr>
            <w:r>
              <w:rPr>
                <w:rFonts w:ascii="Arial" w:cs="Arial" w:eastAsia="Arial" w:hAnsi="Arial"/>
                <w:sz w:val="17"/>
                <w:szCs w:val="17"/>
                <w:b w:val="1"/>
                <w:bCs w:val="1"/>
                <w:color w:val="8F8F8F"/>
              </w:rPr>
              <w:t>SHAREHOLDERS’ INVESTMENT:</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262626"/>
              </w:rPr>
              <w:t>14,050,160</w:t>
            </w:r>
          </w:p>
        </w:tc>
        <w:tc>
          <w:tcPr>
            <w:tcW w:w="50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14,186,450</w:t>
            </w:r>
          </w:p>
        </w:tc>
        <w:tc>
          <w:tcPr>
            <w:tcW w:w="0" w:type="dxa"/>
            <w:vAlign w:val="bottom"/>
          </w:tcPr>
          <w:p>
            <w:pPr>
              <w:spacing w:after="0"/>
              <w:rPr>
                <w:sz w:val="1"/>
                <w:szCs w:val="1"/>
                <w:color w:val="auto"/>
              </w:rPr>
            </w:pPr>
          </w:p>
        </w:tc>
      </w:tr>
      <w:tr>
        <w:trPr>
          <w:trHeight w:val="25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262626"/>
              </w:rPr>
              <w:t>Common stock, par value 0.06 per share; 400,000,000 shares authorized; 234,169,335</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262626"/>
              </w:rPr>
              <w:t>and 236,440,840 shares issued and outstanding in 2022 and 2021 respectively.</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6660" w:type="dxa"/>
            <w:vAlign w:val="bottom"/>
            <w:tcBorders>
              <w:bottom w:val="single" w:sz="8" w:color="838383"/>
            </w:tcBorders>
          </w:tcPr>
          <w:p>
            <w:pPr>
              <w:spacing w:after="0"/>
              <w:rPr>
                <w:sz w:val="5"/>
                <w:szCs w:val="5"/>
                <w:color w:val="auto"/>
              </w:rPr>
            </w:pPr>
          </w:p>
        </w:tc>
        <w:tc>
          <w:tcPr>
            <w:tcW w:w="20" w:type="dxa"/>
            <w:vAlign w:val="bottom"/>
            <w:tcBorders>
              <w:bottom w:val="single" w:sz="8" w:color="838383"/>
            </w:tcBorders>
          </w:tcPr>
          <w:p>
            <w:pPr>
              <w:spacing w:after="0"/>
              <w:rPr>
                <w:sz w:val="5"/>
                <w:szCs w:val="5"/>
                <w:color w:val="auto"/>
              </w:rPr>
            </w:pPr>
          </w:p>
        </w:tc>
        <w:tc>
          <w:tcPr>
            <w:tcW w:w="400" w:type="dxa"/>
            <w:vAlign w:val="bottom"/>
            <w:tcBorders>
              <w:bottom w:val="single" w:sz="8" w:color="838383"/>
            </w:tcBorders>
          </w:tcPr>
          <w:p>
            <w:pPr>
              <w:spacing w:after="0"/>
              <w:rPr>
                <w:sz w:val="5"/>
                <w:szCs w:val="5"/>
                <w:color w:val="auto"/>
              </w:rPr>
            </w:pPr>
          </w:p>
        </w:tc>
        <w:tc>
          <w:tcPr>
            <w:tcW w:w="1480" w:type="dxa"/>
            <w:vAlign w:val="bottom"/>
            <w:tcBorders>
              <w:bottom w:val="single" w:sz="8" w:color="838383"/>
            </w:tcBorders>
          </w:tcPr>
          <w:p>
            <w:pPr>
              <w:spacing w:after="0"/>
              <w:rPr>
                <w:sz w:val="5"/>
                <w:szCs w:val="5"/>
                <w:color w:val="auto"/>
              </w:rPr>
            </w:pPr>
          </w:p>
        </w:tc>
        <w:tc>
          <w:tcPr>
            <w:tcW w:w="500" w:type="dxa"/>
            <w:vAlign w:val="bottom"/>
            <w:tcBorders>
              <w:bottom w:val="single" w:sz="8" w:color="838383"/>
            </w:tcBorders>
          </w:tcPr>
          <w:p>
            <w:pPr>
              <w:spacing w:after="0"/>
              <w:rPr>
                <w:sz w:val="5"/>
                <w:szCs w:val="5"/>
                <w:color w:val="auto"/>
              </w:rPr>
            </w:pPr>
          </w:p>
        </w:tc>
        <w:tc>
          <w:tcPr>
            <w:tcW w:w="1380" w:type="dxa"/>
            <w:vAlign w:val="bottom"/>
            <w:tcBorders>
              <w:bottom w:val="single" w:sz="8" w:color="838383"/>
            </w:tcBorders>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66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Additional paid-in capital</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917,499,323</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879,413,385</w:t>
            </w:r>
          </w:p>
        </w:tc>
        <w:tc>
          <w:tcPr>
            <w:tcW w:w="0" w:type="dxa"/>
            <w:vAlign w:val="bottom"/>
          </w:tcPr>
          <w:p>
            <w:pPr>
              <w:spacing w:after="0"/>
              <w:rPr>
                <w:sz w:val="1"/>
                <w:szCs w:val="1"/>
                <w:color w:val="auto"/>
              </w:rPr>
            </w:pPr>
          </w:p>
        </w:tc>
      </w:tr>
      <w:tr>
        <w:trPr>
          <w:trHeight w:val="340"/>
        </w:trPr>
        <w:tc>
          <w:tcPr>
            <w:tcW w:w="66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Retained earnings</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1,148,386,272</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1,042,461,388</w:t>
            </w:r>
          </w:p>
        </w:tc>
        <w:tc>
          <w:tcPr>
            <w:tcW w:w="0" w:type="dxa"/>
            <w:vAlign w:val="bottom"/>
          </w:tcPr>
          <w:p>
            <w:pPr>
              <w:spacing w:after="0"/>
              <w:rPr>
                <w:sz w:val="1"/>
                <w:szCs w:val="1"/>
                <w:color w:val="auto"/>
              </w:rPr>
            </w:pPr>
          </w:p>
        </w:tc>
      </w:tr>
      <w:tr>
        <w:trPr>
          <w:trHeight w:val="340"/>
        </w:trPr>
        <w:tc>
          <w:tcPr>
            <w:tcW w:w="66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Accumulated other comprehensive (loss) income:</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spacing w:after="0"/>
              <w:rPr>
                <w:sz w:val="24"/>
                <w:szCs w:val="24"/>
                <w:color w:val="auto"/>
              </w:rPr>
            </w:pP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660" w:type="dxa"/>
            <w:vAlign w:val="bottom"/>
            <w:tcBorders>
              <w:bottom w:val="single" w:sz="8" w:color="838383"/>
            </w:tcBorders>
          </w:tcPr>
          <w:p>
            <w:pPr>
              <w:ind w:left="720"/>
              <w:spacing w:after="0"/>
              <w:rPr>
                <w:sz w:val="20"/>
                <w:szCs w:val="20"/>
                <w:color w:val="auto"/>
              </w:rPr>
            </w:pPr>
            <w:r>
              <w:rPr>
                <w:rFonts w:ascii="Times New Roman" w:cs="Times New Roman" w:eastAsia="Times New Roman" w:hAnsi="Times New Roman"/>
                <w:sz w:val="18"/>
                <w:szCs w:val="18"/>
                <w:color w:val="262626"/>
              </w:rPr>
              <w:t>Unrealized (loss) gain on investments, net</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(10,110,695)</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1,006,655</w:t>
            </w:r>
          </w:p>
        </w:tc>
        <w:tc>
          <w:tcPr>
            <w:tcW w:w="0" w:type="dxa"/>
            <w:vAlign w:val="bottom"/>
          </w:tcPr>
          <w:p>
            <w:pPr>
              <w:spacing w:after="0"/>
              <w:rPr>
                <w:sz w:val="1"/>
                <w:szCs w:val="1"/>
                <w:color w:val="auto"/>
              </w:rPr>
            </w:pPr>
          </w:p>
        </w:tc>
      </w:tr>
      <w:tr>
        <w:trPr>
          <w:trHeight w:val="355"/>
        </w:trPr>
        <w:tc>
          <w:tcPr>
            <w:tcW w:w="6660" w:type="dxa"/>
            <w:vAlign w:val="bottom"/>
            <w:tcBorders>
              <w:bottom w:val="single" w:sz="8" w:color="838383"/>
            </w:tcBorders>
          </w:tcPr>
          <w:p>
            <w:pPr>
              <w:ind w:left="720"/>
              <w:spacing w:after="0"/>
              <w:rPr>
                <w:sz w:val="20"/>
                <w:szCs w:val="20"/>
                <w:color w:val="auto"/>
              </w:rPr>
            </w:pPr>
            <w:r>
              <w:rPr>
                <w:rFonts w:ascii="Times New Roman" w:cs="Times New Roman" w:eastAsia="Times New Roman" w:hAnsi="Times New Roman"/>
                <w:sz w:val="18"/>
                <w:szCs w:val="18"/>
                <w:color w:val="262626"/>
              </w:rPr>
              <w:t>Cumulative translation adjustment</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(4,032,239)</w:t>
            </w:r>
          </w:p>
        </w:tc>
        <w:tc>
          <w:tcPr>
            <w:tcW w:w="50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920,589</w:t>
            </w:r>
          </w:p>
        </w:tc>
        <w:tc>
          <w:tcPr>
            <w:tcW w:w="0" w:type="dxa"/>
            <w:vAlign w:val="bottom"/>
          </w:tcPr>
          <w:p>
            <w:pPr>
              <w:spacing w:after="0"/>
              <w:rPr>
                <w:sz w:val="1"/>
                <w:szCs w:val="1"/>
                <w:color w:val="auto"/>
              </w:rPr>
            </w:pPr>
          </w:p>
        </w:tc>
      </w:tr>
      <w:tr>
        <w:trPr>
          <w:trHeight w:val="320"/>
        </w:trPr>
        <w:tc>
          <w:tcPr>
            <w:tcW w:w="6660" w:type="dxa"/>
            <w:vAlign w:val="bottom"/>
            <w:tcBorders>
              <w:bottom w:val="single" w:sz="8" w:color="838383"/>
            </w:tcBorders>
          </w:tcPr>
          <w:p>
            <w:pPr>
              <w:ind w:left="1080"/>
              <w:spacing w:after="0"/>
              <w:rPr>
                <w:sz w:val="20"/>
                <w:szCs w:val="20"/>
                <w:color w:val="auto"/>
              </w:rPr>
            </w:pPr>
            <w:r>
              <w:rPr>
                <w:rFonts w:ascii="Times New Roman" w:cs="Times New Roman" w:eastAsia="Times New Roman" w:hAnsi="Times New Roman"/>
                <w:sz w:val="18"/>
                <w:szCs w:val="18"/>
                <w:color w:val="262626"/>
              </w:rPr>
              <w:t>Total shareholders’ investment</w:t>
            </w:r>
          </w:p>
        </w:tc>
        <w:tc>
          <w:tcPr>
            <w:tcW w:w="20" w:type="dxa"/>
            <w:vAlign w:val="bottom"/>
            <w:tcBorders>
              <w:bottom w:val="single" w:sz="8" w:color="838383"/>
            </w:tcBorders>
          </w:tcPr>
          <w:p>
            <w:pPr>
              <w:spacing w:after="0"/>
              <w:rPr>
                <w:sz w:val="24"/>
                <w:szCs w:val="24"/>
                <w:color w:val="auto"/>
              </w:rPr>
            </w:pPr>
          </w:p>
        </w:tc>
        <w:tc>
          <w:tcPr>
            <w:tcW w:w="40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2,065,792,821</w:t>
            </w:r>
          </w:p>
        </w:tc>
        <w:tc>
          <w:tcPr>
            <w:tcW w:w="50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1,937,988,467</w:t>
            </w:r>
          </w:p>
        </w:tc>
        <w:tc>
          <w:tcPr>
            <w:tcW w:w="0" w:type="dxa"/>
            <w:vAlign w:val="bottom"/>
          </w:tcPr>
          <w:p>
            <w:pPr>
              <w:spacing w:after="0"/>
              <w:rPr>
                <w:sz w:val="1"/>
                <w:szCs w:val="1"/>
                <w:color w:val="auto"/>
              </w:rPr>
            </w:pPr>
          </w:p>
        </w:tc>
      </w:tr>
      <w:tr>
        <w:trPr>
          <w:trHeight w:val="330"/>
        </w:trPr>
        <w:tc>
          <w:tcPr>
            <w:tcW w:w="6660" w:type="dxa"/>
            <w:vAlign w:val="bottom"/>
          </w:tcPr>
          <w:p>
            <w:pPr>
              <w:spacing w:after="0"/>
              <w:rPr>
                <w:sz w:val="20"/>
                <w:szCs w:val="20"/>
                <w:color w:val="auto"/>
              </w:rPr>
            </w:pPr>
            <w:r>
              <w:rPr>
                <w:rFonts w:ascii="Arial" w:cs="Arial" w:eastAsia="Arial" w:hAnsi="Arial"/>
                <w:sz w:val="17"/>
                <w:szCs w:val="17"/>
                <w:b w:val="1"/>
                <w:bCs w:val="1"/>
                <w:color w:val="838383"/>
              </w:rPr>
              <w:t>TOTAL LIABILITIES AND SHAREHOLDERS’ INVESTMENT</w:t>
            </w:r>
          </w:p>
        </w:tc>
        <w:tc>
          <w:tcPr>
            <w:tcW w:w="420" w:type="dxa"/>
            <w:vAlign w:val="bottom"/>
            <w:tcBorders>
              <w:bottom w:val="single" w:sz="8" w:color="8F8F8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262626"/>
                <w:w w:val="88"/>
              </w:rPr>
              <w:t>$</w:t>
            </w: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2,327,229,924</w:t>
            </w:r>
          </w:p>
        </w:tc>
        <w:tc>
          <w:tcPr>
            <w:tcW w:w="500" w:type="dxa"/>
            <w:vAlign w:val="bottom"/>
            <w:tcBorders>
              <w:bottom w:val="single" w:sz="8" w:color="8F8F8F"/>
            </w:tcBorders>
          </w:tcPr>
          <w:p>
            <w:pPr>
              <w:jc w:val="right"/>
              <w:ind w:right="230"/>
              <w:spacing w:after="0"/>
              <w:rPr>
                <w:sz w:val="20"/>
                <w:szCs w:val="20"/>
                <w:color w:val="auto"/>
              </w:rPr>
            </w:pPr>
            <w:r>
              <w:rPr>
                <w:rFonts w:ascii="Times New Roman" w:cs="Times New Roman" w:eastAsia="Times New Roman" w:hAnsi="Times New Roman"/>
                <w:sz w:val="18"/>
                <w:szCs w:val="18"/>
                <w:color w:val="262626"/>
              </w:rPr>
              <w:t>$</w:t>
            </w: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2,131,391,166</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8F8F8F"/>
            </w:tcBorders>
          </w:tcPr>
          <w:p>
            <w:pPr>
              <w:spacing w:after="0" w:line="20" w:lineRule="exact"/>
              <w:rPr>
                <w:sz w:val="1"/>
                <w:szCs w:val="1"/>
                <w:color w:val="auto"/>
              </w:rPr>
            </w:pPr>
          </w:p>
        </w:tc>
        <w:tc>
          <w:tcPr>
            <w:tcW w:w="1480" w:type="dxa"/>
            <w:vAlign w:val="bottom"/>
            <w:tcBorders>
              <w:bottom w:val="single" w:sz="8" w:color="8F8F8F"/>
            </w:tcBorders>
          </w:tcPr>
          <w:p>
            <w:pPr>
              <w:spacing w:after="0" w:line="20" w:lineRule="exact"/>
              <w:rPr>
                <w:sz w:val="1"/>
                <w:szCs w:val="1"/>
                <w:color w:val="auto"/>
              </w:rPr>
            </w:pPr>
          </w:p>
        </w:tc>
        <w:tc>
          <w:tcPr>
            <w:tcW w:w="500" w:type="dxa"/>
            <w:vAlign w:val="bottom"/>
            <w:tcBorders>
              <w:bottom w:val="single" w:sz="8" w:color="8F8F8F"/>
            </w:tcBorders>
          </w:tcPr>
          <w:p>
            <w:pPr>
              <w:spacing w:after="0" w:line="20" w:lineRule="exact"/>
              <w:rPr>
                <w:sz w:val="1"/>
                <w:szCs w:val="1"/>
                <w:color w:val="auto"/>
              </w:rPr>
            </w:pPr>
          </w:p>
        </w:tc>
        <w:tc>
          <w:tcPr>
            <w:tcW w:w="1380" w:type="dxa"/>
            <w:vAlign w:val="bottom"/>
            <w:tcBorders>
              <w:bottom w:val="single" w:sz="8" w:color="8F8F8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900" w:top="144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59</w:t>
      </w:r>
    </w:p>
    <w:p>
      <w:pPr>
        <w:sectPr>
          <w:pgSz w:w="12240" w:h="15840" w:orient="portrait"/>
          <w:cols w:equalWidth="0" w:num="1">
            <w:col w:w="10760"/>
          </w:cols>
          <w:pgMar w:left="900" w:top="1440" w:right="580" w:bottom="0" w:gutter="0" w:footer="0" w:header="0"/>
          <w:type w:val="continuous"/>
        </w:sectPr>
      </w:pPr>
    </w:p>
    <w:bookmarkStart w:id="59" w:name="page60"/>
    <w:bookmarkEnd w:id="59"/>
    <w:p>
      <w:pPr>
        <w:ind w:left="320" w:right="3840"/>
        <w:spacing w:after="0" w:line="333" w:lineRule="auto"/>
        <w:rPr>
          <w:sz w:val="20"/>
          <w:szCs w:val="20"/>
          <w:color w:val="auto"/>
        </w:rPr>
      </w:pPr>
      <w:r>
        <w:rPr>
          <w:rFonts w:ascii="Arial" w:cs="Arial" w:eastAsia="Arial" w:hAnsi="Arial"/>
          <w:sz w:val="17"/>
          <w:szCs w:val="17"/>
          <w:b w:val="1"/>
          <w:bCs w:val="1"/>
          <w:color w:val="858585"/>
        </w:rPr>
        <w:t>GENTEX CORPORATION AND SUBSIDIARIES CONSOLIDATED STATEMENTS OF INCOME FOR THE YEARS ENDED DECEMBER 31, 2022, 2021 AND 2020</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838383"/>
        </w:rPr>
        <w:t>The accompanying notes are an integral part of these consolidated financial statements.</w:t>
      </w:r>
    </w:p>
    <w:p>
      <w:pPr>
        <w:spacing w:after="0" w:line="305"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4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2022</w:t>
            </w:r>
          </w:p>
        </w:tc>
        <w:tc>
          <w:tcPr>
            <w:tcW w:w="5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2021</w:t>
            </w:r>
          </w:p>
        </w:tc>
        <w:tc>
          <w:tcPr>
            <w:tcW w:w="5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262626"/>
              </w:rPr>
              <w:t>2020</w:t>
            </w:r>
          </w:p>
        </w:tc>
      </w:tr>
      <w:tr>
        <w:trPr>
          <w:trHeight w:val="345"/>
        </w:trPr>
        <w:tc>
          <w:tcPr>
            <w:tcW w:w="4680" w:type="dxa"/>
            <w:vAlign w:val="bottom"/>
            <w:tcBorders>
              <w:bottom w:val="single" w:sz="8" w:color="838383"/>
            </w:tcBorders>
          </w:tcPr>
          <w:p>
            <w:pPr>
              <w:spacing w:after="0"/>
              <w:rPr>
                <w:sz w:val="20"/>
                <w:szCs w:val="20"/>
                <w:color w:val="auto"/>
              </w:rPr>
            </w:pPr>
            <w:r>
              <w:rPr>
                <w:rFonts w:ascii="Arial" w:cs="Arial" w:eastAsia="Arial" w:hAnsi="Arial"/>
                <w:sz w:val="17"/>
                <w:szCs w:val="17"/>
                <w:b w:val="1"/>
                <w:bCs w:val="1"/>
                <w:color w:val="838383"/>
              </w:rPr>
              <w:t>NET SALES</w:t>
            </w:r>
          </w:p>
        </w:tc>
        <w:tc>
          <w:tcPr>
            <w:tcW w:w="420" w:type="dxa"/>
            <w:vAlign w:val="bottom"/>
            <w:tcBorders>
              <w:bottom w:val="single" w:sz="8" w:color="838383"/>
            </w:tcBorders>
          </w:tcPr>
          <w:p>
            <w:pPr>
              <w:jc w:val="right"/>
              <w:ind w:right="230"/>
              <w:spacing w:after="0"/>
              <w:rPr>
                <w:sz w:val="20"/>
                <w:szCs w:val="20"/>
                <w:color w:val="auto"/>
              </w:rPr>
            </w:pPr>
            <w:r>
              <w:rPr>
                <w:rFonts w:ascii="Times New Roman" w:cs="Times New Roman" w:eastAsia="Times New Roman" w:hAnsi="Times New Roman"/>
                <w:sz w:val="18"/>
                <w:szCs w:val="18"/>
                <w:color w:val="262626"/>
                <w:w w:val="88"/>
              </w:rPr>
              <w:t>$</w:t>
            </w: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1,918,958,043</w:t>
            </w:r>
          </w:p>
        </w:tc>
        <w:tc>
          <w:tcPr>
            <w:tcW w:w="500" w:type="dxa"/>
            <w:vAlign w:val="bottom"/>
            <w:tcBorders>
              <w:bottom w:val="single" w:sz="8" w:color="838383"/>
            </w:tcBorders>
          </w:tcPr>
          <w:p>
            <w:pPr>
              <w:jc w:val="right"/>
              <w:ind w:right="230"/>
              <w:spacing w:after="0"/>
              <w:rPr>
                <w:sz w:val="20"/>
                <w:szCs w:val="20"/>
                <w:color w:val="auto"/>
              </w:rPr>
            </w:pPr>
            <w:r>
              <w:rPr>
                <w:rFonts w:ascii="Times New Roman" w:cs="Times New Roman" w:eastAsia="Times New Roman" w:hAnsi="Times New Roman"/>
                <w:sz w:val="18"/>
                <w:szCs w:val="18"/>
                <w:color w:val="262626"/>
              </w:rPr>
              <w:t>$</w:t>
            </w: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1,731,169,929</w:t>
            </w:r>
          </w:p>
        </w:tc>
        <w:tc>
          <w:tcPr>
            <w:tcW w:w="500" w:type="dxa"/>
            <w:vAlign w:val="bottom"/>
            <w:tcBorders>
              <w:bottom w:val="single" w:sz="8" w:color="838383"/>
            </w:tcBorders>
          </w:tcPr>
          <w:p>
            <w:pPr>
              <w:jc w:val="right"/>
              <w:ind w:right="230"/>
              <w:spacing w:after="0"/>
              <w:rPr>
                <w:sz w:val="20"/>
                <w:szCs w:val="20"/>
                <w:color w:val="auto"/>
              </w:rPr>
            </w:pPr>
            <w:r>
              <w:rPr>
                <w:rFonts w:ascii="Times New Roman" w:cs="Times New Roman" w:eastAsia="Times New Roman" w:hAnsi="Times New Roman"/>
                <w:sz w:val="18"/>
                <w:szCs w:val="18"/>
                <w:color w:val="262626"/>
              </w:rPr>
              <w:t>$</w:t>
            </w: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1,688,189,405</w:t>
            </w:r>
          </w:p>
        </w:tc>
      </w:tr>
      <w:tr>
        <w:trPr>
          <w:trHeight w:val="355"/>
        </w:trPr>
        <w:tc>
          <w:tcPr>
            <w:tcW w:w="4680" w:type="dxa"/>
            <w:vAlign w:val="bottom"/>
            <w:tcBorders>
              <w:bottom w:val="single" w:sz="8" w:color="838383"/>
            </w:tcBorders>
          </w:tcPr>
          <w:p>
            <w:pPr>
              <w:spacing w:after="0"/>
              <w:rPr>
                <w:sz w:val="20"/>
                <w:szCs w:val="20"/>
                <w:color w:val="auto"/>
              </w:rPr>
            </w:pPr>
            <w:r>
              <w:rPr>
                <w:rFonts w:ascii="Arial" w:cs="Arial" w:eastAsia="Arial" w:hAnsi="Arial"/>
                <w:sz w:val="17"/>
                <w:szCs w:val="17"/>
                <w:b w:val="1"/>
                <w:bCs w:val="1"/>
                <w:color w:val="838383"/>
              </w:rPr>
              <w:t>COST OF GOODS SOLD</w:t>
            </w:r>
          </w:p>
        </w:tc>
        <w:tc>
          <w:tcPr>
            <w:tcW w:w="42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1,309,143,858</w:t>
            </w:r>
          </w:p>
        </w:tc>
        <w:tc>
          <w:tcPr>
            <w:tcW w:w="50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1,111,462,082</w:t>
            </w:r>
          </w:p>
        </w:tc>
        <w:tc>
          <w:tcPr>
            <w:tcW w:w="50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1,082,745,885</w:t>
            </w:r>
          </w:p>
        </w:tc>
      </w:tr>
      <w:tr>
        <w:trPr>
          <w:trHeight w:val="325"/>
        </w:trPr>
        <w:tc>
          <w:tcPr>
            <w:tcW w:w="4680" w:type="dxa"/>
            <w:vAlign w:val="bottom"/>
            <w:tcBorders>
              <w:bottom w:val="single" w:sz="8" w:color="838383"/>
            </w:tcBorders>
          </w:tcPr>
          <w:p>
            <w:pPr>
              <w:ind w:left="280"/>
              <w:spacing w:after="0"/>
              <w:rPr>
                <w:sz w:val="20"/>
                <w:szCs w:val="20"/>
                <w:color w:val="auto"/>
              </w:rPr>
            </w:pPr>
            <w:r>
              <w:rPr>
                <w:rFonts w:ascii="Times New Roman" w:cs="Times New Roman" w:eastAsia="Times New Roman" w:hAnsi="Times New Roman"/>
                <w:sz w:val="18"/>
                <w:szCs w:val="18"/>
                <w:color w:val="262626"/>
              </w:rPr>
              <w:t>Gross profit</w:t>
            </w:r>
          </w:p>
        </w:tc>
        <w:tc>
          <w:tcPr>
            <w:tcW w:w="42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609,814,185</w:t>
            </w:r>
          </w:p>
        </w:tc>
        <w:tc>
          <w:tcPr>
            <w:tcW w:w="5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619,707,847</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605,443,520</w:t>
            </w:r>
          </w:p>
        </w:tc>
      </w:tr>
      <w:tr>
        <w:trPr>
          <w:trHeight w:val="273"/>
        </w:trPr>
        <w:tc>
          <w:tcPr>
            <w:tcW w:w="4680" w:type="dxa"/>
            <w:vAlign w:val="bottom"/>
          </w:tcPr>
          <w:p>
            <w:pPr>
              <w:spacing w:after="0"/>
              <w:rPr>
                <w:sz w:val="20"/>
                <w:szCs w:val="20"/>
                <w:color w:val="auto"/>
              </w:rPr>
            </w:pPr>
            <w:r>
              <w:rPr>
                <w:rFonts w:ascii="Arial" w:cs="Arial" w:eastAsia="Arial" w:hAnsi="Arial"/>
                <w:sz w:val="17"/>
                <w:szCs w:val="17"/>
                <w:b w:val="1"/>
                <w:bCs w:val="1"/>
                <w:color w:val="838383"/>
              </w:rPr>
              <w:t>OPERATING EXPENSES:</w:t>
            </w:r>
          </w:p>
        </w:tc>
        <w:tc>
          <w:tcPr>
            <w:tcW w:w="4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67"/>
        </w:trPr>
        <w:tc>
          <w:tcPr>
            <w:tcW w:w="4680" w:type="dxa"/>
            <w:vAlign w:val="bottom"/>
            <w:tcBorders>
              <w:bottom w:val="single" w:sz="8" w:color="838383"/>
            </w:tcBorders>
          </w:tcPr>
          <w:p>
            <w:pPr>
              <w:spacing w:after="0"/>
              <w:rPr>
                <w:sz w:val="5"/>
                <w:szCs w:val="5"/>
                <w:color w:val="auto"/>
              </w:rPr>
            </w:pPr>
          </w:p>
        </w:tc>
        <w:tc>
          <w:tcPr>
            <w:tcW w:w="420" w:type="dxa"/>
            <w:vAlign w:val="bottom"/>
            <w:tcBorders>
              <w:bottom w:val="single" w:sz="8" w:color="838383"/>
            </w:tcBorders>
          </w:tcPr>
          <w:p>
            <w:pPr>
              <w:spacing w:after="0"/>
              <w:rPr>
                <w:sz w:val="5"/>
                <w:szCs w:val="5"/>
                <w:color w:val="auto"/>
              </w:rPr>
            </w:pPr>
          </w:p>
        </w:tc>
        <w:tc>
          <w:tcPr>
            <w:tcW w:w="1480" w:type="dxa"/>
            <w:vAlign w:val="bottom"/>
            <w:tcBorders>
              <w:bottom w:val="single" w:sz="8" w:color="838383"/>
            </w:tcBorders>
          </w:tcPr>
          <w:p>
            <w:pPr>
              <w:spacing w:after="0"/>
              <w:rPr>
                <w:sz w:val="5"/>
                <w:szCs w:val="5"/>
                <w:color w:val="auto"/>
              </w:rPr>
            </w:pPr>
          </w:p>
        </w:tc>
        <w:tc>
          <w:tcPr>
            <w:tcW w:w="500" w:type="dxa"/>
            <w:vAlign w:val="bottom"/>
            <w:tcBorders>
              <w:bottom w:val="single" w:sz="8" w:color="838383"/>
            </w:tcBorders>
          </w:tcPr>
          <w:p>
            <w:pPr>
              <w:spacing w:after="0"/>
              <w:rPr>
                <w:sz w:val="5"/>
                <w:szCs w:val="5"/>
                <w:color w:val="auto"/>
              </w:rPr>
            </w:pPr>
          </w:p>
        </w:tc>
        <w:tc>
          <w:tcPr>
            <w:tcW w:w="1480" w:type="dxa"/>
            <w:vAlign w:val="bottom"/>
            <w:tcBorders>
              <w:bottom w:val="single" w:sz="8" w:color="838383"/>
            </w:tcBorders>
          </w:tcPr>
          <w:p>
            <w:pPr>
              <w:spacing w:after="0"/>
              <w:rPr>
                <w:sz w:val="5"/>
                <w:szCs w:val="5"/>
                <w:color w:val="auto"/>
              </w:rPr>
            </w:pPr>
          </w:p>
        </w:tc>
        <w:tc>
          <w:tcPr>
            <w:tcW w:w="500" w:type="dxa"/>
            <w:vAlign w:val="bottom"/>
            <w:tcBorders>
              <w:bottom w:val="single" w:sz="8" w:color="838383"/>
            </w:tcBorders>
          </w:tcPr>
          <w:p>
            <w:pPr>
              <w:spacing w:after="0"/>
              <w:rPr>
                <w:sz w:val="5"/>
                <w:szCs w:val="5"/>
                <w:color w:val="auto"/>
              </w:rPr>
            </w:pPr>
          </w:p>
        </w:tc>
        <w:tc>
          <w:tcPr>
            <w:tcW w:w="1380" w:type="dxa"/>
            <w:vAlign w:val="bottom"/>
            <w:tcBorders>
              <w:bottom w:val="single" w:sz="8" w:color="838383"/>
            </w:tcBorders>
          </w:tcPr>
          <w:p>
            <w:pPr>
              <w:spacing w:after="0"/>
              <w:rPr>
                <w:sz w:val="5"/>
                <w:szCs w:val="5"/>
                <w:color w:val="auto"/>
              </w:rPr>
            </w:pPr>
          </w:p>
        </w:tc>
      </w:tr>
      <w:tr>
        <w:trPr>
          <w:trHeight w:val="340"/>
        </w:trPr>
        <w:tc>
          <w:tcPr>
            <w:tcW w:w="4680" w:type="dxa"/>
            <w:vAlign w:val="bottom"/>
            <w:tcBorders>
              <w:bottom w:val="single" w:sz="8" w:color="838383"/>
            </w:tcBorders>
          </w:tcPr>
          <w:p>
            <w:pPr>
              <w:ind w:left="280"/>
              <w:spacing w:after="0"/>
              <w:rPr>
                <w:sz w:val="20"/>
                <w:szCs w:val="20"/>
                <w:color w:val="auto"/>
              </w:rPr>
            </w:pPr>
            <w:r>
              <w:rPr>
                <w:rFonts w:ascii="Times New Roman" w:cs="Times New Roman" w:eastAsia="Times New Roman" w:hAnsi="Times New Roman"/>
                <w:sz w:val="18"/>
                <w:szCs w:val="18"/>
                <w:color w:val="262626"/>
              </w:rPr>
              <w:t>Engineering, research and development</w:t>
            </w:r>
          </w:p>
        </w:tc>
        <w:tc>
          <w:tcPr>
            <w:tcW w:w="42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133,308,804</w:t>
            </w:r>
          </w:p>
        </w:tc>
        <w:tc>
          <w:tcPr>
            <w:tcW w:w="5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117,763,676</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115,935,047</w:t>
            </w:r>
          </w:p>
        </w:tc>
      </w:tr>
      <w:tr>
        <w:trPr>
          <w:trHeight w:val="355"/>
        </w:trPr>
        <w:tc>
          <w:tcPr>
            <w:tcW w:w="4680" w:type="dxa"/>
            <w:vAlign w:val="bottom"/>
            <w:tcBorders>
              <w:bottom w:val="single" w:sz="8" w:color="838383"/>
            </w:tcBorders>
          </w:tcPr>
          <w:p>
            <w:pPr>
              <w:ind w:left="280"/>
              <w:spacing w:after="0"/>
              <w:rPr>
                <w:sz w:val="20"/>
                <w:szCs w:val="20"/>
                <w:color w:val="auto"/>
              </w:rPr>
            </w:pPr>
            <w:r>
              <w:rPr>
                <w:rFonts w:ascii="Times New Roman" w:cs="Times New Roman" w:eastAsia="Times New Roman" w:hAnsi="Times New Roman"/>
                <w:sz w:val="18"/>
                <w:szCs w:val="18"/>
                <w:color w:val="262626"/>
              </w:rPr>
              <w:t>Selling, general and administrative</w:t>
            </w:r>
          </w:p>
        </w:tc>
        <w:tc>
          <w:tcPr>
            <w:tcW w:w="42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106,499,255</w:t>
            </w:r>
          </w:p>
        </w:tc>
        <w:tc>
          <w:tcPr>
            <w:tcW w:w="50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92,162,193</w:t>
            </w:r>
          </w:p>
        </w:tc>
        <w:tc>
          <w:tcPr>
            <w:tcW w:w="50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89,952,381</w:t>
            </w:r>
          </w:p>
        </w:tc>
      </w:tr>
      <w:tr>
        <w:trPr>
          <w:trHeight w:val="340"/>
        </w:trPr>
        <w:tc>
          <w:tcPr>
            <w:tcW w:w="4680" w:type="dxa"/>
            <w:vAlign w:val="bottom"/>
            <w:tcBorders>
              <w:bottom w:val="single" w:sz="8" w:color="838383"/>
            </w:tcBorders>
          </w:tcPr>
          <w:p>
            <w:pPr>
              <w:ind w:left="580"/>
              <w:spacing w:after="0"/>
              <w:rPr>
                <w:sz w:val="20"/>
                <w:szCs w:val="20"/>
                <w:color w:val="auto"/>
              </w:rPr>
            </w:pPr>
            <w:r>
              <w:rPr>
                <w:rFonts w:ascii="Times New Roman" w:cs="Times New Roman" w:eastAsia="Times New Roman" w:hAnsi="Times New Roman"/>
                <w:sz w:val="18"/>
                <w:szCs w:val="18"/>
                <w:color w:val="262626"/>
              </w:rPr>
              <w:t>Total operating expenses</w:t>
            </w:r>
          </w:p>
        </w:tc>
        <w:tc>
          <w:tcPr>
            <w:tcW w:w="42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239,808,059</w:t>
            </w:r>
          </w:p>
        </w:tc>
        <w:tc>
          <w:tcPr>
            <w:tcW w:w="50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209,925,869</w:t>
            </w:r>
          </w:p>
        </w:tc>
        <w:tc>
          <w:tcPr>
            <w:tcW w:w="50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205,887,428</w:t>
            </w:r>
          </w:p>
        </w:tc>
      </w:tr>
      <w:tr>
        <w:trPr>
          <w:trHeight w:val="325"/>
        </w:trPr>
        <w:tc>
          <w:tcPr>
            <w:tcW w:w="4680" w:type="dxa"/>
            <w:vAlign w:val="bottom"/>
            <w:tcBorders>
              <w:bottom w:val="single" w:sz="8" w:color="838383"/>
            </w:tcBorders>
          </w:tcPr>
          <w:p>
            <w:pPr>
              <w:ind w:left="280"/>
              <w:spacing w:after="0"/>
              <w:rPr>
                <w:sz w:val="20"/>
                <w:szCs w:val="20"/>
                <w:color w:val="auto"/>
              </w:rPr>
            </w:pPr>
            <w:r>
              <w:rPr>
                <w:rFonts w:ascii="Times New Roman" w:cs="Times New Roman" w:eastAsia="Times New Roman" w:hAnsi="Times New Roman"/>
                <w:sz w:val="18"/>
                <w:szCs w:val="18"/>
                <w:color w:val="262626"/>
              </w:rPr>
              <w:t>Income from operations</w:t>
            </w:r>
          </w:p>
        </w:tc>
        <w:tc>
          <w:tcPr>
            <w:tcW w:w="42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370,006,126</w:t>
            </w:r>
          </w:p>
        </w:tc>
        <w:tc>
          <w:tcPr>
            <w:tcW w:w="5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409,781,978</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399,556,092</w:t>
            </w:r>
          </w:p>
        </w:tc>
      </w:tr>
      <w:tr>
        <w:trPr>
          <w:trHeight w:val="273"/>
        </w:trPr>
        <w:tc>
          <w:tcPr>
            <w:tcW w:w="4680" w:type="dxa"/>
            <w:vAlign w:val="bottom"/>
          </w:tcPr>
          <w:p>
            <w:pPr>
              <w:spacing w:after="0"/>
              <w:rPr>
                <w:sz w:val="20"/>
                <w:szCs w:val="20"/>
                <w:color w:val="auto"/>
              </w:rPr>
            </w:pPr>
            <w:r>
              <w:rPr>
                <w:rFonts w:ascii="Arial" w:cs="Arial" w:eastAsia="Arial" w:hAnsi="Arial"/>
                <w:sz w:val="17"/>
                <w:szCs w:val="17"/>
                <w:b w:val="1"/>
                <w:bCs w:val="1"/>
                <w:color w:val="838383"/>
              </w:rPr>
              <w:t>OTHER INCOME:</w:t>
            </w:r>
          </w:p>
        </w:tc>
        <w:tc>
          <w:tcPr>
            <w:tcW w:w="4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67"/>
        </w:trPr>
        <w:tc>
          <w:tcPr>
            <w:tcW w:w="4680" w:type="dxa"/>
            <w:vAlign w:val="bottom"/>
            <w:tcBorders>
              <w:bottom w:val="single" w:sz="8" w:color="838383"/>
            </w:tcBorders>
          </w:tcPr>
          <w:p>
            <w:pPr>
              <w:spacing w:after="0"/>
              <w:rPr>
                <w:sz w:val="5"/>
                <w:szCs w:val="5"/>
                <w:color w:val="auto"/>
              </w:rPr>
            </w:pPr>
          </w:p>
        </w:tc>
        <w:tc>
          <w:tcPr>
            <w:tcW w:w="420" w:type="dxa"/>
            <w:vAlign w:val="bottom"/>
            <w:tcBorders>
              <w:bottom w:val="single" w:sz="8" w:color="838383"/>
            </w:tcBorders>
          </w:tcPr>
          <w:p>
            <w:pPr>
              <w:spacing w:after="0"/>
              <w:rPr>
                <w:sz w:val="5"/>
                <w:szCs w:val="5"/>
                <w:color w:val="auto"/>
              </w:rPr>
            </w:pPr>
          </w:p>
        </w:tc>
        <w:tc>
          <w:tcPr>
            <w:tcW w:w="1480" w:type="dxa"/>
            <w:vAlign w:val="bottom"/>
            <w:tcBorders>
              <w:bottom w:val="single" w:sz="8" w:color="838383"/>
            </w:tcBorders>
          </w:tcPr>
          <w:p>
            <w:pPr>
              <w:spacing w:after="0"/>
              <w:rPr>
                <w:sz w:val="5"/>
                <w:szCs w:val="5"/>
                <w:color w:val="auto"/>
              </w:rPr>
            </w:pPr>
          </w:p>
        </w:tc>
        <w:tc>
          <w:tcPr>
            <w:tcW w:w="500" w:type="dxa"/>
            <w:vAlign w:val="bottom"/>
            <w:tcBorders>
              <w:bottom w:val="single" w:sz="8" w:color="838383"/>
            </w:tcBorders>
          </w:tcPr>
          <w:p>
            <w:pPr>
              <w:spacing w:after="0"/>
              <w:rPr>
                <w:sz w:val="5"/>
                <w:szCs w:val="5"/>
                <w:color w:val="auto"/>
              </w:rPr>
            </w:pPr>
          </w:p>
        </w:tc>
        <w:tc>
          <w:tcPr>
            <w:tcW w:w="1480" w:type="dxa"/>
            <w:vAlign w:val="bottom"/>
            <w:tcBorders>
              <w:bottom w:val="single" w:sz="8" w:color="838383"/>
            </w:tcBorders>
          </w:tcPr>
          <w:p>
            <w:pPr>
              <w:spacing w:after="0"/>
              <w:rPr>
                <w:sz w:val="5"/>
                <w:szCs w:val="5"/>
                <w:color w:val="auto"/>
              </w:rPr>
            </w:pPr>
          </w:p>
        </w:tc>
        <w:tc>
          <w:tcPr>
            <w:tcW w:w="500" w:type="dxa"/>
            <w:vAlign w:val="bottom"/>
            <w:tcBorders>
              <w:bottom w:val="single" w:sz="8" w:color="838383"/>
            </w:tcBorders>
          </w:tcPr>
          <w:p>
            <w:pPr>
              <w:spacing w:after="0"/>
              <w:rPr>
                <w:sz w:val="5"/>
                <w:szCs w:val="5"/>
                <w:color w:val="auto"/>
              </w:rPr>
            </w:pPr>
          </w:p>
        </w:tc>
        <w:tc>
          <w:tcPr>
            <w:tcW w:w="1380" w:type="dxa"/>
            <w:vAlign w:val="bottom"/>
            <w:tcBorders>
              <w:bottom w:val="single" w:sz="8" w:color="838383"/>
            </w:tcBorders>
          </w:tcPr>
          <w:p>
            <w:pPr>
              <w:spacing w:after="0"/>
              <w:rPr>
                <w:sz w:val="5"/>
                <w:szCs w:val="5"/>
                <w:color w:val="auto"/>
              </w:rPr>
            </w:pPr>
          </w:p>
        </w:tc>
      </w:tr>
      <w:tr>
        <w:trPr>
          <w:trHeight w:val="340"/>
        </w:trPr>
        <w:tc>
          <w:tcPr>
            <w:tcW w:w="4680" w:type="dxa"/>
            <w:vAlign w:val="bottom"/>
            <w:tcBorders>
              <w:bottom w:val="single" w:sz="8" w:color="838383"/>
            </w:tcBorders>
          </w:tcPr>
          <w:p>
            <w:pPr>
              <w:ind w:left="280"/>
              <w:spacing w:after="0"/>
              <w:rPr>
                <w:sz w:val="20"/>
                <w:szCs w:val="20"/>
                <w:color w:val="auto"/>
              </w:rPr>
            </w:pPr>
            <w:r>
              <w:rPr>
                <w:rFonts w:ascii="Times New Roman" w:cs="Times New Roman" w:eastAsia="Times New Roman" w:hAnsi="Times New Roman"/>
                <w:sz w:val="18"/>
                <w:szCs w:val="18"/>
                <w:color w:val="262626"/>
              </w:rPr>
              <w:t>Investment income</w:t>
            </w:r>
          </w:p>
        </w:tc>
        <w:tc>
          <w:tcPr>
            <w:tcW w:w="42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4,795,823</w:t>
            </w:r>
          </w:p>
        </w:tc>
        <w:tc>
          <w:tcPr>
            <w:tcW w:w="5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3,589,798</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6,986,303</w:t>
            </w:r>
          </w:p>
        </w:tc>
      </w:tr>
      <w:tr>
        <w:trPr>
          <w:trHeight w:val="355"/>
        </w:trPr>
        <w:tc>
          <w:tcPr>
            <w:tcW w:w="4680" w:type="dxa"/>
            <w:vAlign w:val="bottom"/>
            <w:tcBorders>
              <w:bottom w:val="single" w:sz="8" w:color="838383"/>
            </w:tcBorders>
          </w:tcPr>
          <w:p>
            <w:pPr>
              <w:ind w:left="280"/>
              <w:spacing w:after="0"/>
              <w:rPr>
                <w:sz w:val="20"/>
                <w:szCs w:val="20"/>
                <w:color w:val="auto"/>
              </w:rPr>
            </w:pPr>
            <w:r>
              <w:rPr>
                <w:rFonts w:ascii="Times New Roman" w:cs="Times New Roman" w:eastAsia="Times New Roman" w:hAnsi="Times New Roman"/>
                <w:sz w:val="18"/>
                <w:szCs w:val="18"/>
                <w:color w:val="262626"/>
              </w:rPr>
              <w:t>Other (loss) income, net</w:t>
            </w:r>
          </w:p>
        </w:tc>
        <w:tc>
          <w:tcPr>
            <w:tcW w:w="42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(5,078,873)</w:t>
            </w:r>
          </w:p>
        </w:tc>
        <w:tc>
          <w:tcPr>
            <w:tcW w:w="50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2,979,960</w:t>
            </w:r>
          </w:p>
        </w:tc>
        <w:tc>
          <w:tcPr>
            <w:tcW w:w="50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5,270,534</w:t>
            </w:r>
          </w:p>
        </w:tc>
      </w:tr>
      <w:tr>
        <w:trPr>
          <w:trHeight w:val="340"/>
        </w:trPr>
        <w:tc>
          <w:tcPr>
            <w:tcW w:w="4680" w:type="dxa"/>
            <w:vAlign w:val="bottom"/>
            <w:tcBorders>
              <w:bottom w:val="single" w:sz="8" w:color="838383"/>
            </w:tcBorders>
          </w:tcPr>
          <w:p>
            <w:pPr>
              <w:ind w:left="580"/>
              <w:spacing w:after="0"/>
              <w:rPr>
                <w:sz w:val="20"/>
                <w:szCs w:val="20"/>
                <w:color w:val="auto"/>
              </w:rPr>
            </w:pPr>
            <w:r>
              <w:rPr>
                <w:rFonts w:ascii="Times New Roman" w:cs="Times New Roman" w:eastAsia="Times New Roman" w:hAnsi="Times New Roman"/>
                <w:sz w:val="18"/>
                <w:szCs w:val="18"/>
                <w:color w:val="262626"/>
              </w:rPr>
              <w:t>Total other (loss) income</w:t>
            </w:r>
          </w:p>
        </w:tc>
        <w:tc>
          <w:tcPr>
            <w:tcW w:w="42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(283,050)</w:t>
            </w:r>
          </w:p>
        </w:tc>
        <w:tc>
          <w:tcPr>
            <w:tcW w:w="50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6,569,758</w:t>
            </w:r>
          </w:p>
        </w:tc>
        <w:tc>
          <w:tcPr>
            <w:tcW w:w="50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12,256,837</w:t>
            </w:r>
          </w:p>
        </w:tc>
      </w:tr>
      <w:tr>
        <w:trPr>
          <w:trHeight w:val="325"/>
        </w:trPr>
        <w:tc>
          <w:tcPr>
            <w:tcW w:w="4680" w:type="dxa"/>
            <w:vAlign w:val="bottom"/>
            <w:tcBorders>
              <w:bottom w:val="single" w:sz="8" w:color="838383"/>
            </w:tcBorders>
          </w:tcPr>
          <w:p>
            <w:pPr>
              <w:ind w:left="280"/>
              <w:spacing w:after="0"/>
              <w:rPr>
                <w:sz w:val="20"/>
                <w:szCs w:val="20"/>
                <w:color w:val="auto"/>
              </w:rPr>
            </w:pPr>
            <w:r>
              <w:rPr>
                <w:rFonts w:ascii="Times New Roman" w:cs="Times New Roman" w:eastAsia="Times New Roman" w:hAnsi="Times New Roman"/>
                <w:sz w:val="18"/>
                <w:szCs w:val="18"/>
                <w:color w:val="262626"/>
              </w:rPr>
              <w:t>Income before provision for income taxes</w:t>
            </w:r>
          </w:p>
        </w:tc>
        <w:tc>
          <w:tcPr>
            <w:tcW w:w="42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369,723,076</w:t>
            </w:r>
          </w:p>
        </w:tc>
        <w:tc>
          <w:tcPr>
            <w:tcW w:w="50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416,351,736</w:t>
            </w:r>
          </w:p>
        </w:tc>
        <w:tc>
          <w:tcPr>
            <w:tcW w:w="5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411,812,929</w:t>
            </w:r>
          </w:p>
        </w:tc>
      </w:tr>
      <w:tr>
        <w:trPr>
          <w:trHeight w:val="335"/>
        </w:trPr>
        <w:tc>
          <w:tcPr>
            <w:tcW w:w="4680" w:type="dxa"/>
            <w:vAlign w:val="bottom"/>
            <w:tcBorders>
              <w:bottom w:val="single" w:sz="8" w:color="838383"/>
            </w:tcBorders>
          </w:tcPr>
          <w:p>
            <w:pPr>
              <w:spacing w:after="0"/>
              <w:rPr>
                <w:sz w:val="20"/>
                <w:szCs w:val="20"/>
                <w:color w:val="auto"/>
              </w:rPr>
            </w:pPr>
            <w:r>
              <w:rPr>
                <w:rFonts w:ascii="Arial" w:cs="Arial" w:eastAsia="Arial" w:hAnsi="Arial"/>
                <w:sz w:val="17"/>
                <w:szCs w:val="17"/>
                <w:b w:val="1"/>
                <w:bCs w:val="1"/>
                <w:color w:val="838383"/>
              </w:rPr>
              <w:t>PROVISION FOR INCOME TAXES</w:t>
            </w:r>
          </w:p>
        </w:tc>
        <w:tc>
          <w:tcPr>
            <w:tcW w:w="42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50,965,724</w:t>
            </w:r>
          </w:p>
        </w:tc>
        <w:tc>
          <w:tcPr>
            <w:tcW w:w="50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55,554,504</w:t>
            </w:r>
          </w:p>
        </w:tc>
        <w:tc>
          <w:tcPr>
            <w:tcW w:w="50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64,249,308</w:t>
            </w:r>
          </w:p>
        </w:tc>
      </w:tr>
      <w:tr>
        <w:trPr>
          <w:trHeight w:val="355"/>
        </w:trPr>
        <w:tc>
          <w:tcPr>
            <w:tcW w:w="4680" w:type="dxa"/>
            <w:vAlign w:val="bottom"/>
            <w:tcBorders>
              <w:bottom w:val="single" w:sz="8" w:color="838383"/>
            </w:tcBorders>
          </w:tcPr>
          <w:p>
            <w:pPr>
              <w:spacing w:after="0"/>
              <w:rPr>
                <w:sz w:val="20"/>
                <w:szCs w:val="20"/>
                <w:color w:val="auto"/>
              </w:rPr>
            </w:pPr>
            <w:r>
              <w:rPr>
                <w:rFonts w:ascii="Arial" w:cs="Arial" w:eastAsia="Arial" w:hAnsi="Arial"/>
                <w:sz w:val="17"/>
                <w:szCs w:val="17"/>
                <w:b w:val="1"/>
                <w:bCs w:val="1"/>
                <w:color w:val="838383"/>
              </w:rPr>
              <w:t>NET INCOME</w:t>
            </w:r>
          </w:p>
        </w:tc>
        <w:tc>
          <w:tcPr>
            <w:tcW w:w="42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318,757,352</w:t>
            </w:r>
          </w:p>
        </w:tc>
        <w:tc>
          <w:tcPr>
            <w:tcW w:w="500" w:type="dxa"/>
            <w:vAlign w:val="bottom"/>
            <w:tcBorders>
              <w:bottom w:val="single" w:sz="8" w:color="8F8F8F"/>
            </w:tcBorders>
          </w:tcPr>
          <w:p>
            <w:pPr>
              <w:spacing w:after="0"/>
              <w:rPr>
                <w:sz w:val="24"/>
                <w:szCs w:val="24"/>
                <w:color w:val="auto"/>
              </w:rPr>
            </w:pP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360,797,232</w:t>
            </w:r>
          </w:p>
        </w:tc>
        <w:tc>
          <w:tcPr>
            <w:tcW w:w="50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347,563,621</w:t>
            </w:r>
          </w:p>
        </w:tc>
      </w:tr>
      <w:tr>
        <w:trPr>
          <w:trHeight w:val="296"/>
        </w:trPr>
        <w:tc>
          <w:tcPr>
            <w:tcW w:w="4680" w:type="dxa"/>
            <w:vAlign w:val="bottom"/>
          </w:tcPr>
          <w:p>
            <w:pPr>
              <w:spacing w:after="0"/>
              <w:rPr>
                <w:sz w:val="20"/>
                <w:szCs w:val="20"/>
                <w:color w:val="auto"/>
              </w:rPr>
            </w:pPr>
            <w:r>
              <w:rPr>
                <w:rFonts w:ascii="Arial" w:cs="Arial" w:eastAsia="Arial" w:hAnsi="Arial"/>
                <w:sz w:val="17"/>
                <w:szCs w:val="17"/>
                <w:b w:val="1"/>
                <w:bCs w:val="1"/>
                <w:color w:val="838383"/>
              </w:rPr>
              <w:t>EARNINGS PER SHARE</w:t>
            </w:r>
            <w:r>
              <w:rPr>
                <w:rFonts w:ascii="Arial" w:cs="Arial" w:eastAsia="Arial" w:hAnsi="Arial"/>
                <w:sz w:val="19"/>
                <w:szCs w:val="19"/>
                <w:b w:val="1"/>
                <w:bCs w:val="1"/>
                <w:color w:val="838383"/>
                <w:vertAlign w:val="superscript"/>
              </w:rPr>
              <w:t>(1)</w:t>
            </w:r>
            <w:r>
              <w:rPr>
                <w:rFonts w:ascii="Arial" w:cs="Arial" w:eastAsia="Arial" w:hAnsi="Arial"/>
                <w:sz w:val="17"/>
                <w:szCs w:val="17"/>
                <w:b w:val="1"/>
                <w:bCs w:val="1"/>
                <w:color w:val="838383"/>
              </w:rPr>
              <w:t>:</w:t>
            </w: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4"/>
        </w:trPr>
        <w:tc>
          <w:tcPr>
            <w:tcW w:w="4680" w:type="dxa"/>
            <w:vAlign w:val="bottom"/>
            <w:tcBorders>
              <w:bottom w:val="single" w:sz="8" w:color="838383"/>
            </w:tcBorders>
          </w:tcPr>
          <w:p>
            <w:pPr>
              <w:spacing w:after="0"/>
              <w:rPr>
                <w:sz w:val="2"/>
                <w:szCs w:val="2"/>
                <w:color w:val="auto"/>
              </w:rPr>
            </w:pPr>
          </w:p>
        </w:tc>
        <w:tc>
          <w:tcPr>
            <w:tcW w:w="420" w:type="dxa"/>
            <w:vAlign w:val="bottom"/>
            <w:tcBorders>
              <w:bottom w:val="single" w:sz="8" w:color="838383"/>
            </w:tcBorders>
          </w:tcPr>
          <w:p>
            <w:pPr>
              <w:spacing w:after="0"/>
              <w:rPr>
                <w:sz w:val="2"/>
                <w:szCs w:val="2"/>
                <w:color w:val="auto"/>
              </w:rPr>
            </w:pPr>
          </w:p>
        </w:tc>
        <w:tc>
          <w:tcPr>
            <w:tcW w:w="1480" w:type="dxa"/>
            <w:vAlign w:val="bottom"/>
            <w:tcBorders>
              <w:bottom w:val="single" w:sz="8" w:color="838383"/>
            </w:tcBorders>
          </w:tcPr>
          <w:p>
            <w:pPr>
              <w:spacing w:after="0"/>
              <w:rPr>
                <w:sz w:val="2"/>
                <w:szCs w:val="2"/>
                <w:color w:val="auto"/>
              </w:rPr>
            </w:pPr>
          </w:p>
        </w:tc>
        <w:tc>
          <w:tcPr>
            <w:tcW w:w="500" w:type="dxa"/>
            <w:vAlign w:val="bottom"/>
            <w:tcBorders>
              <w:bottom w:val="single" w:sz="8" w:color="838383"/>
            </w:tcBorders>
          </w:tcPr>
          <w:p>
            <w:pPr>
              <w:spacing w:after="0"/>
              <w:rPr>
                <w:sz w:val="2"/>
                <w:szCs w:val="2"/>
                <w:color w:val="auto"/>
              </w:rPr>
            </w:pPr>
          </w:p>
        </w:tc>
        <w:tc>
          <w:tcPr>
            <w:tcW w:w="1480" w:type="dxa"/>
            <w:vAlign w:val="bottom"/>
            <w:tcBorders>
              <w:bottom w:val="single" w:sz="8" w:color="838383"/>
            </w:tcBorders>
          </w:tcPr>
          <w:p>
            <w:pPr>
              <w:spacing w:after="0"/>
              <w:rPr>
                <w:sz w:val="2"/>
                <w:szCs w:val="2"/>
                <w:color w:val="auto"/>
              </w:rPr>
            </w:pPr>
          </w:p>
        </w:tc>
        <w:tc>
          <w:tcPr>
            <w:tcW w:w="500" w:type="dxa"/>
            <w:vAlign w:val="bottom"/>
            <w:tcBorders>
              <w:bottom w:val="single" w:sz="8" w:color="838383"/>
            </w:tcBorders>
          </w:tcPr>
          <w:p>
            <w:pPr>
              <w:spacing w:after="0"/>
              <w:rPr>
                <w:sz w:val="2"/>
                <w:szCs w:val="2"/>
                <w:color w:val="auto"/>
              </w:rPr>
            </w:pPr>
          </w:p>
        </w:tc>
        <w:tc>
          <w:tcPr>
            <w:tcW w:w="1380" w:type="dxa"/>
            <w:vAlign w:val="bottom"/>
            <w:tcBorders>
              <w:bottom w:val="single" w:sz="8" w:color="838383"/>
            </w:tcBorders>
          </w:tcPr>
          <w:p>
            <w:pPr>
              <w:spacing w:after="0"/>
              <w:rPr>
                <w:sz w:val="2"/>
                <w:szCs w:val="2"/>
                <w:color w:val="auto"/>
              </w:rPr>
            </w:pPr>
          </w:p>
        </w:tc>
      </w:tr>
      <w:tr>
        <w:trPr>
          <w:trHeight w:val="350"/>
        </w:trPr>
        <w:tc>
          <w:tcPr>
            <w:tcW w:w="4680" w:type="dxa"/>
            <w:vAlign w:val="bottom"/>
            <w:tcBorders>
              <w:bottom w:val="single" w:sz="8" w:color="838383"/>
            </w:tcBorders>
          </w:tcPr>
          <w:p>
            <w:pPr>
              <w:ind w:left="280"/>
              <w:spacing w:after="0"/>
              <w:rPr>
                <w:sz w:val="20"/>
                <w:szCs w:val="20"/>
                <w:color w:val="auto"/>
              </w:rPr>
            </w:pPr>
            <w:r>
              <w:rPr>
                <w:rFonts w:ascii="Times New Roman" w:cs="Times New Roman" w:eastAsia="Times New Roman" w:hAnsi="Times New Roman"/>
                <w:sz w:val="18"/>
                <w:szCs w:val="18"/>
                <w:color w:val="262626"/>
              </w:rPr>
              <w:t>Basic</w:t>
            </w:r>
          </w:p>
        </w:tc>
        <w:tc>
          <w:tcPr>
            <w:tcW w:w="420" w:type="dxa"/>
            <w:vAlign w:val="bottom"/>
            <w:tcBorders>
              <w:bottom w:val="single" w:sz="8" w:color="8F8F8F"/>
            </w:tcBorders>
          </w:tcPr>
          <w:p>
            <w:pPr>
              <w:jc w:val="right"/>
              <w:ind w:right="230"/>
              <w:spacing w:after="0"/>
              <w:rPr>
                <w:sz w:val="20"/>
                <w:szCs w:val="20"/>
                <w:color w:val="auto"/>
              </w:rPr>
            </w:pPr>
            <w:r>
              <w:rPr>
                <w:rFonts w:ascii="Times New Roman" w:cs="Times New Roman" w:eastAsia="Times New Roman" w:hAnsi="Times New Roman"/>
                <w:sz w:val="18"/>
                <w:szCs w:val="18"/>
                <w:color w:val="262626"/>
                <w:w w:val="88"/>
              </w:rPr>
              <w:t>$</w:t>
            </w: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1.36</w:t>
            </w:r>
          </w:p>
        </w:tc>
        <w:tc>
          <w:tcPr>
            <w:tcW w:w="500" w:type="dxa"/>
            <w:vAlign w:val="bottom"/>
            <w:tcBorders>
              <w:bottom w:val="single" w:sz="8" w:color="8F8F8F"/>
            </w:tcBorders>
          </w:tcPr>
          <w:p>
            <w:pPr>
              <w:jc w:val="right"/>
              <w:ind w:right="230"/>
              <w:spacing w:after="0"/>
              <w:rPr>
                <w:sz w:val="20"/>
                <w:szCs w:val="20"/>
                <w:color w:val="auto"/>
              </w:rPr>
            </w:pPr>
            <w:r>
              <w:rPr>
                <w:rFonts w:ascii="Times New Roman" w:cs="Times New Roman" w:eastAsia="Times New Roman" w:hAnsi="Times New Roman"/>
                <w:sz w:val="18"/>
                <w:szCs w:val="18"/>
                <w:color w:val="262626"/>
              </w:rPr>
              <w:t>$</w:t>
            </w: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1.51</w:t>
            </w:r>
          </w:p>
        </w:tc>
        <w:tc>
          <w:tcPr>
            <w:tcW w:w="500" w:type="dxa"/>
            <w:vAlign w:val="bottom"/>
            <w:tcBorders>
              <w:bottom w:val="single" w:sz="8" w:color="8F8F8F"/>
            </w:tcBorders>
          </w:tcPr>
          <w:p>
            <w:pPr>
              <w:jc w:val="right"/>
              <w:ind w:right="230"/>
              <w:spacing w:after="0"/>
              <w:rPr>
                <w:sz w:val="20"/>
                <w:szCs w:val="20"/>
                <w:color w:val="auto"/>
              </w:rPr>
            </w:pPr>
            <w:r>
              <w:rPr>
                <w:rFonts w:ascii="Times New Roman" w:cs="Times New Roman" w:eastAsia="Times New Roman" w:hAnsi="Times New Roman"/>
                <w:sz w:val="18"/>
                <w:szCs w:val="18"/>
                <w:color w:val="262626"/>
              </w:rPr>
              <w:t>$</w:t>
            </w: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1.41</w:t>
            </w:r>
          </w:p>
        </w:tc>
      </w:tr>
      <w:tr>
        <w:trPr>
          <w:trHeight w:val="340"/>
        </w:trPr>
        <w:tc>
          <w:tcPr>
            <w:tcW w:w="4680" w:type="dxa"/>
            <w:vAlign w:val="bottom"/>
            <w:tcBorders>
              <w:bottom w:val="single" w:sz="8" w:color="838383"/>
            </w:tcBorders>
          </w:tcPr>
          <w:p>
            <w:pPr>
              <w:ind w:left="280"/>
              <w:spacing w:after="0"/>
              <w:rPr>
                <w:sz w:val="20"/>
                <w:szCs w:val="20"/>
                <w:color w:val="auto"/>
              </w:rPr>
            </w:pPr>
            <w:r>
              <w:rPr>
                <w:rFonts w:ascii="Times New Roman" w:cs="Times New Roman" w:eastAsia="Times New Roman" w:hAnsi="Times New Roman"/>
                <w:sz w:val="18"/>
                <w:szCs w:val="18"/>
                <w:color w:val="262626"/>
              </w:rPr>
              <w:t>Diluted</w:t>
            </w:r>
          </w:p>
        </w:tc>
        <w:tc>
          <w:tcPr>
            <w:tcW w:w="420" w:type="dxa"/>
            <w:vAlign w:val="bottom"/>
            <w:tcBorders>
              <w:bottom w:val="single" w:sz="8" w:color="8F8F8F"/>
            </w:tcBorders>
          </w:tcPr>
          <w:p>
            <w:pPr>
              <w:jc w:val="right"/>
              <w:ind w:right="230"/>
              <w:spacing w:after="0"/>
              <w:rPr>
                <w:sz w:val="20"/>
                <w:szCs w:val="20"/>
                <w:color w:val="auto"/>
              </w:rPr>
            </w:pPr>
            <w:r>
              <w:rPr>
                <w:rFonts w:ascii="Times New Roman" w:cs="Times New Roman" w:eastAsia="Times New Roman" w:hAnsi="Times New Roman"/>
                <w:sz w:val="18"/>
                <w:szCs w:val="18"/>
                <w:color w:val="262626"/>
                <w:w w:val="88"/>
              </w:rPr>
              <w:t>$</w:t>
            </w: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1.36</w:t>
            </w:r>
          </w:p>
        </w:tc>
        <w:tc>
          <w:tcPr>
            <w:tcW w:w="500" w:type="dxa"/>
            <w:vAlign w:val="bottom"/>
            <w:tcBorders>
              <w:bottom w:val="single" w:sz="8" w:color="8F8F8F"/>
            </w:tcBorders>
          </w:tcPr>
          <w:p>
            <w:pPr>
              <w:jc w:val="right"/>
              <w:ind w:right="230"/>
              <w:spacing w:after="0"/>
              <w:rPr>
                <w:sz w:val="20"/>
                <w:szCs w:val="20"/>
                <w:color w:val="auto"/>
              </w:rPr>
            </w:pPr>
            <w:r>
              <w:rPr>
                <w:rFonts w:ascii="Times New Roman" w:cs="Times New Roman" w:eastAsia="Times New Roman" w:hAnsi="Times New Roman"/>
                <w:sz w:val="18"/>
                <w:szCs w:val="18"/>
                <w:color w:val="262626"/>
              </w:rPr>
              <w:t>$</w:t>
            </w:r>
          </w:p>
        </w:tc>
        <w:tc>
          <w:tcPr>
            <w:tcW w:w="1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1.50</w:t>
            </w:r>
          </w:p>
        </w:tc>
        <w:tc>
          <w:tcPr>
            <w:tcW w:w="500" w:type="dxa"/>
            <w:vAlign w:val="bottom"/>
            <w:tcBorders>
              <w:bottom w:val="single" w:sz="8" w:color="8F8F8F"/>
            </w:tcBorders>
          </w:tcPr>
          <w:p>
            <w:pPr>
              <w:jc w:val="right"/>
              <w:ind w:right="230"/>
              <w:spacing w:after="0"/>
              <w:rPr>
                <w:sz w:val="20"/>
                <w:szCs w:val="20"/>
                <w:color w:val="auto"/>
              </w:rPr>
            </w:pPr>
            <w:r>
              <w:rPr>
                <w:rFonts w:ascii="Times New Roman" w:cs="Times New Roman" w:eastAsia="Times New Roman" w:hAnsi="Times New Roman"/>
                <w:sz w:val="18"/>
                <w:szCs w:val="18"/>
                <w:color w:val="262626"/>
              </w:rPr>
              <w:t>$</w:t>
            </w: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1.41</w:t>
            </w:r>
          </w:p>
        </w:tc>
      </w:tr>
      <w:tr>
        <w:trPr>
          <w:trHeight w:val="35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262626"/>
              </w:rPr>
              <w:t>Cash Dividends Declared per Share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262626"/>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0.48</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262626"/>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0.48</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262626"/>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0.48</w:t>
            </w:r>
          </w:p>
        </w:tc>
      </w:tr>
    </w:tbl>
    <w:p>
      <w:pPr>
        <w:spacing w:after="0" w:line="119" w:lineRule="exact"/>
        <w:rPr>
          <w:sz w:val="20"/>
          <w:szCs w:val="20"/>
          <w:color w:val="auto"/>
        </w:rPr>
      </w:pPr>
    </w:p>
    <w:p>
      <w:pPr>
        <w:ind w:left="500" w:hanging="180"/>
        <w:spacing w:after="0"/>
        <w:tabs>
          <w:tab w:leader="none" w:pos="500" w:val="left"/>
        </w:tabs>
        <w:numPr>
          <w:ilvl w:val="0"/>
          <w:numId w:val="19"/>
        </w:numPr>
        <w:rPr>
          <w:rFonts w:ascii="Times New Roman" w:cs="Times New Roman" w:eastAsia="Times New Roman" w:hAnsi="Times New Roman"/>
          <w:sz w:val="16"/>
          <w:szCs w:val="16"/>
          <w:color w:val="838383"/>
          <w:vertAlign w:val="superscript"/>
        </w:rPr>
      </w:pPr>
      <w:r>
        <w:rPr>
          <w:rFonts w:ascii="Times New Roman" w:cs="Times New Roman" w:eastAsia="Times New Roman" w:hAnsi="Times New Roman"/>
          <w:sz w:val="14"/>
          <w:szCs w:val="14"/>
          <w:color w:val="838383"/>
        </w:rPr>
        <w:t>Earnings Per Share has been adjusted to exclude the portion of net income allocated to participating securities as a result of share-based payment awards</w:t>
      </w:r>
    </w:p>
    <w:p>
      <w:pPr>
        <w:spacing w:after="0" w:line="322" w:lineRule="exact"/>
        <w:rPr>
          <w:sz w:val="20"/>
          <w:szCs w:val="20"/>
          <w:color w:val="auto"/>
        </w:rPr>
      </w:pPr>
    </w:p>
    <w:p>
      <w:pPr>
        <w:ind w:left="320" w:right="2440"/>
        <w:spacing w:after="0" w:line="333" w:lineRule="auto"/>
        <w:rPr>
          <w:sz w:val="20"/>
          <w:szCs w:val="20"/>
          <w:color w:val="auto"/>
        </w:rPr>
      </w:pPr>
      <w:r>
        <w:rPr>
          <w:rFonts w:ascii="Arial" w:cs="Arial" w:eastAsia="Arial" w:hAnsi="Arial"/>
          <w:sz w:val="17"/>
          <w:szCs w:val="17"/>
          <w:b w:val="1"/>
          <w:bCs w:val="1"/>
          <w:color w:val="858585"/>
        </w:rPr>
        <w:t>GENTEX CORPORATION AND SUBSIDIARIES CONSOLIDATED STATEMENTS OF COMPREHENSIVE INCOME FOR THE YEARS ENDED DECEMBER 31, 2022, 2021 AND 2020</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838383"/>
        </w:rPr>
        <w:t>The accompanying notes are an integral part of these consolidated financial statements.</w:t>
      </w:r>
    </w:p>
    <w:p>
      <w:pPr>
        <w:spacing w:after="0" w:line="303" w:lineRule="exact"/>
        <w:rPr>
          <w:sz w:val="20"/>
          <w:szCs w:val="20"/>
          <w:color w:val="auto"/>
        </w:rPr>
      </w:pPr>
    </w:p>
    <w:tbl>
      <w:tblPr>
        <w:tblLayout w:type="fixed"/>
        <w:tblInd w:w="320" w:type="dxa"/>
        <w:tblCellMar>
          <w:top w:w="0" w:type="dxa"/>
          <w:left w:w="0" w:type="dxa"/>
          <w:bottom w:w="0" w:type="dxa"/>
          <w:right w:w="0" w:type="dxa"/>
        </w:tblCellMar>
      </w:tblPr>
      <w:tr>
        <w:trPr>
          <w:trHeight w:val="290"/>
        </w:trPr>
        <w:tc>
          <w:tcPr>
            <w:tcW w:w="4680" w:type="dxa"/>
            <w:vAlign w:val="bottom"/>
            <w:tcBorders>
              <w:bottom w:val="single" w:sz="8" w:color="838383"/>
            </w:tcBorders>
          </w:tcPr>
          <w:p>
            <w:pPr>
              <w:spacing w:after="0"/>
              <w:rPr>
                <w:sz w:val="24"/>
                <w:szCs w:val="24"/>
                <w:color w:val="auto"/>
              </w:rPr>
            </w:pPr>
          </w:p>
        </w:tc>
        <w:tc>
          <w:tcPr>
            <w:tcW w:w="500" w:type="dxa"/>
            <w:vAlign w:val="bottom"/>
            <w:tcBorders>
              <w:bottom w:val="single" w:sz="8" w:color="838383"/>
            </w:tcBorders>
          </w:tcPr>
          <w:p>
            <w:pPr>
              <w:spacing w:after="0"/>
              <w:rPr>
                <w:sz w:val="24"/>
                <w:szCs w:val="24"/>
                <w:color w:val="auto"/>
              </w:rPr>
            </w:pPr>
          </w:p>
        </w:tc>
        <w:tc>
          <w:tcPr>
            <w:tcW w:w="1400" w:type="dxa"/>
            <w:vAlign w:val="bottom"/>
            <w:tcBorders>
              <w:bottom w:val="single" w:sz="8" w:color="838383"/>
            </w:tcBorders>
          </w:tcPr>
          <w:p>
            <w:pPr>
              <w:jc w:val="right"/>
              <w:ind w:right="10"/>
              <w:spacing w:after="0"/>
              <w:rPr>
                <w:sz w:val="20"/>
                <w:szCs w:val="20"/>
                <w:color w:val="auto"/>
              </w:rPr>
            </w:pPr>
            <w:r>
              <w:rPr>
                <w:rFonts w:ascii="Arial" w:cs="Arial" w:eastAsia="Arial" w:hAnsi="Arial"/>
                <w:sz w:val="18"/>
                <w:szCs w:val="18"/>
                <w:b w:val="1"/>
                <w:bCs w:val="1"/>
                <w:color w:val="262626"/>
              </w:rPr>
              <w:t>2022</w:t>
            </w:r>
          </w:p>
        </w:tc>
        <w:tc>
          <w:tcPr>
            <w:tcW w:w="6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ind w:right="10"/>
              <w:spacing w:after="0"/>
              <w:rPr>
                <w:sz w:val="20"/>
                <w:szCs w:val="20"/>
                <w:color w:val="auto"/>
              </w:rPr>
            </w:pPr>
            <w:r>
              <w:rPr>
                <w:rFonts w:ascii="Arial" w:cs="Arial" w:eastAsia="Arial" w:hAnsi="Arial"/>
                <w:sz w:val="18"/>
                <w:szCs w:val="18"/>
                <w:b w:val="1"/>
                <w:bCs w:val="1"/>
                <w:color w:val="262626"/>
              </w:rPr>
              <w:t>2021</w:t>
            </w:r>
          </w:p>
        </w:tc>
        <w:tc>
          <w:tcPr>
            <w:tcW w:w="600" w:type="dxa"/>
            <w:vAlign w:val="bottom"/>
            <w:tcBorders>
              <w:bottom w:val="single" w:sz="8" w:color="838383"/>
            </w:tcBorders>
          </w:tcPr>
          <w:p>
            <w:pPr>
              <w:spacing w:after="0"/>
              <w:rPr>
                <w:sz w:val="24"/>
                <w:szCs w:val="24"/>
                <w:color w:val="auto"/>
              </w:rPr>
            </w:pPr>
          </w:p>
        </w:tc>
        <w:tc>
          <w:tcPr>
            <w:tcW w:w="1280" w:type="dxa"/>
            <w:vAlign w:val="bottom"/>
            <w:tcBorders>
              <w:bottom w:val="single" w:sz="8" w:color="838383"/>
            </w:tcBorders>
          </w:tcPr>
          <w:p>
            <w:pPr>
              <w:jc w:val="right"/>
              <w:spacing w:after="0"/>
              <w:rPr>
                <w:sz w:val="20"/>
                <w:szCs w:val="20"/>
                <w:color w:val="auto"/>
              </w:rPr>
            </w:pPr>
            <w:r>
              <w:rPr>
                <w:rFonts w:ascii="Arial" w:cs="Arial" w:eastAsia="Arial" w:hAnsi="Arial"/>
                <w:sz w:val="18"/>
                <w:szCs w:val="18"/>
                <w:b w:val="1"/>
                <w:bCs w:val="1"/>
                <w:color w:val="262626"/>
              </w:rPr>
              <w:t>2020</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Net income</w:t>
            </w:r>
          </w:p>
        </w:tc>
        <w:tc>
          <w:tcPr>
            <w:tcW w:w="500" w:type="dxa"/>
            <w:vAlign w:val="bottom"/>
            <w:tcBorders>
              <w:bottom w:val="single" w:sz="8" w:color="838383"/>
            </w:tcBorders>
          </w:tcPr>
          <w:p>
            <w:pPr>
              <w:jc w:val="right"/>
              <w:ind w:right="270"/>
              <w:spacing w:after="0"/>
              <w:rPr>
                <w:sz w:val="20"/>
                <w:szCs w:val="20"/>
                <w:color w:val="auto"/>
              </w:rPr>
            </w:pPr>
            <w:r>
              <w:rPr>
                <w:rFonts w:ascii="Times New Roman" w:cs="Times New Roman" w:eastAsia="Times New Roman" w:hAnsi="Times New Roman"/>
                <w:sz w:val="18"/>
                <w:szCs w:val="18"/>
                <w:color w:val="262626"/>
              </w:rPr>
              <w:t>$</w:t>
            </w:r>
          </w:p>
        </w:tc>
        <w:tc>
          <w:tcPr>
            <w:tcW w:w="14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318,757,352</w:t>
            </w:r>
          </w:p>
        </w:tc>
        <w:tc>
          <w:tcPr>
            <w:tcW w:w="600" w:type="dxa"/>
            <w:vAlign w:val="bottom"/>
            <w:tcBorders>
              <w:bottom w:val="single" w:sz="8" w:color="838383"/>
            </w:tcBorders>
          </w:tcPr>
          <w:p>
            <w:pPr>
              <w:jc w:val="right"/>
              <w:ind w:right="290"/>
              <w:spacing w:after="0"/>
              <w:rPr>
                <w:sz w:val="20"/>
                <w:szCs w:val="20"/>
                <w:color w:val="auto"/>
              </w:rPr>
            </w:pPr>
            <w:r>
              <w:rPr>
                <w:rFonts w:ascii="Times New Roman" w:cs="Times New Roman" w:eastAsia="Times New Roman" w:hAnsi="Times New Roman"/>
                <w:sz w:val="18"/>
                <w:szCs w:val="18"/>
                <w:color w:val="262626"/>
              </w:rPr>
              <w:t>$</w:t>
            </w:r>
          </w:p>
        </w:tc>
        <w:tc>
          <w:tcPr>
            <w:tcW w:w="13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360,797,232</w:t>
            </w:r>
          </w:p>
        </w:tc>
        <w:tc>
          <w:tcPr>
            <w:tcW w:w="600" w:type="dxa"/>
            <w:vAlign w:val="bottom"/>
            <w:tcBorders>
              <w:bottom w:val="single" w:sz="8" w:color="838383"/>
            </w:tcBorders>
          </w:tcPr>
          <w:p>
            <w:pPr>
              <w:jc w:val="right"/>
              <w:ind w:right="290"/>
              <w:spacing w:after="0"/>
              <w:rPr>
                <w:sz w:val="20"/>
                <w:szCs w:val="20"/>
                <w:color w:val="auto"/>
              </w:rPr>
            </w:pPr>
            <w:r>
              <w:rPr>
                <w:rFonts w:ascii="Times New Roman" w:cs="Times New Roman" w:eastAsia="Times New Roman" w:hAnsi="Times New Roman"/>
                <w:sz w:val="18"/>
                <w:szCs w:val="18"/>
                <w:color w:val="262626"/>
              </w:rPr>
              <w:t>$</w:t>
            </w:r>
          </w:p>
        </w:tc>
        <w:tc>
          <w:tcPr>
            <w:tcW w:w="12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347,563,621</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Other comprehensive (loss) income before tax:</w:t>
            </w:r>
          </w:p>
        </w:tc>
        <w:tc>
          <w:tcPr>
            <w:tcW w:w="500" w:type="dxa"/>
            <w:vAlign w:val="bottom"/>
            <w:tcBorders>
              <w:bottom w:val="single" w:sz="8" w:color="838383"/>
            </w:tcBorders>
          </w:tcPr>
          <w:p>
            <w:pPr>
              <w:spacing w:after="0"/>
              <w:rPr>
                <w:sz w:val="24"/>
                <w:szCs w:val="24"/>
                <w:color w:val="auto"/>
              </w:rPr>
            </w:pPr>
          </w:p>
        </w:tc>
        <w:tc>
          <w:tcPr>
            <w:tcW w:w="1400" w:type="dxa"/>
            <w:vAlign w:val="bottom"/>
            <w:tcBorders>
              <w:bottom w:val="single" w:sz="8" w:color="838383"/>
            </w:tcBorders>
          </w:tcPr>
          <w:p>
            <w:pPr>
              <w:spacing w:after="0"/>
              <w:rPr>
                <w:sz w:val="24"/>
                <w:szCs w:val="24"/>
                <w:color w:val="auto"/>
              </w:rPr>
            </w:pPr>
          </w:p>
        </w:tc>
        <w:tc>
          <w:tcPr>
            <w:tcW w:w="6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spacing w:after="0"/>
              <w:rPr>
                <w:sz w:val="24"/>
                <w:szCs w:val="24"/>
                <w:color w:val="auto"/>
              </w:rPr>
            </w:pPr>
          </w:p>
        </w:tc>
        <w:tc>
          <w:tcPr>
            <w:tcW w:w="600" w:type="dxa"/>
            <w:vAlign w:val="bottom"/>
            <w:tcBorders>
              <w:bottom w:val="single" w:sz="8" w:color="838383"/>
            </w:tcBorders>
          </w:tcPr>
          <w:p>
            <w:pPr>
              <w:spacing w:after="0"/>
              <w:rPr>
                <w:sz w:val="24"/>
                <w:szCs w:val="24"/>
                <w:color w:val="auto"/>
              </w:rPr>
            </w:pPr>
          </w:p>
        </w:tc>
        <w:tc>
          <w:tcPr>
            <w:tcW w:w="1280" w:type="dxa"/>
            <w:vAlign w:val="bottom"/>
            <w:tcBorders>
              <w:bottom w:val="single" w:sz="8" w:color="838383"/>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80" w:type="dxa"/>
            <w:vAlign w:val="bottom"/>
            <w:tcBorders>
              <w:bottom w:val="single" w:sz="8" w:color="838383"/>
            </w:tcBorders>
          </w:tcPr>
          <w:p>
            <w:pPr>
              <w:ind w:left="280"/>
              <w:spacing w:after="0"/>
              <w:rPr>
                <w:sz w:val="20"/>
                <w:szCs w:val="20"/>
                <w:color w:val="auto"/>
              </w:rPr>
            </w:pPr>
            <w:r>
              <w:rPr>
                <w:rFonts w:ascii="Times New Roman" w:cs="Times New Roman" w:eastAsia="Times New Roman" w:hAnsi="Times New Roman"/>
                <w:sz w:val="18"/>
                <w:szCs w:val="18"/>
                <w:color w:val="262626"/>
              </w:rPr>
              <w:t>Foreign currency translation adjustments</w:t>
            </w:r>
          </w:p>
        </w:tc>
        <w:tc>
          <w:tcPr>
            <w:tcW w:w="500" w:type="dxa"/>
            <w:vAlign w:val="bottom"/>
            <w:tcBorders>
              <w:bottom w:val="single" w:sz="8" w:color="838383"/>
            </w:tcBorders>
          </w:tcPr>
          <w:p>
            <w:pPr>
              <w:spacing w:after="0"/>
              <w:rPr>
                <w:sz w:val="24"/>
                <w:szCs w:val="24"/>
                <w:color w:val="auto"/>
              </w:rPr>
            </w:pPr>
          </w:p>
        </w:tc>
        <w:tc>
          <w:tcPr>
            <w:tcW w:w="14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(4,952,828)</w:t>
            </w:r>
          </w:p>
        </w:tc>
        <w:tc>
          <w:tcPr>
            <w:tcW w:w="6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151,544</w:t>
            </w:r>
          </w:p>
        </w:tc>
        <w:tc>
          <w:tcPr>
            <w:tcW w:w="600" w:type="dxa"/>
            <w:vAlign w:val="bottom"/>
            <w:tcBorders>
              <w:bottom w:val="single" w:sz="8" w:color="838383"/>
            </w:tcBorders>
          </w:tcPr>
          <w:p>
            <w:pPr>
              <w:spacing w:after="0"/>
              <w:rPr>
                <w:sz w:val="24"/>
                <w:szCs w:val="24"/>
                <w:color w:val="auto"/>
              </w:rPr>
            </w:pPr>
          </w:p>
        </w:tc>
        <w:tc>
          <w:tcPr>
            <w:tcW w:w="12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3,153,634</w:t>
            </w:r>
          </w:p>
        </w:tc>
        <w:tc>
          <w:tcPr>
            <w:tcW w:w="0" w:type="dxa"/>
            <w:vAlign w:val="bottom"/>
          </w:tcPr>
          <w:p>
            <w:pPr>
              <w:spacing w:after="0"/>
              <w:rPr>
                <w:sz w:val="1"/>
                <w:szCs w:val="1"/>
                <w:color w:val="auto"/>
              </w:rPr>
            </w:pPr>
          </w:p>
        </w:tc>
      </w:tr>
      <w:tr>
        <w:trPr>
          <w:trHeight w:val="355"/>
        </w:trPr>
        <w:tc>
          <w:tcPr>
            <w:tcW w:w="4680" w:type="dxa"/>
            <w:vAlign w:val="bottom"/>
            <w:tcBorders>
              <w:bottom w:val="single" w:sz="8" w:color="838383"/>
            </w:tcBorders>
          </w:tcPr>
          <w:p>
            <w:pPr>
              <w:ind w:left="280"/>
              <w:spacing w:after="0"/>
              <w:rPr>
                <w:sz w:val="20"/>
                <w:szCs w:val="20"/>
                <w:color w:val="auto"/>
              </w:rPr>
            </w:pPr>
            <w:r>
              <w:rPr>
                <w:rFonts w:ascii="Times New Roman" w:cs="Times New Roman" w:eastAsia="Times New Roman" w:hAnsi="Times New Roman"/>
                <w:sz w:val="18"/>
                <w:szCs w:val="18"/>
                <w:color w:val="262626"/>
              </w:rPr>
              <w:t>Unrealized (losses) gains on available-for-sale securities, net</w:t>
            </w:r>
          </w:p>
        </w:tc>
        <w:tc>
          <w:tcPr>
            <w:tcW w:w="500" w:type="dxa"/>
            <w:vAlign w:val="bottom"/>
            <w:tcBorders>
              <w:bottom w:val="single" w:sz="8" w:color="8F8F8F"/>
            </w:tcBorders>
          </w:tcPr>
          <w:p>
            <w:pPr>
              <w:spacing w:after="0"/>
              <w:rPr>
                <w:sz w:val="24"/>
                <w:szCs w:val="24"/>
                <w:color w:val="auto"/>
              </w:rPr>
            </w:pPr>
          </w:p>
        </w:tc>
        <w:tc>
          <w:tcPr>
            <w:tcW w:w="140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(14,072,595)</w:t>
            </w:r>
          </w:p>
        </w:tc>
        <w:tc>
          <w:tcPr>
            <w:tcW w:w="60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(6,424,496)</w:t>
            </w:r>
          </w:p>
        </w:tc>
        <w:tc>
          <w:tcPr>
            <w:tcW w:w="600" w:type="dxa"/>
            <w:vAlign w:val="bottom"/>
            <w:tcBorders>
              <w:bottom w:val="single" w:sz="8" w:color="8F8F8F"/>
            </w:tcBorders>
          </w:tcPr>
          <w:p>
            <w:pPr>
              <w:spacing w:after="0"/>
              <w:rPr>
                <w:sz w:val="24"/>
                <w:szCs w:val="24"/>
                <w:color w:val="auto"/>
              </w:rPr>
            </w:pPr>
          </w:p>
        </w:tc>
        <w:tc>
          <w:tcPr>
            <w:tcW w:w="12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6,312,051</w:t>
            </w:r>
          </w:p>
        </w:tc>
        <w:tc>
          <w:tcPr>
            <w:tcW w:w="0" w:type="dxa"/>
            <w:vAlign w:val="bottom"/>
          </w:tcPr>
          <w:p>
            <w:pPr>
              <w:spacing w:after="0"/>
              <w:rPr>
                <w:sz w:val="1"/>
                <w:szCs w:val="1"/>
                <w:color w:val="auto"/>
              </w:rPr>
            </w:pPr>
          </w:p>
        </w:tc>
      </w:tr>
      <w:tr>
        <w:trPr>
          <w:trHeight w:val="325"/>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Other comprehensive (loss) income, before tax</w:t>
            </w:r>
          </w:p>
        </w:tc>
        <w:tc>
          <w:tcPr>
            <w:tcW w:w="500" w:type="dxa"/>
            <w:vAlign w:val="bottom"/>
            <w:tcBorders>
              <w:bottom w:val="single" w:sz="8" w:color="838383"/>
            </w:tcBorders>
          </w:tcPr>
          <w:p>
            <w:pPr>
              <w:spacing w:after="0"/>
              <w:rPr>
                <w:sz w:val="24"/>
                <w:szCs w:val="24"/>
                <w:color w:val="auto"/>
              </w:rPr>
            </w:pPr>
          </w:p>
        </w:tc>
        <w:tc>
          <w:tcPr>
            <w:tcW w:w="14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(19,025,423)</w:t>
            </w:r>
          </w:p>
        </w:tc>
        <w:tc>
          <w:tcPr>
            <w:tcW w:w="60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(6,272,952)</w:t>
            </w:r>
          </w:p>
        </w:tc>
        <w:tc>
          <w:tcPr>
            <w:tcW w:w="600" w:type="dxa"/>
            <w:vAlign w:val="bottom"/>
            <w:tcBorders>
              <w:bottom w:val="single" w:sz="8" w:color="838383"/>
            </w:tcBorders>
          </w:tcPr>
          <w:p>
            <w:pPr>
              <w:spacing w:after="0"/>
              <w:rPr>
                <w:sz w:val="24"/>
                <w:szCs w:val="24"/>
                <w:color w:val="auto"/>
              </w:rPr>
            </w:pPr>
          </w:p>
        </w:tc>
        <w:tc>
          <w:tcPr>
            <w:tcW w:w="12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9,465,685</w:t>
            </w:r>
          </w:p>
        </w:tc>
        <w:tc>
          <w:tcPr>
            <w:tcW w:w="0" w:type="dxa"/>
            <w:vAlign w:val="bottom"/>
          </w:tcPr>
          <w:p>
            <w:pPr>
              <w:spacing w:after="0"/>
              <w:rPr>
                <w:sz w:val="1"/>
                <w:szCs w:val="1"/>
                <w:color w:val="auto"/>
              </w:rPr>
            </w:pPr>
          </w:p>
        </w:tc>
      </w:tr>
      <w:tr>
        <w:trPr>
          <w:trHeight w:val="30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262626"/>
              </w:rPr>
              <w:t>(Benefit) expense for income taxes related to components of</w:t>
            </w:r>
          </w:p>
        </w:tc>
        <w:tc>
          <w:tcPr>
            <w:tcW w:w="500" w:type="dxa"/>
            <w:vAlign w:val="bottom"/>
          </w:tcPr>
          <w:p>
            <w:pPr>
              <w:spacing w:after="0"/>
              <w:rPr>
                <w:sz w:val="24"/>
                <w:szCs w:val="24"/>
                <w:color w:val="auto"/>
              </w:rPr>
            </w:pPr>
          </w:p>
        </w:tc>
        <w:tc>
          <w:tcPr>
            <w:tcW w:w="14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262626"/>
              </w:rPr>
              <w:t>(2,955,245)</w:t>
            </w:r>
          </w:p>
        </w:tc>
        <w:tc>
          <w:tcPr>
            <w:tcW w:w="600" w:type="dxa"/>
            <w:vAlign w:val="bottom"/>
          </w:tcPr>
          <w:p>
            <w:pPr>
              <w:spacing w:after="0"/>
              <w:rPr>
                <w:sz w:val="24"/>
                <w:szCs w:val="24"/>
                <w:color w:val="auto"/>
              </w:rPr>
            </w:pPr>
          </w:p>
        </w:tc>
        <w:tc>
          <w:tcPr>
            <w:tcW w:w="13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262626"/>
              </w:rPr>
              <w:t>(1,349,144)</w:t>
            </w:r>
          </w:p>
        </w:tc>
        <w:tc>
          <w:tcPr>
            <w:tcW w:w="60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1,325,530</w:t>
            </w:r>
          </w:p>
        </w:tc>
        <w:tc>
          <w:tcPr>
            <w:tcW w:w="0" w:type="dxa"/>
            <w:vAlign w:val="bottom"/>
          </w:tcPr>
          <w:p>
            <w:pPr>
              <w:spacing w:after="0"/>
              <w:rPr>
                <w:sz w:val="1"/>
                <w:szCs w:val="1"/>
                <w:color w:val="auto"/>
              </w:rPr>
            </w:pPr>
          </w:p>
        </w:tc>
      </w:tr>
      <w:tr>
        <w:trPr>
          <w:trHeight w:val="18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262626"/>
              </w:rPr>
              <w:t>other comprehensive (loss) income</w:t>
            </w:r>
          </w:p>
        </w:tc>
        <w:tc>
          <w:tcPr>
            <w:tcW w:w="5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680" w:type="dxa"/>
            <w:vAlign w:val="bottom"/>
            <w:tcBorders>
              <w:bottom w:val="single" w:sz="8" w:color="838383"/>
            </w:tcBorders>
            <w:vMerge w:val="continue"/>
          </w:tcPr>
          <w:p>
            <w:pPr>
              <w:spacing w:after="0"/>
              <w:rPr>
                <w:sz w:val="12"/>
                <w:szCs w:val="12"/>
                <w:color w:val="auto"/>
              </w:rPr>
            </w:pPr>
          </w:p>
        </w:tc>
        <w:tc>
          <w:tcPr>
            <w:tcW w:w="500" w:type="dxa"/>
            <w:vAlign w:val="bottom"/>
            <w:tcBorders>
              <w:bottom w:val="single" w:sz="8" w:color="8F8F8F"/>
            </w:tcBorders>
          </w:tcPr>
          <w:p>
            <w:pPr>
              <w:spacing w:after="0"/>
              <w:rPr>
                <w:sz w:val="12"/>
                <w:szCs w:val="12"/>
                <w:color w:val="auto"/>
              </w:rPr>
            </w:pPr>
          </w:p>
        </w:tc>
        <w:tc>
          <w:tcPr>
            <w:tcW w:w="1400" w:type="dxa"/>
            <w:vAlign w:val="bottom"/>
            <w:tcBorders>
              <w:bottom w:val="single" w:sz="8" w:color="8F8F8F"/>
            </w:tcBorders>
          </w:tcPr>
          <w:p>
            <w:pPr>
              <w:spacing w:after="0"/>
              <w:rPr>
                <w:sz w:val="12"/>
                <w:szCs w:val="12"/>
                <w:color w:val="auto"/>
              </w:rPr>
            </w:pPr>
          </w:p>
        </w:tc>
        <w:tc>
          <w:tcPr>
            <w:tcW w:w="600" w:type="dxa"/>
            <w:vAlign w:val="bottom"/>
            <w:tcBorders>
              <w:bottom w:val="single" w:sz="8" w:color="8F8F8F"/>
            </w:tcBorders>
          </w:tcPr>
          <w:p>
            <w:pPr>
              <w:spacing w:after="0"/>
              <w:rPr>
                <w:sz w:val="12"/>
                <w:szCs w:val="12"/>
                <w:color w:val="auto"/>
              </w:rPr>
            </w:pPr>
          </w:p>
        </w:tc>
        <w:tc>
          <w:tcPr>
            <w:tcW w:w="1380" w:type="dxa"/>
            <w:vAlign w:val="bottom"/>
            <w:tcBorders>
              <w:bottom w:val="single" w:sz="8" w:color="8F8F8F"/>
            </w:tcBorders>
          </w:tcPr>
          <w:p>
            <w:pPr>
              <w:spacing w:after="0"/>
              <w:rPr>
                <w:sz w:val="12"/>
                <w:szCs w:val="12"/>
                <w:color w:val="auto"/>
              </w:rPr>
            </w:pPr>
          </w:p>
        </w:tc>
        <w:tc>
          <w:tcPr>
            <w:tcW w:w="600" w:type="dxa"/>
            <w:vAlign w:val="bottom"/>
            <w:tcBorders>
              <w:bottom w:val="single" w:sz="8" w:color="8F8F8F"/>
            </w:tcBorders>
          </w:tcPr>
          <w:p>
            <w:pPr>
              <w:spacing w:after="0"/>
              <w:rPr>
                <w:sz w:val="12"/>
                <w:szCs w:val="12"/>
                <w:color w:val="auto"/>
              </w:rPr>
            </w:pPr>
          </w:p>
        </w:tc>
        <w:tc>
          <w:tcPr>
            <w:tcW w:w="1280" w:type="dxa"/>
            <w:vAlign w:val="bottom"/>
            <w:tcBorders>
              <w:bottom w:val="single" w:sz="8" w:color="8F8F8F"/>
            </w:tcBorders>
          </w:tcPr>
          <w:p>
            <w:pPr>
              <w:spacing w:after="0"/>
              <w:rPr>
                <w:sz w:val="12"/>
                <w:szCs w:val="12"/>
                <w:color w:val="auto"/>
              </w:rPr>
            </w:pPr>
          </w:p>
        </w:tc>
        <w:tc>
          <w:tcPr>
            <w:tcW w:w="0" w:type="dxa"/>
            <w:vAlign w:val="bottom"/>
          </w:tcPr>
          <w:p>
            <w:pPr>
              <w:spacing w:after="0"/>
              <w:rPr>
                <w:sz w:val="1"/>
                <w:szCs w:val="1"/>
                <w:color w:val="auto"/>
              </w:rPr>
            </w:pPr>
          </w:p>
        </w:tc>
      </w:tr>
      <w:tr>
        <w:trPr>
          <w:trHeight w:val="340"/>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Other comprehensive (loss) income, net of tax</w:t>
            </w:r>
          </w:p>
        </w:tc>
        <w:tc>
          <w:tcPr>
            <w:tcW w:w="500" w:type="dxa"/>
            <w:vAlign w:val="bottom"/>
            <w:tcBorders>
              <w:bottom w:val="single" w:sz="8" w:color="8F8F8F"/>
            </w:tcBorders>
          </w:tcPr>
          <w:p>
            <w:pPr>
              <w:spacing w:after="0"/>
              <w:rPr>
                <w:sz w:val="24"/>
                <w:szCs w:val="24"/>
                <w:color w:val="auto"/>
              </w:rPr>
            </w:pPr>
          </w:p>
        </w:tc>
        <w:tc>
          <w:tcPr>
            <w:tcW w:w="140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(16,070,178)</w:t>
            </w:r>
          </w:p>
        </w:tc>
        <w:tc>
          <w:tcPr>
            <w:tcW w:w="60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(4,923,808)</w:t>
            </w:r>
          </w:p>
        </w:tc>
        <w:tc>
          <w:tcPr>
            <w:tcW w:w="600" w:type="dxa"/>
            <w:vAlign w:val="bottom"/>
            <w:tcBorders>
              <w:bottom w:val="single" w:sz="8" w:color="8F8F8F"/>
            </w:tcBorders>
          </w:tcPr>
          <w:p>
            <w:pPr>
              <w:spacing w:after="0"/>
              <w:rPr>
                <w:sz w:val="24"/>
                <w:szCs w:val="24"/>
                <w:color w:val="auto"/>
              </w:rPr>
            </w:pPr>
          </w:p>
        </w:tc>
        <w:tc>
          <w:tcPr>
            <w:tcW w:w="12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8,140,155</w:t>
            </w:r>
          </w:p>
        </w:tc>
        <w:tc>
          <w:tcPr>
            <w:tcW w:w="0" w:type="dxa"/>
            <w:vAlign w:val="bottom"/>
          </w:tcPr>
          <w:p>
            <w:pPr>
              <w:spacing w:after="0"/>
              <w:rPr>
                <w:sz w:val="1"/>
                <w:szCs w:val="1"/>
                <w:color w:val="auto"/>
              </w:rPr>
            </w:pPr>
          </w:p>
        </w:tc>
      </w:tr>
      <w:tr>
        <w:trPr>
          <w:trHeight w:val="330"/>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Comprehensive income</w:t>
            </w:r>
          </w:p>
        </w:tc>
        <w:tc>
          <w:tcPr>
            <w:tcW w:w="500" w:type="dxa"/>
            <w:vAlign w:val="bottom"/>
            <w:tcBorders>
              <w:bottom w:val="single" w:sz="8" w:color="8F8F8F"/>
            </w:tcBorders>
          </w:tcPr>
          <w:p>
            <w:pPr>
              <w:jc w:val="right"/>
              <w:ind w:right="270"/>
              <w:spacing w:after="0"/>
              <w:rPr>
                <w:sz w:val="20"/>
                <w:szCs w:val="20"/>
                <w:color w:val="auto"/>
              </w:rPr>
            </w:pPr>
            <w:r>
              <w:rPr>
                <w:rFonts w:ascii="Times New Roman" w:cs="Times New Roman" w:eastAsia="Times New Roman" w:hAnsi="Times New Roman"/>
                <w:sz w:val="18"/>
                <w:szCs w:val="18"/>
                <w:color w:val="262626"/>
              </w:rPr>
              <w:t>$</w:t>
            </w:r>
          </w:p>
        </w:tc>
        <w:tc>
          <w:tcPr>
            <w:tcW w:w="140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302,687,174</w:t>
            </w:r>
          </w:p>
        </w:tc>
        <w:tc>
          <w:tcPr>
            <w:tcW w:w="600" w:type="dxa"/>
            <w:vAlign w:val="bottom"/>
            <w:tcBorders>
              <w:bottom w:val="single" w:sz="8" w:color="8F8F8F"/>
            </w:tcBorders>
          </w:tcPr>
          <w:p>
            <w:pPr>
              <w:jc w:val="right"/>
              <w:ind w:right="330"/>
              <w:spacing w:after="0"/>
              <w:rPr>
                <w:sz w:val="20"/>
                <w:szCs w:val="20"/>
                <w:color w:val="auto"/>
              </w:rPr>
            </w:pPr>
            <w:r>
              <w:rPr>
                <w:rFonts w:ascii="Times New Roman" w:cs="Times New Roman" w:eastAsia="Times New Roman" w:hAnsi="Times New Roman"/>
                <w:sz w:val="18"/>
                <w:szCs w:val="18"/>
                <w:color w:val="262626"/>
              </w:rPr>
              <w:t>$</w:t>
            </w:r>
          </w:p>
        </w:tc>
        <w:tc>
          <w:tcPr>
            <w:tcW w:w="13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355,873,424</w:t>
            </w:r>
          </w:p>
        </w:tc>
        <w:tc>
          <w:tcPr>
            <w:tcW w:w="600" w:type="dxa"/>
            <w:vAlign w:val="bottom"/>
            <w:tcBorders>
              <w:bottom w:val="single" w:sz="8" w:color="8F8F8F"/>
            </w:tcBorders>
          </w:tcPr>
          <w:p>
            <w:pPr>
              <w:jc w:val="right"/>
              <w:ind w:right="330"/>
              <w:spacing w:after="0"/>
              <w:rPr>
                <w:sz w:val="20"/>
                <w:szCs w:val="20"/>
                <w:color w:val="auto"/>
              </w:rPr>
            </w:pPr>
            <w:r>
              <w:rPr>
                <w:rFonts w:ascii="Times New Roman" w:cs="Times New Roman" w:eastAsia="Times New Roman" w:hAnsi="Times New Roman"/>
                <w:sz w:val="18"/>
                <w:szCs w:val="18"/>
                <w:color w:val="262626"/>
              </w:rPr>
              <w:t>$</w:t>
            </w:r>
          </w:p>
        </w:tc>
        <w:tc>
          <w:tcPr>
            <w:tcW w:w="12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355,703,776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580" w:top="84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60</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60"/>
          </w:cols>
          <w:pgMar w:left="580" w:top="846" w:right="900" w:bottom="0" w:gutter="0" w:footer="0" w:header="0"/>
          <w:type w:val="continuous"/>
        </w:sectPr>
      </w:pPr>
    </w:p>
    <w:bookmarkStart w:id="60" w:name="page61"/>
    <w:bookmarkEnd w:id="60"/>
    <w:p>
      <w:pPr>
        <w:ind w:right="3760"/>
        <w:spacing w:after="0" w:line="333" w:lineRule="auto"/>
        <w:rPr>
          <w:sz w:val="20"/>
          <w:szCs w:val="20"/>
          <w:color w:val="auto"/>
        </w:rPr>
      </w:pPr>
      <w:r>
        <w:rPr>
          <w:rFonts w:ascii="Arial" w:cs="Arial" w:eastAsia="Arial" w:hAnsi="Arial"/>
          <w:sz w:val="17"/>
          <w:szCs w:val="17"/>
          <w:b w:val="1"/>
          <w:bCs w:val="1"/>
          <w:color w:val="858585"/>
        </w:rPr>
        <w:t>GENTEX CORPORATION AND SUBSIDIARIES CONSOLIDATED STATEMENTS OF CASH FLOWS FOR THE YEARS ENDED DECEMBER 31, 2022, 2021 AND 2020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838383"/>
        </w:rPr>
        <w:t>The accompanying notes are an integral part of these consolidated financial statements.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720" w:type="dxa"/>
            <w:vAlign w:val="bottom"/>
            <w:vMerge w:val="restart"/>
          </w:tcPr>
          <w:p>
            <w:pPr>
              <w:spacing w:after="0"/>
              <w:rPr>
                <w:sz w:val="20"/>
                <w:szCs w:val="20"/>
                <w:color w:val="auto"/>
              </w:rPr>
            </w:pPr>
            <w:r>
              <w:rPr>
                <w:rFonts w:ascii="Arial" w:cs="Arial" w:eastAsia="Arial" w:hAnsi="Arial"/>
                <w:sz w:val="17"/>
                <w:szCs w:val="17"/>
                <w:b w:val="1"/>
                <w:bCs w:val="1"/>
                <w:color w:val="838383"/>
              </w:rPr>
              <w:t>CASH FLOWS FROM OPERATING ACTIVITIES:</w:t>
            </w: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262626"/>
              </w:rPr>
              <w:t>2022</w:t>
            </w:r>
          </w:p>
        </w:tc>
        <w:tc>
          <w:tcPr>
            <w:tcW w:w="5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262626"/>
              </w:rPr>
              <w:t>2021</w:t>
            </w:r>
          </w:p>
        </w:tc>
        <w:tc>
          <w:tcPr>
            <w:tcW w:w="5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262626"/>
              </w:rPr>
              <w:t>2020</w:t>
            </w:r>
          </w:p>
        </w:tc>
        <w:tc>
          <w:tcPr>
            <w:tcW w:w="0" w:type="dxa"/>
            <w:vAlign w:val="bottom"/>
          </w:tcPr>
          <w:p>
            <w:pPr>
              <w:spacing w:after="0"/>
              <w:rPr>
                <w:sz w:val="1"/>
                <w:szCs w:val="1"/>
                <w:color w:val="auto"/>
              </w:rPr>
            </w:pPr>
          </w:p>
        </w:tc>
      </w:tr>
      <w:tr>
        <w:trPr>
          <w:trHeight w:val="202"/>
        </w:trPr>
        <w:tc>
          <w:tcPr>
            <w:tcW w:w="47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720" w:type="dxa"/>
            <w:vAlign w:val="bottom"/>
            <w:tcBorders>
              <w:bottom w:val="single" w:sz="8" w:color="838383"/>
            </w:tcBorders>
          </w:tcPr>
          <w:p>
            <w:pPr>
              <w:spacing w:after="0"/>
              <w:rPr>
                <w:sz w:val="2"/>
                <w:szCs w:val="2"/>
                <w:color w:val="auto"/>
              </w:rPr>
            </w:pPr>
          </w:p>
        </w:tc>
        <w:tc>
          <w:tcPr>
            <w:tcW w:w="440" w:type="dxa"/>
            <w:vAlign w:val="bottom"/>
            <w:tcBorders>
              <w:bottom w:val="single" w:sz="8" w:color="838383"/>
            </w:tcBorders>
          </w:tcPr>
          <w:p>
            <w:pPr>
              <w:spacing w:after="0"/>
              <w:rPr>
                <w:sz w:val="2"/>
                <w:szCs w:val="2"/>
                <w:color w:val="auto"/>
              </w:rPr>
            </w:pPr>
          </w:p>
        </w:tc>
        <w:tc>
          <w:tcPr>
            <w:tcW w:w="1440" w:type="dxa"/>
            <w:vAlign w:val="bottom"/>
            <w:tcBorders>
              <w:bottom w:val="single" w:sz="8" w:color="838383"/>
            </w:tcBorders>
          </w:tcPr>
          <w:p>
            <w:pPr>
              <w:spacing w:after="0"/>
              <w:rPr>
                <w:sz w:val="2"/>
                <w:szCs w:val="2"/>
                <w:color w:val="auto"/>
              </w:rPr>
            </w:pPr>
          </w:p>
        </w:tc>
        <w:tc>
          <w:tcPr>
            <w:tcW w:w="540" w:type="dxa"/>
            <w:vAlign w:val="bottom"/>
            <w:tcBorders>
              <w:bottom w:val="single" w:sz="8" w:color="838383"/>
            </w:tcBorders>
          </w:tcPr>
          <w:p>
            <w:pPr>
              <w:spacing w:after="0"/>
              <w:rPr>
                <w:sz w:val="2"/>
                <w:szCs w:val="2"/>
                <w:color w:val="auto"/>
              </w:rPr>
            </w:pPr>
          </w:p>
        </w:tc>
        <w:tc>
          <w:tcPr>
            <w:tcW w:w="1440" w:type="dxa"/>
            <w:vAlign w:val="bottom"/>
            <w:tcBorders>
              <w:bottom w:val="single" w:sz="8" w:color="838383"/>
            </w:tcBorders>
          </w:tcPr>
          <w:p>
            <w:pPr>
              <w:spacing w:after="0"/>
              <w:rPr>
                <w:sz w:val="2"/>
                <w:szCs w:val="2"/>
                <w:color w:val="auto"/>
              </w:rPr>
            </w:pPr>
          </w:p>
        </w:tc>
        <w:tc>
          <w:tcPr>
            <w:tcW w:w="540" w:type="dxa"/>
            <w:vAlign w:val="bottom"/>
            <w:tcBorders>
              <w:bottom w:val="single" w:sz="8" w:color="838383"/>
            </w:tcBorders>
          </w:tcPr>
          <w:p>
            <w:pPr>
              <w:spacing w:after="0"/>
              <w:rPr>
                <w:sz w:val="2"/>
                <w:szCs w:val="2"/>
                <w:color w:val="auto"/>
              </w:rPr>
            </w:pPr>
          </w:p>
        </w:tc>
        <w:tc>
          <w:tcPr>
            <w:tcW w:w="1360" w:type="dxa"/>
            <w:vAlign w:val="bottom"/>
            <w:tcBorders>
              <w:bottom w:val="single" w:sz="8" w:color="838383"/>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300"/>
              <w:spacing w:after="0"/>
              <w:rPr>
                <w:sz w:val="20"/>
                <w:szCs w:val="20"/>
                <w:color w:val="auto"/>
              </w:rPr>
            </w:pPr>
            <w:r>
              <w:rPr>
                <w:rFonts w:ascii="Times New Roman" w:cs="Times New Roman" w:eastAsia="Times New Roman" w:hAnsi="Times New Roman"/>
                <w:sz w:val="18"/>
                <w:szCs w:val="18"/>
                <w:color w:val="262626"/>
              </w:rPr>
              <w:t>Net income</w:t>
            </w:r>
          </w:p>
        </w:tc>
        <w:tc>
          <w:tcPr>
            <w:tcW w:w="440" w:type="dxa"/>
            <w:vAlign w:val="bottom"/>
            <w:tcBorders>
              <w:bottom w:val="single" w:sz="8" w:color="838383"/>
            </w:tcBorders>
          </w:tcPr>
          <w:p>
            <w:pPr>
              <w:jc w:val="right"/>
              <w:ind w:right="275"/>
              <w:spacing w:after="0"/>
              <w:rPr>
                <w:sz w:val="20"/>
                <w:szCs w:val="20"/>
                <w:color w:val="auto"/>
              </w:rPr>
            </w:pPr>
            <w:r>
              <w:rPr>
                <w:rFonts w:ascii="Times New Roman" w:cs="Times New Roman" w:eastAsia="Times New Roman" w:hAnsi="Times New Roman"/>
                <w:sz w:val="17"/>
                <w:szCs w:val="17"/>
                <w:color w:val="262626"/>
                <w:w w:val="70"/>
              </w:rPr>
              <w:t>$</w:t>
            </w: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318,757,352</w:t>
            </w:r>
          </w:p>
        </w:tc>
        <w:tc>
          <w:tcPr>
            <w:tcW w:w="540" w:type="dxa"/>
            <w:vAlign w:val="bottom"/>
            <w:tcBorders>
              <w:bottom w:val="single" w:sz="8" w:color="838383"/>
            </w:tcBorders>
          </w:tcPr>
          <w:p>
            <w:pPr>
              <w:jc w:val="right"/>
              <w:ind w:right="270"/>
              <w:spacing w:after="0"/>
              <w:rPr>
                <w:sz w:val="20"/>
                <w:szCs w:val="20"/>
                <w:color w:val="auto"/>
              </w:rPr>
            </w:pPr>
            <w:r>
              <w:rPr>
                <w:rFonts w:ascii="Times New Roman" w:cs="Times New Roman" w:eastAsia="Times New Roman" w:hAnsi="Times New Roman"/>
                <w:sz w:val="18"/>
                <w:szCs w:val="18"/>
                <w:color w:val="262626"/>
              </w:rPr>
              <w:t>$</w:t>
            </w: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360,797,232</w:t>
            </w:r>
          </w:p>
        </w:tc>
        <w:tc>
          <w:tcPr>
            <w:tcW w:w="540" w:type="dxa"/>
            <w:vAlign w:val="bottom"/>
            <w:tcBorders>
              <w:bottom w:val="single" w:sz="8" w:color="838383"/>
            </w:tcBorders>
          </w:tcPr>
          <w:p>
            <w:pPr>
              <w:jc w:val="right"/>
              <w:ind w:right="270"/>
              <w:spacing w:after="0"/>
              <w:rPr>
                <w:sz w:val="20"/>
                <w:szCs w:val="20"/>
                <w:color w:val="auto"/>
              </w:rPr>
            </w:pPr>
            <w:r>
              <w:rPr>
                <w:rFonts w:ascii="Times New Roman" w:cs="Times New Roman" w:eastAsia="Times New Roman" w:hAnsi="Times New Roman"/>
                <w:sz w:val="18"/>
                <w:szCs w:val="18"/>
                <w:color w:val="262626"/>
              </w:rPr>
              <w:t>$</w:t>
            </w: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347,563,621</w:t>
            </w:r>
          </w:p>
        </w:tc>
        <w:tc>
          <w:tcPr>
            <w:tcW w:w="0" w:type="dxa"/>
            <w:vAlign w:val="bottom"/>
          </w:tcPr>
          <w:p>
            <w:pPr>
              <w:spacing w:after="0"/>
              <w:rPr>
                <w:sz w:val="1"/>
                <w:szCs w:val="1"/>
                <w:color w:val="auto"/>
              </w:rPr>
            </w:pPr>
          </w:p>
        </w:tc>
      </w:tr>
      <w:tr>
        <w:trPr>
          <w:trHeight w:val="261"/>
        </w:trPr>
        <w:tc>
          <w:tcPr>
            <w:tcW w:w="4720" w:type="dxa"/>
            <w:vAlign w:val="bottom"/>
          </w:tcPr>
          <w:p>
            <w:pPr>
              <w:ind w:left="300"/>
              <w:spacing w:after="0"/>
              <w:rPr>
                <w:sz w:val="20"/>
                <w:szCs w:val="20"/>
                <w:color w:val="auto"/>
              </w:rPr>
            </w:pPr>
            <w:r>
              <w:rPr>
                <w:rFonts w:ascii="Times New Roman" w:cs="Times New Roman" w:eastAsia="Times New Roman" w:hAnsi="Times New Roman"/>
                <w:sz w:val="18"/>
                <w:szCs w:val="18"/>
                <w:color w:val="262626"/>
              </w:rPr>
              <w:t>Adjustments to reconcile net income to net cash provided</w:t>
            </w: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720" w:type="dxa"/>
            <w:vAlign w:val="bottom"/>
            <w:tcBorders>
              <w:bottom w:val="single" w:sz="8" w:color="838383"/>
            </w:tcBorders>
          </w:tcPr>
          <w:p>
            <w:pPr>
              <w:ind w:left="300"/>
              <w:spacing w:after="0"/>
              <w:rPr>
                <w:sz w:val="20"/>
                <w:szCs w:val="20"/>
                <w:color w:val="auto"/>
              </w:rPr>
            </w:pPr>
            <w:r>
              <w:rPr>
                <w:rFonts w:ascii="Times New Roman" w:cs="Times New Roman" w:eastAsia="Times New Roman" w:hAnsi="Times New Roman"/>
                <w:sz w:val="18"/>
                <w:szCs w:val="18"/>
                <w:color w:val="262626"/>
              </w:rPr>
              <w:t>by operating activities:</w:t>
            </w:r>
          </w:p>
        </w:tc>
        <w:tc>
          <w:tcPr>
            <w:tcW w:w="440" w:type="dxa"/>
            <w:vAlign w:val="bottom"/>
            <w:tcBorders>
              <w:bottom w:val="single" w:sz="8" w:color="838383"/>
            </w:tcBorders>
          </w:tcPr>
          <w:p>
            <w:pPr>
              <w:spacing w:after="0"/>
              <w:rPr>
                <w:sz w:val="22"/>
                <w:szCs w:val="22"/>
                <w:color w:val="auto"/>
              </w:rPr>
            </w:pPr>
          </w:p>
        </w:tc>
        <w:tc>
          <w:tcPr>
            <w:tcW w:w="1440" w:type="dxa"/>
            <w:vAlign w:val="bottom"/>
            <w:tcBorders>
              <w:bottom w:val="single" w:sz="8" w:color="838383"/>
            </w:tcBorders>
          </w:tcPr>
          <w:p>
            <w:pPr>
              <w:spacing w:after="0"/>
              <w:rPr>
                <w:sz w:val="22"/>
                <w:szCs w:val="22"/>
                <w:color w:val="auto"/>
              </w:rPr>
            </w:pPr>
          </w:p>
        </w:tc>
        <w:tc>
          <w:tcPr>
            <w:tcW w:w="540" w:type="dxa"/>
            <w:vAlign w:val="bottom"/>
            <w:tcBorders>
              <w:bottom w:val="single" w:sz="8" w:color="838383"/>
            </w:tcBorders>
          </w:tcPr>
          <w:p>
            <w:pPr>
              <w:spacing w:after="0"/>
              <w:rPr>
                <w:sz w:val="22"/>
                <w:szCs w:val="22"/>
                <w:color w:val="auto"/>
              </w:rPr>
            </w:pPr>
          </w:p>
        </w:tc>
        <w:tc>
          <w:tcPr>
            <w:tcW w:w="1440" w:type="dxa"/>
            <w:vAlign w:val="bottom"/>
            <w:tcBorders>
              <w:bottom w:val="single" w:sz="8" w:color="838383"/>
            </w:tcBorders>
          </w:tcPr>
          <w:p>
            <w:pPr>
              <w:spacing w:after="0"/>
              <w:rPr>
                <w:sz w:val="22"/>
                <w:szCs w:val="22"/>
                <w:color w:val="auto"/>
              </w:rPr>
            </w:pPr>
          </w:p>
        </w:tc>
        <w:tc>
          <w:tcPr>
            <w:tcW w:w="540" w:type="dxa"/>
            <w:vAlign w:val="bottom"/>
            <w:tcBorders>
              <w:bottom w:val="single" w:sz="8" w:color="838383"/>
            </w:tcBorders>
          </w:tcPr>
          <w:p>
            <w:pPr>
              <w:spacing w:after="0"/>
              <w:rPr>
                <w:sz w:val="22"/>
                <w:szCs w:val="22"/>
                <w:color w:val="auto"/>
              </w:rPr>
            </w:pPr>
          </w:p>
        </w:tc>
        <w:tc>
          <w:tcPr>
            <w:tcW w:w="1360" w:type="dxa"/>
            <w:vAlign w:val="bottom"/>
            <w:tcBorders>
              <w:bottom w:val="single" w:sz="8" w:color="838383"/>
            </w:tcBorders>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580"/>
              <w:spacing w:after="0"/>
              <w:rPr>
                <w:sz w:val="20"/>
                <w:szCs w:val="20"/>
                <w:color w:val="auto"/>
              </w:rPr>
            </w:pPr>
            <w:r>
              <w:rPr>
                <w:rFonts w:ascii="Times New Roman" w:cs="Times New Roman" w:eastAsia="Times New Roman" w:hAnsi="Times New Roman"/>
                <w:sz w:val="18"/>
                <w:szCs w:val="18"/>
                <w:color w:val="262626"/>
              </w:rPr>
              <w:t>Depreciation and amortization</w:t>
            </w:r>
          </w:p>
        </w:tc>
        <w:tc>
          <w:tcPr>
            <w:tcW w:w="4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96,568,443</w:t>
            </w:r>
          </w:p>
        </w:tc>
        <w:tc>
          <w:tcPr>
            <w:tcW w:w="5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99,112,019</w:t>
            </w:r>
          </w:p>
        </w:tc>
        <w:tc>
          <w:tcPr>
            <w:tcW w:w="540" w:type="dxa"/>
            <w:vAlign w:val="bottom"/>
            <w:tcBorders>
              <w:bottom w:val="single" w:sz="8" w:color="838383"/>
            </w:tcBorders>
          </w:tcPr>
          <w:p>
            <w:pPr>
              <w:spacing w:after="0"/>
              <w:rPr>
                <w:sz w:val="23"/>
                <w:szCs w:val="23"/>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104,739,900</w:t>
            </w: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580"/>
              <w:spacing w:after="0"/>
              <w:rPr>
                <w:sz w:val="20"/>
                <w:szCs w:val="20"/>
                <w:color w:val="auto"/>
              </w:rPr>
            </w:pPr>
            <w:r>
              <w:rPr>
                <w:rFonts w:ascii="Times New Roman" w:cs="Times New Roman" w:eastAsia="Times New Roman" w:hAnsi="Times New Roman"/>
                <w:sz w:val="18"/>
                <w:szCs w:val="18"/>
                <w:color w:val="262626"/>
              </w:rPr>
              <w:t>Gain on disposal of assets</w:t>
            </w:r>
          </w:p>
        </w:tc>
        <w:tc>
          <w:tcPr>
            <w:tcW w:w="4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(70,736)</w:t>
            </w:r>
          </w:p>
        </w:tc>
        <w:tc>
          <w:tcPr>
            <w:tcW w:w="5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(488,750)</w:t>
            </w:r>
          </w:p>
        </w:tc>
        <w:tc>
          <w:tcPr>
            <w:tcW w:w="540" w:type="dxa"/>
            <w:vAlign w:val="bottom"/>
            <w:tcBorders>
              <w:bottom w:val="single" w:sz="8" w:color="838383"/>
            </w:tcBorders>
          </w:tcPr>
          <w:p>
            <w:pPr>
              <w:spacing w:after="0"/>
              <w:rPr>
                <w:sz w:val="23"/>
                <w:szCs w:val="23"/>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(311,510)</w:t>
            </w: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580"/>
              <w:spacing w:after="0"/>
              <w:rPr>
                <w:sz w:val="20"/>
                <w:szCs w:val="20"/>
                <w:color w:val="auto"/>
              </w:rPr>
            </w:pPr>
            <w:r>
              <w:rPr>
                <w:rFonts w:ascii="Times New Roman" w:cs="Times New Roman" w:eastAsia="Times New Roman" w:hAnsi="Times New Roman"/>
                <w:sz w:val="18"/>
                <w:szCs w:val="18"/>
                <w:color w:val="262626"/>
              </w:rPr>
              <w:t>Loss on disposal of assets</w:t>
            </w:r>
          </w:p>
        </w:tc>
        <w:tc>
          <w:tcPr>
            <w:tcW w:w="4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28,424</w:t>
            </w:r>
          </w:p>
        </w:tc>
        <w:tc>
          <w:tcPr>
            <w:tcW w:w="5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230,933</w:t>
            </w:r>
          </w:p>
        </w:tc>
        <w:tc>
          <w:tcPr>
            <w:tcW w:w="540" w:type="dxa"/>
            <w:vAlign w:val="bottom"/>
            <w:tcBorders>
              <w:bottom w:val="single" w:sz="8" w:color="838383"/>
            </w:tcBorders>
          </w:tcPr>
          <w:p>
            <w:pPr>
              <w:spacing w:after="0"/>
              <w:rPr>
                <w:sz w:val="23"/>
                <w:szCs w:val="23"/>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162,553</w:t>
            </w:r>
          </w:p>
        </w:tc>
        <w:tc>
          <w:tcPr>
            <w:tcW w:w="0" w:type="dxa"/>
            <w:vAlign w:val="bottom"/>
          </w:tcPr>
          <w:p>
            <w:pPr>
              <w:spacing w:after="0"/>
              <w:rPr>
                <w:sz w:val="1"/>
                <w:szCs w:val="1"/>
                <w:color w:val="auto"/>
              </w:rPr>
            </w:pPr>
          </w:p>
        </w:tc>
      </w:tr>
      <w:tr>
        <w:trPr>
          <w:trHeight w:val="261"/>
        </w:trPr>
        <w:tc>
          <w:tcPr>
            <w:tcW w:w="4720" w:type="dxa"/>
            <w:vAlign w:val="bottom"/>
          </w:tcPr>
          <w:p>
            <w:pPr>
              <w:ind w:left="580"/>
              <w:spacing w:after="0"/>
              <w:rPr>
                <w:sz w:val="20"/>
                <w:szCs w:val="20"/>
                <w:color w:val="auto"/>
              </w:rPr>
            </w:pPr>
            <w:r>
              <w:rPr>
                <w:rFonts w:ascii="Times New Roman" w:cs="Times New Roman" w:eastAsia="Times New Roman" w:hAnsi="Times New Roman"/>
                <w:sz w:val="18"/>
                <w:szCs w:val="18"/>
                <w:color w:val="262626"/>
              </w:rPr>
              <w:t>Gain on sale of investments and equity method</w:t>
            </w:r>
          </w:p>
        </w:tc>
        <w:tc>
          <w:tcPr>
            <w:tcW w:w="440" w:type="dxa"/>
            <w:vAlign w:val="bottom"/>
          </w:tcPr>
          <w:p>
            <w:pPr>
              <w:spacing w:after="0"/>
              <w:rPr>
                <w:sz w:val="22"/>
                <w:szCs w:val="2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(392,040)</w:t>
            </w:r>
          </w:p>
        </w:tc>
        <w:tc>
          <w:tcPr>
            <w:tcW w:w="540" w:type="dxa"/>
            <w:vAlign w:val="bottom"/>
          </w:tcPr>
          <w:p>
            <w:pPr>
              <w:spacing w:after="0"/>
              <w:rPr>
                <w:sz w:val="22"/>
                <w:szCs w:val="2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(1,379,538)</w:t>
            </w:r>
          </w:p>
        </w:tc>
        <w:tc>
          <w:tcPr>
            <w:tcW w:w="540" w:type="dxa"/>
            <w:vAlign w:val="bottom"/>
          </w:tcPr>
          <w:p>
            <w:pPr>
              <w:spacing w:after="0"/>
              <w:rPr>
                <w:sz w:val="22"/>
                <w:szCs w:val="2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(3,163,164)</w:t>
            </w:r>
          </w:p>
        </w:tc>
        <w:tc>
          <w:tcPr>
            <w:tcW w:w="0" w:type="dxa"/>
            <w:vAlign w:val="bottom"/>
          </w:tcPr>
          <w:p>
            <w:pPr>
              <w:spacing w:after="0"/>
              <w:rPr>
                <w:sz w:val="1"/>
                <w:szCs w:val="1"/>
                <w:color w:val="auto"/>
              </w:rPr>
            </w:pPr>
          </w:p>
        </w:tc>
      </w:tr>
      <w:tr>
        <w:trPr>
          <w:trHeight w:val="180"/>
        </w:trPr>
        <w:tc>
          <w:tcPr>
            <w:tcW w:w="472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262626"/>
              </w:rPr>
              <w:t>investment income</w:t>
            </w:r>
          </w:p>
        </w:tc>
        <w:tc>
          <w:tcPr>
            <w:tcW w:w="4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4720" w:type="dxa"/>
            <w:vAlign w:val="bottom"/>
            <w:tcBorders>
              <w:bottom w:val="single" w:sz="8" w:color="838383"/>
            </w:tcBorders>
            <w:vMerge w:val="continue"/>
          </w:tcPr>
          <w:p>
            <w:pPr>
              <w:spacing w:after="0"/>
              <w:rPr>
                <w:sz w:val="6"/>
                <w:szCs w:val="6"/>
                <w:color w:val="auto"/>
              </w:rPr>
            </w:pPr>
          </w:p>
        </w:tc>
        <w:tc>
          <w:tcPr>
            <w:tcW w:w="440" w:type="dxa"/>
            <w:vAlign w:val="bottom"/>
            <w:tcBorders>
              <w:bottom w:val="single" w:sz="8" w:color="838383"/>
            </w:tcBorders>
          </w:tcPr>
          <w:p>
            <w:pPr>
              <w:spacing w:after="0"/>
              <w:rPr>
                <w:sz w:val="6"/>
                <w:szCs w:val="6"/>
                <w:color w:val="auto"/>
              </w:rPr>
            </w:pPr>
          </w:p>
        </w:tc>
        <w:tc>
          <w:tcPr>
            <w:tcW w:w="1440" w:type="dxa"/>
            <w:vAlign w:val="bottom"/>
            <w:tcBorders>
              <w:bottom w:val="single" w:sz="8" w:color="838383"/>
            </w:tcBorders>
          </w:tcPr>
          <w:p>
            <w:pPr>
              <w:spacing w:after="0"/>
              <w:rPr>
                <w:sz w:val="6"/>
                <w:szCs w:val="6"/>
                <w:color w:val="auto"/>
              </w:rPr>
            </w:pPr>
          </w:p>
        </w:tc>
        <w:tc>
          <w:tcPr>
            <w:tcW w:w="540" w:type="dxa"/>
            <w:vAlign w:val="bottom"/>
            <w:tcBorders>
              <w:bottom w:val="single" w:sz="8" w:color="838383"/>
            </w:tcBorders>
          </w:tcPr>
          <w:p>
            <w:pPr>
              <w:spacing w:after="0"/>
              <w:rPr>
                <w:sz w:val="6"/>
                <w:szCs w:val="6"/>
                <w:color w:val="auto"/>
              </w:rPr>
            </w:pPr>
          </w:p>
        </w:tc>
        <w:tc>
          <w:tcPr>
            <w:tcW w:w="1440" w:type="dxa"/>
            <w:vAlign w:val="bottom"/>
            <w:tcBorders>
              <w:bottom w:val="single" w:sz="8" w:color="838383"/>
            </w:tcBorders>
          </w:tcPr>
          <w:p>
            <w:pPr>
              <w:spacing w:after="0"/>
              <w:rPr>
                <w:sz w:val="6"/>
                <w:szCs w:val="6"/>
                <w:color w:val="auto"/>
              </w:rPr>
            </w:pPr>
          </w:p>
        </w:tc>
        <w:tc>
          <w:tcPr>
            <w:tcW w:w="540" w:type="dxa"/>
            <w:vAlign w:val="bottom"/>
            <w:tcBorders>
              <w:bottom w:val="single" w:sz="8" w:color="838383"/>
            </w:tcBorders>
          </w:tcPr>
          <w:p>
            <w:pPr>
              <w:spacing w:after="0"/>
              <w:rPr>
                <w:sz w:val="6"/>
                <w:szCs w:val="6"/>
                <w:color w:val="auto"/>
              </w:rPr>
            </w:pPr>
          </w:p>
        </w:tc>
        <w:tc>
          <w:tcPr>
            <w:tcW w:w="1360" w:type="dxa"/>
            <w:vAlign w:val="bottom"/>
            <w:tcBorders>
              <w:bottom w:val="single" w:sz="8" w:color="838383"/>
            </w:tcBorders>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4720" w:type="dxa"/>
            <w:vAlign w:val="bottom"/>
          </w:tcPr>
          <w:p>
            <w:pPr>
              <w:ind w:left="580"/>
              <w:spacing w:after="0"/>
              <w:rPr>
                <w:sz w:val="20"/>
                <w:szCs w:val="20"/>
                <w:color w:val="auto"/>
              </w:rPr>
            </w:pPr>
            <w:r>
              <w:rPr>
                <w:rFonts w:ascii="Times New Roman" w:cs="Times New Roman" w:eastAsia="Times New Roman" w:hAnsi="Times New Roman"/>
                <w:sz w:val="18"/>
                <w:szCs w:val="18"/>
                <w:color w:val="262626"/>
              </w:rPr>
              <w:t>Loss on sale of investments and equity method</w:t>
            </w:r>
          </w:p>
        </w:tc>
        <w:tc>
          <w:tcPr>
            <w:tcW w:w="440" w:type="dxa"/>
            <w:vAlign w:val="bottom"/>
          </w:tcPr>
          <w:p>
            <w:pPr>
              <w:spacing w:after="0"/>
              <w:rPr>
                <w:sz w:val="22"/>
                <w:szCs w:val="2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2,104,907</w:t>
            </w:r>
          </w:p>
        </w:tc>
        <w:tc>
          <w:tcPr>
            <w:tcW w:w="540" w:type="dxa"/>
            <w:vAlign w:val="bottom"/>
          </w:tcPr>
          <w:p>
            <w:pPr>
              <w:spacing w:after="0"/>
              <w:rPr>
                <w:sz w:val="22"/>
                <w:szCs w:val="2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307,490</w:t>
            </w:r>
          </w:p>
        </w:tc>
        <w:tc>
          <w:tcPr>
            <w:tcW w:w="540" w:type="dxa"/>
            <w:vAlign w:val="bottom"/>
          </w:tcPr>
          <w:p>
            <w:pPr>
              <w:spacing w:after="0"/>
              <w:rPr>
                <w:sz w:val="22"/>
                <w:szCs w:val="2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1,064,508</w:t>
            </w:r>
          </w:p>
        </w:tc>
        <w:tc>
          <w:tcPr>
            <w:tcW w:w="0" w:type="dxa"/>
            <w:vAlign w:val="bottom"/>
          </w:tcPr>
          <w:p>
            <w:pPr>
              <w:spacing w:after="0"/>
              <w:rPr>
                <w:sz w:val="1"/>
                <w:szCs w:val="1"/>
                <w:color w:val="auto"/>
              </w:rPr>
            </w:pPr>
          </w:p>
        </w:tc>
      </w:tr>
      <w:tr>
        <w:trPr>
          <w:trHeight w:val="180"/>
        </w:trPr>
        <w:tc>
          <w:tcPr>
            <w:tcW w:w="472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262626"/>
              </w:rPr>
              <w:t>investment losses</w:t>
            </w:r>
          </w:p>
        </w:tc>
        <w:tc>
          <w:tcPr>
            <w:tcW w:w="4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4720" w:type="dxa"/>
            <w:vAlign w:val="bottom"/>
            <w:tcBorders>
              <w:bottom w:val="single" w:sz="8" w:color="838383"/>
            </w:tcBorders>
            <w:vMerge w:val="continue"/>
          </w:tcPr>
          <w:p>
            <w:pPr>
              <w:spacing w:after="0"/>
              <w:rPr>
                <w:sz w:val="6"/>
                <w:szCs w:val="6"/>
                <w:color w:val="auto"/>
              </w:rPr>
            </w:pPr>
          </w:p>
        </w:tc>
        <w:tc>
          <w:tcPr>
            <w:tcW w:w="440" w:type="dxa"/>
            <w:vAlign w:val="bottom"/>
            <w:tcBorders>
              <w:bottom w:val="single" w:sz="8" w:color="838383"/>
            </w:tcBorders>
          </w:tcPr>
          <w:p>
            <w:pPr>
              <w:spacing w:after="0"/>
              <w:rPr>
                <w:sz w:val="6"/>
                <w:szCs w:val="6"/>
                <w:color w:val="auto"/>
              </w:rPr>
            </w:pPr>
          </w:p>
        </w:tc>
        <w:tc>
          <w:tcPr>
            <w:tcW w:w="1440" w:type="dxa"/>
            <w:vAlign w:val="bottom"/>
            <w:tcBorders>
              <w:bottom w:val="single" w:sz="8" w:color="838383"/>
            </w:tcBorders>
          </w:tcPr>
          <w:p>
            <w:pPr>
              <w:spacing w:after="0"/>
              <w:rPr>
                <w:sz w:val="6"/>
                <w:szCs w:val="6"/>
                <w:color w:val="auto"/>
              </w:rPr>
            </w:pPr>
          </w:p>
        </w:tc>
        <w:tc>
          <w:tcPr>
            <w:tcW w:w="540" w:type="dxa"/>
            <w:vAlign w:val="bottom"/>
            <w:tcBorders>
              <w:bottom w:val="single" w:sz="8" w:color="838383"/>
            </w:tcBorders>
          </w:tcPr>
          <w:p>
            <w:pPr>
              <w:spacing w:after="0"/>
              <w:rPr>
                <w:sz w:val="6"/>
                <w:szCs w:val="6"/>
                <w:color w:val="auto"/>
              </w:rPr>
            </w:pPr>
          </w:p>
        </w:tc>
        <w:tc>
          <w:tcPr>
            <w:tcW w:w="1440" w:type="dxa"/>
            <w:vAlign w:val="bottom"/>
            <w:tcBorders>
              <w:bottom w:val="single" w:sz="8" w:color="838383"/>
            </w:tcBorders>
          </w:tcPr>
          <w:p>
            <w:pPr>
              <w:spacing w:after="0"/>
              <w:rPr>
                <w:sz w:val="6"/>
                <w:szCs w:val="6"/>
                <w:color w:val="auto"/>
              </w:rPr>
            </w:pPr>
          </w:p>
        </w:tc>
        <w:tc>
          <w:tcPr>
            <w:tcW w:w="540" w:type="dxa"/>
            <w:vAlign w:val="bottom"/>
            <w:tcBorders>
              <w:bottom w:val="single" w:sz="8" w:color="838383"/>
            </w:tcBorders>
          </w:tcPr>
          <w:p>
            <w:pPr>
              <w:spacing w:after="0"/>
              <w:rPr>
                <w:sz w:val="6"/>
                <w:szCs w:val="6"/>
                <w:color w:val="auto"/>
              </w:rPr>
            </w:pPr>
          </w:p>
        </w:tc>
        <w:tc>
          <w:tcPr>
            <w:tcW w:w="1360" w:type="dxa"/>
            <w:vAlign w:val="bottom"/>
            <w:tcBorders>
              <w:bottom w:val="single" w:sz="8" w:color="838383"/>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580"/>
              <w:spacing w:after="0"/>
              <w:rPr>
                <w:sz w:val="20"/>
                <w:szCs w:val="20"/>
                <w:color w:val="auto"/>
              </w:rPr>
            </w:pPr>
            <w:r>
              <w:rPr>
                <w:rFonts w:ascii="Times New Roman" w:cs="Times New Roman" w:eastAsia="Times New Roman" w:hAnsi="Times New Roman"/>
                <w:sz w:val="18"/>
                <w:szCs w:val="18"/>
                <w:color w:val="262626"/>
              </w:rPr>
              <w:t>Deferred income taxes</w:t>
            </w:r>
          </w:p>
        </w:tc>
        <w:tc>
          <w:tcPr>
            <w:tcW w:w="4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(17,777,777)</w:t>
            </w:r>
          </w:p>
        </w:tc>
        <w:tc>
          <w:tcPr>
            <w:tcW w:w="5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(41,694,751)</w:t>
            </w:r>
          </w:p>
        </w:tc>
        <w:tc>
          <w:tcPr>
            <w:tcW w:w="540" w:type="dxa"/>
            <w:vAlign w:val="bottom"/>
            <w:tcBorders>
              <w:bottom w:val="single" w:sz="8" w:color="838383"/>
            </w:tcBorders>
          </w:tcPr>
          <w:p>
            <w:pPr>
              <w:spacing w:after="0"/>
              <w:rPr>
                <w:sz w:val="23"/>
                <w:szCs w:val="23"/>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(15,419,722)</w:t>
            </w:r>
          </w:p>
        </w:tc>
        <w:tc>
          <w:tcPr>
            <w:tcW w:w="0" w:type="dxa"/>
            <w:vAlign w:val="bottom"/>
          </w:tcPr>
          <w:p>
            <w:pPr>
              <w:spacing w:after="0"/>
              <w:rPr>
                <w:sz w:val="1"/>
                <w:szCs w:val="1"/>
                <w:color w:val="auto"/>
              </w:rPr>
            </w:pPr>
          </w:p>
        </w:tc>
      </w:tr>
      <w:tr>
        <w:trPr>
          <w:trHeight w:val="260"/>
        </w:trPr>
        <w:tc>
          <w:tcPr>
            <w:tcW w:w="4720" w:type="dxa"/>
            <w:vAlign w:val="bottom"/>
          </w:tcPr>
          <w:p>
            <w:pPr>
              <w:ind w:left="580"/>
              <w:spacing w:after="0"/>
              <w:rPr>
                <w:sz w:val="20"/>
                <w:szCs w:val="20"/>
                <w:color w:val="auto"/>
              </w:rPr>
            </w:pPr>
            <w:r>
              <w:rPr>
                <w:rFonts w:ascii="Times New Roman" w:cs="Times New Roman" w:eastAsia="Times New Roman" w:hAnsi="Times New Roman"/>
                <w:sz w:val="18"/>
                <w:szCs w:val="18"/>
                <w:color w:val="262626"/>
                <w:w w:val="93"/>
              </w:rPr>
              <w:t>Stock based compensation expense related to employee stock</w:t>
            </w:r>
          </w:p>
        </w:tc>
        <w:tc>
          <w:tcPr>
            <w:tcW w:w="440" w:type="dxa"/>
            <w:vAlign w:val="bottom"/>
          </w:tcPr>
          <w:p>
            <w:pPr>
              <w:spacing w:after="0"/>
              <w:rPr>
                <w:sz w:val="22"/>
                <w:szCs w:val="2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30,228,606</w:t>
            </w:r>
          </w:p>
        </w:tc>
        <w:tc>
          <w:tcPr>
            <w:tcW w:w="540" w:type="dxa"/>
            <w:vAlign w:val="bottom"/>
          </w:tcPr>
          <w:p>
            <w:pPr>
              <w:spacing w:after="0"/>
              <w:rPr>
                <w:sz w:val="22"/>
                <w:szCs w:val="2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27,421,645</w:t>
            </w:r>
          </w:p>
        </w:tc>
        <w:tc>
          <w:tcPr>
            <w:tcW w:w="540" w:type="dxa"/>
            <w:vAlign w:val="bottom"/>
          </w:tcPr>
          <w:p>
            <w:pPr>
              <w:spacing w:after="0"/>
              <w:rPr>
                <w:sz w:val="22"/>
                <w:szCs w:val="2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30,797,327</w:t>
            </w:r>
          </w:p>
        </w:tc>
        <w:tc>
          <w:tcPr>
            <w:tcW w:w="0" w:type="dxa"/>
            <w:vAlign w:val="bottom"/>
          </w:tcPr>
          <w:p>
            <w:pPr>
              <w:spacing w:after="0"/>
              <w:rPr>
                <w:sz w:val="1"/>
                <w:szCs w:val="1"/>
                <w:color w:val="auto"/>
              </w:rPr>
            </w:pPr>
          </w:p>
        </w:tc>
      </w:tr>
      <w:tr>
        <w:trPr>
          <w:trHeight w:val="180"/>
        </w:trPr>
        <w:tc>
          <w:tcPr>
            <w:tcW w:w="472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262626"/>
              </w:rPr>
              <w:t>options, employee stock purchases and restricted stock</w:t>
            </w:r>
          </w:p>
        </w:tc>
        <w:tc>
          <w:tcPr>
            <w:tcW w:w="4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720" w:type="dxa"/>
            <w:vAlign w:val="bottom"/>
            <w:tcBorders>
              <w:bottom w:val="single" w:sz="8" w:color="838383"/>
            </w:tcBorders>
            <w:vMerge w:val="continue"/>
          </w:tcPr>
          <w:p>
            <w:pPr>
              <w:spacing w:after="0"/>
              <w:rPr>
                <w:sz w:val="6"/>
                <w:szCs w:val="6"/>
                <w:color w:val="auto"/>
              </w:rPr>
            </w:pPr>
          </w:p>
        </w:tc>
        <w:tc>
          <w:tcPr>
            <w:tcW w:w="440" w:type="dxa"/>
            <w:vAlign w:val="bottom"/>
            <w:tcBorders>
              <w:bottom w:val="single" w:sz="8" w:color="838383"/>
            </w:tcBorders>
          </w:tcPr>
          <w:p>
            <w:pPr>
              <w:spacing w:after="0"/>
              <w:rPr>
                <w:sz w:val="6"/>
                <w:szCs w:val="6"/>
                <w:color w:val="auto"/>
              </w:rPr>
            </w:pPr>
          </w:p>
        </w:tc>
        <w:tc>
          <w:tcPr>
            <w:tcW w:w="1440" w:type="dxa"/>
            <w:vAlign w:val="bottom"/>
            <w:tcBorders>
              <w:bottom w:val="single" w:sz="8" w:color="838383"/>
            </w:tcBorders>
          </w:tcPr>
          <w:p>
            <w:pPr>
              <w:spacing w:after="0"/>
              <w:rPr>
                <w:sz w:val="6"/>
                <w:szCs w:val="6"/>
                <w:color w:val="auto"/>
              </w:rPr>
            </w:pPr>
          </w:p>
        </w:tc>
        <w:tc>
          <w:tcPr>
            <w:tcW w:w="540" w:type="dxa"/>
            <w:vAlign w:val="bottom"/>
            <w:tcBorders>
              <w:bottom w:val="single" w:sz="8" w:color="838383"/>
            </w:tcBorders>
          </w:tcPr>
          <w:p>
            <w:pPr>
              <w:spacing w:after="0"/>
              <w:rPr>
                <w:sz w:val="6"/>
                <w:szCs w:val="6"/>
                <w:color w:val="auto"/>
              </w:rPr>
            </w:pPr>
          </w:p>
        </w:tc>
        <w:tc>
          <w:tcPr>
            <w:tcW w:w="1440" w:type="dxa"/>
            <w:vAlign w:val="bottom"/>
            <w:tcBorders>
              <w:bottom w:val="single" w:sz="8" w:color="838383"/>
            </w:tcBorders>
          </w:tcPr>
          <w:p>
            <w:pPr>
              <w:spacing w:after="0"/>
              <w:rPr>
                <w:sz w:val="6"/>
                <w:szCs w:val="6"/>
                <w:color w:val="auto"/>
              </w:rPr>
            </w:pPr>
          </w:p>
        </w:tc>
        <w:tc>
          <w:tcPr>
            <w:tcW w:w="540" w:type="dxa"/>
            <w:vAlign w:val="bottom"/>
            <w:tcBorders>
              <w:bottom w:val="single" w:sz="8" w:color="838383"/>
            </w:tcBorders>
          </w:tcPr>
          <w:p>
            <w:pPr>
              <w:spacing w:after="0"/>
              <w:rPr>
                <w:sz w:val="6"/>
                <w:szCs w:val="6"/>
                <w:color w:val="auto"/>
              </w:rPr>
            </w:pPr>
          </w:p>
        </w:tc>
        <w:tc>
          <w:tcPr>
            <w:tcW w:w="1360" w:type="dxa"/>
            <w:vAlign w:val="bottom"/>
            <w:tcBorders>
              <w:bottom w:val="single" w:sz="8" w:color="838383"/>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580"/>
              <w:spacing w:after="0"/>
              <w:rPr>
                <w:sz w:val="20"/>
                <w:szCs w:val="20"/>
                <w:color w:val="auto"/>
              </w:rPr>
            </w:pPr>
            <w:r>
              <w:rPr>
                <w:rFonts w:ascii="Times New Roman" w:cs="Times New Roman" w:eastAsia="Times New Roman" w:hAnsi="Times New Roman"/>
                <w:sz w:val="18"/>
                <w:szCs w:val="18"/>
                <w:color w:val="262626"/>
              </w:rPr>
              <w:t>Change in operating assets and liabilities:</w:t>
            </w:r>
          </w:p>
        </w:tc>
        <w:tc>
          <w:tcPr>
            <w:tcW w:w="4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spacing w:after="0"/>
              <w:rPr>
                <w:sz w:val="23"/>
                <w:szCs w:val="23"/>
                <w:color w:val="auto"/>
              </w:rPr>
            </w:pPr>
          </w:p>
        </w:tc>
        <w:tc>
          <w:tcPr>
            <w:tcW w:w="5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spacing w:after="0"/>
              <w:rPr>
                <w:sz w:val="23"/>
                <w:szCs w:val="23"/>
                <w:color w:val="auto"/>
              </w:rPr>
            </w:pPr>
          </w:p>
        </w:tc>
        <w:tc>
          <w:tcPr>
            <w:tcW w:w="540" w:type="dxa"/>
            <w:vAlign w:val="bottom"/>
            <w:tcBorders>
              <w:bottom w:val="single" w:sz="8" w:color="838383"/>
            </w:tcBorders>
          </w:tcPr>
          <w:p>
            <w:pPr>
              <w:spacing w:after="0"/>
              <w:rPr>
                <w:sz w:val="23"/>
                <w:szCs w:val="23"/>
                <w:color w:val="auto"/>
              </w:rPr>
            </w:pPr>
          </w:p>
        </w:tc>
        <w:tc>
          <w:tcPr>
            <w:tcW w:w="1360" w:type="dxa"/>
            <w:vAlign w:val="bottom"/>
            <w:tcBorders>
              <w:bottom w:val="single" w:sz="8" w:color="838383"/>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860"/>
              <w:spacing w:after="0"/>
              <w:rPr>
                <w:sz w:val="20"/>
                <w:szCs w:val="20"/>
                <w:color w:val="auto"/>
              </w:rPr>
            </w:pPr>
            <w:r>
              <w:rPr>
                <w:rFonts w:ascii="Times New Roman" w:cs="Times New Roman" w:eastAsia="Times New Roman" w:hAnsi="Times New Roman"/>
                <w:sz w:val="18"/>
                <w:szCs w:val="18"/>
                <w:color w:val="262626"/>
              </w:rPr>
              <w:t>Accounts receivable</w:t>
            </w:r>
          </w:p>
        </w:tc>
        <w:tc>
          <w:tcPr>
            <w:tcW w:w="4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(26,698,846)</w:t>
            </w:r>
          </w:p>
        </w:tc>
        <w:tc>
          <w:tcPr>
            <w:tcW w:w="5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35,135,429</w:t>
            </w:r>
          </w:p>
        </w:tc>
        <w:tc>
          <w:tcPr>
            <w:tcW w:w="540" w:type="dxa"/>
            <w:vAlign w:val="bottom"/>
            <w:tcBorders>
              <w:bottom w:val="single" w:sz="8" w:color="838383"/>
            </w:tcBorders>
          </w:tcPr>
          <w:p>
            <w:pPr>
              <w:spacing w:after="0"/>
              <w:rPr>
                <w:sz w:val="23"/>
                <w:szCs w:val="23"/>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(49,290,457)</w:t>
            </w: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860"/>
              <w:spacing w:after="0"/>
              <w:rPr>
                <w:sz w:val="20"/>
                <w:szCs w:val="20"/>
                <w:color w:val="auto"/>
              </w:rPr>
            </w:pPr>
            <w:r>
              <w:rPr>
                <w:rFonts w:ascii="Times New Roman" w:cs="Times New Roman" w:eastAsia="Times New Roman" w:hAnsi="Times New Roman"/>
                <w:sz w:val="18"/>
                <w:szCs w:val="18"/>
                <w:color w:val="262626"/>
              </w:rPr>
              <w:t>Inventories</w:t>
            </w:r>
          </w:p>
        </w:tc>
        <w:tc>
          <w:tcPr>
            <w:tcW w:w="4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(88,092,828)</w:t>
            </w:r>
          </w:p>
        </w:tc>
        <w:tc>
          <w:tcPr>
            <w:tcW w:w="5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(89,975,599)</w:t>
            </w:r>
          </w:p>
        </w:tc>
        <w:tc>
          <w:tcPr>
            <w:tcW w:w="540" w:type="dxa"/>
            <w:vAlign w:val="bottom"/>
            <w:tcBorders>
              <w:bottom w:val="single" w:sz="8" w:color="838383"/>
            </w:tcBorders>
          </w:tcPr>
          <w:p>
            <w:pPr>
              <w:spacing w:after="0"/>
              <w:rPr>
                <w:sz w:val="23"/>
                <w:szCs w:val="23"/>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22,725,798</w:t>
            </w: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860"/>
              <w:spacing w:after="0"/>
              <w:rPr>
                <w:sz w:val="20"/>
                <w:szCs w:val="20"/>
                <w:color w:val="auto"/>
              </w:rPr>
            </w:pPr>
            <w:r>
              <w:rPr>
                <w:rFonts w:ascii="Times New Roman" w:cs="Times New Roman" w:eastAsia="Times New Roman" w:hAnsi="Times New Roman"/>
                <w:sz w:val="18"/>
                <w:szCs w:val="18"/>
                <w:color w:val="262626"/>
              </w:rPr>
              <w:t>Prepaid expenses and other</w:t>
            </w:r>
          </w:p>
        </w:tc>
        <w:tc>
          <w:tcPr>
            <w:tcW w:w="4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(28,788,331)</w:t>
            </w:r>
          </w:p>
        </w:tc>
        <w:tc>
          <w:tcPr>
            <w:tcW w:w="5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(20,241,994)</w:t>
            </w:r>
          </w:p>
        </w:tc>
        <w:tc>
          <w:tcPr>
            <w:tcW w:w="540" w:type="dxa"/>
            <w:vAlign w:val="bottom"/>
            <w:tcBorders>
              <w:bottom w:val="single" w:sz="8" w:color="838383"/>
            </w:tcBorders>
          </w:tcPr>
          <w:p>
            <w:pPr>
              <w:spacing w:after="0"/>
              <w:rPr>
                <w:sz w:val="23"/>
                <w:szCs w:val="23"/>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10,493,993</w:t>
            </w: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860"/>
              <w:spacing w:after="0"/>
              <w:rPr>
                <w:sz w:val="20"/>
                <w:szCs w:val="20"/>
                <w:color w:val="auto"/>
              </w:rPr>
            </w:pPr>
            <w:r>
              <w:rPr>
                <w:rFonts w:ascii="Times New Roman" w:cs="Times New Roman" w:eastAsia="Times New Roman" w:hAnsi="Times New Roman"/>
                <w:sz w:val="18"/>
                <w:szCs w:val="18"/>
                <w:color w:val="262626"/>
              </w:rPr>
              <w:t>Accounts payable</w:t>
            </w:r>
          </w:p>
        </w:tc>
        <w:tc>
          <w:tcPr>
            <w:tcW w:w="4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37,423,488</w:t>
            </w:r>
          </w:p>
        </w:tc>
        <w:tc>
          <w:tcPr>
            <w:tcW w:w="5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7,266,309</w:t>
            </w:r>
          </w:p>
        </w:tc>
        <w:tc>
          <w:tcPr>
            <w:tcW w:w="540" w:type="dxa"/>
            <w:vAlign w:val="bottom"/>
            <w:tcBorders>
              <w:bottom w:val="single" w:sz="8" w:color="838383"/>
            </w:tcBorders>
          </w:tcPr>
          <w:p>
            <w:pPr>
              <w:spacing w:after="0"/>
              <w:rPr>
                <w:sz w:val="23"/>
                <w:szCs w:val="23"/>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(12,854,038)</w:t>
            </w:r>
          </w:p>
        </w:tc>
        <w:tc>
          <w:tcPr>
            <w:tcW w:w="0" w:type="dxa"/>
            <w:vAlign w:val="bottom"/>
          </w:tcPr>
          <w:p>
            <w:pPr>
              <w:spacing w:after="0"/>
              <w:rPr>
                <w:sz w:val="1"/>
                <w:szCs w:val="1"/>
                <w:color w:val="auto"/>
              </w:rPr>
            </w:pPr>
          </w:p>
        </w:tc>
      </w:tr>
      <w:tr>
        <w:trPr>
          <w:trHeight w:val="283"/>
        </w:trPr>
        <w:tc>
          <w:tcPr>
            <w:tcW w:w="4720" w:type="dxa"/>
            <w:vAlign w:val="bottom"/>
            <w:tcBorders>
              <w:bottom w:val="single" w:sz="8" w:color="838383"/>
            </w:tcBorders>
          </w:tcPr>
          <w:p>
            <w:pPr>
              <w:ind w:left="860"/>
              <w:spacing w:after="0"/>
              <w:rPr>
                <w:sz w:val="20"/>
                <w:szCs w:val="20"/>
                <w:color w:val="auto"/>
              </w:rPr>
            </w:pPr>
            <w:r>
              <w:rPr>
                <w:rFonts w:ascii="Times New Roman" w:cs="Times New Roman" w:eastAsia="Times New Roman" w:hAnsi="Times New Roman"/>
                <w:sz w:val="18"/>
                <w:szCs w:val="18"/>
                <w:color w:val="262626"/>
              </w:rPr>
              <w:t>Accrued liabilities</w:t>
            </w:r>
          </w:p>
        </w:tc>
        <w:tc>
          <w:tcPr>
            <w:tcW w:w="440" w:type="dxa"/>
            <w:vAlign w:val="bottom"/>
            <w:tcBorders>
              <w:bottom w:val="single" w:sz="8" w:color="8F8F8F"/>
            </w:tcBorders>
          </w:tcPr>
          <w:p>
            <w:pPr>
              <w:spacing w:after="0"/>
              <w:rPr>
                <w:sz w:val="24"/>
                <w:szCs w:val="24"/>
                <w:color w:val="auto"/>
              </w:rPr>
            </w:pPr>
          </w:p>
        </w:tc>
        <w:tc>
          <w:tcPr>
            <w:tcW w:w="14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14,909,867</w:t>
            </w:r>
          </w:p>
        </w:tc>
        <w:tc>
          <w:tcPr>
            <w:tcW w:w="540" w:type="dxa"/>
            <w:vAlign w:val="bottom"/>
            <w:tcBorders>
              <w:bottom w:val="single" w:sz="8" w:color="8F8F8F"/>
            </w:tcBorders>
          </w:tcPr>
          <w:p>
            <w:pPr>
              <w:spacing w:after="0"/>
              <w:rPr>
                <w:sz w:val="24"/>
                <w:szCs w:val="24"/>
                <w:color w:val="auto"/>
              </w:rPr>
            </w:pPr>
          </w:p>
        </w:tc>
        <w:tc>
          <w:tcPr>
            <w:tcW w:w="14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(14,322,863)</w:t>
            </w:r>
          </w:p>
        </w:tc>
        <w:tc>
          <w:tcPr>
            <w:tcW w:w="540" w:type="dxa"/>
            <w:vAlign w:val="bottom"/>
            <w:tcBorders>
              <w:bottom w:val="single" w:sz="8" w:color="8F8F8F"/>
            </w:tcBorders>
          </w:tcPr>
          <w:p>
            <w:pPr>
              <w:spacing w:after="0"/>
              <w:rPr>
                <w:sz w:val="24"/>
                <w:szCs w:val="24"/>
                <w:color w:val="auto"/>
              </w:rPr>
            </w:pPr>
          </w:p>
        </w:tc>
        <w:tc>
          <w:tcPr>
            <w:tcW w:w="13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27,982,962</w:t>
            </w: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Net cash flows from operating activities</w:t>
            </w:r>
          </w:p>
        </w:tc>
        <w:tc>
          <w:tcPr>
            <w:tcW w:w="440" w:type="dxa"/>
            <w:vAlign w:val="bottom"/>
            <w:tcBorders>
              <w:bottom w:val="single" w:sz="8" w:color="8F8F8F"/>
            </w:tcBorders>
          </w:tcPr>
          <w:p>
            <w:pPr>
              <w:spacing w:after="0"/>
              <w:rPr>
                <w:sz w:val="23"/>
                <w:szCs w:val="23"/>
                <w:color w:val="auto"/>
              </w:rPr>
            </w:pPr>
          </w:p>
        </w:tc>
        <w:tc>
          <w:tcPr>
            <w:tcW w:w="14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338,200,529</w:t>
            </w:r>
          </w:p>
        </w:tc>
        <w:tc>
          <w:tcPr>
            <w:tcW w:w="540" w:type="dxa"/>
            <w:vAlign w:val="bottom"/>
            <w:tcBorders>
              <w:bottom w:val="single" w:sz="8" w:color="8F8F8F"/>
            </w:tcBorders>
          </w:tcPr>
          <w:p>
            <w:pPr>
              <w:spacing w:after="0"/>
              <w:rPr>
                <w:sz w:val="23"/>
                <w:szCs w:val="23"/>
                <w:color w:val="auto"/>
              </w:rPr>
            </w:pPr>
          </w:p>
        </w:tc>
        <w:tc>
          <w:tcPr>
            <w:tcW w:w="14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362,167,562</w:t>
            </w:r>
          </w:p>
        </w:tc>
        <w:tc>
          <w:tcPr>
            <w:tcW w:w="540" w:type="dxa"/>
            <w:vAlign w:val="bottom"/>
            <w:tcBorders>
              <w:bottom w:val="single" w:sz="8" w:color="8F8F8F"/>
            </w:tcBorders>
          </w:tcPr>
          <w:p>
            <w:pPr>
              <w:spacing w:after="0"/>
              <w:rPr>
                <w:sz w:val="23"/>
                <w:szCs w:val="23"/>
                <w:color w:val="auto"/>
              </w:rPr>
            </w:pPr>
          </w:p>
        </w:tc>
        <w:tc>
          <w:tcPr>
            <w:tcW w:w="13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464,491,771</w:t>
            </w:r>
          </w:p>
        </w:tc>
        <w:tc>
          <w:tcPr>
            <w:tcW w:w="0" w:type="dxa"/>
            <w:vAlign w:val="bottom"/>
          </w:tcPr>
          <w:p>
            <w:pPr>
              <w:spacing w:after="0"/>
              <w:rPr>
                <w:sz w:val="1"/>
                <w:szCs w:val="1"/>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7"/>
                <w:szCs w:val="17"/>
                <w:b w:val="1"/>
                <w:bCs w:val="1"/>
                <w:color w:val="838383"/>
              </w:rPr>
              <w:t>CASH FLOWS USED FOR INVESTING ACTIVITIES:</w:t>
            </w: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720" w:type="dxa"/>
            <w:vAlign w:val="bottom"/>
            <w:tcBorders>
              <w:bottom w:val="single" w:sz="8" w:color="838383"/>
            </w:tcBorders>
          </w:tcPr>
          <w:p>
            <w:pPr>
              <w:spacing w:after="0"/>
              <w:rPr>
                <w:sz w:val="2"/>
                <w:szCs w:val="2"/>
                <w:color w:val="auto"/>
              </w:rPr>
            </w:pPr>
          </w:p>
        </w:tc>
        <w:tc>
          <w:tcPr>
            <w:tcW w:w="440" w:type="dxa"/>
            <w:vAlign w:val="bottom"/>
            <w:tcBorders>
              <w:bottom w:val="single" w:sz="8" w:color="838383"/>
            </w:tcBorders>
          </w:tcPr>
          <w:p>
            <w:pPr>
              <w:spacing w:after="0"/>
              <w:rPr>
                <w:sz w:val="2"/>
                <w:szCs w:val="2"/>
                <w:color w:val="auto"/>
              </w:rPr>
            </w:pPr>
          </w:p>
        </w:tc>
        <w:tc>
          <w:tcPr>
            <w:tcW w:w="1440" w:type="dxa"/>
            <w:vAlign w:val="bottom"/>
            <w:tcBorders>
              <w:bottom w:val="single" w:sz="8" w:color="838383"/>
            </w:tcBorders>
          </w:tcPr>
          <w:p>
            <w:pPr>
              <w:spacing w:after="0"/>
              <w:rPr>
                <w:sz w:val="2"/>
                <w:szCs w:val="2"/>
                <w:color w:val="auto"/>
              </w:rPr>
            </w:pPr>
          </w:p>
        </w:tc>
        <w:tc>
          <w:tcPr>
            <w:tcW w:w="540" w:type="dxa"/>
            <w:vAlign w:val="bottom"/>
            <w:tcBorders>
              <w:bottom w:val="single" w:sz="8" w:color="838383"/>
            </w:tcBorders>
          </w:tcPr>
          <w:p>
            <w:pPr>
              <w:spacing w:after="0"/>
              <w:rPr>
                <w:sz w:val="2"/>
                <w:szCs w:val="2"/>
                <w:color w:val="auto"/>
              </w:rPr>
            </w:pPr>
          </w:p>
        </w:tc>
        <w:tc>
          <w:tcPr>
            <w:tcW w:w="1440" w:type="dxa"/>
            <w:vAlign w:val="bottom"/>
            <w:tcBorders>
              <w:bottom w:val="single" w:sz="8" w:color="838383"/>
            </w:tcBorders>
          </w:tcPr>
          <w:p>
            <w:pPr>
              <w:spacing w:after="0"/>
              <w:rPr>
                <w:sz w:val="2"/>
                <w:szCs w:val="2"/>
                <w:color w:val="auto"/>
              </w:rPr>
            </w:pPr>
          </w:p>
        </w:tc>
        <w:tc>
          <w:tcPr>
            <w:tcW w:w="540" w:type="dxa"/>
            <w:vAlign w:val="bottom"/>
            <w:tcBorders>
              <w:bottom w:val="single" w:sz="8" w:color="838383"/>
            </w:tcBorders>
          </w:tcPr>
          <w:p>
            <w:pPr>
              <w:spacing w:after="0"/>
              <w:rPr>
                <w:sz w:val="2"/>
                <w:szCs w:val="2"/>
                <w:color w:val="auto"/>
              </w:rPr>
            </w:pPr>
          </w:p>
        </w:tc>
        <w:tc>
          <w:tcPr>
            <w:tcW w:w="1360" w:type="dxa"/>
            <w:vAlign w:val="bottom"/>
            <w:tcBorders>
              <w:bottom w:val="single" w:sz="8" w:color="838383"/>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300"/>
              <w:spacing w:after="0"/>
              <w:rPr>
                <w:sz w:val="20"/>
                <w:szCs w:val="20"/>
                <w:color w:val="auto"/>
              </w:rPr>
            </w:pPr>
            <w:r>
              <w:rPr>
                <w:rFonts w:ascii="Times New Roman" w:cs="Times New Roman" w:eastAsia="Times New Roman" w:hAnsi="Times New Roman"/>
                <w:sz w:val="18"/>
                <w:szCs w:val="18"/>
                <w:color w:val="262626"/>
              </w:rPr>
              <w:t>Activity in available-for-sale securities:</w:t>
            </w:r>
          </w:p>
        </w:tc>
        <w:tc>
          <w:tcPr>
            <w:tcW w:w="4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spacing w:after="0"/>
              <w:rPr>
                <w:sz w:val="23"/>
                <w:szCs w:val="23"/>
                <w:color w:val="auto"/>
              </w:rPr>
            </w:pPr>
          </w:p>
        </w:tc>
        <w:tc>
          <w:tcPr>
            <w:tcW w:w="5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spacing w:after="0"/>
              <w:rPr>
                <w:sz w:val="23"/>
                <w:szCs w:val="23"/>
                <w:color w:val="auto"/>
              </w:rPr>
            </w:pPr>
          </w:p>
        </w:tc>
        <w:tc>
          <w:tcPr>
            <w:tcW w:w="540" w:type="dxa"/>
            <w:vAlign w:val="bottom"/>
            <w:tcBorders>
              <w:bottom w:val="single" w:sz="8" w:color="838383"/>
            </w:tcBorders>
          </w:tcPr>
          <w:p>
            <w:pPr>
              <w:spacing w:after="0"/>
              <w:rPr>
                <w:sz w:val="23"/>
                <w:szCs w:val="23"/>
                <w:color w:val="auto"/>
              </w:rPr>
            </w:pPr>
          </w:p>
        </w:tc>
        <w:tc>
          <w:tcPr>
            <w:tcW w:w="1360" w:type="dxa"/>
            <w:vAlign w:val="bottom"/>
            <w:tcBorders>
              <w:bottom w:val="single" w:sz="8" w:color="838383"/>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580"/>
              <w:spacing w:after="0"/>
              <w:rPr>
                <w:sz w:val="20"/>
                <w:szCs w:val="20"/>
                <w:color w:val="auto"/>
              </w:rPr>
            </w:pPr>
            <w:r>
              <w:rPr>
                <w:rFonts w:ascii="Times New Roman" w:cs="Times New Roman" w:eastAsia="Times New Roman" w:hAnsi="Times New Roman"/>
                <w:sz w:val="18"/>
                <w:szCs w:val="18"/>
                <w:color w:val="262626"/>
              </w:rPr>
              <w:t>Sales proceeds</w:t>
            </w:r>
          </w:p>
        </w:tc>
        <w:tc>
          <w:tcPr>
            <w:tcW w:w="4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37,429,595</w:t>
            </w:r>
          </w:p>
        </w:tc>
        <w:tc>
          <w:tcPr>
            <w:tcW w:w="5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56,237,427</w:t>
            </w:r>
          </w:p>
        </w:tc>
        <w:tc>
          <w:tcPr>
            <w:tcW w:w="540" w:type="dxa"/>
            <w:vAlign w:val="bottom"/>
            <w:tcBorders>
              <w:bottom w:val="single" w:sz="8" w:color="838383"/>
            </w:tcBorders>
          </w:tcPr>
          <w:p>
            <w:pPr>
              <w:spacing w:after="0"/>
              <w:rPr>
                <w:sz w:val="23"/>
                <w:szCs w:val="23"/>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24,455,695</w:t>
            </w: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580"/>
              <w:spacing w:after="0"/>
              <w:rPr>
                <w:sz w:val="20"/>
                <w:szCs w:val="20"/>
                <w:color w:val="auto"/>
              </w:rPr>
            </w:pPr>
            <w:r>
              <w:rPr>
                <w:rFonts w:ascii="Times New Roman" w:cs="Times New Roman" w:eastAsia="Times New Roman" w:hAnsi="Times New Roman"/>
                <w:sz w:val="18"/>
                <w:szCs w:val="18"/>
                <w:color w:val="262626"/>
              </w:rPr>
              <w:t>Maturities and calls</w:t>
            </w:r>
          </w:p>
        </w:tc>
        <w:tc>
          <w:tcPr>
            <w:tcW w:w="4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3,500,000</w:t>
            </w:r>
          </w:p>
        </w:tc>
        <w:tc>
          <w:tcPr>
            <w:tcW w:w="5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27,690,000</w:t>
            </w:r>
          </w:p>
        </w:tc>
        <w:tc>
          <w:tcPr>
            <w:tcW w:w="540" w:type="dxa"/>
            <w:vAlign w:val="bottom"/>
            <w:tcBorders>
              <w:bottom w:val="single" w:sz="8" w:color="838383"/>
            </w:tcBorders>
          </w:tcPr>
          <w:p>
            <w:pPr>
              <w:spacing w:after="0"/>
              <w:rPr>
                <w:sz w:val="23"/>
                <w:szCs w:val="23"/>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142,547,368</w:t>
            </w: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580"/>
              <w:spacing w:after="0"/>
              <w:rPr>
                <w:sz w:val="20"/>
                <w:szCs w:val="20"/>
                <w:color w:val="auto"/>
              </w:rPr>
            </w:pPr>
            <w:r>
              <w:rPr>
                <w:rFonts w:ascii="Times New Roman" w:cs="Times New Roman" w:eastAsia="Times New Roman" w:hAnsi="Times New Roman"/>
                <w:sz w:val="18"/>
                <w:szCs w:val="18"/>
                <w:color w:val="262626"/>
              </w:rPr>
              <w:t>Purchases</w:t>
            </w:r>
          </w:p>
        </w:tc>
        <w:tc>
          <w:tcPr>
            <w:tcW w:w="4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(30,107,379)</w:t>
            </w:r>
          </w:p>
        </w:tc>
        <w:tc>
          <w:tcPr>
            <w:tcW w:w="5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(113,204,199)</w:t>
            </w:r>
          </w:p>
        </w:tc>
        <w:tc>
          <w:tcPr>
            <w:tcW w:w="540" w:type="dxa"/>
            <w:vAlign w:val="bottom"/>
            <w:tcBorders>
              <w:bottom w:val="single" w:sz="8" w:color="838383"/>
            </w:tcBorders>
          </w:tcPr>
          <w:p>
            <w:pPr>
              <w:spacing w:after="0"/>
              <w:rPr>
                <w:sz w:val="23"/>
                <w:szCs w:val="23"/>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(73,719,189)</w:t>
            </w: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300"/>
              <w:spacing w:after="0"/>
              <w:rPr>
                <w:sz w:val="20"/>
                <w:szCs w:val="20"/>
                <w:color w:val="auto"/>
              </w:rPr>
            </w:pPr>
            <w:r>
              <w:rPr>
                <w:rFonts w:ascii="Times New Roman" w:cs="Times New Roman" w:eastAsia="Times New Roman" w:hAnsi="Times New Roman"/>
                <w:sz w:val="18"/>
                <w:szCs w:val="18"/>
                <w:color w:val="262626"/>
              </w:rPr>
              <w:t>Purchase of equity method investments</w:t>
            </w:r>
          </w:p>
        </w:tc>
        <w:tc>
          <w:tcPr>
            <w:tcW w:w="4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(33,830,274)</w:t>
            </w:r>
          </w:p>
        </w:tc>
        <w:tc>
          <w:tcPr>
            <w:tcW w:w="5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540" w:type="dxa"/>
            <w:vAlign w:val="bottom"/>
            <w:tcBorders>
              <w:bottom w:val="single" w:sz="8" w:color="838383"/>
            </w:tcBorders>
          </w:tcPr>
          <w:p>
            <w:pPr>
              <w:spacing w:after="0"/>
              <w:rPr>
                <w:sz w:val="23"/>
                <w:szCs w:val="23"/>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300"/>
              <w:spacing w:after="0"/>
              <w:rPr>
                <w:sz w:val="20"/>
                <w:szCs w:val="20"/>
                <w:color w:val="auto"/>
              </w:rPr>
            </w:pPr>
            <w:r>
              <w:rPr>
                <w:rFonts w:ascii="Times New Roman" w:cs="Times New Roman" w:eastAsia="Times New Roman" w:hAnsi="Times New Roman"/>
                <w:sz w:val="18"/>
                <w:szCs w:val="18"/>
                <w:color w:val="262626"/>
              </w:rPr>
              <w:t>Plant and equipment additions</w:t>
            </w:r>
          </w:p>
        </w:tc>
        <w:tc>
          <w:tcPr>
            <w:tcW w:w="4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(146,433,123)</w:t>
            </w:r>
          </w:p>
        </w:tc>
        <w:tc>
          <w:tcPr>
            <w:tcW w:w="5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(68,835,047)</w:t>
            </w:r>
          </w:p>
        </w:tc>
        <w:tc>
          <w:tcPr>
            <w:tcW w:w="540" w:type="dxa"/>
            <w:vAlign w:val="bottom"/>
            <w:tcBorders>
              <w:bottom w:val="single" w:sz="8" w:color="838383"/>
            </w:tcBorders>
          </w:tcPr>
          <w:p>
            <w:pPr>
              <w:spacing w:after="0"/>
              <w:rPr>
                <w:sz w:val="23"/>
                <w:szCs w:val="23"/>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(51,706,541)</w:t>
            </w: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300"/>
              <w:spacing w:after="0"/>
              <w:rPr>
                <w:sz w:val="20"/>
                <w:szCs w:val="20"/>
                <w:color w:val="auto"/>
              </w:rPr>
            </w:pPr>
            <w:r>
              <w:rPr>
                <w:rFonts w:ascii="Times New Roman" w:cs="Times New Roman" w:eastAsia="Times New Roman" w:hAnsi="Times New Roman"/>
                <w:sz w:val="18"/>
                <w:szCs w:val="18"/>
                <w:color w:val="262626"/>
              </w:rPr>
              <w:t>Proceeds from sale of plant and equipment</w:t>
            </w:r>
          </w:p>
        </w:tc>
        <w:tc>
          <w:tcPr>
            <w:tcW w:w="4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313,917</w:t>
            </w:r>
          </w:p>
        </w:tc>
        <w:tc>
          <w:tcPr>
            <w:tcW w:w="5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2,577,855</w:t>
            </w:r>
          </w:p>
        </w:tc>
        <w:tc>
          <w:tcPr>
            <w:tcW w:w="540" w:type="dxa"/>
            <w:vAlign w:val="bottom"/>
            <w:tcBorders>
              <w:bottom w:val="single" w:sz="8" w:color="838383"/>
            </w:tcBorders>
          </w:tcPr>
          <w:p>
            <w:pPr>
              <w:spacing w:after="0"/>
              <w:rPr>
                <w:sz w:val="23"/>
                <w:szCs w:val="23"/>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383,429</w:t>
            </w: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300"/>
              <w:spacing w:after="0"/>
              <w:rPr>
                <w:sz w:val="20"/>
                <w:szCs w:val="20"/>
                <w:color w:val="auto"/>
              </w:rPr>
            </w:pPr>
            <w:r>
              <w:rPr>
                <w:rFonts w:ascii="Times New Roman" w:cs="Times New Roman" w:eastAsia="Times New Roman" w:hAnsi="Times New Roman"/>
                <w:sz w:val="18"/>
                <w:szCs w:val="18"/>
                <w:color w:val="262626"/>
              </w:rPr>
              <w:t>Acquisition of businesses, net of cash acquired</w:t>
            </w:r>
          </w:p>
        </w:tc>
        <w:tc>
          <w:tcPr>
            <w:tcW w:w="4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5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(12,071,546)</w:t>
            </w:r>
          </w:p>
        </w:tc>
        <w:tc>
          <w:tcPr>
            <w:tcW w:w="540" w:type="dxa"/>
            <w:vAlign w:val="bottom"/>
            <w:tcBorders>
              <w:bottom w:val="single" w:sz="8" w:color="838383"/>
            </w:tcBorders>
          </w:tcPr>
          <w:p>
            <w:pPr>
              <w:spacing w:after="0"/>
              <w:rPr>
                <w:sz w:val="23"/>
                <w:szCs w:val="23"/>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(11,216,927)</w:t>
            </w:r>
          </w:p>
        </w:tc>
        <w:tc>
          <w:tcPr>
            <w:tcW w:w="0" w:type="dxa"/>
            <w:vAlign w:val="bottom"/>
          </w:tcPr>
          <w:p>
            <w:pPr>
              <w:spacing w:after="0"/>
              <w:rPr>
                <w:sz w:val="1"/>
                <w:szCs w:val="1"/>
                <w:color w:val="auto"/>
              </w:rPr>
            </w:pPr>
          </w:p>
        </w:tc>
      </w:tr>
      <w:tr>
        <w:trPr>
          <w:trHeight w:val="283"/>
        </w:trPr>
        <w:tc>
          <w:tcPr>
            <w:tcW w:w="4720" w:type="dxa"/>
            <w:vAlign w:val="bottom"/>
            <w:tcBorders>
              <w:bottom w:val="single" w:sz="8" w:color="838383"/>
            </w:tcBorders>
          </w:tcPr>
          <w:p>
            <w:pPr>
              <w:ind w:left="300"/>
              <w:spacing w:after="0"/>
              <w:rPr>
                <w:sz w:val="20"/>
                <w:szCs w:val="20"/>
                <w:color w:val="auto"/>
              </w:rPr>
            </w:pPr>
            <w:r>
              <w:rPr>
                <w:rFonts w:ascii="Times New Roman" w:cs="Times New Roman" w:eastAsia="Times New Roman" w:hAnsi="Times New Roman"/>
                <w:sz w:val="18"/>
                <w:szCs w:val="18"/>
                <w:color w:val="262626"/>
              </w:rPr>
              <w:t>Increase in other assets</w:t>
            </w:r>
          </w:p>
        </w:tc>
        <w:tc>
          <w:tcPr>
            <w:tcW w:w="440" w:type="dxa"/>
            <w:vAlign w:val="bottom"/>
            <w:tcBorders>
              <w:bottom w:val="single" w:sz="8" w:color="8F8F8F"/>
            </w:tcBorders>
          </w:tcPr>
          <w:p>
            <w:pPr>
              <w:spacing w:after="0"/>
              <w:rPr>
                <w:sz w:val="24"/>
                <w:szCs w:val="24"/>
                <w:color w:val="auto"/>
              </w:rPr>
            </w:pPr>
          </w:p>
        </w:tc>
        <w:tc>
          <w:tcPr>
            <w:tcW w:w="14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(3,611,244)</w:t>
            </w:r>
          </w:p>
        </w:tc>
        <w:tc>
          <w:tcPr>
            <w:tcW w:w="540" w:type="dxa"/>
            <w:vAlign w:val="bottom"/>
            <w:tcBorders>
              <w:bottom w:val="single" w:sz="8" w:color="8F8F8F"/>
            </w:tcBorders>
          </w:tcPr>
          <w:p>
            <w:pPr>
              <w:spacing w:after="0"/>
              <w:rPr>
                <w:sz w:val="24"/>
                <w:szCs w:val="24"/>
                <w:color w:val="auto"/>
              </w:rPr>
            </w:pPr>
          </w:p>
        </w:tc>
        <w:tc>
          <w:tcPr>
            <w:tcW w:w="14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(5,501,445)</w:t>
            </w:r>
          </w:p>
        </w:tc>
        <w:tc>
          <w:tcPr>
            <w:tcW w:w="540" w:type="dxa"/>
            <w:vAlign w:val="bottom"/>
            <w:tcBorders>
              <w:bottom w:val="single" w:sz="8" w:color="8F8F8F"/>
            </w:tcBorders>
          </w:tcPr>
          <w:p>
            <w:pPr>
              <w:spacing w:after="0"/>
              <w:rPr>
                <w:sz w:val="24"/>
                <w:szCs w:val="24"/>
                <w:color w:val="auto"/>
              </w:rPr>
            </w:pPr>
          </w:p>
        </w:tc>
        <w:tc>
          <w:tcPr>
            <w:tcW w:w="13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(4,327,398)</w:t>
            </w: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Net cash (used for) from investing activities</w:t>
            </w:r>
          </w:p>
        </w:tc>
        <w:tc>
          <w:tcPr>
            <w:tcW w:w="440" w:type="dxa"/>
            <w:vAlign w:val="bottom"/>
            <w:tcBorders>
              <w:bottom w:val="single" w:sz="8" w:color="8F8F8F"/>
            </w:tcBorders>
          </w:tcPr>
          <w:p>
            <w:pPr>
              <w:spacing w:after="0"/>
              <w:rPr>
                <w:sz w:val="23"/>
                <w:szCs w:val="23"/>
                <w:color w:val="auto"/>
              </w:rPr>
            </w:pPr>
          </w:p>
        </w:tc>
        <w:tc>
          <w:tcPr>
            <w:tcW w:w="14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(172,738,508)</w:t>
            </w:r>
          </w:p>
        </w:tc>
        <w:tc>
          <w:tcPr>
            <w:tcW w:w="540" w:type="dxa"/>
            <w:vAlign w:val="bottom"/>
            <w:tcBorders>
              <w:bottom w:val="single" w:sz="8" w:color="8F8F8F"/>
            </w:tcBorders>
          </w:tcPr>
          <w:p>
            <w:pPr>
              <w:spacing w:after="0"/>
              <w:rPr>
                <w:sz w:val="23"/>
                <w:szCs w:val="23"/>
                <w:color w:val="auto"/>
              </w:rPr>
            </w:pPr>
          </w:p>
        </w:tc>
        <w:tc>
          <w:tcPr>
            <w:tcW w:w="14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(113,106,955)</w:t>
            </w:r>
          </w:p>
        </w:tc>
        <w:tc>
          <w:tcPr>
            <w:tcW w:w="540" w:type="dxa"/>
            <w:vAlign w:val="bottom"/>
            <w:tcBorders>
              <w:bottom w:val="single" w:sz="8" w:color="8F8F8F"/>
            </w:tcBorders>
          </w:tcPr>
          <w:p>
            <w:pPr>
              <w:spacing w:after="0"/>
              <w:rPr>
                <w:sz w:val="23"/>
                <w:szCs w:val="23"/>
                <w:color w:val="auto"/>
              </w:rPr>
            </w:pPr>
          </w:p>
        </w:tc>
        <w:tc>
          <w:tcPr>
            <w:tcW w:w="13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26,416,437</w:t>
            </w:r>
          </w:p>
        </w:tc>
        <w:tc>
          <w:tcPr>
            <w:tcW w:w="0" w:type="dxa"/>
            <w:vAlign w:val="bottom"/>
          </w:tcPr>
          <w:p>
            <w:pPr>
              <w:spacing w:after="0"/>
              <w:rPr>
                <w:sz w:val="1"/>
                <w:szCs w:val="1"/>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7"/>
                <w:szCs w:val="17"/>
                <w:b w:val="1"/>
                <w:bCs w:val="1"/>
                <w:color w:val="838383"/>
              </w:rPr>
              <w:t>CASH FLOWS USED FOR FINANCING ACTIVITIES:</w:t>
            </w: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720" w:type="dxa"/>
            <w:vAlign w:val="bottom"/>
            <w:tcBorders>
              <w:bottom w:val="single" w:sz="8" w:color="838383"/>
            </w:tcBorders>
          </w:tcPr>
          <w:p>
            <w:pPr>
              <w:spacing w:after="0"/>
              <w:rPr>
                <w:sz w:val="2"/>
                <w:szCs w:val="2"/>
                <w:color w:val="auto"/>
              </w:rPr>
            </w:pPr>
          </w:p>
        </w:tc>
        <w:tc>
          <w:tcPr>
            <w:tcW w:w="440" w:type="dxa"/>
            <w:vAlign w:val="bottom"/>
            <w:tcBorders>
              <w:bottom w:val="single" w:sz="8" w:color="838383"/>
            </w:tcBorders>
          </w:tcPr>
          <w:p>
            <w:pPr>
              <w:spacing w:after="0"/>
              <w:rPr>
                <w:sz w:val="2"/>
                <w:szCs w:val="2"/>
                <w:color w:val="auto"/>
              </w:rPr>
            </w:pPr>
          </w:p>
        </w:tc>
        <w:tc>
          <w:tcPr>
            <w:tcW w:w="1440" w:type="dxa"/>
            <w:vAlign w:val="bottom"/>
            <w:tcBorders>
              <w:bottom w:val="single" w:sz="8" w:color="838383"/>
            </w:tcBorders>
          </w:tcPr>
          <w:p>
            <w:pPr>
              <w:spacing w:after="0"/>
              <w:rPr>
                <w:sz w:val="2"/>
                <w:szCs w:val="2"/>
                <w:color w:val="auto"/>
              </w:rPr>
            </w:pPr>
          </w:p>
        </w:tc>
        <w:tc>
          <w:tcPr>
            <w:tcW w:w="540" w:type="dxa"/>
            <w:vAlign w:val="bottom"/>
            <w:tcBorders>
              <w:bottom w:val="single" w:sz="8" w:color="838383"/>
            </w:tcBorders>
          </w:tcPr>
          <w:p>
            <w:pPr>
              <w:spacing w:after="0"/>
              <w:rPr>
                <w:sz w:val="2"/>
                <w:szCs w:val="2"/>
                <w:color w:val="auto"/>
              </w:rPr>
            </w:pPr>
          </w:p>
        </w:tc>
        <w:tc>
          <w:tcPr>
            <w:tcW w:w="1440" w:type="dxa"/>
            <w:vAlign w:val="bottom"/>
            <w:tcBorders>
              <w:bottom w:val="single" w:sz="8" w:color="838383"/>
            </w:tcBorders>
          </w:tcPr>
          <w:p>
            <w:pPr>
              <w:spacing w:after="0"/>
              <w:rPr>
                <w:sz w:val="2"/>
                <w:szCs w:val="2"/>
                <w:color w:val="auto"/>
              </w:rPr>
            </w:pPr>
          </w:p>
        </w:tc>
        <w:tc>
          <w:tcPr>
            <w:tcW w:w="540" w:type="dxa"/>
            <w:vAlign w:val="bottom"/>
            <w:tcBorders>
              <w:bottom w:val="single" w:sz="8" w:color="838383"/>
            </w:tcBorders>
          </w:tcPr>
          <w:p>
            <w:pPr>
              <w:spacing w:after="0"/>
              <w:rPr>
                <w:sz w:val="2"/>
                <w:szCs w:val="2"/>
                <w:color w:val="auto"/>
              </w:rPr>
            </w:pPr>
          </w:p>
        </w:tc>
        <w:tc>
          <w:tcPr>
            <w:tcW w:w="1360" w:type="dxa"/>
            <w:vAlign w:val="bottom"/>
            <w:tcBorders>
              <w:bottom w:val="single" w:sz="8" w:color="838383"/>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300"/>
              <w:spacing w:after="0"/>
              <w:rPr>
                <w:sz w:val="20"/>
                <w:szCs w:val="20"/>
                <w:color w:val="auto"/>
              </w:rPr>
            </w:pPr>
            <w:r>
              <w:rPr>
                <w:rFonts w:ascii="Times New Roman" w:cs="Times New Roman" w:eastAsia="Times New Roman" w:hAnsi="Times New Roman"/>
                <w:sz w:val="18"/>
                <w:szCs w:val="18"/>
                <w:color w:val="262626"/>
              </w:rPr>
              <w:t>Proceeds from borrowings on Credit Agreement</w:t>
            </w:r>
          </w:p>
        </w:tc>
        <w:tc>
          <w:tcPr>
            <w:tcW w:w="4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5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540" w:type="dxa"/>
            <w:vAlign w:val="bottom"/>
            <w:tcBorders>
              <w:bottom w:val="single" w:sz="8" w:color="838383"/>
            </w:tcBorders>
          </w:tcPr>
          <w:p>
            <w:pPr>
              <w:spacing w:after="0"/>
              <w:rPr>
                <w:sz w:val="23"/>
                <w:szCs w:val="23"/>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75,000,000</w:t>
            </w: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300"/>
              <w:spacing w:after="0"/>
              <w:rPr>
                <w:sz w:val="20"/>
                <w:szCs w:val="20"/>
                <w:color w:val="auto"/>
              </w:rPr>
            </w:pPr>
            <w:r>
              <w:rPr>
                <w:rFonts w:ascii="Times New Roman" w:cs="Times New Roman" w:eastAsia="Times New Roman" w:hAnsi="Times New Roman"/>
                <w:sz w:val="18"/>
                <w:szCs w:val="18"/>
                <w:color w:val="262626"/>
              </w:rPr>
              <w:t>Repayment of borrowings on Credit Agreement</w:t>
            </w:r>
          </w:p>
        </w:tc>
        <w:tc>
          <w:tcPr>
            <w:tcW w:w="4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5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540" w:type="dxa"/>
            <w:vAlign w:val="bottom"/>
            <w:tcBorders>
              <w:bottom w:val="single" w:sz="8" w:color="838383"/>
            </w:tcBorders>
          </w:tcPr>
          <w:p>
            <w:pPr>
              <w:spacing w:after="0"/>
              <w:rPr>
                <w:sz w:val="23"/>
                <w:szCs w:val="23"/>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(75,000,000)</w:t>
            </w: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300"/>
              <w:spacing w:after="0"/>
              <w:rPr>
                <w:sz w:val="20"/>
                <w:szCs w:val="20"/>
                <w:color w:val="auto"/>
              </w:rPr>
            </w:pPr>
            <w:r>
              <w:rPr>
                <w:rFonts w:ascii="Times New Roman" w:cs="Times New Roman" w:eastAsia="Times New Roman" w:hAnsi="Times New Roman"/>
                <w:sz w:val="18"/>
                <w:szCs w:val="18"/>
                <w:color w:val="262626"/>
              </w:rPr>
              <w:t>Deferred financing costs</w:t>
            </w:r>
          </w:p>
        </w:tc>
        <w:tc>
          <w:tcPr>
            <w:tcW w:w="4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5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540" w:type="dxa"/>
            <w:vAlign w:val="bottom"/>
            <w:tcBorders>
              <w:bottom w:val="single" w:sz="8" w:color="838383"/>
            </w:tcBorders>
          </w:tcPr>
          <w:p>
            <w:pPr>
              <w:spacing w:after="0"/>
              <w:rPr>
                <w:sz w:val="23"/>
                <w:szCs w:val="23"/>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300"/>
              <w:spacing w:after="0"/>
              <w:rPr>
                <w:sz w:val="20"/>
                <w:szCs w:val="20"/>
                <w:color w:val="auto"/>
              </w:rPr>
            </w:pPr>
            <w:r>
              <w:rPr>
                <w:rFonts w:ascii="Times New Roman" w:cs="Times New Roman" w:eastAsia="Times New Roman" w:hAnsi="Times New Roman"/>
                <w:sz w:val="18"/>
                <w:szCs w:val="18"/>
                <w:color w:val="262626"/>
              </w:rPr>
              <w:t>Issuance of common stock from stock plan transactions</w:t>
            </w:r>
          </w:p>
        </w:tc>
        <w:tc>
          <w:tcPr>
            <w:tcW w:w="4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16,602,274</w:t>
            </w:r>
          </w:p>
        </w:tc>
        <w:tc>
          <w:tcPr>
            <w:tcW w:w="5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29,808,787</w:t>
            </w:r>
          </w:p>
        </w:tc>
        <w:tc>
          <w:tcPr>
            <w:tcW w:w="540" w:type="dxa"/>
            <w:vAlign w:val="bottom"/>
            <w:tcBorders>
              <w:bottom w:val="single" w:sz="8" w:color="838383"/>
            </w:tcBorders>
          </w:tcPr>
          <w:p>
            <w:pPr>
              <w:spacing w:after="0"/>
              <w:rPr>
                <w:sz w:val="23"/>
                <w:szCs w:val="23"/>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41,803,640</w:t>
            </w:r>
          </w:p>
        </w:tc>
        <w:tc>
          <w:tcPr>
            <w:tcW w:w="0" w:type="dxa"/>
            <w:vAlign w:val="bottom"/>
          </w:tcPr>
          <w:p>
            <w:pPr>
              <w:spacing w:after="0"/>
              <w:rPr>
                <w:sz w:val="1"/>
                <w:szCs w:val="1"/>
                <w:color w:val="auto"/>
              </w:rPr>
            </w:pPr>
          </w:p>
        </w:tc>
      </w:tr>
      <w:tr>
        <w:trPr>
          <w:trHeight w:val="268"/>
        </w:trPr>
        <w:tc>
          <w:tcPr>
            <w:tcW w:w="4720" w:type="dxa"/>
            <w:vAlign w:val="bottom"/>
            <w:tcBorders>
              <w:bottom w:val="single" w:sz="8" w:color="838383"/>
            </w:tcBorders>
          </w:tcPr>
          <w:p>
            <w:pPr>
              <w:ind w:left="300"/>
              <w:spacing w:after="0"/>
              <w:rPr>
                <w:sz w:val="20"/>
                <w:szCs w:val="20"/>
                <w:color w:val="auto"/>
              </w:rPr>
            </w:pPr>
            <w:r>
              <w:rPr>
                <w:rFonts w:ascii="Times New Roman" w:cs="Times New Roman" w:eastAsia="Times New Roman" w:hAnsi="Times New Roman"/>
                <w:sz w:val="18"/>
                <w:szCs w:val="18"/>
                <w:color w:val="262626"/>
              </w:rPr>
              <w:t>Cash dividends paid</w:t>
            </w:r>
          </w:p>
        </w:tc>
        <w:tc>
          <w:tcPr>
            <w:tcW w:w="4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(113,091,921)</w:t>
            </w:r>
          </w:p>
        </w:tc>
        <w:tc>
          <w:tcPr>
            <w:tcW w:w="540" w:type="dxa"/>
            <w:vAlign w:val="bottom"/>
            <w:tcBorders>
              <w:bottom w:val="single" w:sz="8" w:color="838383"/>
            </w:tcBorders>
          </w:tcPr>
          <w:p>
            <w:pPr>
              <w:spacing w:after="0"/>
              <w:rPr>
                <w:sz w:val="23"/>
                <w:szCs w:val="23"/>
                <w:color w:val="auto"/>
              </w:rPr>
            </w:pPr>
          </w:p>
        </w:tc>
        <w:tc>
          <w:tcPr>
            <w:tcW w:w="1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(115,285,625)</w:t>
            </w:r>
          </w:p>
        </w:tc>
        <w:tc>
          <w:tcPr>
            <w:tcW w:w="540" w:type="dxa"/>
            <w:vAlign w:val="bottom"/>
            <w:tcBorders>
              <w:bottom w:val="single" w:sz="8" w:color="838383"/>
            </w:tcBorders>
          </w:tcPr>
          <w:p>
            <w:pPr>
              <w:spacing w:after="0"/>
              <w:rPr>
                <w:sz w:val="23"/>
                <w:szCs w:val="23"/>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(117,181,928)</w:t>
            </w:r>
          </w:p>
        </w:tc>
        <w:tc>
          <w:tcPr>
            <w:tcW w:w="0" w:type="dxa"/>
            <w:vAlign w:val="bottom"/>
          </w:tcPr>
          <w:p>
            <w:pPr>
              <w:spacing w:after="0"/>
              <w:rPr>
                <w:sz w:val="1"/>
                <w:szCs w:val="1"/>
                <w:color w:val="auto"/>
              </w:rPr>
            </w:pPr>
          </w:p>
        </w:tc>
      </w:tr>
    </w:tbl>
    <w:p>
      <w:pPr>
        <w:spacing w:after="0" w:line="22" w:lineRule="exact"/>
        <w:rPr>
          <w:sz w:val="20"/>
          <w:szCs w:val="20"/>
          <w:color w:val="auto"/>
        </w:rPr>
      </w:pPr>
    </w:p>
    <w:p>
      <w:pPr>
        <w:sectPr>
          <w:pgSz w:w="12240" w:h="15840" w:orient="portrait"/>
          <w:cols w:equalWidth="0" w:num="1">
            <w:col w:w="10760"/>
          </w:cols>
          <w:pgMar w:left="900" w:top="846" w:right="580" w:bottom="0" w:gutter="0" w:footer="0" w:header="0"/>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262626"/>
        </w:rPr>
        <w:t>Repurchases of common stock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32385</wp:posOffset>
                </wp:positionV>
                <wp:extent cx="299339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93390" cy="4763"/>
                        </a:xfrm>
                        <a:prstGeom prst="line">
                          <a:avLst/>
                        </a:prstGeom>
                        <a:solidFill>
                          <a:srgbClr val="FFFFFF"/>
                        </a:solidFill>
                        <a:ln w="6350">
                          <a:solidFill>
                            <a:srgbClr val="838383"/>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2.55pt" to="235.8pt,2.55pt" o:allowincell="f" strokecolor="#838383" strokeweight="0.5pt"/>
            </w:pict>
          </mc:Fallback>
        </mc:AlternateConten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Net cash used for financing activities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21590</wp:posOffset>
                </wp:positionV>
                <wp:extent cx="299339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93390" cy="4763"/>
                        </a:xfrm>
                        <a:prstGeom prst="line">
                          <a:avLst/>
                        </a:prstGeom>
                        <a:solidFill>
                          <a:srgbClr val="FFFFFF"/>
                        </a:solidFill>
                        <a:ln w="6350">
                          <a:solidFill>
                            <a:srgbClr val="838383"/>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7pt" to="235.8pt,1.7pt" o:allowincell="f" strokecolor="#838383" strokeweight="0.5pt"/>
            </w:pict>
          </mc:Fallback>
        </mc:AlternateContent>
      </w:r>
    </w:p>
    <w:p>
      <w:pPr>
        <w:spacing w:after="0" w:line="63" w:lineRule="exact"/>
        <w:rPr>
          <w:sz w:val="20"/>
          <w:szCs w:val="20"/>
          <w:color w:val="auto"/>
        </w:rPr>
      </w:pPr>
    </w:p>
    <w:p>
      <w:pPr>
        <w:ind w:right="440"/>
        <w:spacing w:after="0" w:line="300" w:lineRule="auto"/>
        <w:rPr>
          <w:sz w:val="20"/>
          <w:szCs w:val="20"/>
          <w:color w:val="auto"/>
        </w:rPr>
      </w:pPr>
      <w:r>
        <w:rPr>
          <w:rFonts w:ascii="Arial" w:cs="Arial" w:eastAsia="Arial" w:hAnsi="Arial"/>
          <w:sz w:val="17"/>
          <w:szCs w:val="17"/>
          <w:b w:val="1"/>
          <w:bCs w:val="1"/>
          <w:color w:val="838383"/>
        </w:rPr>
        <w:t>NET (DECREASE) INCREASE IN CASH, CASH EQUIVALENTS, &amp; RESTRICTED CASH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1905</wp:posOffset>
                </wp:positionV>
                <wp:extent cx="299339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93390" cy="4763"/>
                        </a:xfrm>
                        <a:prstGeom prst="line">
                          <a:avLst/>
                        </a:prstGeom>
                        <a:solidFill>
                          <a:srgbClr val="FFFFFF"/>
                        </a:solidFill>
                        <a:ln w="6350">
                          <a:solidFill>
                            <a:srgbClr val="838383"/>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0.15pt" to="235.8pt,0.15pt" o:allowincell="f" strokecolor="#838383" strokeweight="0.5pt"/>
            </w:pict>
          </mc:Fallback>
        </mc:AlternateContent>
      </w:r>
    </w:p>
    <w:p>
      <w:pPr>
        <w:spacing w:after="0" w:line="25" w:lineRule="exact"/>
        <w:rPr>
          <w:sz w:val="20"/>
          <w:szCs w:val="20"/>
          <w:color w:val="auto"/>
        </w:rPr>
      </w:pPr>
    </w:p>
    <w:p>
      <w:pPr>
        <w:ind w:right="1080"/>
        <w:spacing w:after="0" w:line="307" w:lineRule="auto"/>
        <w:rPr>
          <w:sz w:val="20"/>
          <w:szCs w:val="20"/>
          <w:color w:val="auto"/>
        </w:rPr>
      </w:pPr>
      <w:r>
        <w:rPr>
          <w:rFonts w:ascii="Arial" w:cs="Arial" w:eastAsia="Arial" w:hAnsi="Arial"/>
          <w:sz w:val="17"/>
          <w:szCs w:val="17"/>
          <w:b w:val="1"/>
          <w:bCs w:val="1"/>
          <w:color w:val="838383"/>
        </w:rPr>
        <w:t>CASH, CASH EQUIVALENTS, &amp; RESTRICTED CASH, BEGINNING OF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-1270</wp:posOffset>
                </wp:positionV>
                <wp:extent cx="299339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93390" cy="4763"/>
                        </a:xfrm>
                        <a:prstGeom prst="line">
                          <a:avLst/>
                        </a:prstGeom>
                        <a:solidFill>
                          <a:srgbClr val="FFFFFF"/>
                        </a:solidFill>
                        <a:ln w="6350">
                          <a:solidFill>
                            <a:srgbClr val="838383"/>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0.0999pt" to="235.8pt,-0.0999pt" o:allowincell="f" strokecolor="#838383" strokeweight="0.5pt"/>
            </w:pict>
          </mc:Fallback>
        </mc:AlternateContent>
      </w:r>
    </w:p>
    <w:p>
      <w:pPr>
        <w:spacing w:after="0" w:line="3" w:lineRule="exact"/>
        <w:rPr>
          <w:sz w:val="20"/>
          <w:szCs w:val="20"/>
          <w:color w:val="auto"/>
        </w:rPr>
      </w:pPr>
    </w:p>
    <w:p>
      <w:pPr>
        <w:spacing w:after="0"/>
        <w:tabs>
          <w:tab w:leader="none" w:pos="4700" w:val="left"/>
        </w:tabs>
        <w:rPr>
          <w:sz w:val="20"/>
          <w:szCs w:val="20"/>
          <w:color w:val="auto"/>
        </w:rPr>
      </w:pPr>
      <w:r>
        <w:rPr>
          <w:rFonts w:ascii="Arial" w:cs="Arial" w:eastAsia="Arial" w:hAnsi="Arial"/>
          <w:sz w:val="14"/>
          <w:szCs w:val="14"/>
          <w:b w:val="1"/>
          <w:bCs w:val="1"/>
          <w:color w:val="838383"/>
        </w:rPr>
        <w:t>CASH, CASH EQUIVALENTS, &amp; RESTRICTED CASH, END OF YEAR</w:t>
      </w:r>
      <w:r>
        <w:rPr>
          <w:sz w:val="20"/>
          <w:szCs w:val="20"/>
          <w:color w:val="auto"/>
        </w:rPr>
        <w:tab/>
      </w:r>
      <w:r>
        <w:rPr>
          <w:rFonts w:ascii="Times New Roman" w:cs="Times New Roman" w:eastAsia="Times New Roman" w:hAnsi="Times New Roman"/>
          <w:sz w:val="16"/>
          <w:szCs w:val="16"/>
          <w:color w:val="262626"/>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1"/>
        </w:trPr>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62626"/>
                <w:w w:val="98"/>
              </w:rPr>
              <w:t>(112,529,406)</w:t>
            </w:r>
          </w:p>
        </w:tc>
        <w:tc>
          <w:tcPr>
            <w:tcW w:w="5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(324,643,135)</w:t>
            </w:r>
          </w:p>
        </w:tc>
        <w:tc>
          <w:tcPr>
            <w:tcW w:w="5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(288,480,506)</w:t>
            </w:r>
          </w:p>
        </w:tc>
      </w:tr>
      <w:tr>
        <w:trPr>
          <w:trHeight w:val="306"/>
        </w:trPr>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62626"/>
                <w:w w:val="98"/>
              </w:rPr>
              <w:t>(209,019,053)</w:t>
            </w:r>
          </w:p>
        </w:tc>
        <w:tc>
          <w:tcPr>
            <w:tcW w:w="5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(410,119,973)</w:t>
            </w:r>
          </w:p>
        </w:tc>
        <w:tc>
          <w:tcPr>
            <w:tcW w:w="5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(363,858,794)</w:t>
            </w:r>
          </w:p>
        </w:tc>
      </w:tr>
      <w:tr>
        <w:trPr>
          <w:trHeight w:val="412"/>
        </w:trPr>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(43,557,032)</w:t>
            </w:r>
          </w:p>
        </w:tc>
        <w:tc>
          <w:tcPr>
            <w:tcW w:w="5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(161,059,366)</w:t>
            </w:r>
          </w:p>
        </w:tc>
        <w:tc>
          <w:tcPr>
            <w:tcW w:w="5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127,049,414</w:t>
            </w:r>
          </w:p>
        </w:tc>
      </w:tr>
      <w:tr>
        <w:trPr>
          <w:trHeight w:val="540"/>
        </w:trPr>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262,311,670</w:t>
            </w:r>
          </w:p>
        </w:tc>
        <w:tc>
          <w:tcPr>
            <w:tcW w:w="5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423,371,036</w:t>
            </w:r>
          </w:p>
        </w:tc>
        <w:tc>
          <w:tcPr>
            <w:tcW w:w="5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296,321,622</w:t>
            </w:r>
          </w:p>
        </w:tc>
      </w:tr>
      <w:tr>
        <w:trPr>
          <w:trHeight w:val="409"/>
        </w:trPr>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218,754,638</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262626"/>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262,311,670</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262626"/>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423,371,036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-497205</wp:posOffset>
                </wp:positionH>
                <wp:positionV relativeFrom="paragraph">
                  <wp:posOffset>-1077595</wp:posOffset>
                </wp:positionV>
                <wp:extent cx="365696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6965" cy="4763"/>
                        </a:xfrm>
                        <a:prstGeom prst="line">
                          <a:avLst/>
                        </a:prstGeom>
                        <a:solidFill>
                          <a:srgbClr val="FFFFFF"/>
                        </a:solidFill>
                        <a:ln w="12700">
                          <a:solidFill>
                            <a:srgbClr val="8F8F8F"/>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1499pt,-84.8499pt" to="248.8pt,-84.8499pt" o:allowincell="f" strokecolor="#8F8F8F" strokeweight="1pt"/>
            </w:pict>
          </mc:Fallback>
        </mc:AlternateContent>
        <mc:AlternateContent>
          <mc:Choice Requires="wps">
            <w:drawing>
              <wp:anchor simplePos="0" relativeHeight="251657728" behindDoc="1" locked="0" layoutInCell="0" allowOverlap="1">
                <wp:simplePos x="0" y="0"/>
                <wp:positionH relativeFrom="column">
                  <wp:posOffset>-497205</wp:posOffset>
                </wp:positionH>
                <wp:positionV relativeFrom="paragraph">
                  <wp:posOffset>-894715</wp:posOffset>
                </wp:positionV>
                <wp:extent cx="365696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6965" cy="4763"/>
                        </a:xfrm>
                        <a:prstGeom prst="line">
                          <a:avLst/>
                        </a:prstGeom>
                        <a:solidFill>
                          <a:srgbClr val="FFFFFF"/>
                        </a:solidFill>
                        <a:ln w="12700">
                          <a:solidFill>
                            <a:srgbClr val="8F8F8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1499pt,-70.4499pt" to="248.8pt,-70.4499pt" o:allowincell="f" strokecolor="#8F8F8F" strokeweight="1pt"/>
            </w:pict>
          </mc:Fallback>
        </mc:AlternateContent>
        <mc:AlternateContent>
          <mc:Choice Requires="wps">
            <w:drawing>
              <wp:anchor simplePos="0" relativeHeight="251657728" behindDoc="1" locked="0" layoutInCell="0" allowOverlap="1">
                <wp:simplePos x="0" y="0"/>
                <wp:positionH relativeFrom="column">
                  <wp:posOffset>-497205</wp:posOffset>
                </wp:positionH>
                <wp:positionV relativeFrom="paragraph">
                  <wp:posOffset>-551815</wp:posOffset>
                </wp:positionV>
                <wp:extent cx="365696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6965" cy="4763"/>
                        </a:xfrm>
                        <a:prstGeom prst="line">
                          <a:avLst/>
                        </a:prstGeom>
                        <a:solidFill>
                          <a:srgbClr val="FFFFFF"/>
                        </a:solidFill>
                        <a:ln w="12700">
                          <a:solidFill>
                            <a:srgbClr val="8F8F8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1499pt,-43.4499pt" to="248.8pt,-43.4499pt" o:allowincell="f" strokecolor="#8F8F8F" strokeweight="1pt"/>
            </w:pict>
          </mc:Fallback>
        </mc:AlternateContent>
        <mc:AlternateContent>
          <mc:Choice Requires="wps">
            <w:drawing>
              <wp:anchor simplePos="0" relativeHeight="251657728" behindDoc="1" locked="0" layoutInCell="0" allowOverlap="1">
                <wp:simplePos x="0" y="0"/>
                <wp:positionH relativeFrom="column">
                  <wp:posOffset>-497205</wp:posOffset>
                </wp:positionH>
                <wp:positionV relativeFrom="paragraph">
                  <wp:posOffset>-208915</wp:posOffset>
                </wp:positionV>
                <wp:extent cx="365696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6965" cy="4763"/>
                        </a:xfrm>
                        <a:prstGeom prst="line">
                          <a:avLst/>
                        </a:prstGeom>
                        <a:solidFill>
                          <a:srgbClr val="FFFFFF"/>
                        </a:solidFill>
                        <a:ln w="12700">
                          <a:solidFill>
                            <a:srgbClr val="8F8F8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1499pt,-16.4499pt" to="248.8pt,-16.4499pt" o:allowincell="f" strokecolor="#8F8F8F" strokeweight="1pt"/>
            </w:pict>
          </mc:Fallback>
        </mc:AlternateContent>
        <mc:AlternateContent>
          <mc:Choice Requires="wps">
            <w:drawing>
              <wp:anchor simplePos="0" relativeHeight="251657728" behindDoc="1" locked="0" layoutInCell="0" allowOverlap="1">
                <wp:simplePos x="0" y="0"/>
                <wp:positionH relativeFrom="column">
                  <wp:posOffset>-497205</wp:posOffset>
                </wp:positionH>
                <wp:positionV relativeFrom="paragraph">
                  <wp:posOffset>-34290</wp:posOffset>
                </wp:positionV>
                <wp:extent cx="365696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6965" cy="4763"/>
                        </a:xfrm>
                        <a:prstGeom prst="line">
                          <a:avLst/>
                        </a:prstGeom>
                        <a:solidFill>
                          <a:srgbClr val="FFFFFF"/>
                        </a:solidFill>
                        <a:ln w="8458">
                          <a:solidFill>
                            <a:srgbClr val="8F8F8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1499pt,-2.6999pt" to="248.8pt,-2.6999pt" o:allowincell="f" strokecolor="#8F8F8F" strokeweight="0.666pt"/>
            </w:pict>
          </mc:Fallback>
        </mc:AlternateContent>
        <mc:AlternateContent>
          <mc:Choice Requires="wps">
            <w:drawing>
              <wp:anchor simplePos="0" relativeHeight="251657728" behindDoc="1" locked="0" layoutInCell="0" allowOverlap="1">
                <wp:simplePos x="0" y="0"/>
                <wp:positionH relativeFrom="column">
                  <wp:posOffset>-497205</wp:posOffset>
                </wp:positionH>
                <wp:positionV relativeFrom="paragraph">
                  <wp:posOffset>-17145</wp:posOffset>
                </wp:positionV>
                <wp:extent cx="365696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6965" cy="4763"/>
                        </a:xfrm>
                        <a:prstGeom prst="line">
                          <a:avLst/>
                        </a:prstGeom>
                        <a:solidFill>
                          <a:srgbClr val="FFFFFF"/>
                        </a:solidFill>
                        <a:ln w="8458">
                          <a:solidFill>
                            <a:srgbClr val="8F8F8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1499pt,-1.3499pt" to="248.8pt,-1.3499pt" o:allowincell="f" strokecolor="#8F8F8F" strokeweight="0.666pt"/>
            </w:pict>
          </mc:Fallback>
        </mc:AlternateContent>
      </w:r>
    </w:p>
    <w:p>
      <w:pPr>
        <w:spacing w:after="0" w:line="200" w:lineRule="exact"/>
        <w:rPr>
          <w:sz w:val="20"/>
          <w:szCs w:val="20"/>
          <w:color w:val="auto"/>
        </w:rPr>
      </w:pPr>
    </w:p>
    <w:p>
      <w:pPr>
        <w:sectPr>
          <w:pgSz w:w="12240" w:h="15840" w:orient="portrait"/>
          <w:cols w:equalWidth="0" w:num="2">
            <w:col w:w="4800" w:space="700"/>
            <w:col w:w="5260"/>
          </w:cols>
          <w:pgMar w:left="900" w:top="846" w:right="580" w:bottom="0" w:gutter="0" w:footer="0" w:header="0"/>
          <w:type w:val="continuous"/>
        </w:sectPr>
      </w:pPr>
    </w:p>
    <w:p>
      <w:pPr>
        <w:spacing w:after="0" w:line="175"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61</w:t>
      </w:r>
    </w:p>
    <w:p>
      <w:pPr>
        <w:sectPr>
          <w:pgSz w:w="12240" w:h="15840" w:orient="portrait"/>
          <w:cols w:equalWidth="0" w:num="1">
            <w:col w:w="10760"/>
          </w:cols>
          <w:pgMar w:left="900" w:top="846" w:right="580" w:bottom="0" w:gutter="0" w:footer="0" w:header="0"/>
          <w:type w:val="continuous"/>
        </w:sectPr>
      </w:pPr>
    </w:p>
    <w:bookmarkStart w:id="61" w:name="page62"/>
    <w:bookmarkEnd w:id="61"/>
    <w:p>
      <w:pPr>
        <w:ind w:left="320" w:right="2100"/>
        <w:spacing w:after="0" w:line="333" w:lineRule="auto"/>
        <w:rPr>
          <w:sz w:val="20"/>
          <w:szCs w:val="20"/>
          <w:color w:val="auto"/>
        </w:rPr>
      </w:pPr>
      <w:r>
        <w:rPr>
          <w:rFonts w:ascii="Arial" w:cs="Arial" w:eastAsia="Arial" w:hAnsi="Arial"/>
          <w:sz w:val="17"/>
          <w:szCs w:val="17"/>
          <w:b w:val="1"/>
          <w:bCs w:val="1"/>
          <w:color w:val="858585"/>
        </w:rPr>
        <w:t>GENTEX CORPORATION AND SUBSIDIARIES CONSOLIDATED STATEMENTS OF SHAREHOLDERS’ INVESTMENT FOR THE YEARS ENDED DECEMBER 31, 2022, 2021 AND 2020</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838383"/>
        </w:rPr>
        <w:t>The accompanying notes are an integral part of these consolidated financial statements.</w:t>
      </w:r>
    </w:p>
    <w:p>
      <w:pPr>
        <w:spacing w:after="0" w:line="269" w:lineRule="exact"/>
        <w:rPr>
          <w:sz w:val="20"/>
          <w:szCs w:val="20"/>
          <w:color w:val="auto"/>
        </w:rPr>
      </w:pPr>
    </w:p>
    <w:tbl>
      <w:tblPr>
        <w:tblLayout w:type="fixed"/>
        <w:tblInd w:w="320" w:type="dxa"/>
        <w:tblCellMar>
          <w:top w:w="0" w:type="dxa"/>
          <w:left w:w="0" w:type="dxa"/>
          <w:bottom w:w="0" w:type="dxa"/>
          <w:right w:w="0" w:type="dxa"/>
        </w:tblCellMar>
      </w:tblPr>
      <w:tr>
        <w:trPr>
          <w:trHeight w:val="240"/>
        </w:trPr>
        <w:tc>
          <w:tcPr>
            <w:tcW w:w="83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262626"/>
              </w:rPr>
              <w:t>Common</w:t>
            </w:r>
          </w:p>
        </w:tc>
        <w:tc>
          <w:tcPr>
            <w:tcW w:w="0" w:type="dxa"/>
            <w:vAlign w:val="bottom"/>
          </w:tcPr>
          <w:p>
            <w:pPr>
              <w:spacing w:after="0"/>
              <w:rPr>
                <w:sz w:val="1"/>
                <w:szCs w:val="1"/>
                <w:color w:val="auto"/>
              </w:rPr>
            </w:pPr>
          </w:p>
        </w:tc>
      </w:tr>
      <w:tr>
        <w:trPr>
          <w:trHeight w:val="263"/>
        </w:trPr>
        <w:tc>
          <w:tcPr>
            <w:tcW w:w="8380" w:type="dxa"/>
            <w:vAlign w:val="bottom"/>
            <w:tcBorders>
              <w:bottom w:val="single" w:sz="8" w:color="838383"/>
            </w:tcBorders>
          </w:tcPr>
          <w:p>
            <w:pPr>
              <w:spacing w:after="0"/>
              <w:rPr>
                <w:sz w:val="22"/>
                <w:szCs w:val="22"/>
                <w:color w:val="auto"/>
              </w:rPr>
            </w:pPr>
          </w:p>
        </w:tc>
        <w:tc>
          <w:tcPr>
            <w:tcW w:w="2060" w:type="dxa"/>
            <w:vAlign w:val="bottom"/>
            <w:tcBorders>
              <w:bottom w:val="single" w:sz="8" w:color="838383"/>
            </w:tcBorders>
          </w:tcPr>
          <w:p>
            <w:pPr>
              <w:jc w:val="right"/>
              <w:spacing w:after="0"/>
              <w:rPr>
                <w:sz w:val="20"/>
                <w:szCs w:val="20"/>
                <w:color w:val="auto"/>
              </w:rPr>
            </w:pPr>
            <w:r>
              <w:rPr>
                <w:rFonts w:ascii="Arial" w:cs="Arial" w:eastAsia="Arial" w:hAnsi="Arial"/>
                <w:sz w:val="18"/>
                <w:szCs w:val="18"/>
                <w:b w:val="1"/>
                <w:bCs w:val="1"/>
                <w:color w:val="262626"/>
              </w:rPr>
              <w:t>Stock Shares</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38383"/>
            </w:tcBorders>
          </w:tcPr>
          <w:p>
            <w:pPr>
              <w:spacing w:after="0"/>
              <w:rPr>
                <w:sz w:val="20"/>
                <w:szCs w:val="20"/>
                <w:color w:val="auto"/>
              </w:rPr>
            </w:pPr>
            <w:r>
              <w:rPr>
                <w:rFonts w:ascii="Arial" w:cs="Arial" w:eastAsia="Arial" w:hAnsi="Arial"/>
                <w:sz w:val="17"/>
                <w:szCs w:val="17"/>
                <w:b w:val="1"/>
                <w:bCs w:val="1"/>
                <w:color w:val="838383"/>
              </w:rPr>
              <w:t>BALANCE AS OF JANUARY 1, 2020</w:t>
            </w: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251,277,515</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Issuance of common stock from stock plan transactions</w:t>
            </w: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2,897,689</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Issuance of common stock related to acquisitions</w:t>
            </w: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163,718</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Repurchases of common stock</w:t>
            </w: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(10,646,053)</w:t>
            </w:r>
          </w:p>
        </w:tc>
        <w:tc>
          <w:tcPr>
            <w:tcW w:w="0" w:type="dxa"/>
            <w:vAlign w:val="bottom"/>
          </w:tcPr>
          <w:p>
            <w:pPr>
              <w:spacing w:after="0"/>
              <w:rPr>
                <w:sz w:val="1"/>
                <w:szCs w:val="1"/>
                <w:color w:val="auto"/>
              </w:rPr>
            </w:pPr>
          </w:p>
        </w:tc>
      </w:tr>
      <w:tr>
        <w:trPr>
          <w:trHeight w:val="30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262626"/>
              </w:rPr>
              <w:t>Stock-based compensation expense related to stock options, employee stock purchases, restricted stock,</w:t>
            </w:r>
          </w:p>
        </w:tc>
        <w:tc>
          <w:tcPr>
            <w:tcW w:w="2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180"/>
        </w:trPr>
        <w:tc>
          <w:tcPr>
            <w:tcW w:w="8380" w:type="dxa"/>
            <w:vAlign w:val="bottom"/>
            <w:vMerge w:val="restart"/>
          </w:tcPr>
          <w:p>
            <w:pPr>
              <w:spacing w:after="0"/>
              <w:rPr>
                <w:sz w:val="20"/>
                <w:szCs w:val="20"/>
                <w:color w:val="auto"/>
              </w:rPr>
            </w:pPr>
            <w:r>
              <w:rPr>
                <w:rFonts w:ascii="Times New Roman" w:cs="Times New Roman" w:eastAsia="Times New Roman" w:hAnsi="Times New Roman"/>
                <w:sz w:val="18"/>
                <w:szCs w:val="18"/>
                <w:color w:val="262626"/>
              </w:rPr>
              <w:t>and performance share awards</w:t>
            </w: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380" w:type="dxa"/>
            <w:vAlign w:val="bottom"/>
            <w:tcBorders>
              <w:bottom w:val="single" w:sz="8" w:color="838383"/>
            </w:tcBorders>
            <w:vMerge w:val="continue"/>
          </w:tcPr>
          <w:p>
            <w:pPr>
              <w:spacing w:after="0"/>
              <w:rPr>
                <w:sz w:val="10"/>
                <w:szCs w:val="10"/>
                <w:color w:val="auto"/>
              </w:rPr>
            </w:pPr>
          </w:p>
        </w:tc>
        <w:tc>
          <w:tcPr>
            <w:tcW w:w="2060" w:type="dxa"/>
            <w:vAlign w:val="bottom"/>
            <w:tcBorders>
              <w:bottom w:val="single" w:sz="8" w:color="838383"/>
            </w:tcBorders>
          </w:tcPr>
          <w:p>
            <w:pPr>
              <w:spacing w:after="0"/>
              <w:rPr>
                <w:sz w:val="10"/>
                <w:szCs w:val="10"/>
                <w:color w:val="auto"/>
              </w:rPr>
            </w:pPr>
          </w:p>
        </w:tc>
        <w:tc>
          <w:tcPr>
            <w:tcW w:w="0" w:type="dxa"/>
            <w:vAlign w:val="bottom"/>
          </w:tcPr>
          <w:p>
            <w:pPr>
              <w:spacing w:after="0"/>
              <w:rPr>
                <w:sz w:val="1"/>
                <w:szCs w:val="1"/>
                <w:color w:val="auto"/>
              </w:rPr>
            </w:pPr>
          </w:p>
        </w:tc>
      </w:tr>
      <w:tr>
        <w:trPr>
          <w:trHeight w:val="340"/>
        </w:trPr>
        <w:tc>
          <w:tcPr>
            <w:tcW w:w="83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Dividends declared ($0.48 per share)</w:t>
            </w: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Net income</w:t>
            </w: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55"/>
        </w:trPr>
        <w:tc>
          <w:tcPr>
            <w:tcW w:w="83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Other comprehensive income</w:t>
            </w:r>
          </w:p>
        </w:tc>
        <w:tc>
          <w:tcPr>
            <w:tcW w:w="20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25"/>
        </w:trPr>
        <w:tc>
          <w:tcPr>
            <w:tcW w:w="8380" w:type="dxa"/>
            <w:vAlign w:val="bottom"/>
            <w:tcBorders>
              <w:bottom w:val="single" w:sz="8" w:color="838383"/>
            </w:tcBorders>
          </w:tcPr>
          <w:p>
            <w:pPr>
              <w:spacing w:after="0"/>
              <w:rPr>
                <w:sz w:val="20"/>
                <w:szCs w:val="20"/>
                <w:color w:val="auto"/>
              </w:rPr>
            </w:pPr>
            <w:r>
              <w:rPr>
                <w:rFonts w:ascii="Arial" w:cs="Arial" w:eastAsia="Arial" w:hAnsi="Arial"/>
                <w:sz w:val="17"/>
                <w:szCs w:val="17"/>
                <w:b w:val="1"/>
                <w:bCs w:val="1"/>
                <w:color w:val="838383"/>
              </w:rPr>
              <w:t>BALANCE AS OF DECEMBER 31, 2020</w:t>
            </w: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243,692,869</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Issuance of common stock from stock plan transactions</w:t>
            </w: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2,343,169</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Issuance of common stock related to acquisitions</w:t>
            </w: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Repurchases of common stock</w:t>
            </w: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(9,595,198)</w:t>
            </w:r>
          </w:p>
        </w:tc>
        <w:tc>
          <w:tcPr>
            <w:tcW w:w="0" w:type="dxa"/>
            <w:vAlign w:val="bottom"/>
          </w:tcPr>
          <w:p>
            <w:pPr>
              <w:spacing w:after="0"/>
              <w:rPr>
                <w:sz w:val="1"/>
                <w:szCs w:val="1"/>
                <w:color w:val="auto"/>
              </w:rPr>
            </w:pPr>
          </w:p>
        </w:tc>
      </w:tr>
      <w:tr>
        <w:trPr>
          <w:trHeight w:val="30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262626"/>
              </w:rPr>
              <w:t>Stock-based compensation expense related to stock options, employee stock purchases, restricted stock,</w:t>
            </w:r>
          </w:p>
        </w:tc>
        <w:tc>
          <w:tcPr>
            <w:tcW w:w="2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180"/>
        </w:trPr>
        <w:tc>
          <w:tcPr>
            <w:tcW w:w="8380" w:type="dxa"/>
            <w:vAlign w:val="bottom"/>
            <w:vMerge w:val="restart"/>
          </w:tcPr>
          <w:p>
            <w:pPr>
              <w:spacing w:after="0"/>
              <w:rPr>
                <w:sz w:val="20"/>
                <w:szCs w:val="20"/>
                <w:color w:val="auto"/>
              </w:rPr>
            </w:pPr>
            <w:r>
              <w:rPr>
                <w:rFonts w:ascii="Times New Roman" w:cs="Times New Roman" w:eastAsia="Times New Roman" w:hAnsi="Times New Roman"/>
                <w:sz w:val="18"/>
                <w:szCs w:val="18"/>
                <w:color w:val="262626"/>
              </w:rPr>
              <w:t>and performance share awards</w:t>
            </w: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380" w:type="dxa"/>
            <w:vAlign w:val="bottom"/>
            <w:tcBorders>
              <w:bottom w:val="single" w:sz="8" w:color="838383"/>
            </w:tcBorders>
            <w:vMerge w:val="continue"/>
          </w:tcPr>
          <w:p>
            <w:pPr>
              <w:spacing w:after="0"/>
              <w:rPr>
                <w:sz w:val="10"/>
                <w:szCs w:val="10"/>
                <w:color w:val="auto"/>
              </w:rPr>
            </w:pPr>
          </w:p>
        </w:tc>
        <w:tc>
          <w:tcPr>
            <w:tcW w:w="2060" w:type="dxa"/>
            <w:vAlign w:val="bottom"/>
            <w:tcBorders>
              <w:bottom w:val="single" w:sz="8" w:color="838383"/>
            </w:tcBorders>
          </w:tcPr>
          <w:p>
            <w:pPr>
              <w:spacing w:after="0"/>
              <w:rPr>
                <w:sz w:val="10"/>
                <w:szCs w:val="10"/>
                <w:color w:val="auto"/>
              </w:rPr>
            </w:pPr>
          </w:p>
        </w:tc>
        <w:tc>
          <w:tcPr>
            <w:tcW w:w="0" w:type="dxa"/>
            <w:vAlign w:val="bottom"/>
          </w:tcPr>
          <w:p>
            <w:pPr>
              <w:spacing w:after="0"/>
              <w:rPr>
                <w:sz w:val="1"/>
                <w:szCs w:val="1"/>
                <w:color w:val="auto"/>
              </w:rPr>
            </w:pPr>
          </w:p>
        </w:tc>
      </w:tr>
      <w:tr>
        <w:trPr>
          <w:trHeight w:val="340"/>
        </w:trPr>
        <w:tc>
          <w:tcPr>
            <w:tcW w:w="83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Dividends declared ($0.48 per share)</w:t>
            </w: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Net income</w:t>
            </w: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55"/>
        </w:trPr>
        <w:tc>
          <w:tcPr>
            <w:tcW w:w="83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Other comprehensive loss</w:t>
            </w:r>
          </w:p>
        </w:tc>
        <w:tc>
          <w:tcPr>
            <w:tcW w:w="20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25"/>
        </w:trPr>
        <w:tc>
          <w:tcPr>
            <w:tcW w:w="8380" w:type="dxa"/>
            <w:vAlign w:val="bottom"/>
            <w:tcBorders>
              <w:bottom w:val="single" w:sz="8" w:color="838383"/>
            </w:tcBorders>
          </w:tcPr>
          <w:p>
            <w:pPr>
              <w:spacing w:after="0"/>
              <w:rPr>
                <w:sz w:val="20"/>
                <w:szCs w:val="20"/>
                <w:color w:val="auto"/>
              </w:rPr>
            </w:pPr>
            <w:r>
              <w:rPr>
                <w:rFonts w:ascii="Arial" w:cs="Arial" w:eastAsia="Arial" w:hAnsi="Arial"/>
                <w:sz w:val="17"/>
                <w:szCs w:val="17"/>
                <w:b w:val="1"/>
                <w:bCs w:val="1"/>
                <w:color w:val="838383"/>
              </w:rPr>
              <w:t>BALANCE AS OF DECEMBER 31, 2021</w:t>
            </w: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236,440,840</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Issuance of common stock from stock plan transactions</w:t>
            </w: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1,606,965</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Issuance of common stock related to acquisitions</w:t>
            </w: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162,433</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Repurchases of common stock</w:t>
            </w: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(4,040,903)</w:t>
            </w:r>
          </w:p>
        </w:tc>
        <w:tc>
          <w:tcPr>
            <w:tcW w:w="0" w:type="dxa"/>
            <w:vAlign w:val="bottom"/>
          </w:tcPr>
          <w:p>
            <w:pPr>
              <w:spacing w:after="0"/>
              <w:rPr>
                <w:sz w:val="1"/>
                <w:szCs w:val="1"/>
                <w:color w:val="auto"/>
              </w:rPr>
            </w:pPr>
          </w:p>
        </w:tc>
      </w:tr>
      <w:tr>
        <w:trPr>
          <w:trHeight w:val="30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262626"/>
              </w:rPr>
              <w:t>Stock-based compensation expense related to stock options, employee stock purchases, restricted stock,</w:t>
            </w:r>
          </w:p>
        </w:tc>
        <w:tc>
          <w:tcPr>
            <w:tcW w:w="2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180"/>
        </w:trPr>
        <w:tc>
          <w:tcPr>
            <w:tcW w:w="8380" w:type="dxa"/>
            <w:vAlign w:val="bottom"/>
            <w:vMerge w:val="restart"/>
          </w:tcPr>
          <w:p>
            <w:pPr>
              <w:spacing w:after="0"/>
              <w:rPr>
                <w:sz w:val="20"/>
                <w:szCs w:val="20"/>
                <w:color w:val="auto"/>
              </w:rPr>
            </w:pPr>
            <w:r>
              <w:rPr>
                <w:rFonts w:ascii="Times New Roman" w:cs="Times New Roman" w:eastAsia="Times New Roman" w:hAnsi="Times New Roman"/>
                <w:sz w:val="18"/>
                <w:szCs w:val="18"/>
                <w:color w:val="262626"/>
              </w:rPr>
              <w:t>and performance share awards</w:t>
            </w: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380" w:type="dxa"/>
            <w:vAlign w:val="bottom"/>
            <w:tcBorders>
              <w:bottom w:val="single" w:sz="8" w:color="838383"/>
            </w:tcBorders>
            <w:vMerge w:val="continue"/>
          </w:tcPr>
          <w:p>
            <w:pPr>
              <w:spacing w:after="0"/>
              <w:rPr>
                <w:sz w:val="10"/>
                <w:szCs w:val="10"/>
                <w:color w:val="auto"/>
              </w:rPr>
            </w:pPr>
          </w:p>
        </w:tc>
        <w:tc>
          <w:tcPr>
            <w:tcW w:w="2060" w:type="dxa"/>
            <w:vAlign w:val="bottom"/>
            <w:tcBorders>
              <w:bottom w:val="single" w:sz="8" w:color="838383"/>
            </w:tcBorders>
          </w:tcPr>
          <w:p>
            <w:pPr>
              <w:spacing w:after="0"/>
              <w:rPr>
                <w:sz w:val="10"/>
                <w:szCs w:val="10"/>
                <w:color w:val="auto"/>
              </w:rPr>
            </w:pPr>
          </w:p>
        </w:tc>
        <w:tc>
          <w:tcPr>
            <w:tcW w:w="0" w:type="dxa"/>
            <w:vAlign w:val="bottom"/>
          </w:tcPr>
          <w:p>
            <w:pPr>
              <w:spacing w:after="0"/>
              <w:rPr>
                <w:sz w:val="1"/>
                <w:szCs w:val="1"/>
                <w:color w:val="auto"/>
              </w:rPr>
            </w:pPr>
          </w:p>
        </w:tc>
      </w:tr>
      <w:tr>
        <w:trPr>
          <w:trHeight w:val="340"/>
        </w:trPr>
        <w:tc>
          <w:tcPr>
            <w:tcW w:w="83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Dividends declared ($0.48 per share)</w:t>
            </w: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Net income</w:t>
            </w: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35"/>
        </w:trPr>
        <w:tc>
          <w:tcPr>
            <w:tcW w:w="83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Other comprehensive loss</w:t>
            </w:r>
          </w:p>
        </w:tc>
        <w:tc>
          <w:tcPr>
            <w:tcW w:w="20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30"/>
        </w:trPr>
        <w:tc>
          <w:tcPr>
            <w:tcW w:w="8380" w:type="dxa"/>
            <w:vAlign w:val="bottom"/>
          </w:tcPr>
          <w:p>
            <w:pPr>
              <w:spacing w:after="0"/>
              <w:rPr>
                <w:sz w:val="20"/>
                <w:szCs w:val="20"/>
                <w:color w:val="auto"/>
              </w:rPr>
            </w:pPr>
            <w:r>
              <w:rPr>
                <w:rFonts w:ascii="Arial" w:cs="Arial" w:eastAsia="Arial" w:hAnsi="Arial"/>
                <w:sz w:val="17"/>
                <w:szCs w:val="17"/>
                <w:b w:val="1"/>
                <w:bCs w:val="1"/>
                <w:color w:val="838383"/>
              </w:rPr>
              <w:t>BALANCE AS OF DECEMBER 31, 2022</w:t>
            </w:r>
          </w:p>
        </w:tc>
        <w:tc>
          <w:tcPr>
            <w:tcW w:w="20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234,169,335</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060" w:type="dxa"/>
            <w:vAlign w:val="bottom"/>
            <w:tcBorders>
              <w:bottom w:val="single" w:sz="8" w:color="8F8F8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580" w:top="84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62</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60"/>
          </w:cols>
          <w:pgMar w:left="580" w:top="846" w:right="900" w:bottom="0" w:gutter="0" w:footer="0" w:header="0"/>
          <w:type w:val="continuous"/>
        </w:sectPr>
      </w:pPr>
    </w:p>
    <w:bookmarkStart w:id="62" w:name="page63"/>
    <w:bookmarkEnd w:id="62"/>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262626"/>
              </w:rPr>
              <w:t>Common</w:t>
            </w:r>
          </w:p>
        </w:tc>
        <w:tc>
          <w:tcPr>
            <w:tcW w:w="42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262626"/>
              </w:rPr>
              <w:t>Additional</w:t>
            </w:r>
          </w:p>
        </w:tc>
        <w:tc>
          <w:tcPr>
            <w:tcW w:w="300" w:type="dxa"/>
            <w:vAlign w:val="bottom"/>
          </w:tcPr>
          <w:p>
            <w:pPr>
              <w:spacing w:after="0"/>
              <w:rPr>
                <w:sz w:val="20"/>
                <w:szCs w:val="20"/>
                <w:color w:val="auto"/>
              </w:rPr>
            </w:pPr>
          </w:p>
        </w:tc>
        <w:tc>
          <w:tcPr>
            <w:tcW w:w="16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262626"/>
                <w:w w:val="98"/>
              </w:rPr>
              <w:t>Retained Earnings</w:t>
            </w:r>
          </w:p>
        </w:tc>
        <w:tc>
          <w:tcPr>
            <w:tcW w:w="220" w:type="dxa"/>
            <w:vAlign w:val="bottom"/>
          </w:tcPr>
          <w:p>
            <w:pPr>
              <w:spacing w:after="0"/>
              <w:rPr>
                <w:sz w:val="20"/>
                <w:szCs w:val="20"/>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b w:val="1"/>
                <w:bCs w:val="1"/>
                <w:color w:val="262626"/>
              </w:rPr>
              <w:t>Accumulated Other</w:t>
            </w: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262626"/>
                <w:w w:val="95"/>
              </w:rPr>
              <w:t>Total Shareholders’</w:t>
            </w:r>
          </w:p>
        </w:tc>
        <w:tc>
          <w:tcPr>
            <w:tcW w:w="0" w:type="dxa"/>
            <w:vAlign w:val="bottom"/>
          </w:tcPr>
          <w:p>
            <w:pPr>
              <w:spacing w:after="0"/>
              <w:rPr>
                <w:sz w:val="1"/>
                <w:szCs w:val="1"/>
                <w:color w:val="auto"/>
              </w:rPr>
            </w:pPr>
          </w:p>
        </w:tc>
      </w:tr>
      <w:tr>
        <w:trPr>
          <w:trHeight w:val="263"/>
        </w:trPr>
        <w:tc>
          <w:tcPr>
            <w:tcW w:w="400" w:type="dxa"/>
            <w:vAlign w:val="bottom"/>
            <w:tcBorders>
              <w:bottom w:val="single" w:sz="8" w:color="838383"/>
            </w:tcBorders>
          </w:tcPr>
          <w:p>
            <w:pPr>
              <w:spacing w:after="0"/>
              <w:rPr>
                <w:sz w:val="22"/>
                <w:szCs w:val="22"/>
                <w:color w:val="auto"/>
              </w:rPr>
            </w:pPr>
          </w:p>
        </w:tc>
        <w:tc>
          <w:tcPr>
            <w:tcW w:w="1500" w:type="dxa"/>
            <w:vAlign w:val="bottom"/>
            <w:tcBorders>
              <w:bottom w:val="single" w:sz="8" w:color="838383"/>
            </w:tcBorders>
          </w:tcPr>
          <w:p>
            <w:pPr>
              <w:jc w:val="right"/>
              <w:ind w:right="10"/>
              <w:spacing w:after="0"/>
              <w:rPr>
                <w:sz w:val="20"/>
                <w:szCs w:val="20"/>
                <w:color w:val="auto"/>
              </w:rPr>
            </w:pPr>
            <w:r>
              <w:rPr>
                <w:rFonts w:ascii="Arial" w:cs="Arial" w:eastAsia="Arial" w:hAnsi="Arial"/>
                <w:sz w:val="18"/>
                <w:szCs w:val="18"/>
                <w:b w:val="1"/>
                <w:bCs w:val="1"/>
                <w:color w:val="262626"/>
              </w:rPr>
              <w:t>Stock Amount</w:t>
            </w:r>
          </w:p>
        </w:tc>
        <w:tc>
          <w:tcPr>
            <w:tcW w:w="420" w:type="dxa"/>
            <w:vAlign w:val="bottom"/>
            <w:tcBorders>
              <w:bottom w:val="single" w:sz="8" w:color="838383"/>
            </w:tcBorders>
          </w:tcPr>
          <w:p>
            <w:pPr>
              <w:spacing w:after="0"/>
              <w:rPr>
                <w:sz w:val="22"/>
                <w:szCs w:val="22"/>
                <w:color w:val="auto"/>
              </w:rPr>
            </w:pPr>
          </w:p>
        </w:tc>
        <w:tc>
          <w:tcPr>
            <w:tcW w:w="1560" w:type="dxa"/>
            <w:vAlign w:val="bottom"/>
            <w:tcBorders>
              <w:bottom w:val="single" w:sz="8" w:color="838383"/>
            </w:tcBorders>
          </w:tcPr>
          <w:p>
            <w:pPr>
              <w:jc w:val="right"/>
              <w:ind w:right="10"/>
              <w:spacing w:after="0"/>
              <w:rPr>
                <w:sz w:val="20"/>
                <w:szCs w:val="20"/>
                <w:color w:val="auto"/>
              </w:rPr>
            </w:pPr>
            <w:r>
              <w:rPr>
                <w:rFonts w:ascii="Arial" w:cs="Arial" w:eastAsia="Arial" w:hAnsi="Arial"/>
                <w:sz w:val="18"/>
                <w:szCs w:val="18"/>
                <w:b w:val="1"/>
                <w:bCs w:val="1"/>
                <w:color w:val="262626"/>
              </w:rPr>
              <w:t>Paid-In Capital</w:t>
            </w:r>
          </w:p>
        </w:tc>
        <w:tc>
          <w:tcPr>
            <w:tcW w:w="300" w:type="dxa"/>
            <w:vAlign w:val="bottom"/>
            <w:tcBorders>
              <w:bottom w:val="single" w:sz="8" w:color="838383"/>
            </w:tcBorders>
          </w:tcPr>
          <w:p>
            <w:pPr>
              <w:spacing w:after="0"/>
              <w:rPr>
                <w:sz w:val="22"/>
                <w:szCs w:val="22"/>
                <w:color w:val="auto"/>
              </w:rPr>
            </w:pPr>
          </w:p>
        </w:tc>
        <w:tc>
          <w:tcPr>
            <w:tcW w:w="1680" w:type="dxa"/>
            <w:vAlign w:val="bottom"/>
            <w:tcBorders>
              <w:bottom w:val="single" w:sz="8" w:color="838383"/>
            </w:tcBorders>
            <w:vMerge w:val="continue"/>
          </w:tcPr>
          <w:p>
            <w:pPr>
              <w:spacing w:after="0"/>
              <w:rPr>
                <w:sz w:val="22"/>
                <w:szCs w:val="22"/>
                <w:color w:val="auto"/>
              </w:rPr>
            </w:pPr>
          </w:p>
        </w:tc>
        <w:tc>
          <w:tcPr>
            <w:tcW w:w="220" w:type="dxa"/>
            <w:vAlign w:val="bottom"/>
            <w:tcBorders>
              <w:bottom w:val="single" w:sz="8" w:color="838383"/>
            </w:tcBorders>
          </w:tcPr>
          <w:p>
            <w:pPr>
              <w:spacing w:after="0"/>
              <w:rPr>
                <w:sz w:val="22"/>
                <w:szCs w:val="22"/>
                <w:color w:val="auto"/>
              </w:rPr>
            </w:pPr>
          </w:p>
        </w:tc>
        <w:tc>
          <w:tcPr>
            <w:tcW w:w="2480" w:type="dxa"/>
            <w:vAlign w:val="bottom"/>
            <w:tcBorders>
              <w:bottom w:val="single" w:sz="8" w:color="838383"/>
            </w:tcBorders>
          </w:tcPr>
          <w:p>
            <w:pPr>
              <w:jc w:val="right"/>
              <w:ind w:right="10"/>
              <w:spacing w:after="0"/>
              <w:rPr>
                <w:sz w:val="20"/>
                <w:szCs w:val="20"/>
                <w:color w:val="auto"/>
              </w:rPr>
            </w:pPr>
            <w:r>
              <w:rPr>
                <w:rFonts w:ascii="Arial" w:cs="Arial" w:eastAsia="Arial" w:hAnsi="Arial"/>
                <w:sz w:val="18"/>
                <w:szCs w:val="18"/>
                <w:b w:val="1"/>
                <w:bCs w:val="1"/>
                <w:color w:val="262626"/>
                <w:w w:val="90"/>
              </w:rPr>
              <w:t>Comprehensive Income (Loss)</w:t>
            </w:r>
          </w:p>
        </w:tc>
        <w:tc>
          <w:tcPr>
            <w:tcW w:w="260" w:type="dxa"/>
            <w:vAlign w:val="bottom"/>
            <w:tcBorders>
              <w:bottom w:val="single" w:sz="8" w:color="838383"/>
            </w:tcBorders>
          </w:tcPr>
          <w:p>
            <w:pPr>
              <w:spacing w:after="0"/>
              <w:rPr>
                <w:sz w:val="22"/>
                <w:szCs w:val="22"/>
                <w:color w:val="auto"/>
              </w:rPr>
            </w:pPr>
          </w:p>
        </w:tc>
        <w:tc>
          <w:tcPr>
            <w:tcW w:w="1620" w:type="dxa"/>
            <w:vAlign w:val="bottom"/>
            <w:tcBorders>
              <w:bottom w:val="single" w:sz="8" w:color="838383"/>
            </w:tcBorders>
          </w:tcPr>
          <w:p>
            <w:pPr>
              <w:jc w:val="right"/>
              <w:spacing w:after="0"/>
              <w:rPr>
                <w:sz w:val="20"/>
                <w:szCs w:val="20"/>
                <w:color w:val="auto"/>
              </w:rPr>
            </w:pPr>
            <w:r>
              <w:rPr>
                <w:rFonts w:ascii="Arial" w:cs="Arial" w:eastAsia="Arial" w:hAnsi="Arial"/>
                <w:sz w:val="18"/>
                <w:szCs w:val="18"/>
                <w:b w:val="1"/>
                <w:bCs w:val="1"/>
                <w:color w:val="262626"/>
              </w:rPr>
              <w:t>Investment</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w w:val="88"/>
              </w:rPr>
              <w:t>$</w:t>
            </w:r>
          </w:p>
        </w:tc>
        <w:tc>
          <w:tcPr>
            <w:tcW w:w="15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15,076,651</w:t>
            </w:r>
          </w:p>
        </w:tc>
        <w:tc>
          <w:tcPr>
            <w:tcW w:w="42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15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807,928,139</w:t>
            </w:r>
          </w:p>
        </w:tc>
        <w:tc>
          <w:tcPr>
            <w:tcW w:w="30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w:t>
            </w:r>
          </w:p>
        </w:tc>
        <w:tc>
          <w:tcPr>
            <w:tcW w:w="16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1,116,372,133</w:t>
            </w:r>
          </w:p>
        </w:tc>
        <w:tc>
          <w:tcPr>
            <w:tcW w:w="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(1,289,103)</w:t>
            </w:r>
          </w:p>
        </w:tc>
        <w:tc>
          <w:tcPr>
            <w:tcW w:w="2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6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1,938,087,820</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38383"/>
            </w:tcBorders>
          </w:tcPr>
          <w:p>
            <w:pPr>
              <w:spacing w:after="0"/>
              <w:rPr>
                <w:sz w:val="24"/>
                <w:szCs w:val="24"/>
                <w:color w:val="auto"/>
              </w:rPr>
            </w:pPr>
          </w:p>
        </w:tc>
        <w:tc>
          <w:tcPr>
            <w:tcW w:w="15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173,861</w:t>
            </w:r>
          </w:p>
        </w:tc>
        <w:tc>
          <w:tcPr>
            <w:tcW w:w="420" w:type="dxa"/>
            <w:vAlign w:val="bottom"/>
            <w:tcBorders>
              <w:bottom w:val="single" w:sz="8" w:color="838383"/>
            </w:tcBorders>
          </w:tcPr>
          <w:p>
            <w:pPr>
              <w:spacing w:after="0"/>
              <w:rPr>
                <w:sz w:val="24"/>
                <w:szCs w:val="24"/>
                <w:color w:val="auto"/>
              </w:rPr>
            </w:pPr>
          </w:p>
        </w:tc>
        <w:tc>
          <w:tcPr>
            <w:tcW w:w="15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41,629,779</w:t>
            </w:r>
          </w:p>
        </w:tc>
        <w:tc>
          <w:tcPr>
            <w:tcW w:w="300" w:type="dxa"/>
            <w:vAlign w:val="bottom"/>
            <w:tcBorders>
              <w:bottom w:val="single" w:sz="8" w:color="838383"/>
            </w:tcBorders>
          </w:tcPr>
          <w:p>
            <w:pPr>
              <w:spacing w:after="0"/>
              <w:rPr>
                <w:sz w:val="24"/>
                <w:szCs w:val="24"/>
                <w:color w:val="auto"/>
              </w:rPr>
            </w:pPr>
          </w:p>
        </w:tc>
        <w:tc>
          <w:tcPr>
            <w:tcW w:w="16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tcBorders>
              <w:bottom w:val="single" w:sz="8" w:color="838383"/>
            </w:tcBorders>
          </w:tcPr>
          <w:p>
            <w:pPr>
              <w:spacing w:after="0"/>
              <w:rPr>
                <w:sz w:val="24"/>
                <w:szCs w:val="24"/>
                <w:color w:val="auto"/>
              </w:rPr>
            </w:pPr>
          </w:p>
        </w:tc>
        <w:tc>
          <w:tcPr>
            <w:tcW w:w="2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60" w:type="dxa"/>
            <w:vAlign w:val="bottom"/>
            <w:tcBorders>
              <w:bottom w:val="single" w:sz="8" w:color="838383"/>
            </w:tcBorders>
          </w:tcPr>
          <w:p>
            <w:pPr>
              <w:spacing w:after="0"/>
              <w:rPr>
                <w:sz w:val="24"/>
                <w:szCs w:val="24"/>
                <w:color w:val="auto"/>
              </w:rPr>
            </w:pPr>
          </w:p>
        </w:tc>
        <w:tc>
          <w:tcPr>
            <w:tcW w:w="16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41,803,640</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38383"/>
            </w:tcBorders>
          </w:tcPr>
          <w:p>
            <w:pPr>
              <w:spacing w:after="0"/>
              <w:rPr>
                <w:sz w:val="24"/>
                <w:szCs w:val="24"/>
                <w:color w:val="auto"/>
              </w:rPr>
            </w:pPr>
          </w:p>
        </w:tc>
        <w:tc>
          <w:tcPr>
            <w:tcW w:w="15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9,823</w:t>
            </w:r>
          </w:p>
        </w:tc>
        <w:tc>
          <w:tcPr>
            <w:tcW w:w="420" w:type="dxa"/>
            <w:vAlign w:val="bottom"/>
            <w:tcBorders>
              <w:bottom w:val="single" w:sz="8" w:color="838383"/>
            </w:tcBorders>
          </w:tcPr>
          <w:p>
            <w:pPr>
              <w:spacing w:after="0"/>
              <w:rPr>
                <w:sz w:val="24"/>
                <w:szCs w:val="24"/>
                <w:color w:val="auto"/>
              </w:rPr>
            </w:pPr>
          </w:p>
        </w:tc>
        <w:tc>
          <w:tcPr>
            <w:tcW w:w="15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3,549,406</w:t>
            </w:r>
          </w:p>
        </w:tc>
        <w:tc>
          <w:tcPr>
            <w:tcW w:w="300" w:type="dxa"/>
            <w:vAlign w:val="bottom"/>
            <w:tcBorders>
              <w:bottom w:val="single" w:sz="8" w:color="838383"/>
            </w:tcBorders>
          </w:tcPr>
          <w:p>
            <w:pPr>
              <w:spacing w:after="0"/>
              <w:rPr>
                <w:sz w:val="24"/>
                <w:szCs w:val="24"/>
                <w:color w:val="auto"/>
              </w:rPr>
            </w:pPr>
          </w:p>
        </w:tc>
        <w:tc>
          <w:tcPr>
            <w:tcW w:w="16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tcBorders>
              <w:bottom w:val="single" w:sz="8" w:color="838383"/>
            </w:tcBorders>
          </w:tcPr>
          <w:p>
            <w:pPr>
              <w:spacing w:after="0"/>
              <w:rPr>
                <w:sz w:val="24"/>
                <w:szCs w:val="24"/>
                <w:color w:val="auto"/>
              </w:rPr>
            </w:pPr>
          </w:p>
        </w:tc>
        <w:tc>
          <w:tcPr>
            <w:tcW w:w="2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60" w:type="dxa"/>
            <w:vAlign w:val="bottom"/>
            <w:tcBorders>
              <w:bottom w:val="single" w:sz="8" w:color="838383"/>
            </w:tcBorders>
          </w:tcPr>
          <w:p>
            <w:pPr>
              <w:spacing w:after="0"/>
              <w:rPr>
                <w:sz w:val="24"/>
                <w:szCs w:val="24"/>
                <w:color w:val="auto"/>
              </w:rPr>
            </w:pPr>
          </w:p>
        </w:tc>
        <w:tc>
          <w:tcPr>
            <w:tcW w:w="16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3,559,229</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38383"/>
            </w:tcBorders>
          </w:tcPr>
          <w:p>
            <w:pPr>
              <w:spacing w:after="0"/>
              <w:rPr>
                <w:sz w:val="24"/>
                <w:szCs w:val="24"/>
                <w:color w:val="auto"/>
              </w:rPr>
            </w:pPr>
          </w:p>
        </w:tc>
        <w:tc>
          <w:tcPr>
            <w:tcW w:w="15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(638,763)</w:t>
            </w:r>
          </w:p>
        </w:tc>
        <w:tc>
          <w:tcPr>
            <w:tcW w:w="420" w:type="dxa"/>
            <w:vAlign w:val="bottom"/>
            <w:tcBorders>
              <w:bottom w:val="single" w:sz="8" w:color="838383"/>
            </w:tcBorders>
          </w:tcPr>
          <w:p>
            <w:pPr>
              <w:spacing w:after="0"/>
              <w:rPr>
                <w:sz w:val="24"/>
                <w:szCs w:val="24"/>
                <w:color w:val="auto"/>
              </w:rPr>
            </w:pPr>
          </w:p>
        </w:tc>
        <w:tc>
          <w:tcPr>
            <w:tcW w:w="15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(31,133,143)</w:t>
            </w:r>
          </w:p>
        </w:tc>
        <w:tc>
          <w:tcPr>
            <w:tcW w:w="300" w:type="dxa"/>
            <w:vAlign w:val="bottom"/>
            <w:tcBorders>
              <w:bottom w:val="single" w:sz="8" w:color="838383"/>
            </w:tcBorders>
          </w:tcPr>
          <w:p>
            <w:pPr>
              <w:spacing w:after="0"/>
              <w:rPr>
                <w:sz w:val="24"/>
                <w:szCs w:val="24"/>
                <w:color w:val="auto"/>
              </w:rPr>
            </w:pPr>
          </w:p>
        </w:tc>
        <w:tc>
          <w:tcPr>
            <w:tcW w:w="16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(256,708,600)</w:t>
            </w:r>
          </w:p>
        </w:tc>
        <w:tc>
          <w:tcPr>
            <w:tcW w:w="220" w:type="dxa"/>
            <w:vAlign w:val="bottom"/>
            <w:tcBorders>
              <w:bottom w:val="single" w:sz="8" w:color="838383"/>
            </w:tcBorders>
          </w:tcPr>
          <w:p>
            <w:pPr>
              <w:spacing w:after="0"/>
              <w:rPr>
                <w:sz w:val="24"/>
                <w:szCs w:val="24"/>
                <w:color w:val="auto"/>
              </w:rPr>
            </w:pPr>
          </w:p>
        </w:tc>
        <w:tc>
          <w:tcPr>
            <w:tcW w:w="2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60" w:type="dxa"/>
            <w:vAlign w:val="bottom"/>
            <w:tcBorders>
              <w:bottom w:val="single" w:sz="8" w:color="838383"/>
            </w:tcBorders>
          </w:tcPr>
          <w:p>
            <w:pPr>
              <w:spacing w:after="0"/>
              <w:rPr>
                <w:sz w:val="24"/>
                <w:szCs w:val="24"/>
                <w:color w:val="auto"/>
              </w:rPr>
            </w:pPr>
          </w:p>
        </w:tc>
        <w:tc>
          <w:tcPr>
            <w:tcW w:w="16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(288,480,506)</w:t>
            </w:r>
          </w:p>
        </w:tc>
        <w:tc>
          <w:tcPr>
            <w:tcW w:w="0" w:type="dxa"/>
            <w:vAlign w:val="bottom"/>
          </w:tcPr>
          <w:p>
            <w:pPr>
              <w:spacing w:after="0"/>
              <w:rPr>
                <w:sz w:val="1"/>
                <w:szCs w:val="1"/>
                <w:color w:val="auto"/>
              </w:rPr>
            </w:pPr>
          </w:p>
        </w:tc>
      </w:tr>
      <w:tr>
        <w:trPr>
          <w:trHeight w:val="490"/>
        </w:trPr>
        <w:tc>
          <w:tcPr>
            <w:tcW w:w="40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42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30,797,327</w:t>
            </w:r>
          </w:p>
        </w:tc>
        <w:tc>
          <w:tcPr>
            <w:tcW w:w="300" w:type="dxa"/>
            <w:vAlign w:val="bottom"/>
          </w:tcPr>
          <w:p>
            <w:pPr>
              <w:spacing w:after="0"/>
              <w:rPr>
                <w:sz w:val="24"/>
                <w:szCs w:val="24"/>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tcPr>
          <w:p>
            <w:pPr>
              <w:spacing w:after="0"/>
              <w:rPr>
                <w:sz w:val="24"/>
                <w:szCs w:val="24"/>
                <w:color w:val="auto"/>
              </w:rPr>
            </w:pPr>
          </w:p>
        </w:tc>
        <w:tc>
          <w:tcPr>
            <w:tcW w:w="2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30,797,327</w:t>
            </w:r>
          </w:p>
        </w:tc>
        <w:tc>
          <w:tcPr>
            <w:tcW w:w="0" w:type="dxa"/>
            <w:vAlign w:val="bottom"/>
          </w:tcPr>
          <w:p>
            <w:pPr>
              <w:spacing w:after="0"/>
              <w:rPr>
                <w:sz w:val="1"/>
                <w:szCs w:val="1"/>
                <w:color w:val="auto"/>
              </w:rPr>
            </w:pPr>
          </w:p>
        </w:tc>
      </w:tr>
      <w:tr>
        <w:trPr>
          <w:trHeight w:val="120"/>
        </w:trPr>
        <w:tc>
          <w:tcPr>
            <w:tcW w:w="400" w:type="dxa"/>
            <w:vAlign w:val="bottom"/>
            <w:tcBorders>
              <w:bottom w:val="single" w:sz="8" w:color="838383"/>
            </w:tcBorders>
          </w:tcPr>
          <w:p>
            <w:pPr>
              <w:spacing w:after="0"/>
              <w:rPr>
                <w:sz w:val="10"/>
                <w:szCs w:val="10"/>
                <w:color w:val="auto"/>
              </w:rPr>
            </w:pPr>
          </w:p>
        </w:tc>
        <w:tc>
          <w:tcPr>
            <w:tcW w:w="1500" w:type="dxa"/>
            <w:vAlign w:val="bottom"/>
            <w:tcBorders>
              <w:bottom w:val="single" w:sz="8" w:color="838383"/>
            </w:tcBorders>
          </w:tcPr>
          <w:p>
            <w:pPr>
              <w:spacing w:after="0"/>
              <w:rPr>
                <w:sz w:val="10"/>
                <w:szCs w:val="10"/>
                <w:color w:val="auto"/>
              </w:rPr>
            </w:pPr>
          </w:p>
        </w:tc>
        <w:tc>
          <w:tcPr>
            <w:tcW w:w="420" w:type="dxa"/>
            <w:vAlign w:val="bottom"/>
            <w:tcBorders>
              <w:bottom w:val="single" w:sz="8" w:color="838383"/>
            </w:tcBorders>
          </w:tcPr>
          <w:p>
            <w:pPr>
              <w:spacing w:after="0"/>
              <w:rPr>
                <w:sz w:val="10"/>
                <w:szCs w:val="10"/>
                <w:color w:val="auto"/>
              </w:rPr>
            </w:pPr>
          </w:p>
        </w:tc>
        <w:tc>
          <w:tcPr>
            <w:tcW w:w="1560" w:type="dxa"/>
            <w:vAlign w:val="bottom"/>
            <w:tcBorders>
              <w:bottom w:val="single" w:sz="8" w:color="838383"/>
            </w:tcBorders>
          </w:tcPr>
          <w:p>
            <w:pPr>
              <w:spacing w:after="0"/>
              <w:rPr>
                <w:sz w:val="10"/>
                <w:szCs w:val="10"/>
                <w:color w:val="auto"/>
              </w:rPr>
            </w:pPr>
          </w:p>
        </w:tc>
        <w:tc>
          <w:tcPr>
            <w:tcW w:w="300" w:type="dxa"/>
            <w:vAlign w:val="bottom"/>
            <w:tcBorders>
              <w:bottom w:val="single" w:sz="8" w:color="838383"/>
            </w:tcBorders>
          </w:tcPr>
          <w:p>
            <w:pPr>
              <w:spacing w:after="0"/>
              <w:rPr>
                <w:sz w:val="10"/>
                <w:szCs w:val="10"/>
                <w:color w:val="auto"/>
              </w:rPr>
            </w:pPr>
          </w:p>
        </w:tc>
        <w:tc>
          <w:tcPr>
            <w:tcW w:w="1680" w:type="dxa"/>
            <w:vAlign w:val="bottom"/>
            <w:tcBorders>
              <w:bottom w:val="single" w:sz="8" w:color="838383"/>
            </w:tcBorders>
          </w:tcPr>
          <w:p>
            <w:pPr>
              <w:spacing w:after="0"/>
              <w:rPr>
                <w:sz w:val="10"/>
                <w:szCs w:val="10"/>
                <w:color w:val="auto"/>
              </w:rPr>
            </w:pPr>
          </w:p>
        </w:tc>
        <w:tc>
          <w:tcPr>
            <w:tcW w:w="220" w:type="dxa"/>
            <w:vAlign w:val="bottom"/>
            <w:tcBorders>
              <w:bottom w:val="single" w:sz="8" w:color="838383"/>
            </w:tcBorders>
          </w:tcPr>
          <w:p>
            <w:pPr>
              <w:spacing w:after="0"/>
              <w:rPr>
                <w:sz w:val="10"/>
                <w:szCs w:val="10"/>
                <w:color w:val="auto"/>
              </w:rPr>
            </w:pPr>
          </w:p>
        </w:tc>
        <w:tc>
          <w:tcPr>
            <w:tcW w:w="2480" w:type="dxa"/>
            <w:vAlign w:val="bottom"/>
            <w:tcBorders>
              <w:bottom w:val="single" w:sz="8" w:color="838383"/>
            </w:tcBorders>
          </w:tcPr>
          <w:p>
            <w:pPr>
              <w:spacing w:after="0"/>
              <w:rPr>
                <w:sz w:val="10"/>
                <w:szCs w:val="10"/>
                <w:color w:val="auto"/>
              </w:rPr>
            </w:pPr>
          </w:p>
        </w:tc>
        <w:tc>
          <w:tcPr>
            <w:tcW w:w="260" w:type="dxa"/>
            <w:vAlign w:val="bottom"/>
            <w:tcBorders>
              <w:bottom w:val="single" w:sz="8" w:color="838383"/>
            </w:tcBorders>
          </w:tcPr>
          <w:p>
            <w:pPr>
              <w:spacing w:after="0"/>
              <w:rPr>
                <w:sz w:val="10"/>
                <w:szCs w:val="10"/>
                <w:color w:val="auto"/>
              </w:rPr>
            </w:pPr>
          </w:p>
        </w:tc>
        <w:tc>
          <w:tcPr>
            <w:tcW w:w="1620" w:type="dxa"/>
            <w:vAlign w:val="bottom"/>
            <w:tcBorders>
              <w:bottom w:val="single" w:sz="8" w:color="838383"/>
            </w:tcBorders>
          </w:tcPr>
          <w:p>
            <w:pPr>
              <w:spacing w:after="0"/>
              <w:rPr>
                <w:sz w:val="10"/>
                <w:szCs w:val="10"/>
                <w:color w:val="auto"/>
              </w:rPr>
            </w:pPr>
          </w:p>
        </w:tc>
        <w:tc>
          <w:tcPr>
            <w:tcW w:w="0" w:type="dxa"/>
            <w:vAlign w:val="bottom"/>
          </w:tcPr>
          <w:p>
            <w:pPr>
              <w:spacing w:after="0"/>
              <w:rPr>
                <w:sz w:val="1"/>
                <w:szCs w:val="1"/>
                <w:color w:val="auto"/>
              </w:rPr>
            </w:pPr>
          </w:p>
        </w:tc>
      </w:tr>
      <w:tr>
        <w:trPr>
          <w:trHeight w:val="340"/>
        </w:trPr>
        <w:tc>
          <w:tcPr>
            <w:tcW w:w="400" w:type="dxa"/>
            <w:vAlign w:val="bottom"/>
            <w:tcBorders>
              <w:bottom w:val="single" w:sz="8" w:color="838383"/>
            </w:tcBorders>
          </w:tcPr>
          <w:p>
            <w:pPr>
              <w:spacing w:after="0"/>
              <w:rPr>
                <w:sz w:val="24"/>
                <w:szCs w:val="24"/>
                <w:color w:val="auto"/>
              </w:rPr>
            </w:pPr>
          </w:p>
        </w:tc>
        <w:tc>
          <w:tcPr>
            <w:tcW w:w="15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420" w:type="dxa"/>
            <w:vAlign w:val="bottom"/>
            <w:tcBorders>
              <w:bottom w:val="single" w:sz="8" w:color="838383"/>
            </w:tcBorders>
          </w:tcPr>
          <w:p>
            <w:pPr>
              <w:spacing w:after="0"/>
              <w:rPr>
                <w:sz w:val="24"/>
                <w:szCs w:val="24"/>
                <w:color w:val="auto"/>
              </w:rPr>
            </w:pPr>
          </w:p>
        </w:tc>
        <w:tc>
          <w:tcPr>
            <w:tcW w:w="15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300" w:type="dxa"/>
            <w:vAlign w:val="bottom"/>
            <w:tcBorders>
              <w:bottom w:val="single" w:sz="8" w:color="838383"/>
            </w:tcBorders>
          </w:tcPr>
          <w:p>
            <w:pPr>
              <w:spacing w:after="0"/>
              <w:rPr>
                <w:sz w:val="24"/>
                <w:szCs w:val="24"/>
                <w:color w:val="auto"/>
              </w:rPr>
            </w:pPr>
          </w:p>
        </w:tc>
        <w:tc>
          <w:tcPr>
            <w:tcW w:w="16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(117,528,158)</w:t>
            </w:r>
          </w:p>
        </w:tc>
        <w:tc>
          <w:tcPr>
            <w:tcW w:w="220" w:type="dxa"/>
            <w:vAlign w:val="bottom"/>
            <w:tcBorders>
              <w:bottom w:val="single" w:sz="8" w:color="838383"/>
            </w:tcBorders>
          </w:tcPr>
          <w:p>
            <w:pPr>
              <w:spacing w:after="0"/>
              <w:rPr>
                <w:sz w:val="24"/>
                <w:szCs w:val="24"/>
                <w:color w:val="auto"/>
              </w:rPr>
            </w:pPr>
          </w:p>
        </w:tc>
        <w:tc>
          <w:tcPr>
            <w:tcW w:w="2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60" w:type="dxa"/>
            <w:vAlign w:val="bottom"/>
            <w:tcBorders>
              <w:bottom w:val="single" w:sz="8" w:color="838383"/>
            </w:tcBorders>
          </w:tcPr>
          <w:p>
            <w:pPr>
              <w:spacing w:after="0"/>
              <w:rPr>
                <w:sz w:val="24"/>
                <w:szCs w:val="24"/>
                <w:color w:val="auto"/>
              </w:rPr>
            </w:pPr>
          </w:p>
        </w:tc>
        <w:tc>
          <w:tcPr>
            <w:tcW w:w="16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(117,528,158)</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38383"/>
            </w:tcBorders>
          </w:tcPr>
          <w:p>
            <w:pPr>
              <w:spacing w:after="0"/>
              <w:rPr>
                <w:sz w:val="24"/>
                <w:szCs w:val="24"/>
                <w:color w:val="auto"/>
              </w:rPr>
            </w:pPr>
          </w:p>
        </w:tc>
        <w:tc>
          <w:tcPr>
            <w:tcW w:w="15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420" w:type="dxa"/>
            <w:vAlign w:val="bottom"/>
            <w:tcBorders>
              <w:bottom w:val="single" w:sz="8" w:color="838383"/>
            </w:tcBorders>
          </w:tcPr>
          <w:p>
            <w:pPr>
              <w:spacing w:after="0"/>
              <w:rPr>
                <w:sz w:val="24"/>
                <w:szCs w:val="24"/>
                <w:color w:val="auto"/>
              </w:rPr>
            </w:pPr>
          </w:p>
        </w:tc>
        <w:tc>
          <w:tcPr>
            <w:tcW w:w="15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300" w:type="dxa"/>
            <w:vAlign w:val="bottom"/>
            <w:tcBorders>
              <w:bottom w:val="single" w:sz="8" w:color="838383"/>
            </w:tcBorders>
          </w:tcPr>
          <w:p>
            <w:pPr>
              <w:spacing w:after="0"/>
              <w:rPr>
                <w:sz w:val="24"/>
                <w:szCs w:val="24"/>
                <w:color w:val="auto"/>
              </w:rPr>
            </w:pPr>
          </w:p>
        </w:tc>
        <w:tc>
          <w:tcPr>
            <w:tcW w:w="16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347,563,621</w:t>
            </w:r>
          </w:p>
        </w:tc>
        <w:tc>
          <w:tcPr>
            <w:tcW w:w="220" w:type="dxa"/>
            <w:vAlign w:val="bottom"/>
            <w:tcBorders>
              <w:bottom w:val="single" w:sz="8" w:color="838383"/>
            </w:tcBorders>
          </w:tcPr>
          <w:p>
            <w:pPr>
              <w:spacing w:after="0"/>
              <w:rPr>
                <w:sz w:val="24"/>
                <w:szCs w:val="24"/>
                <w:color w:val="auto"/>
              </w:rPr>
            </w:pPr>
          </w:p>
        </w:tc>
        <w:tc>
          <w:tcPr>
            <w:tcW w:w="2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60" w:type="dxa"/>
            <w:vAlign w:val="bottom"/>
            <w:tcBorders>
              <w:bottom w:val="single" w:sz="8" w:color="838383"/>
            </w:tcBorders>
          </w:tcPr>
          <w:p>
            <w:pPr>
              <w:spacing w:after="0"/>
              <w:rPr>
                <w:sz w:val="24"/>
                <w:szCs w:val="24"/>
                <w:color w:val="auto"/>
              </w:rPr>
            </w:pPr>
          </w:p>
        </w:tc>
        <w:tc>
          <w:tcPr>
            <w:tcW w:w="16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347,563,621</w:t>
            </w:r>
          </w:p>
        </w:tc>
        <w:tc>
          <w:tcPr>
            <w:tcW w:w="0" w:type="dxa"/>
            <w:vAlign w:val="bottom"/>
          </w:tcPr>
          <w:p>
            <w:pPr>
              <w:spacing w:after="0"/>
              <w:rPr>
                <w:sz w:val="1"/>
                <w:szCs w:val="1"/>
                <w:color w:val="auto"/>
              </w:rPr>
            </w:pPr>
          </w:p>
        </w:tc>
      </w:tr>
      <w:tr>
        <w:trPr>
          <w:trHeight w:val="335"/>
        </w:trPr>
        <w:tc>
          <w:tcPr>
            <w:tcW w:w="400" w:type="dxa"/>
            <w:vAlign w:val="bottom"/>
            <w:tcBorders>
              <w:bottom w:val="single" w:sz="8" w:color="8F8F8F"/>
            </w:tcBorders>
          </w:tcPr>
          <w:p>
            <w:pPr>
              <w:spacing w:after="0"/>
              <w:rPr>
                <w:sz w:val="24"/>
                <w:szCs w:val="24"/>
                <w:color w:val="auto"/>
              </w:rPr>
            </w:pPr>
          </w:p>
        </w:tc>
        <w:tc>
          <w:tcPr>
            <w:tcW w:w="150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420" w:type="dxa"/>
            <w:vAlign w:val="bottom"/>
            <w:tcBorders>
              <w:bottom w:val="single" w:sz="8" w:color="8F8F8F"/>
            </w:tcBorders>
          </w:tcPr>
          <w:p>
            <w:pPr>
              <w:spacing w:after="0"/>
              <w:rPr>
                <w:sz w:val="24"/>
                <w:szCs w:val="24"/>
                <w:color w:val="auto"/>
              </w:rPr>
            </w:pPr>
          </w:p>
        </w:tc>
        <w:tc>
          <w:tcPr>
            <w:tcW w:w="15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300" w:type="dxa"/>
            <w:vAlign w:val="bottom"/>
            <w:tcBorders>
              <w:bottom w:val="single" w:sz="8" w:color="8F8F8F"/>
            </w:tcBorders>
          </w:tcPr>
          <w:p>
            <w:pPr>
              <w:spacing w:after="0"/>
              <w:rPr>
                <w:sz w:val="24"/>
                <w:szCs w:val="24"/>
                <w:color w:val="auto"/>
              </w:rPr>
            </w:pPr>
          </w:p>
        </w:tc>
        <w:tc>
          <w:tcPr>
            <w:tcW w:w="16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tcBorders>
              <w:bottom w:val="single" w:sz="8" w:color="8F8F8F"/>
            </w:tcBorders>
          </w:tcPr>
          <w:p>
            <w:pPr>
              <w:spacing w:after="0"/>
              <w:rPr>
                <w:sz w:val="24"/>
                <w:szCs w:val="24"/>
                <w:color w:val="auto"/>
              </w:rPr>
            </w:pPr>
          </w:p>
        </w:tc>
        <w:tc>
          <w:tcPr>
            <w:tcW w:w="2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8,140,155</w:t>
            </w:r>
          </w:p>
        </w:tc>
        <w:tc>
          <w:tcPr>
            <w:tcW w:w="260" w:type="dxa"/>
            <w:vAlign w:val="bottom"/>
            <w:tcBorders>
              <w:bottom w:val="single" w:sz="8" w:color="8F8F8F"/>
            </w:tcBorders>
          </w:tcPr>
          <w:p>
            <w:pPr>
              <w:spacing w:after="0"/>
              <w:rPr>
                <w:sz w:val="24"/>
                <w:szCs w:val="24"/>
                <w:color w:val="auto"/>
              </w:rPr>
            </w:pPr>
          </w:p>
        </w:tc>
        <w:tc>
          <w:tcPr>
            <w:tcW w:w="162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8,140,155</w:t>
            </w:r>
          </w:p>
        </w:tc>
        <w:tc>
          <w:tcPr>
            <w:tcW w:w="0" w:type="dxa"/>
            <w:vAlign w:val="bottom"/>
          </w:tcPr>
          <w:p>
            <w:pPr>
              <w:spacing w:after="0"/>
              <w:rPr>
                <w:sz w:val="1"/>
                <w:szCs w:val="1"/>
                <w:color w:val="auto"/>
              </w:rPr>
            </w:pPr>
          </w:p>
        </w:tc>
      </w:tr>
      <w:tr>
        <w:trPr>
          <w:trHeight w:val="345"/>
        </w:trPr>
        <w:tc>
          <w:tcPr>
            <w:tcW w:w="40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w w:val="88"/>
              </w:rPr>
              <w:t>$</w:t>
            </w:r>
          </w:p>
        </w:tc>
        <w:tc>
          <w:tcPr>
            <w:tcW w:w="15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14,621,572</w:t>
            </w:r>
          </w:p>
        </w:tc>
        <w:tc>
          <w:tcPr>
            <w:tcW w:w="42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15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852,771,508</w:t>
            </w:r>
          </w:p>
        </w:tc>
        <w:tc>
          <w:tcPr>
            <w:tcW w:w="30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w:t>
            </w:r>
          </w:p>
        </w:tc>
        <w:tc>
          <w:tcPr>
            <w:tcW w:w="16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1,089,698,996</w:t>
            </w:r>
          </w:p>
        </w:tc>
        <w:tc>
          <w:tcPr>
            <w:tcW w:w="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6,851,052</w:t>
            </w:r>
          </w:p>
        </w:tc>
        <w:tc>
          <w:tcPr>
            <w:tcW w:w="2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6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1,963,943,128</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38383"/>
            </w:tcBorders>
          </w:tcPr>
          <w:p>
            <w:pPr>
              <w:spacing w:after="0"/>
              <w:rPr>
                <w:sz w:val="24"/>
                <w:szCs w:val="24"/>
                <w:color w:val="auto"/>
              </w:rPr>
            </w:pPr>
          </w:p>
        </w:tc>
        <w:tc>
          <w:tcPr>
            <w:tcW w:w="15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140,590</w:t>
            </w:r>
          </w:p>
        </w:tc>
        <w:tc>
          <w:tcPr>
            <w:tcW w:w="420" w:type="dxa"/>
            <w:vAlign w:val="bottom"/>
            <w:tcBorders>
              <w:bottom w:val="single" w:sz="8" w:color="838383"/>
            </w:tcBorders>
          </w:tcPr>
          <w:p>
            <w:pPr>
              <w:spacing w:after="0"/>
              <w:rPr>
                <w:sz w:val="24"/>
                <w:szCs w:val="24"/>
                <w:color w:val="auto"/>
              </w:rPr>
            </w:pPr>
          </w:p>
        </w:tc>
        <w:tc>
          <w:tcPr>
            <w:tcW w:w="15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29,668,197</w:t>
            </w:r>
          </w:p>
        </w:tc>
        <w:tc>
          <w:tcPr>
            <w:tcW w:w="300" w:type="dxa"/>
            <w:vAlign w:val="bottom"/>
            <w:tcBorders>
              <w:bottom w:val="single" w:sz="8" w:color="838383"/>
            </w:tcBorders>
          </w:tcPr>
          <w:p>
            <w:pPr>
              <w:spacing w:after="0"/>
              <w:rPr>
                <w:sz w:val="24"/>
                <w:szCs w:val="24"/>
                <w:color w:val="auto"/>
              </w:rPr>
            </w:pPr>
          </w:p>
        </w:tc>
        <w:tc>
          <w:tcPr>
            <w:tcW w:w="16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tcBorders>
              <w:bottom w:val="single" w:sz="8" w:color="838383"/>
            </w:tcBorders>
          </w:tcPr>
          <w:p>
            <w:pPr>
              <w:spacing w:after="0"/>
              <w:rPr>
                <w:sz w:val="24"/>
                <w:szCs w:val="24"/>
                <w:color w:val="auto"/>
              </w:rPr>
            </w:pPr>
          </w:p>
        </w:tc>
        <w:tc>
          <w:tcPr>
            <w:tcW w:w="2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60" w:type="dxa"/>
            <w:vAlign w:val="bottom"/>
            <w:tcBorders>
              <w:bottom w:val="single" w:sz="8" w:color="838383"/>
            </w:tcBorders>
          </w:tcPr>
          <w:p>
            <w:pPr>
              <w:spacing w:after="0"/>
              <w:rPr>
                <w:sz w:val="24"/>
                <w:szCs w:val="24"/>
                <w:color w:val="auto"/>
              </w:rPr>
            </w:pPr>
          </w:p>
        </w:tc>
        <w:tc>
          <w:tcPr>
            <w:tcW w:w="16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29,808,787</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38383"/>
            </w:tcBorders>
          </w:tcPr>
          <w:p>
            <w:pPr>
              <w:spacing w:after="0"/>
              <w:rPr>
                <w:sz w:val="24"/>
                <w:szCs w:val="24"/>
                <w:color w:val="auto"/>
              </w:rPr>
            </w:pPr>
          </w:p>
        </w:tc>
        <w:tc>
          <w:tcPr>
            <w:tcW w:w="15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420" w:type="dxa"/>
            <w:vAlign w:val="bottom"/>
            <w:tcBorders>
              <w:bottom w:val="single" w:sz="8" w:color="838383"/>
            </w:tcBorders>
          </w:tcPr>
          <w:p>
            <w:pPr>
              <w:spacing w:after="0"/>
              <w:rPr>
                <w:sz w:val="24"/>
                <w:szCs w:val="24"/>
                <w:color w:val="auto"/>
              </w:rPr>
            </w:pPr>
          </w:p>
        </w:tc>
        <w:tc>
          <w:tcPr>
            <w:tcW w:w="15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300" w:type="dxa"/>
            <w:vAlign w:val="bottom"/>
            <w:tcBorders>
              <w:bottom w:val="single" w:sz="8" w:color="838383"/>
            </w:tcBorders>
          </w:tcPr>
          <w:p>
            <w:pPr>
              <w:spacing w:after="0"/>
              <w:rPr>
                <w:sz w:val="24"/>
                <w:szCs w:val="24"/>
                <w:color w:val="auto"/>
              </w:rPr>
            </w:pPr>
          </w:p>
        </w:tc>
        <w:tc>
          <w:tcPr>
            <w:tcW w:w="16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tcBorders>
              <w:bottom w:val="single" w:sz="8" w:color="838383"/>
            </w:tcBorders>
          </w:tcPr>
          <w:p>
            <w:pPr>
              <w:spacing w:after="0"/>
              <w:rPr>
                <w:sz w:val="24"/>
                <w:szCs w:val="24"/>
                <w:color w:val="auto"/>
              </w:rPr>
            </w:pPr>
          </w:p>
        </w:tc>
        <w:tc>
          <w:tcPr>
            <w:tcW w:w="2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60" w:type="dxa"/>
            <w:vAlign w:val="bottom"/>
            <w:tcBorders>
              <w:bottom w:val="single" w:sz="8" w:color="838383"/>
            </w:tcBorders>
          </w:tcPr>
          <w:p>
            <w:pPr>
              <w:spacing w:after="0"/>
              <w:rPr>
                <w:sz w:val="24"/>
                <w:szCs w:val="24"/>
                <w:color w:val="auto"/>
              </w:rPr>
            </w:pPr>
          </w:p>
        </w:tc>
        <w:tc>
          <w:tcPr>
            <w:tcW w:w="16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38383"/>
            </w:tcBorders>
          </w:tcPr>
          <w:p>
            <w:pPr>
              <w:spacing w:after="0"/>
              <w:rPr>
                <w:sz w:val="24"/>
                <w:szCs w:val="24"/>
                <w:color w:val="auto"/>
              </w:rPr>
            </w:pPr>
          </w:p>
        </w:tc>
        <w:tc>
          <w:tcPr>
            <w:tcW w:w="15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(575,712)</w:t>
            </w:r>
          </w:p>
        </w:tc>
        <w:tc>
          <w:tcPr>
            <w:tcW w:w="420" w:type="dxa"/>
            <w:vAlign w:val="bottom"/>
            <w:tcBorders>
              <w:bottom w:val="single" w:sz="8" w:color="838383"/>
            </w:tcBorders>
          </w:tcPr>
          <w:p>
            <w:pPr>
              <w:spacing w:after="0"/>
              <w:rPr>
                <w:sz w:val="24"/>
                <w:szCs w:val="24"/>
                <w:color w:val="auto"/>
              </w:rPr>
            </w:pPr>
          </w:p>
        </w:tc>
        <w:tc>
          <w:tcPr>
            <w:tcW w:w="15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(30,447,965)</w:t>
            </w:r>
          </w:p>
        </w:tc>
        <w:tc>
          <w:tcPr>
            <w:tcW w:w="300" w:type="dxa"/>
            <w:vAlign w:val="bottom"/>
            <w:tcBorders>
              <w:bottom w:val="single" w:sz="8" w:color="838383"/>
            </w:tcBorders>
          </w:tcPr>
          <w:p>
            <w:pPr>
              <w:spacing w:after="0"/>
              <w:rPr>
                <w:sz w:val="24"/>
                <w:szCs w:val="24"/>
                <w:color w:val="auto"/>
              </w:rPr>
            </w:pPr>
          </w:p>
        </w:tc>
        <w:tc>
          <w:tcPr>
            <w:tcW w:w="16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(293,619,458)</w:t>
            </w:r>
          </w:p>
        </w:tc>
        <w:tc>
          <w:tcPr>
            <w:tcW w:w="220" w:type="dxa"/>
            <w:vAlign w:val="bottom"/>
            <w:tcBorders>
              <w:bottom w:val="single" w:sz="8" w:color="838383"/>
            </w:tcBorders>
          </w:tcPr>
          <w:p>
            <w:pPr>
              <w:spacing w:after="0"/>
              <w:rPr>
                <w:sz w:val="24"/>
                <w:szCs w:val="24"/>
                <w:color w:val="auto"/>
              </w:rPr>
            </w:pPr>
          </w:p>
        </w:tc>
        <w:tc>
          <w:tcPr>
            <w:tcW w:w="2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60" w:type="dxa"/>
            <w:vAlign w:val="bottom"/>
            <w:tcBorders>
              <w:bottom w:val="single" w:sz="8" w:color="838383"/>
            </w:tcBorders>
          </w:tcPr>
          <w:p>
            <w:pPr>
              <w:spacing w:after="0"/>
              <w:rPr>
                <w:sz w:val="24"/>
                <w:szCs w:val="24"/>
                <w:color w:val="auto"/>
              </w:rPr>
            </w:pPr>
          </w:p>
        </w:tc>
        <w:tc>
          <w:tcPr>
            <w:tcW w:w="16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(324,643,135)</w:t>
            </w:r>
          </w:p>
        </w:tc>
        <w:tc>
          <w:tcPr>
            <w:tcW w:w="0" w:type="dxa"/>
            <w:vAlign w:val="bottom"/>
          </w:tcPr>
          <w:p>
            <w:pPr>
              <w:spacing w:after="0"/>
              <w:rPr>
                <w:sz w:val="1"/>
                <w:szCs w:val="1"/>
                <w:color w:val="auto"/>
              </w:rPr>
            </w:pPr>
          </w:p>
        </w:tc>
      </w:tr>
      <w:tr>
        <w:trPr>
          <w:trHeight w:val="490"/>
        </w:trPr>
        <w:tc>
          <w:tcPr>
            <w:tcW w:w="40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42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27,421,645</w:t>
            </w:r>
          </w:p>
        </w:tc>
        <w:tc>
          <w:tcPr>
            <w:tcW w:w="300" w:type="dxa"/>
            <w:vAlign w:val="bottom"/>
          </w:tcPr>
          <w:p>
            <w:pPr>
              <w:spacing w:after="0"/>
              <w:rPr>
                <w:sz w:val="24"/>
                <w:szCs w:val="24"/>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tcPr>
          <w:p>
            <w:pPr>
              <w:spacing w:after="0"/>
              <w:rPr>
                <w:sz w:val="24"/>
                <w:szCs w:val="24"/>
                <w:color w:val="auto"/>
              </w:rPr>
            </w:pPr>
          </w:p>
        </w:tc>
        <w:tc>
          <w:tcPr>
            <w:tcW w:w="2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27,421,645</w:t>
            </w:r>
          </w:p>
        </w:tc>
        <w:tc>
          <w:tcPr>
            <w:tcW w:w="0" w:type="dxa"/>
            <w:vAlign w:val="bottom"/>
          </w:tcPr>
          <w:p>
            <w:pPr>
              <w:spacing w:after="0"/>
              <w:rPr>
                <w:sz w:val="1"/>
                <w:szCs w:val="1"/>
                <w:color w:val="auto"/>
              </w:rPr>
            </w:pPr>
          </w:p>
        </w:tc>
      </w:tr>
      <w:tr>
        <w:trPr>
          <w:trHeight w:val="120"/>
        </w:trPr>
        <w:tc>
          <w:tcPr>
            <w:tcW w:w="400" w:type="dxa"/>
            <w:vAlign w:val="bottom"/>
            <w:tcBorders>
              <w:bottom w:val="single" w:sz="8" w:color="838383"/>
            </w:tcBorders>
          </w:tcPr>
          <w:p>
            <w:pPr>
              <w:spacing w:after="0"/>
              <w:rPr>
                <w:sz w:val="10"/>
                <w:szCs w:val="10"/>
                <w:color w:val="auto"/>
              </w:rPr>
            </w:pPr>
          </w:p>
        </w:tc>
        <w:tc>
          <w:tcPr>
            <w:tcW w:w="1500" w:type="dxa"/>
            <w:vAlign w:val="bottom"/>
            <w:tcBorders>
              <w:bottom w:val="single" w:sz="8" w:color="838383"/>
            </w:tcBorders>
          </w:tcPr>
          <w:p>
            <w:pPr>
              <w:spacing w:after="0"/>
              <w:rPr>
                <w:sz w:val="10"/>
                <w:szCs w:val="10"/>
                <w:color w:val="auto"/>
              </w:rPr>
            </w:pPr>
          </w:p>
        </w:tc>
        <w:tc>
          <w:tcPr>
            <w:tcW w:w="420" w:type="dxa"/>
            <w:vAlign w:val="bottom"/>
            <w:tcBorders>
              <w:bottom w:val="single" w:sz="8" w:color="838383"/>
            </w:tcBorders>
          </w:tcPr>
          <w:p>
            <w:pPr>
              <w:spacing w:after="0"/>
              <w:rPr>
                <w:sz w:val="10"/>
                <w:szCs w:val="10"/>
                <w:color w:val="auto"/>
              </w:rPr>
            </w:pPr>
          </w:p>
        </w:tc>
        <w:tc>
          <w:tcPr>
            <w:tcW w:w="1560" w:type="dxa"/>
            <w:vAlign w:val="bottom"/>
            <w:tcBorders>
              <w:bottom w:val="single" w:sz="8" w:color="838383"/>
            </w:tcBorders>
          </w:tcPr>
          <w:p>
            <w:pPr>
              <w:spacing w:after="0"/>
              <w:rPr>
                <w:sz w:val="10"/>
                <w:szCs w:val="10"/>
                <w:color w:val="auto"/>
              </w:rPr>
            </w:pPr>
          </w:p>
        </w:tc>
        <w:tc>
          <w:tcPr>
            <w:tcW w:w="300" w:type="dxa"/>
            <w:vAlign w:val="bottom"/>
            <w:tcBorders>
              <w:bottom w:val="single" w:sz="8" w:color="838383"/>
            </w:tcBorders>
          </w:tcPr>
          <w:p>
            <w:pPr>
              <w:spacing w:after="0"/>
              <w:rPr>
                <w:sz w:val="10"/>
                <w:szCs w:val="10"/>
                <w:color w:val="auto"/>
              </w:rPr>
            </w:pPr>
          </w:p>
        </w:tc>
        <w:tc>
          <w:tcPr>
            <w:tcW w:w="1680" w:type="dxa"/>
            <w:vAlign w:val="bottom"/>
            <w:tcBorders>
              <w:bottom w:val="single" w:sz="8" w:color="838383"/>
            </w:tcBorders>
          </w:tcPr>
          <w:p>
            <w:pPr>
              <w:spacing w:after="0"/>
              <w:rPr>
                <w:sz w:val="10"/>
                <w:szCs w:val="10"/>
                <w:color w:val="auto"/>
              </w:rPr>
            </w:pPr>
          </w:p>
        </w:tc>
        <w:tc>
          <w:tcPr>
            <w:tcW w:w="220" w:type="dxa"/>
            <w:vAlign w:val="bottom"/>
            <w:tcBorders>
              <w:bottom w:val="single" w:sz="8" w:color="838383"/>
            </w:tcBorders>
          </w:tcPr>
          <w:p>
            <w:pPr>
              <w:spacing w:after="0"/>
              <w:rPr>
                <w:sz w:val="10"/>
                <w:szCs w:val="10"/>
                <w:color w:val="auto"/>
              </w:rPr>
            </w:pPr>
          </w:p>
        </w:tc>
        <w:tc>
          <w:tcPr>
            <w:tcW w:w="2480" w:type="dxa"/>
            <w:vAlign w:val="bottom"/>
            <w:tcBorders>
              <w:bottom w:val="single" w:sz="8" w:color="838383"/>
            </w:tcBorders>
          </w:tcPr>
          <w:p>
            <w:pPr>
              <w:spacing w:after="0"/>
              <w:rPr>
                <w:sz w:val="10"/>
                <w:szCs w:val="10"/>
                <w:color w:val="auto"/>
              </w:rPr>
            </w:pPr>
          </w:p>
        </w:tc>
        <w:tc>
          <w:tcPr>
            <w:tcW w:w="260" w:type="dxa"/>
            <w:vAlign w:val="bottom"/>
            <w:tcBorders>
              <w:bottom w:val="single" w:sz="8" w:color="838383"/>
            </w:tcBorders>
          </w:tcPr>
          <w:p>
            <w:pPr>
              <w:spacing w:after="0"/>
              <w:rPr>
                <w:sz w:val="10"/>
                <w:szCs w:val="10"/>
                <w:color w:val="auto"/>
              </w:rPr>
            </w:pPr>
          </w:p>
        </w:tc>
        <w:tc>
          <w:tcPr>
            <w:tcW w:w="1620" w:type="dxa"/>
            <w:vAlign w:val="bottom"/>
            <w:tcBorders>
              <w:bottom w:val="single" w:sz="8" w:color="838383"/>
            </w:tcBorders>
          </w:tcPr>
          <w:p>
            <w:pPr>
              <w:spacing w:after="0"/>
              <w:rPr>
                <w:sz w:val="10"/>
                <w:szCs w:val="10"/>
                <w:color w:val="auto"/>
              </w:rPr>
            </w:pPr>
          </w:p>
        </w:tc>
        <w:tc>
          <w:tcPr>
            <w:tcW w:w="0" w:type="dxa"/>
            <w:vAlign w:val="bottom"/>
          </w:tcPr>
          <w:p>
            <w:pPr>
              <w:spacing w:after="0"/>
              <w:rPr>
                <w:sz w:val="1"/>
                <w:szCs w:val="1"/>
                <w:color w:val="auto"/>
              </w:rPr>
            </w:pPr>
          </w:p>
        </w:tc>
      </w:tr>
      <w:tr>
        <w:trPr>
          <w:trHeight w:val="340"/>
        </w:trPr>
        <w:tc>
          <w:tcPr>
            <w:tcW w:w="400" w:type="dxa"/>
            <w:vAlign w:val="bottom"/>
            <w:tcBorders>
              <w:bottom w:val="single" w:sz="8" w:color="838383"/>
            </w:tcBorders>
          </w:tcPr>
          <w:p>
            <w:pPr>
              <w:spacing w:after="0"/>
              <w:rPr>
                <w:sz w:val="24"/>
                <w:szCs w:val="24"/>
                <w:color w:val="auto"/>
              </w:rPr>
            </w:pPr>
          </w:p>
        </w:tc>
        <w:tc>
          <w:tcPr>
            <w:tcW w:w="15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420" w:type="dxa"/>
            <w:vAlign w:val="bottom"/>
            <w:tcBorders>
              <w:bottom w:val="single" w:sz="8" w:color="838383"/>
            </w:tcBorders>
          </w:tcPr>
          <w:p>
            <w:pPr>
              <w:spacing w:after="0"/>
              <w:rPr>
                <w:sz w:val="24"/>
                <w:szCs w:val="24"/>
                <w:color w:val="auto"/>
              </w:rPr>
            </w:pPr>
          </w:p>
        </w:tc>
        <w:tc>
          <w:tcPr>
            <w:tcW w:w="15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300" w:type="dxa"/>
            <w:vAlign w:val="bottom"/>
            <w:tcBorders>
              <w:bottom w:val="single" w:sz="8" w:color="838383"/>
            </w:tcBorders>
          </w:tcPr>
          <w:p>
            <w:pPr>
              <w:spacing w:after="0"/>
              <w:rPr>
                <w:sz w:val="24"/>
                <w:szCs w:val="24"/>
                <w:color w:val="auto"/>
              </w:rPr>
            </w:pPr>
          </w:p>
        </w:tc>
        <w:tc>
          <w:tcPr>
            <w:tcW w:w="16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(114,415,382)</w:t>
            </w:r>
          </w:p>
        </w:tc>
        <w:tc>
          <w:tcPr>
            <w:tcW w:w="220" w:type="dxa"/>
            <w:vAlign w:val="bottom"/>
            <w:tcBorders>
              <w:bottom w:val="single" w:sz="8" w:color="838383"/>
            </w:tcBorders>
          </w:tcPr>
          <w:p>
            <w:pPr>
              <w:spacing w:after="0"/>
              <w:rPr>
                <w:sz w:val="24"/>
                <w:szCs w:val="24"/>
                <w:color w:val="auto"/>
              </w:rPr>
            </w:pPr>
          </w:p>
        </w:tc>
        <w:tc>
          <w:tcPr>
            <w:tcW w:w="2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60" w:type="dxa"/>
            <w:vAlign w:val="bottom"/>
            <w:tcBorders>
              <w:bottom w:val="single" w:sz="8" w:color="838383"/>
            </w:tcBorders>
          </w:tcPr>
          <w:p>
            <w:pPr>
              <w:spacing w:after="0"/>
              <w:rPr>
                <w:sz w:val="24"/>
                <w:szCs w:val="24"/>
                <w:color w:val="auto"/>
              </w:rPr>
            </w:pPr>
          </w:p>
        </w:tc>
        <w:tc>
          <w:tcPr>
            <w:tcW w:w="16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(114,415,382)</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38383"/>
            </w:tcBorders>
          </w:tcPr>
          <w:p>
            <w:pPr>
              <w:spacing w:after="0"/>
              <w:rPr>
                <w:sz w:val="24"/>
                <w:szCs w:val="24"/>
                <w:color w:val="auto"/>
              </w:rPr>
            </w:pPr>
          </w:p>
        </w:tc>
        <w:tc>
          <w:tcPr>
            <w:tcW w:w="15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420" w:type="dxa"/>
            <w:vAlign w:val="bottom"/>
            <w:tcBorders>
              <w:bottom w:val="single" w:sz="8" w:color="838383"/>
            </w:tcBorders>
          </w:tcPr>
          <w:p>
            <w:pPr>
              <w:spacing w:after="0"/>
              <w:rPr>
                <w:sz w:val="24"/>
                <w:szCs w:val="24"/>
                <w:color w:val="auto"/>
              </w:rPr>
            </w:pPr>
          </w:p>
        </w:tc>
        <w:tc>
          <w:tcPr>
            <w:tcW w:w="15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300" w:type="dxa"/>
            <w:vAlign w:val="bottom"/>
            <w:tcBorders>
              <w:bottom w:val="single" w:sz="8" w:color="838383"/>
            </w:tcBorders>
          </w:tcPr>
          <w:p>
            <w:pPr>
              <w:spacing w:after="0"/>
              <w:rPr>
                <w:sz w:val="24"/>
                <w:szCs w:val="24"/>
                <w:color w:val="auto"/>
              </w:rPr>
            </w:pPr>
          </w:p>
        </w:tc>
        <w:tc>
          <w:tcPr>
            <w:tcW w:w="16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360,797,232</w:t>
            </w:r>
          </w:p>
        </w:tc>
        <w:tc>
          <w:tcPr>
            <w:tcW w:w="220" w:type="dxa"/>
            <w:vAlign w:val="bottom"/>
            <w:tcBorders>
              <w:bottom w:val="single" w:sz="8" w:color="838383"/>
            </w:tcBorders>
          </w:tcPr>
          <w:p>
            <w:pPr>
              <w:spacing w:after="0"/>
              <w:rPr>
                <w:sz w:val="24"/>
                <w:szCs w:val="24"/>
                <w:color w:val="auto"/>
              </w:rPr>
            </w:pPr>
          </w:p>
        </w:tc>
        <w:tc>
          <w:tcPr>
            <w:tcW w:w="2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60" w:type="dxa"/>
            <w:vAlign w:val="bottom"/>
            <w:tcBorders>
              <w:bottom w:val="single" w:sz="8" w:color="838383"/>
            </w:tcBorders>
          </w:tcPr>
          <w:p>
            <w:pPr>
              <w:spacing w:after="0"/>
              <w:rPr>
                <w:sz w:val="24"/>
                <w:szCs w:val="24"/>
                <w:color w:val="auto"/>
              </w:rPr>
            </w:pPr>
          </w:p>
        </w:tc>
        <w:tc>
          <w:tcPr>
            <w:tcW w:w="16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360,797,232</w:t>
            </w:r>
          </w:p>
        </w:tc>
        <w:tc>
          <w:tcPr>
            <w:tcW w:w="0" w:type="dxa"/>
            <w:vAlign w:val="bottom"/>
          </w:tcPr>
          <w:p>
            <w:pPr>
              <w:spacing w:after="0"/>
              <w:rPr>
                <w:sz w:val="1"/>
                <w:szCs w:val="1"/>
                <w:color w:val="auto"/>
              </w:rPr>
            </w:pPr>
          </w:p>
        </w:tc>
      </w:tr>
      <w:tr>
        <w:trPr>
          <w:trHeight w:val="335"/>
        </w:trPr>
        <w:tc>
          <w:tcPr>
            <w:tcW w:w="400" w:type="dxa"/>
            <w:vAlign w:val="bottom"/>
            <w:tcBorders>
              <w:bottom w:val="single" w:sz="8" w:color="8F8F8F"/>
            </w:tcBorders>
          </w:tcPr>
          <w:p>
            <w:pPr>
              <w:spacing w:after="0"/>
              <w:rPr>
                <w:sz w:val="24"/>
                <w:szCs w:val="24"/>
                <w:color w:val="auto"/>
              </w:rPr>
            </w:pPr>
          </w:p>
        </w:tc>
        <w:tc>
          <w:tcPr>
            <w:tcW w:w="150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420" w:type="dxa"/>
            <w:vAlign w:val="bottom"/>
            <w:tcBorders>
              <w:bottom w:val="single" w:sz="8" w:color="8F8F8F"/>
            </w:tcBorders>
          </w:tcPr>
          <w:p>
            <w:pPr>
              <w:spacing w:after="0"/>
              <w:rPr>
                <w:sz w:val="24"/>
                <w:szCs w:val="24"/>
                <w:color w:val="auto"/>
              </w:rPr>
            </w:pPr>
          </w:p>
        </w:tc>
        <w:tc>
          <w:tcPr>
            <w:tcW w:w="15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300" w:type="dxa"/>
            <w:vAlign w:val="bottom"/>
            <w:tcBorders>
              <w:bottom w:val="single" w:sz="8" w:color="8F8F8F"/>
            </w:tcBorders>
          </w:tcPr>
          <w:p>
            <w:pPr>
              <w:spacing w:after="0"/>
              <w:rPr>
                <w:sz w:val="24"/>
                <w:szCs w:val="24"/>
                <w:color w:val="auto"/>
              </w:rPr>
            </w:pPr>
          </w:p>
        </w:tc>
        <w:tc>
          <w:tcPr>
            <w:tcW w:w="16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tcBorders>
              <w:bottom w:val="single" w:sz="8" w:color="8F8F8F"/>
            </w:tcBorders>
          </w:tcPr>
          <w:p>
            <w:pPr>
              <w:spacing w:after="0"/>
              <w:rPr>
                <w:sz w:val="24"/>
                <w:szCs w:val="24"/>
                <w:color w:val="auto"/>
              </w:rPr>
            </w:pPr>
          </w:p>
        </w:tc>
        <w:tc>
          <w:tcPr>
            <w:tcW w:w="2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(4,923,808)</w:t>
            </w:r>
          </w:p>
        </w:tc>
        <w:tc>
          <w:tcPr>
            <w:tcW w:w="260" w:type="dxa"/>
            <w:vAlign w:val="bottom"/>
            <w:tcBorders>
              <w:bottom w:val="single" w:sz="8" w:color="8F8F8F"/>
            </w:tcBorders>
          </w:tcPr>
          <w:p>
            <w:pPr>
              <w:spacing w:after="0"/>
              <w:rPr>
                <w:sz w:val="24"/>
                <w:szCs w:val="24"/>
                <w:color w:val="auto"/>
              </w:rPr>
            </w:pPr>
          </w:p>
        </w:tc>
        <w:tc>
          <w:tcPr>
            <w:tcW w:w="162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(4,923,808)</w:t>
            </w:r>
          </w:p>
        </w:tc>
        <w:tc>
          <w:tcPr>
            <w:tcW w:w="0" w:type="dxa"/>
            <w:vAlign w:val="bottom"/>
          </w:tcPr>
          <w:p>
            <w:pPr>
              <w:spacing w:after="0"/>
              <w:rPr>
                <w:sz w:val="1"/>
                <w:szCs w:val="1"/>
                <w:color w:val="auto"/>
              </w:rPr>
            </w:pPr>
          </w:p>
        </w:tc>
      </w:tr>
      <w:tr>
        <w:trPr>
          <w:trHeight w:val="345"/>
        </w:trPr>
        <w:tc>
          <w:tcPr>
            <w:tcW w:w="40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w w:val="88"/>
              </w:rPr>
              <w:t>$</w:t>
            </w:r>
          </w:p>
        </w:tc>
        <w:tc>
          <w:tcPr>
            <w:tcW w:w="15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14,186,450</w:t>
            </w:r>
          </w:p>
        </w:tc>
        <w:tc>
          <w:tcPr>
            <w:tcW w:w="42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15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879,413,385</w:t>
            </w:r>
          </w:p>
        </w:tc>
        <w:tc>
          <w:tcPr>
            <w:tcW w:w="30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w:t>
            </w:r>
          </w:p>
        </w:tc>
        <w:tc>
          <w:tcPr>
            <w:tcW w:w="16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1,042,461,388</w:t>
            </w:r>
          </w:p>
        </w:tc>
        <w:tc>
          <w:tcPr>
            <w:tcW w:w="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1,927,244</w:t>
            </w:r>
          </w:p>
        </w:tc>
        <w:tc>
          <w:tcPr>
            <w:tcW w:w="2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6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1,937,988,467</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38383"/>
            </w:tcBorders>
          </w:tcPr>
          <w:p>
            <w:pPr>
              <w:spacing w:after="0"/>
              <w:rPr>
                <w:sz w:val="24"/>
                <w:szCs w:val="24"/>
                <w:color w:val="auto"/>
              </w:rPr>
            </w:pPr>
          </w:p>
        </w:tc>
        <w:tc>
          <w:tcPr>
            <w:tcW w:w="15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96,418</w:t>
            </w:r>
          </w:p>
        </w:tc>
        <w:tc>
          <w:tcPr>
            <w:tcW w:w="420" w:type="dxa"/>
            <w:vAlign w:val="bottom"/>
            <w:tcBorders>
              <w:bottom w:val="single" w:sz="8" w:color="838383"/>
            </w:tcBorders>
          </w:tcPr>
          <w:p>
            <w:pPr>
              <w:spacing w:after="0"/>
              <w:rPr>
                <w:sz w:val="24"/>
                <w:szCs w:val="24"/>
                <w:color w:val="auto"/>
              </w:rPr>
            </w:pPr>
          </w:p>
        </w:tc>
        <w:tc>
          <w:tcPr>
            <w:tcW w:w="15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16,505,856</w:t>
            </w:r>
          </w:p>
        </w:tc>
        <w:tc>
          <w:tcPr>
            <w:tcW w:w="300" w:type="dxa"/>
            <w:vAlign w:val="bottom"/>
            <w:tcBorders>
              <w:bottom w:val="single" w:sz="8" w:color="838383"/>
            </w:tcBorders>
          </w:tcPr>
          <w:p>
            <w:pPr>
              <w:spacing w:after="0"/>
              <w:rPr>
                <w:sz w:val="24"/>
                <w:szCs w:val="24"/>
                <w:color w:val="auto"/>
              </w:rPr>
            </w:pPr>
          </w:p>
        </w:tc>
        <w:tc>
          <w:tcPr>
            <w:tcW w:w="16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tcBorders>
              <w:bottom w:val="single" w:sz="8" w:color="838383"/>
            </w:tcBorders>
          </w:tcPr>
          <w:p>
            <w:pPr>
              <w:spacing w:after="0"/>
              <w:rPr>
                <w:sz w:val="24"/>
                <w:szCs w:val="24"/>
                <w:color w:val="auto"/>
              </w:rPr>
            </w:pPr>
          </w:p>
        </w:tc>
        <w:tc>
          <w:tcPr>
            <w:tcW w:w="2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60" w:type="dxa"/>
            <w:vAlign w:val="bottom"/>
            <w:tcBorders>
              <w:bottom w:val="single" w:sz="8" w:color="838383"/>
            </w:tcBorders>
          </w:tcPr>
          <w:p>
            <w:pPr>
              <w:spacing w:after="0"/>
              <w:rPr>
                <w:sz w:val="24"/>
                <w:szCs w:val="24"/>
                <w:color w:val="auto"/>
              </w:rPr>
            </w:pPr>
          </w:p>
        </w:tc>
        <w:tc>
          <w:tcPr>
            <w:tcW w:w="16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16,602,274</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38383"/>
            </w:tcBorders>
          </w:tcPr>
          <w:p>
            <w:pPr>
              <w:spacing w:after="0"/>
              <w:rPr>
                <w:sz w:val="24"/>
                <w:szCs w:val="24"/>
                <w:color w:val="auto"/>
              </w:rPr>
            </w:pPr>
          </w:p>
        </w:tc>
        <w:tc>
          <w:tcPr>
            <w:tcW w:w="15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9,746</w:t>
            </w:r>
          </w:p>
        </w:tc>
        <w:tc>
          <w:tcPr>
            <w:tcW w:w="420" w:type="dxa"/>
            <w:vAlign w:val="bottom"/>
            <w:tcBorders>
              <w:bottom w:val="single" w:sz="8" w:color="838383"/>
            </w:tcBorders>
          </w:tcPr>
          <w:p>
            <w:pPr>
              <w:spacing w:after="0"/>
              <w:rPr>
                <w:sz w:val="24"/>
                <w:szCs w:val="24"/>
                <w:color w:val="auto"/>
              </w:rPr>
            </w:pPr>
          </w:p>
        </w:tc>
        <w:tc>
          <w:tcPr>
            <w:tcW w:w="15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4,990,266</w:t>
            </w:r>
          </w:p>
        </w:tc>
        <w:tc>
          <w:tcPr>
            <w:tcW w:w="300" w:type="dxa"/>
            <w:vAlign w:val="bottom"/>
            <w:tcBorders>
              <w:bottom w:val="single" w:sz="8" w:color="838383"/>
            </w:tcBorders>
          </w:tcPr>
          <w:p>
            <w:pPr>
              <w:spacing w:after="0"/>
              <w:rPr>
                <w:sz w:val="24"/>
                <w:szCs w:val="24"/>
                <w:color w:val="auto"/>
              </w:rPr>
            </w:pPr>
          </w:p>
        </w:tc>
        <w:tc>
          <w:tcPr>
            <w:tcW w:w="16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tcBorders>
              <w:bottom w:val="single" w:sz="8" w:color="838383"/>
            </w:tcBorders>
          </w:tcPr>
          <w:p>
            <w:pPr>
              <w:spacing w:after="0"/>
              <w:rPr>
                <w:sz w:val="24"/>
                <w:szCs w:val="24"/>
                <w:color w:val="auto"/>
              </w:rPr>
            </w:pPr>
          </w:p>
        </w:tc>
        <w:tc>
          <w:tcPr>
            <w:tcW w:w="2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60" w:type="dxa"/>
            <w:vAlign w:val="bottom"/>
            <w:tcBorders>
              <w:bottom w:val="single" w:sz="8" w:color="838383"/>
            </w:tcBorders>
          </w:tcPr>
          <w:p>
            <w:pPr>
              <w:spacing w:after="0"/>
              <w:rPr>
                <w:sz w:val="24"/>
                <w:szCs w:val="24"/>
                <w:color w:val="auto"/>
              </w:rPr>
            </w:pPr>
          </w:p>
        </w:tc>
        <w:tc>
          <w:tcPr>
            <w:tcW w:w="16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5,000,012</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38383"/>
            </w:tcBorders>
          </w:tcPr>
          <w:p>
            <w:pPr>
              <w:spacing w:after="0"/>
              <w:rPr>
                <w:sz w:val="24"/>
                <w:szCs w:val="24"/>
                <w:color w:val="auto"/>
              </w:rPr>
            </w:pPr>
          </w:p>
        </w:tc>
        <w:tc>
          <w:tcPr>
            <w:tcW w:w="15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(242,454)</w:t>
            </w:r>
          </w:p>
        </w:tc>
        <w:tc>
          <w:tcPr>
            <w:tcW w:w="420" w:type="dxa"/>
            <w:vAlign w:val="bottom"/>
            <w:tcBorders>
              <w:bottom w:val="single" w:sz="8" w:color="838383"/>
            </w:tcBorders>
          </w:tcPr>
          <w:p>
            <w:pPr>
              <w:spacing w:after="0"/>
              <w:rPr>
                <w:sz w:val="24"/>
                <w:szCs w:val="24"/>
                <w:color w:val="auto"/>
              </w:rPr>
            </w:pPr>
          </w:p>
        </w:tc>
        <w:tc>
          <w:tcPr>
            <w:tcW w:w="15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(13,638,790)</w:t>
            </w:r>
          </w:p>
        </w:tc>
        <w:tc>
          <w:tcPr>
            <w:tcW w:w="300" w:type="dxa"/>
            <w:vAlign w:val="bottom"/>
            <w:tcBorders>
              <w:bottom w:val="single" w:sz="8" w:color="838383"/>
            </w:tcBorders>
          </w:tcPr>
          <w:p>
            <w:pPr>
              <w:spacing w:after="0"/>
              <w:rPr>
                <w:sz w:val="24"/>
                <w:szCs w:val="24"/>
                <w:color w:val="auto"/>
              </w:rPr>
            </w:pPr>
          </w:p>
        </w:tc>
        <w:tc>
          <w:tcPr>
            <w:tcW w:w="16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(100,013,126)</w:t>
            </w:r>
          </w:p>
        </w:tc>
        <w:tc>
          <w:tcPr>
            <w:tcW w:w="220" w:type="dxa"/>
            <w:vAlign w:val="bottom"/>
            <w:tcBorders>
              <w:bottom w:val="single" w:sz="8" w:color="838383"/>
            </w:tcBorders>
          </w:tcPr>
          <w:p>
            <w:pPr>
              <w:spacing w:after="0"/>
              <w:rPr>
                <w:sz w:val="24"/>
                <w:szCs w:val="24"/>
                <w:color w:val="auto"/>
              </w:rPr>
            </w:pPr>
          </w:p>
        </w:tc>
        <w:tc>
          <w:tcPr>
            <w:tcW w:w="2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60" w:type="dxa"/>
            <w:vAlign w:val="bottom"/>
            <w:tcBorders>
              <w:bottom w:val="single" w:sz="8" w:color="838383"/>
            </w:tcBorders>
          </w:tcPr>
          <w:p>
            <w:pPr>
              <w:spacing w:after="0"/>
              <w:rPr>
                <w:sz w:val="24"/>
                <w:szCs w:val="24"/>
                <w:color w:val="auto"/>
              </w:rPr>
            </w:pPr>
          </w:p>
        </w:tc>
        <w:tc>
          <w:tcPr>
            <w:tcW w:w="16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(113,894,370)</w:t>
            </w:r>
          </w:p>
        </w:tc>
        <w:tc>
          <w:tcPr>
            <w:tcW w:w="0" w:type="dxa"/>
            <w:vAlign w:val="bottom"/>
          </w:tcPr>
          <w:p>
            <w:pPr>
              <w:spacing w:after="0"/>
              <w:rPr>
                <w:sz w:val="1"/>
                <w:szCs w:val="1"/>
                <w:color w:val="auto"/>
              </w:rPr>
            </w:pPr>
          </w:p>
        </w:tc>
      </w:tr>
      <w:tr>
        <w:trPr>
          <w:trHeight w:val="490"/>
        </w:trPr>
        <w:tc>
          <w:tcPr>
            <w:tcW w:w="40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42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30,228,606</w:t>
            </w:r>
          </w:p>
        </w:tc>
        <w:tc>
          <w:tcPr>
            <w:tcW w:w="300" w:type="dxa"/>
            <w:vAlign w:val="bottom"/>
          </w:tcPr>
          <w:p>
            <w:pPr>
              <w:spacing w:after="0"/>
              <w:rPr>
                <w:sz w:val="24"/>
                <w:szCs w:val="24"/>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tcPr>
          <w:p>
            <w:pPr>
              <w:spacing w:after="0"/>
              <w:rPr>
                <w:sz w:val="24"/>
                <w:szCs w:val="24"/>
                <w:color w:val="auto"/>
              </w:rPr>
            </w:pPr>
          </w:p>
        </w:tc>
        <w:tc>
          <w:tcPr>
            <w:tcW w:w="2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30,228,606</w:t>
            </w:r>
          </w:p>
        </w:tc>
        <w:tc>
          <w:tcPr>
            <w:tcW w:w="0" w:type="dxa"/>
            <w:vAlign w:val="bottom"/>
          </w:tcPr>
          <w:p>
            <w:pPr>
              <w:spacing w:after="0"/>
              <w:rPr>
                <w:sz w:val="1"/>
                <w:szCs w:val="1"/>
                <w:color w:val="auto"/>
              </w:rPr>
            </w:pPr>
          </w:p>
        </w:tc>
      </w:tr>
      <w:tr>
        <w:trPr>
          <w:trHeight w:val="120"/>
        </w:trPr>
        <w:tc>
          <w:tcPr>
            <w:tcW w:w="400" w:type="dxa"/>
            <w:vAlign w:val="bottom"/>
            <w:tcBorders>
              <w:bottom w:val="single" w:sz="8" w:color="838383"/>
            </w:tcBorders>
          </w:tcPr>
          <w:p>
            <w:pPr>
              <w:spacing w:after="0"/>
              <w:rPr>
                <w:sz w:val="10"/>
                <w:szCs w:val="10"/>
                <w:color w:val="auto"/>
              </w:rPr>
            </w:pPr>
          </w:p>
        </w:tc>
        <w:tc>
          <w:tcPr>
            <w:tcW w:w="1500" w:type="dxa"/>
            <w:vAlign w:val="bottom"/>
            <w:tcBorders>
              <w:bottom w:val="single" w:sz="8" w:color="838383"/>
            </w:tcBorders>
          </w:tcPr>
          <w:p>
            <w:pPr>
              <w:spacing w:after="0"/>
              <w:rPr>
                <w:sz w:val="10"/>
                <w:szCs w:val="10"/>
                <w:color w:val="auto"/>
              </w:rPr>
            </w:pPr>
          </w:p>
        </w:tc>
        <w:tc>
          <w:tcPr>
            <w:tcW w:w="420" w:type="dxa"/>
            <w:vAlign w:val="bottom"/>
            <w:tcBorders>
              <w:bottom w:val="single" w:sz="8" w:color="838383"/>
            </w:tcBorders>
          </w:tcPr>
          <w:p>
            <w:pPr>
              <w:spacing w:after="0"/>
              <w:rPr>
                <w:sz w:val="10"/>
                <w:szCs w:val="10"/>
                <w:color w:val="auto"/>
              </w:rPr>
            </w:pPr>
          </w:p>
        </w:tc>
        <w:tc>
          <w:tcPr>
            <w:tcW w:w="1560" w:type="dxa"/>
            <w:vAlign w:val="bottom"/>
            <w:tcBorders>
              <w:bottom w:val="single" w:sz="8" w:color="838383"/>
            </w:tcBorders>
          </w:tcPr>
          <w:p>
            <w:pPr>
              <w:spacing w:after="0"/>
              <w:rPr>
                <w:sz w:val="10"/>
                <w:szCs w:val="10"/>
                <w:color w:val="auto"/>
              </w:rPr>
            </w:pPr>
          </w:p>
        </w:tc>
        <w:tc>
          <w:tcPr>
            <w:tcW w:w="300" w:type="dxa"/>
            <w:vAlign w:val="bottom"/>
            <w:tcBorders>
              <w:bottom w:val="single" w:sz="8" w:color="838383"/>
            </w:tcBorders>
          </w:tcPr>
          <w:p>
            <w:pPr>
              <w:spacing w:after="0"/>
              <w:rPr>
                <w:sz w:val="10"/>
                <w:szCs w:val="10"/>
                <w:color w:val="auto"/>
              </w:rPr>
            </w:pPr>
          </w:p>
        </w:tc>
        <w:tc>
          <w:tcPr>
            <w:tcW w:w="1680" w:type="dxa"/>
            <w:vAlign w:val="bottom"/>
            <w:tcBorders>
              <w:bottom w:val="single" w:sz="8" w:color="838383"/>
            </w:tcBorders>
          </w:tcPr>
          <w:p>
            <w:pPr>
              <w:spacing w:after="0"/>
              <w:rPr>
                <w:sz w:val="10"/>
                <w:szCs w:val="10"/>
                <w:color w:val="auto"/>
              </w:rPr>
            </w:pPr>
          </w:p>
        </w:tc>
        <w:tc>
          <w:tcPr>
            <w:tcW w:w="220" w:type="dxa"/>
            <w:vAlign w:val="bottom"/>
            <w:tcBorders>
              <w:bottom w:val="single" w:sz="8" w:color="838383"/>
            </w:tcBorders>
          </w:tcPr>
          <w:p>
            <w:pPr>
              <w:spacing w:after="0"/>
              <w:rPr>
                <w:sz w:val="10"/>
                <w:szCs w:val="10"/>
                <w:color w:val="auto"/>
              </w:rPr>
            </w:pPr>
          </w:p>
        </w:tc>
        <w:tc>
          <w:tcPr>
            <w:tcW w:w="2480" w:type="dxa"/>
            <w:vAlign w:val="bottom"/>
            <w:tcBorders>
              <w:bottom w:val="single" w:sz="8" w:color="838383"/>
            </w:tcBorders>
          </w:tcPr>
          <w:p>
            <w:pPr>
              <w:spacing w:after="0"/>
              <w:rPr>
                <w:sz w:val="10"/>
                <w:szCs w:val="10"/>
                <w:color w:val="auto"/>
              </w:rPr>
            </w:pPr>
          </w:p>
        </w:tc>
        <w:tc>
          <w:tcPr>
            <w:tcW w:w="260" w:type="dxa"/>
            <w:vAlign w:val="bottom"/>
            <w:tcBorders>
              <w:bottom w:val="single" w:sz="8" w:color="838383"/>
            </w:tcBorders>
          </w:tcPr>
          <w:p>
            <w:pPr>
              <w:spacing w:after="0"/>
              <w:rPr>
                <w:sz w:val="10"/>
                <w:szCs w:val="10"/>
                <w:color w:val="auto"/>
              </w:rPr>
            </w:pPr>
          </w:p>
        </w:tc>
        <w:tc>
          <w:tcPr>
            <w:tcW w:w="1620" w:type="dxa"/>
            <w:vAlign w:val="bottom"/>
            <w:tcBorders>
              <w:bottom w:val="single" w:sz="8" w:color="838383"/>
            </w:tcBorders>
          </w:tcPr>
          <w:p>
            <w:pPr>
              <w:spacing w:after="0"/>
              <w:rPr>
                <w:sz w:val="10"/>
                <w:szCs w:val="10"/>
                <w:color w:val="auto"/>
              </w:rPr>
            </w:pPr>
          </w:p>
        </w:tc>
        <w:tc>
          <w:tcPr>
            <w:tcW w:w="0" w:type="dxa"/>
            <w:vAlign w:val="bottom"/>
          </w:tcPr>
          <w:p>
            <w:pPr>
              <w:spacing w:after="0"/>
              <w:rPr>
                <w:sz w:val="1"/>
                <w:szCs w:val="1"/>
                <w:color w:val="auto"/>
              </w:rPr>
            </w:pPr>
          </w:p>
        </w:tc>
      </w:tr>
      <w:tr>
        <w:trPr>
          <w:trHeight w:val="340"/>
        </w:trPr>
        <w:tc>
          <w:tcPr>
            <w:tcW w:w="400" w:type="dxa"/>
            <w:vAlign w:val="bottom"/>
            <w:tcBorders>
              <w:bottom w:val="single" w:sz="8" w:color="838383"/>
            </w:tcBorders>
          </w:tcPr>
          <w:p>
            <w:pPr>
              <w:spacing w:after="0"/>
              <w:rPr>
                <w:sz w:val="24"/>
                <w:szCs w:val="24"/>
                <w:color w:val="auto"/>
              </w:rPr>
            </w:pPr>
          </w:p>
        </w:tc>
        <w:tc>
          <w:tcPr>
            <w:tcW w:w="15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420" w:type="dxa"/>
            <w:vAlign w:val="bottom"/>
            <w:tcBorders>
              <w:bottom w:val="single" w:sz="8" w:color="838383"/>
            </w:tcBorders>
          </w:tcPr>
          <w:p>
            <w:pPr>
              <w:spacing w:after="0"/>
              <w:rPr>
                <w:sz w:val="24"/>
                <w:szCs w:val="24"/>
                <w:color w:val="auto"/>
              </w:rPr>
            </w:pPr>
          </w:p>
        </w:tc>
        <w:tc>
          <w:tcPr>
            <w:tcW w:w="15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300" w:type="dxa"/>
            <w:vAlign w:val="bottom"/>
            <w:tcBorders>
              <w:bottom w:val="single" w:sz="8" w:color="838383"/>
            </w:tcBorders>
          </w:tcPr>
          <w:p>
            <w:pPr>
              <w:spacing w:after="0"/>
              <w:rPr>
                <w:sz w:val="24"/>
                <w:szCs w:val="24"/>
                <w:color w:val="auto"/>
              </w:rPr>
            </w:pPr>
          </w:p>
        </w:tc>
        <w:tc>
          <w:tcPr>
            <w:tcW w:w="16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(112,819,342)</w:t>
            </w:r>
          </w:p>
        </w:tc>
        <w:tc>
          <w:tcPr>
            <w:tcW w:w="220" w:type="dxa"/>
            <w:vAlign w:val="bottom"/>
            <w:tcBorders>
              <w:bottom w:val="single" w:sz="8" w:color="838383"/>
            </w:tcBorders>
          </w:tcPr>
          <w:p>
            <w:pPr>
              <w:spacing w:after="0"/>
              <w:rPr>
                <w:sz w:val="24"/>
                <w:szCs w:val="24"/>
                <w:color w:val="auto"/>
              </w:rPr>
            </w:pPr>
          </w:p>
        </w:tc>
        <w:tc>
          <w:tcPr>
            <w:tcW w:w="2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60" w:type="dxa"/>
            <w:vAlign w:val="bottom"/>
            <w:tcBorders>
              <w:bottom w:val="single" w:sz="8" w:color="838383"/>
            </w:tcBorders>
          </w:tcPr>
          <w:p>
            <w:pPr>
              <w:spacing w:after="0"/>
              <w:rPr>
                <w:sz w:val="24"/>
                <w:szCs w:val="24"/>
                <w:color w:val="auto"/>
              </w:rPr>
            </w:pPr>
          </w:p>
        </w:tc>
        <w:tc>
          <w:tcPr>
            <w:tcW w:w="16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(112,819,342)</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38383"/>
            </w:tcBorders>
          </w:tcPr>
          <w:p>
            <w:pPr>
              <w:spacing w:after="0"/>
              <w:rPr>
                <w:sz w:val="24"/>
                <w:szCs w:val="24"/>
                <w:color w:val="auto"/>
              </w:rPr>
            </w:pPr>
          </w:p>
        </w:tc>
        <w:tc>
          <w:tcPr>
            <w:tcW w:w="15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420" w:type="dxa"/>
            <w:vAlign w:val="bottom"/>
            <w:tcBorders>
              <w:bottom w:val="single" w:sz="8" w:color="838383"/>
            </w:tcBorders>
          </w:tcPr>
          <w:p>
            <w:pPr>
              <w:spacing w:after="0"/>
              <w:rPr>
                <w:sz w:val="24"/>
                <w:szCs w:val="24"/>
                <w:color w:val="auto"/>
              </w:rPr>
            </w:pPr>
          </w:p>
        </w:tc>
        <w:tc>
          <w:tcPr>
            <w:tcW w:w="15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300" w:type="dxa"/>
            <w:vAlign w:val="bottom"/>
            <w:tcBorders>
              <w:bottom w:val="single" w:sz="8" w:color="838383"/>
            </w:tcBorders>
          </w:tcPr>
          <w:p>
            <w:pPr>
              <w:spacing w:after="0"/>
              <w:rPr>
                <w:sz w:val="24"/>
                <w:szCs w:val="24"/>
                <w:color w:val="auto"/>
              </w:rPr>
            </w:pPr>
          </w:p>
        </w:tc>
        <w:tc>
          <w:tcPr>
            <w:tcW w:w="16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318,757,352</w:t>
            </w:r>
          </w:p>
        </w:tc>
        <w:tc>
          <w:tcPr>
            <w:tcW w:w="220" w:type="dxa"/>
            <w:vAlign w:val="bottom"/>
            <w:tcBorders>
              <w:bottom w:val="single" w:sz="8" w:color="838383"/>
            </w:tcBorders>
          </w:tcPr>
          <w:p>
            <w:pPr>
              <w:spacing w:after="0"/>
              <w:rPr>
                <w:sz w:val="24"/>
                <w:szCs w:val="24"/>
                <w:color w:val="auto"/>
              </w:rPr>
            </w:pPr>
          </w:p>
        </w:tc>
        <w:tc>
          <w:tcPr>
            <w:tcW w:w="24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60" w:type="dxa"/>
            <w:vAlign w:val="bottom"/>
            <w:tcBorders>
              <w:bottom w:val="single" w:sz="8" w:color="838383"/>
            </w:tcBorders>
          </w:tcPr>
          <w:p>
            <w:pPr>
              <w:spacing w:after="0"/>
              <w:rPr>
                <w:sz w:val="24"/>
                <w:szCs w:val="24"/>
                <w:color w:val="auto"/>
              </w:rPr>
            </w:pPr>
          </w:p>
        </w:tc>
        <w:tc>
          <w:tcPr>
            <w:tcW w:w="16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318,757,352</w:t>
            </w:r>
          </w:p>
        </w:tc>
        <w:tc>
          <w:tcPr>
            <w:tcW w:w="0" w:type="dxa"/>
            <w:vAlign w:val="bottom"/>
          </w:tcPr>
          <w:p>
            <w:pPr>
              <w:spacing w:after="0"/>
              <w:rPr>
                <w:sz w:val="1"/>
                <w:szCs w:val="1"/>
                <w:color w:val="auto"/>
              </w:rPr>
            </w:pPr>
          </w:p>
        </w:tc>
      </w:tr>
      <w:tr>
        <w:trPr>
          <w:trHeight w:val="335"/>
        </w:trPr>
        <w:tc>
          <w:tcPr>
            <w:tcW w:w="400" w:type="dxa"/>
            <w:vAlign w:val="bottom"/>
            <w:tcBorders>
              <w:bottom w:val="single" w:sz="8" w:color="8F8F8F"/>
            </w:tcBorders>
          </w:tcPr>
          <w:p>
            <w:pPr>
              <w:spacing w:after="0"/>
              <w:rPr>
                <w:sz w:val="24"/>
                <w:szCs w:val="24"/>
                <w:color w:val="auto"/>
              </w:rPr>
            </w:pPr>
          </w:p>
        </w:tc>
        <w:tc>
          <w:tcPr>
            <w:tcW w:w="150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420" w:type="dxa"/>
            <w:vAlign w:val="bottom"/>
            <w:tcBorders>
              <w:bottom w:val="single" w:sz="8" w:color="8F8F8F"/>
            </w:tcBorders>
          </w:tcPr>
          <w:p>
            <w:pPr>
              <w:spacing w:after="0"/>
              <w:rPr>
                <w:sz w:val="24"/>
                <w:szCs w:val="24"/>
                <w:color w:val="auto"/>
              </w:rPr>
            </w:pPr>
          </w:p>
        </w:tc>
        <w:tc>
          <w:tcPr>
            <w:tcW w:w="15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300" w:type="dxa"/>
            <w:vAlign w:val="bottom"/>
            <w:tcBorders>
              <w:bottom w:val="single" w:sz="8" w:color="8F8F8F"/>
            </w:tcBorders>
          </w:tcPr>
          <w:p>
            <w:pPr>
              <w:spacing w:after="0"/>
              <w:rPr>
                <w:sz w:val="24"/>
                <w:szCs w:val="24"/>
                <w:color w:val="auto"/>
              </w:rPr>
            </w:pPr>
          </w:p>
        </w:tc>
        <w:tc>
          <w:tcPr>
            <w:tcW w:w="16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tcBorders>
              <w:bottom w:val="single" w:sz="8" w:color="8F8F8F"/>
            </w:tcBorders>
          </w:tcPr>
          <w:p>
            <w:pPr>
              <w:spacing w:after="0"/>
              <w:rPr>
                <w:sz w:val="24"/>
                <w:szCs w:val="24"/>
                <w:color w:val="auto"/>
              </w:rPr>
            </w:pPr>
          </w:p>
        </w:tc>
        <w:tc>
          <w:tcPr>
            <w:tcW w:w="2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(16,070,178)</w:t>
            </w:r>
          </w:p>
        </w:tc>
        <w:tc>
          <w:tcPr>
            <w:tcW w:w="260" w:type="dxa"/>
            <w:vAlign w:val="bottom"/>
            <w:tcBorders>
              <w:bottom w:val="single" w:sz="8" w:color="8F8F8F"/>
            </w:tcBorders>
          </w:tcPr>
          <w:p>
            <w:pPr>
              <w:spacing w:after="0"/>
              <w:rPr>
                <w:sz w:val="24"/>
                <w:szCs w:val="24"/>
                <w:color w:val="auto"/>
              </w:rPr>
            </w:pPr>
          </w:p>
        </w:tc>
        <w:tc>
          <w:tcPr>
            <w:tcW w:w="162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(16,070,178)</w:t>
            </w:r>
          </w:p>
        </w:tc>
        <w:tc>
          <w:tcPr>
            <w:tcW w:w="0" w:type="dxa"/>
            <w:vAlign w:val="bottom"/>
          </w:tcPr>
          <w:p>
            <w:pPr>
              <w:spacing w:after="0"/>
              <w:rPr>
                <w:sz w:val="1"/>
                <w:szCs w:val="1"/>
                <w:color w:val="auto"/>
              </w:rPr>
            </w:pPr>
          </w:p>
        </w:tc>
      </w:tr>
      <w:tr>
        <w:trPr>
          <w:trHeight w:val="330"/>
        </w:trPr>
        <w:tc>
          <w:tcPr>
            <w:tcW w:w="400" w:type="dxa"/>
            <w:vAlign w:val="bottom"/>
            <w:tcBorders>
              <w:bottom w:val="single" w:sz="8" w:color="8F8F8F"/>
            </w:tcBorders>
          </w:tcPr>
          <w:p>
            <w:pPr>
              <w:jc w:val="right"/>
              <w:ind w:right="210"/>
              <w:spacing w:after="0"/>
              <w:rPr>
                <w:sz w:val="20"/>
                <w:szCs w:val="20"/>
                <w:color w:val="auto"/>
              </w:rPr>
            </w:pPr>
            <w:r>
              <w:rPr>
                <w:rFonts w:ascii="Times New Roman" w:cs="Times New Roman" w:eastAsia="Times New Roman" w:hAnsi="Times New Roman"/>
                <w:sz w:val="18"/>
                <w:szCs w:val="18"/>
                <w:color w:val="262626"/>
                <w:w w:val="88"/>
              </w:rPr>
              <w:t>$</w:t>
            </w:r>
          </w:p>
        </w:tc>
        <w:tc>
          <w:tcPr>
            <w:tcW w:w="150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14,050,160</w:t>
            </w:r>
          </w:p>
        </w:tc>
        <w:tc>
          <w:tcPr>
            <w:tcW w:w="420" w:type="dxa"/>
            <w:vAlign w:val="bottom"/>
            <w:tcBorders>
              <w:bottom w:val="single" w:sz="8" w:color="8F8F8F"/>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15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917,499,323</w:t>
            </w:r>
          </w:p>
        </w:tc>
        <w:tc>
          <w:tcPr>
            <w:tcW w:w="300" w:type="dxa"/>
            <w:vAlign w:val="bottom"/>
            <w:tcBorders>
              <w:bottom w:val="single" w:sz="8" w:color="8F8F8F"/>
            </w:tcBorders>
          </w:tcPr>
          <w:p>
            <w:pPr>
              <w:jc w:val="right"/>
              <w:ind w:right="30"/>
              <w:spacing w:after="0"/>
              <w:rPr>
                <w:sz w:val="20"/>
                <w:szCs w:val="20"/>
                <w:color w:val="auto"/>
              </w:rPr>
            </w:pPr>
            <w:r>
              <w:rPr>
                <w:rFonts w:ascii="Times New Roman" w:cs="Times New Roman" w:eastAsia="Times New Roman" w:hAnsi="Times New Roman"/>
                <w:sz w:val="18"/>
                <w:szCs w:val="18"/>
                <w:color w:val="262626"/>
              </w:rPr>
              <w:t>$</w:t>
            </w:r>
          </w:p>
        </w:tc>
        <w:tc>
          <w:tcPr>
            <w:tcW w:w="16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1,148,386,272</w:t>
            </w:r>
          </w:p>
        </w:tc>
        <w:tc>
          <w:tcPr>
            <w:tcW w:w="22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4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(14,142,934)</w:t>
            </w:r>
          </w:p>
        </w:tc>
        <w:tc>
          <w:tcPr>
            <w:tcW w:w="2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62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2,065,792,821</w:t>
            </w:r>
          </w:p>
        </w:tc>
        <w:tc>
          <w:tcPr>
            <w:tcW w:w="0" w:type="dxa"/>
            <w:vAlign w:val="bottom"/>
          </w:tcPr>
          <w:p>
            <w:pPr>
              <w:spacing w:after="0"/>
              <w:rPr>
                <w:sz w:val="1"/>
                <w:szCs w:val="1"/>
                <w:color w:val="auto"/>
              </w:rPr>
            </w:pPr>
          </w:p>
        </w:tc>
      </w:tr>
      <w:tr>
        <w:trPr>
          <w:trHeight w:val="20"/>
        </w:trPr>
        <w:tc>
          <w:tcPr>
            <w:tcW w:w="400" w:type="dxa"/>
            <w:vAlign w:val="bottom"/>
            <w:tcBorders>
              <w:bottom w:val="single" w:sz="8" w:color="8F8F8F"/>
            </w:tcBorders>
          </w:tcPr>
          <w:p>
            <w:pPr>
              <w:spacing w:after="0" w:line="20" w:lineRule="exact"/>
              <w:rPr>
                <w:sz w:val="1"/>
                <w:szCs w:val="1"/>
                <w:color w:val="auto"/>
              </w:rPr>
            </w:pPr>
          </w:p>
        </w:tc>
        <w:tc>
          <w:tcPr>
            <w:tcW w:w="1500" w:type="dxa"/>
            <w:vAlign w:val="bottom"/>
            <w:tcBorders>
              <w:bottom w:val="single" w:sz="8" w:color="8F8F8F"/>
            </w:tcBorders>
          </w:tcPr>
          <w:p>
            <w:pPr>
              <w:spacing w:after="0" w:line="20" w:lineRule="exact"/>
              <w:rPr>
                <w:sz w:val="1"/>
                <w:szCs w:val="1"/>
                <w:color w:val="auto"/>
              </w:rPr>
            </w:pPr>
          </w:p>
        </w:tc>
        <w:tc>
          <w:tcPr>
            <w:tcW w:w="420" w:type="dxa"/>
            <w:vAlign w:val="bottom"/>
            <w:tcBorders>
              <w:bottom w:val="single" w:sz="8" w:color="8F8F8F"/>
            </w:tcBorders>
          </w:tcPr>
          <w:p>
            <w:pPr>
              <w:spacing w:after="0" w:line="20" w:lineRule="exact"/>
              <w:rPr>
                <w:sz w:val="1"/>
                <w:szCs w:val="1"/>
                <w:color w:val="auto"/>
              </w:rPr>
            </w:pPr>
          </w:p>
        </w:tc>
        <w:tc>
          <w:tcPr>
            <w:tcW w:w="1560" w:type="dxa"/>
            <w:vAlign w:val="bottom"/>
            <w:tcBorders>
              <w:bottom w:val="single" w:sz="8" w:color="8F8F8F"/>
            </w:tcBorders>
          </w:tcPr>
          <w:p>
            <w:pPr>
              <w:spacing w:after="0" w:line="20" w:lineRule="exact"/>
              <w:rPr>
                <w:sz w:val="1"/>
                <w:szCs w:val="1"/>
                <w:color w:val="auto"/>
              </w:rPr>
            </w:pPr>
          </w:p>
        </w:tc>
        <w:tc>
          <w:tcPr>
            <w:tcW w:w="300" w:type="dxa"/>
            <w:vAlign w:val="bottom"/>
            <w:tcBorders>
              <w:bottom w:val="single" w:sz="8" w:color="8F8F8F"/>
            </w:tcBorders>
          </w:tcPr>
          <w:p>
            <w:pPr>
              <w:spacing w:after="0" w:line="20" w:lineRule="exact"/>
              <w:rPr>
                <w:sz w:val="1"/>
                <w:szCs w:val="1"/>
                <w:color w:val="auto"/>
              </w:rPr>
            </w:pPr>
          </w:p>
        </w:tc>
        <w:tc>
          <w:tcPr>
            <w:tcW w:w="1680" w:type="dxa"/>
            <w:vAlign w:val="bottom"/>
            <w:tcBorders>
              <w:bottom w:val="single" w:sz="8" w:color="8F8F8F"/>
            </w:tcBorders>
          </w:tcPr>
          <w:p>
            <w:pPr>
              <w:spacing w:after="0" w:line="20" w:lineRule="exact"/>
              <w:rPr>
                <w:sz w:val="1"/>
                <w:szCs w:val="1"/>
                <w:color w:val="auto"/>
              </w:rPr>
            </w:pPr>
          </w:p>
        </w:tc>
        <w:tc>
          <w:tcPr>
            <w:tcW w:w="220" w:type="dxa"/>
            <w:vAlign w:val="bottom"/>
            <w:tcBorders>
              <w:bottom w:val="single" w:sz="8" w:color="8F8F8F"/>
            </w:tcBorders>
          </w:tcPr>
          <w:p>
            <w:pPr>
              <w:spacing w:after="0" w:line="20" w:lineRule="exact"/>
              <w:rPr>
                <w:sz w:val="1"/>
                <w:szCs w:val="1"/>
                <w:color w:val="auto"/>
              </w:rPr>
            </w:pPr>
          </w:p>
        </w:tc>
        <w:tc>
          <w:tcPr>
            <w:tcW w:w="2480" w:type="dxa"/>
            <w:vAlign w:val="bottom"/>
            <w:tcBorders>
              <w:bottom w:val="single" w:sz="8" w:color="8F8F8F"/>
            </w:tcBorders>
          </w:tcPr>
          <w:p>
            <w:pPr>
              <w:spacing w:after="0" w:line="20" w:lineRule="exact"/>
              <w:rPr>
                <w:sz w:val="1"/>
                <w:szCs w:val="1"/>
                <w:color w:val="auto"/>
              </w:rPr>
            </w:pPr>
          </w:p>
        </w:tc>
        <w:tc>
          <w:tcPr>
            <w:tcW w:w="260" w:type="dxa"/>
            <w:vAlign w:val="bottom"/>
            <w:tcBorders>
              <w:bottom w:val="single" w:sz="8" w:color="8F8F8F"/>
            </w:tcBorders>
          </w:tcPr>
          <w:p>
            <w:pPr>
              <w:spacing w:after="0" w:line="20" w:lineRule="exact"/>
              <w:rPr>
                <w:sz w:val="1"/>
                <w:szCs w:val="1"/>
                <w:color w:val="auto"/>
              </w:rPr>
            </w:pPr>
          </w:p>
        </w:tc>
        <w:tc>
          <w:tcPr>
            <w:tcW w:w="1620" w:type="dxa"/>
            <w:vAlign w:val="bottom"/>
            <w:tcBorders>
              <w:bottom w:val="single" w:sz="8" w:color="8F8F8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900" w:top="144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63</w:t>
      </w:r>
    </w:p>
    <w:p>
      <w:pPr>
        <w:sectPr>
          <w:pgSz w:w="12240" w:h="15840" w:orient="portrait"/>
          <w:cols w:equalWidth="0" w:num="1">
            <w:col w:w="10760"/>
          </w:cols>
          <w:pgMar w:left="900" w:top="1440" w:right="580" w:bottom="0" w:gutter="0" w:footer="0" w:header="0"/>
          <w:type w:val="continuous"/>
        </w:sectPr>
      </w:pPr>
    </w:p>
    <w:bookmarkStart w:id="63" w:name="page64"/>
    <w:bookmarkEnd w:id="63"/>
    <w:p>
      <w:pPr>
        <w:ind w:left="320"/>
        <w:spacing w:after="0"/>
        <w:rPr>
          <w:sz w:val="20"/>
          <w:szCs w:val="20"/>
          <w:color w:val="auto"/>
        </w:rPr>
      </w:pPr>
      <w:r>
        <w:rPr>
          <w:rFonts w:ascii="Arial" w:cs="Arial" w:eastAsia="Arial" w:hAnsi="Arial"/>
          <w:sz w:val="18"/>
          <w:szCs w:val="18"/>
          <w:b w:val="1"/>
          <w:bCs w:val="1"/>
          <w:color w:val="838383"/>
        </w:rPr>
        <w:t>( 1 ) S U M M A R Y  O F  S I G N I F I C A N T  A C C O U N T I N G  A N D  R E P O R T I N G  P O L I C I E S</w:t>
      </w:r>
    </w:p>
    <w:p>
      <w:pPr>
        <w:spacing w:after="0" w:line="300"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The Company</w:t>
      </w:r>
    </w:p>
    <w:p>
      <w:pPr>
        <w:spacing w:after="0" w:line="191" w:lineRule="exact"/>
        <w:rPr>
          <w:sz w:val="20"/>
          <w:szCs w:val="20"/>
          <w:color w:val="auto"/>
        </w:rPr>
      </w:pPr>
    </w:p>
    <w:p>
      <w:pPr>
        <w:ind w:left="320" w:right="160"/>
        <w:spacing w:after="0" w:line="352" w:lineRule="auto"/>
        <w:rPr>
          <w:sz w:val="20"/>
          <w:szCs w:val="20"/>
          <w:color w:val="auto"/>
        </w:rPr>
      </w:pPr>
      <w:r>
        <w:rPr>
          <w:rFonts w:ascii="Times New Roman" w:cs="Times New Roman" w:eastAsia="Times New Roman" w:hAnsi="Times New Roman"/>
          <w:sz w:val="18"/>
          <w:szCs w:val="18"/>
          <w:color w:val="262626"/>
        </w:rPr>
        <w:t>Gentex Corporation, including its wholly-owned subsidiaries (the “Company”), is a leading supplier of digital vision, connected car, dimmable glass, and fire protection products. The Company’s largest business segment involves designing, developing, manufacturing, marketing, and supplying automatic-dimming rearview and non-dimming mirrors and various electronic modules for the automotive industry. The Company ships its product to all of the major automotive producing regions worldwide, which it supports with numerous sales, engineering and distribution locations worldwide.</w:t>
      </w:r>
    </w:p>
    <w:p>
      <w:pPr>
        <w:spacing w:after="0" w:line="63" w:lineRule="exact"/>
        <w:rPr>
          <w:sz w:val="20"/>
          <w:szCs w:val="20"/>
          <w:color w:val="auto"/>
        </w:rPr>
      </w:pPr>
    </w:p>
    <w:p>
      <w:pPr>
        <w:ind w:left="320" w:right="220"/>
        <w:spacing w:after="0" w:line="362" w:lineRule="auto"/>
        <w:rPr>
          <w:sz w:val="20"/>
          <w:szCs w:val="20"/>
          <w:color w:val="auto"/>
        </w:rPr>
      </w:pPr>
      <w:r>
        <w:rPr>
          <w:rFonts w:ascii="Times New Roman" w:cs="Times New Roman" w:eastAsia="Times New Roman" w:hAnsi="Times New Roman"/>
          <w:sz w:val="18"/>
          <w:szCs w:val="18"/>
          <w:color w:val="262626"/>
        </w:rPr>
        <w:t>A substantial portion of the Company’s net sales and accounts receivable result from transactions with domestic and foreign automotive manufacturers and Tier 1 suppliers. The Company also designs, develops, manufactures, markets, and supplies dimmable aircraft windows for the aviation industry and commercial smoke alarms and signaling devices for the fire protection products industry. The Company does not require collateral or other security for trade accounts receivable.</w:t>
      </w:r>
    </w:p>
    <w:p>
      <w:pPr>
        <w:spacing w:after="0" w:line="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62626"/>
        </w:rPr>
        <w:t>Significant accounting policies of the Company not described elsewhere are as follows:</w:t>
      </w:r>
    </w:p>
    <w:p>
      <w:pPr>
        <w:spacing w:after="0" w:line="37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Consolidation</w:t>
      </w:r>
    </w:p>
    <w:p>
      <w:pPr>
        <w:spacing w:after="0" w:line="191" w:lineRule="exact"/>
        <w:rPr>
          <w:sz w:val="20"/>
          <w:szCs w:val="20"/>
          <w:color w:val="auto"/>
        </w:rPr>
      </w:pPr>
    </w:p>
    <w:p>
      <w:pPr>
        <w:ind w:left="320" w:right="240"/>
        <w:spacing w:after="0" w:line="437" w:lineRule="auto"/>
        <w:rPr>
          <w:sz w:val="20"/>
          <w:szCs w:val="20"/>
          <w:color w:val="auto"/>
        </w:rPr>
      </w:pPr>
      <w:r>
        <w:rPr>
          <w:rFonts w:ascii="Times New Roman" w:cs="Times New Roman" w:eastAsia="Times New Roman" w:hAnsi="Times New Roman"/>
          <w:sz w:val="18"/>
          <w:szCs w:val="18"/>
          <w:color w:val="262626"/>
        </w:rPr>
        <w:t>The consolidated financial statements include the accounts of Gentex Corporation and all of its wholly-owned subsidiaries. All intercompany accounts and transactions have been eliminated.</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Cash Equivalents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62626"/>
        </w:rPr>
        <w:t>Cash equivalents consist of funds invested in bank accounts and money market funds that have daily liquidity.</w:t>
      </w:r>
    </w:p>
    <w:p>
      <w:pPr>
        <w:spacing w:after="0" w:line="37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Allowance For Doubtful Accounts</w:t>
      </w:r>
    </w:p>
    <w:p>
      <w:pPr>
        <w:spacing w:after="0" w:line="191" w:lineRule="exact"/>
        <w:rPr>
          <w:sz w:val="20"/>
          <w:szCs w:val="20"/>
          <w:color w:val="auto"/>
        </w:rPr>
      </w:pPr>
    </w:p>
    <w:p>
      <w:pPr>
        <w:ind w:left="320" w:right="120"/>
        <w:spacing w:after="0" w:line="370" w:lineRule="auto"/>
        <w:rPr>
          <w:sz w:val="20"/>
          <w:szCs w:val="20"/>
          <w:color w:val="auto"/>
        </w:rPr>
      </w:pPr>
      <w:r>
        <w:rPr>
          <w:rFonts w:ascii="Times New Roman" w:cs="Times New Roman" w:eastAsia="Times New Roman" w:hAnsi="Times New Roman"/>
          <w:sz w:val="17"/>
          <w:szCs w:val="17"/>
          <w:color w:val="262626"/>
        </w:rPr>
        <w:t>The Company reviews a monthly aging report of all accounts receivable balances starting with invoices outstanding over sixty days. In addition, the Company monitors information about its customers through a variety of sources including the media, and information obtained through ongoing interaction between Company personnel and the customer. Based on the evaluation of the above information, the Company estimates its allowances related to customer receivables on historical credit and collections experience, customers current financial condition and the specific identification of other potential problems, including the economic climate and impact the supply chain constraints has had on specific customers. Actual collections can differ, requiring adjustments to the allowances, but historically such adjustments have not been material.</w:t>
      </w:r>
    </w:p>
    <w:p>
      <w:pPr>
        <w:spacing w:after="0" w:line="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62626"/>
        </w:rPr>
        <w:t>The following table presents the activity in the Company’s allowance for doubtful accounts:</w:t>
      </w:r>
    </w:p>
    <w:p>
      <w:pPr>
        <w:spacing w:after="0" w:line="356" w:lineRule="exact"/>
        <w:rPr>
          <w:sz w:val="20"/>
          <w:szCs w:val="20"/>
          <w:color w:val="auto"/>
        </w:rPr>
      </w:pPr>
    </w:p>
    <w:tbl>
      <w:tblPr>
        <w:tblLayout w:type="fixed"/>
        <w:tblInd w:w="320" w:type="dxa"/>
        <w:tblCellMar>
          <w:top w:w="0" w:type="dxa"/>
          <w:left w:w="0" w:type="dxa"/>
          <w:bottom w:w="0" w:type="dxa"/>
          <w:right w:w="0" w:type="dxa"/>
        </w:tblCellMar>
      </w:tblPr>
      <w:tr>
        <w:trPr>
          <w:trHeight w:val="240"/>
        </w:trPr>
        <w:tc>
          <w:tcPr>
            <w:tcW w:w="3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262626"/>
              </w:rPr>
              <w:t>Net Additions/</w:t>
            </w:r>
          </w:p>
        </w:tc>
        <w:tc>
          <w:tcPr>
            <w:tcW w:w="20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262626"/>
              </w:rPr>
              <w:t>Net Additions/</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262626"/>
                <w:w w:val="90"/>
              </w:rPr>
              <w:t>Beginning Balance</w:t>
            </w:r>
          </w:p>
        </w:tc>
        <w:tc>
          <w:tcPr>
            <w:tcW w:w="20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262626"/>
              </w:rPr>
              <w:t>(Reductions) to</w:t>
            </w:r>
          </w:p>
        </w:tc>
        <w:tc>
          <w:tcPr>
            <w:tcW w:w="20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262626"/>
              </w:rPr>
              <w:t>Deductions and</w:t>
            </w:r>
          </w:p>
        </w:tc>
        <w:tc>
          <w:tcPr>
            <w:tcW w:w="340" w:type="dxa"/>
            <w:vAlign w:val="bottom"/>
          </w:tcPr>
          <w:p>
            <w:pPr>
              <w:spacing w:after="0"/>
              <w:rPr>
                <w:sz w:val="20"/>
                <w:szCs w:val="20"/>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262626"/>
                <w:w w:val="99"/>
              </w:rPr>
              <w:t>Ending Balance</w:t>
            </w:r>
          </w:p>
        </w:tc>
        <w:tc>
          <w:tcPr>
            <w:tcW w:w="0" w:type="dxa"/>
            <w:vAlign w:val="bottom"/>
          </w:tcPr>
          <w:p>
            <w:pPr>
              <w:spacing w:after="0"/>
              <w:rPr>
                <w:sz w:val="1"/>
                <w:szCs w:val="1"/>
                <w:color w:val="auto"/>
              </w:rPr>
            </w:pPr>
          </w:p>
        </w:tc>
      </w:tr>
      <w:tr>
        <w:trPr>
          <w:trHeight w:val="305"/>
        </w:trPr>
        <w:tc>
          <w:tcPr>
            <w:tcW w:w="3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262626"/>
                <w:w w:val="84"/>
              </w:rPr>
              <w:t>Costs and Expenses</w:t>
            </w:r>
          </w:p>
        </w:tc>
        <w:tc>
          <w:tcPr>
            <w:tcW w:w="200" w:type="dxa"/>
            <w:vAlign w:val="bottom"/>
          </w:tcPr>
          <w:p>
            <w:pPr>
              <w:spacing w:after="0"/>
              <w:rPr>
                <w:sz w:val="24"/>
                <w:szCs w:val="24"/>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262626"/>
                <w:w w:val="91"/>
              </w:rPr>
              <w:t>Other Adjustments</w:t>
            </w:r>
          </w:p>
        </w:tc>
        <w:tc>
          <w:tcPr>
            <w:tcW w:w="3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20" w:type="dxa"/>
            <w:vAlign w:val="bottom"/>
          </w:tcPr>
          <w:p>
            <w:pPr>
              <w:spacing w:after="0"/>
              <w:rPr>
                <w:sz w:val="20"/>
                <w:szCs w:val="20"/>
                <w:color w:val="auto"/>
              </w:rPr>
            </w:pPr>
            <w:r>
              <w:rPr>
                <w:rFonts w:ascii="Arial" w:cs="Arial" w:eastAsia="Arial" w:hAnsi="Arial"/>
                <w:sz w:val="17"/>
                <w:szCs w:val="17"/>
                <w:b w:val="1"/>
                <w:bCs w:val="1"/>
                <w:color w:val="838383"/>
              </w:rPr>
              <w:t>YEAR ENDED DECEMBER 31, 2022:</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9"/>
        </w:trPr>
        <w:tc>
          <w:tcPr>
            <w:tcW w:w="3120" w:type="dxa"/>
            <w:vAlign w:val="bottom"/>
            <w:tcBorders>
              <w:bottom w:val="single" w:sz="8" w:color="838383"/>
            </w:tcBorders>
          </w:tcPr>
          <w:p>
            <w:pPr>
              <w:spacing w:after="0"/>
              <w:rPr>
                <w:sz w:val="6"/>
                <w:szCs w:val="6"/>
                <w:color w:val="auto"/>
              </w:rPr>
            </w:pPr>
          </w:p>
        </w:tc>
        <w:tc>
          <w:tcPr>
            <w:tcW w:w="440" w:type="dxa"/>
            <w:vAlign w:val="bottom"/>
            <w:tcBorders>
              <w:bottom w:val="single" w:sz="8" w:color="838383"/>
            </w:tcBorders>
          </w:tcPr>
          <w:p>
            <w:pPr>
              <w:spacing w:after="0"/>
              <w:rPr>
                <w:sz w:val="6"/>
                <w:szCs w:val="6"/>
                <w:color w:val="auto"/>
              </w:rPr>
            </w:pPr>
          </w:p>
        </w:tc>
        <w:tc>
          <w:tcPr>
            <w:tcW w:w="1580" w:type="dxa"/>
            <w:vAlign w:val="bottom"/>
            <w:tcBorders>
              <w:bottom w:val="single" w:sz="8" w:color="838383"/>
            </w:tcBorders>
          </w:tcPr>
          <w:p>
            <w:pPr>
              <w:spacing w:after="0"/>
              <w:rPr>
                <w:sz w:val="6"/>
                <w:szCs w:val="6"/>
                <w:color w:val="auto"/>
              </w:rPr>
            </w:pPr>
          </w:p>
        </w:tc>
        <w:tc>
          <w:tcPr>
            <w:tcW w:w="200" w:type="dxa"/>
            <w:vAlign w:val="bottom"/>
            <w:tcBorders>
              <w:bottom w:val="single" w:sz="8" w:color="838383"/>
            </w:tcBorders>
          </w:tcPr>
          <w:p>
            <w:pPr>
              <w:spacing w:after="0"/>
              <w:rPr>
                <w:sz w:val="6"/>
                <w:szCs w:val="6"/>
                <w:color w:val="auto"/>
              </w:rPr>
            </w:pPr>
          </w:p>
        </w:tc>
        <w:tc>
          <w:tcPr>
            <w:tcW w:w="1600" w:type="dxa"/>
            <w:vAlign w:val="bottom"/>
            <w:tcBorders>
              <w:bottom w:val="single" w:sz="8" w:color="838383"/>
            </w:tcBorders>
          </w:tcPr>
          <w:p>
            <w:pPr>
              <w:spacing w:after="0"/>
              <w:rPr>
                <w:sz w:val="6"/>
                <w:szCs w:val="6"/>
                <w:color w:val="auto"/>
              </w:rPr>
            </w:pPr>
          </w:p>
        </w:tc>
        <w:tc>
          <w:tcPr>
            <w:tcW w:w="200" w:type="dxa"/>
            <w:vAlign w:val="bottom"/>
            <w:tcBorders>
              <w:bottom w:val="single" w:sz="8" w:color="838383"/>
            </w:tcBorders>
          </w:tcPr>
          <w:p>
            <w:pPr>
              <w:spacing w:after="0"/>
              <w:rPr>
                <w:sz w:val="6"/>
                <w:szCs w:val="6"/>
                <w:color w:val="auto"/>
              </w:rPr>
            </w:pPr>
          </w:p>
        </w:tc>
        <w:tc>
          <w:tcPr>
            <w:tcW w:w="1600" w:type="dxa"/>
            <w:vAlign w:val="bottom"/>
            <w:tcBorders>
              <w:bottom w:val="single" w:sz="8" w:color="838383"/>
            </w:tcBorders>
          </w:tcPr>
          <w:p>
            <w:pPr>
              <w:spacing w:after="0"/>
              <w:rPr>
                <w:sz w:val="6"/>
                <w:szCs w:val="6"/>
                <w:color w:val="auto"/>
              </w:rPr>
            </w:pPr>
          </w:p>
        </w:tc>
        <w:tc>
          <w:tcPr>
            <w:tcW w:w="340" w:type="dxa"/>
            <w:vAlign w:val="bottom"/>
            <w:tcBorders>
              <w:bottom w:val="single" w:sz="8" w:color="838383"/>
            </w:tcBorders>
          </w:tcPr>
          <w:p>
            <w:pPr>
              <w:spacing w:after="0"/>
              <w:rPr>
                <w:sz w:val="6"/>
                <w:szCs w:val="6"/>
                <w:color w:val="auto"/>
              </w:rPr>
            </w:pPr>
          </w:p>
        </w:tc>
        <w:tc>
          <w:tcPr>
            <w:tcW w:w="1360" w:type="dxa"/>
            <w:vAlign w:val="bottom"/>
            <w:tcBorders>
              <w:bottom w:val="single" w:sz="8" w:color="838383"/>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312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Allowance for Doubtful Accounts</w:t>
            </w:r>
          </w:p>
        </w:tc>
        <w:tc>
          <w:tcPr>
            <w:tcW w:w="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5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3,176,205</w:t>
            </w:r>
          </w:p>
        </w:tc>
        <w:tc>
          <w:tcPr>
            <w:tcW w:w="2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6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6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(209,110)</w:t>
            </w:r>
          </w:p>
        </w:tc>
        <w:tc>
          <w:tcPr>
            <w:tcW w:w="340" w:type="dxa"/>
            <w:vAlign w:val="bottom"/>
            <w:tcBorders>
              <w:bottom w:val="single" w:sz="8" w:color="838383"/>
            </w:tcBorders>
          </w:tcPr>
          <w:p>
            <w:pPr>
              <w:jc w:val="right"/>
              <w:ind w:right="70"/>
              <w:spacing w:after="0"/>
              <w:rPr>
                <w:sz w:val="20"/>
                <w:szCs w:val="20"/>
                <w:color w:val="auto"/>
              </w:rPr>
            </w:pPr>
            <w:r>
              <w:rPr>
                <w:rFonts w:ascii="Times New Roman" w:cs="Times New Roman" w:eastAsia="Times New Roman" w:hAnsi="Times New Roman"/>
                <w:sz w:val="18"/>
                <w:szCs w:val="18"/>
                <w:color w:val="262626"/>
              </w:rPr>
              <w:t>$</w:t>
            </w: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2,967,095</w:t>
            </w:r>
          </w:p>
        </w:tc>
        <w:tc>
          <w:tcPr>
            <w:tcW w:w="0" w:type="dxa"/>
            <w:vAlign w:val="bottom"/>
          </w:tcPr>
          <w:p>
            <w:pPr>
              <w:spacing w:after="0"/>
              <w:rPr>
                <w:sz w:val="1"/>
                <w:szCs w:val="1"/>
                <w:color w:val="auto"/>
              </w:rPr>
            </w:pPr>
          </w:p>
        </w:tc>
      </w:tr>
      <w:tr>
        <w:trPr>
          <w:trHeight w:val="273"/>
        </w:trPr>
        <w:tc>
          <w:tcPr>
            <w:tcW w:w="3120" w:type="dxa"/>
            <w:vAlign w:val="bottom"/>
          </w:tcPr>
          <w:p>
            <w:pPr>
              <w:spacing w:after="0"/>
              <w:rPr>
                <w:sz w:val="20"/>
                <w:szCs w:val="20"/>
                <w:color w:val="auto"/>
              </w:rPr>
            </w:pPr>
            <w:r>
              <w:rPr>
                <w:rFonts w:ascii="Arial" w:cs="Arial" w:eastAsia="Arial" w:hAnsi="Arial"/>
                <w:sz w:val="17"/>
                <w:szCs w:val="17"/>
                <w:b w:val="1"/>
                <w:bCs w:val="1"/>
                <w:color w:val="838383"/>
              </w:rPr>
              <w:t>YEAR ENDED DECEMBER 31, 2021:</w:t>
            </w: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3120" w:type="dxa"/>
            <w:vAlign w:val="bottom"/>
            <w:tcBorders>
              <w:bottom w:val="single" w:sz="8" w:color="838383"/>
            </w:tcBorders>
          </w:tcPr>
          <w:p>
            <w:pPr>
              <w:spacing w:after="0"/>
              <w:rPr>
                <w:sz w:val="5"/>
                <w:szCs w:val="5"/>
                <w:color w:val="auto"/>
              </w:rPr>
            </w:pPr>
          </w:p>
        </w:tc>
        <w:tc>
          <w:tcPr>
            <w:tcW w:w="440" w:type="dxa"/>
            <w:vAlign w:val="bottom"/>
            <w:tcBorders>
              <w:bottom w:val="single" w:sz="8" w:color="838383"/>
            </w:tcBorders>
          </w:tcPr>
          <w:p>
            <w:pPr>
              <w:spacing w:after="0"/>
              <w:rPr>
                <w:sz w:val="5"/>
                <w:szCs w:val="5"/>
                <w:color w:val="auto"/>
              </w:rPr>
            </w:pPr>
          </w:p>
        </w:tc>
        <w:tc>
          <w:tcPr>
            <w:tcW w:w="1580" w:type="dxa"/>
            <w:vAlign w:val="bottom"/>
            <w:tcBorders>
              <w:bottom w:val="single" w:sz="8" w:color="838383"/>
            </w:tcBorders>
          </w:tcPr>
          <w:p>
            <w:pPr>
              <w:spacing w:after="0"/>
              <w:rPr>
                <w:sz w:val="5"/>
                <w:szCs w:val="5"/>
                <w:color w:val="auto"/>
              </w:rPr>
            </w:pPr>
          </w:p>
        </w:tc>
        <w:tc>
          <w:tcPr>
            <w:tcW w:w="200" w:type="dxa"/>
            <w:vAlign w:val="bottom"/>
            <w:tcBorders>
              <w:bottom w:val="single" w:sz="8" w:color="838383"/>
            </w:tcBorders>
          </w:tcPr>
          <w:p>
            <w:pPr>
              <w:spacing w:after="0"/>
              <w:rPr>
                <w:sz w:val="5"/>
                <w:szCs w:val="5"/>
                <w:color w:val="auto"/>
              </w:rPr>
            </w:pPr>
          </w:p>
        </w:tc>
        <w:tc>
          <w:tcPr>
            <w:tcW w:w="1600" w:type="dxa"/>
            <w:vAlign w:val="bottom"/>
            <w:tcBorders>
              <w:bottom w:val="single" w:sz="8" w:color="838383"/>
            </w:tcBorders>
          </w:tcPr>
          <w:p>
            <w:pPr>
              <w:spacing w:after="0"/>
              <w:rPr>
                <w:sz w:val="5"/>
                <w:szCs w:val="5"/>
                <w:color w:val="auto"/>
              </w:rPr>
            </w:pPr>
          </w:p>
        </w:tc>
        <w:tc>
          <w:tcPr>
            <w:tcW w:w="200" w:type="dxa"/>
            <w:vAlign w:val="bottom"/>
            <w:tcBorders>
              <w:bottom w:val="single" w:sz="8" w:color="838383"/>
            </w:tcBorders>
          </w:tcPr>
          <w:p>
            <w:pPr>
              <w:spacing w:after="0"/>
              <w:rPr>
                <w:sz w:val="5"/>
                <w:szCs w:val="5"/>
                <w:color w:val="auto"/>
              </w:rPr>
            </w:pPr>
          </w:p>
        </w:tc>
        <w:tc>
          <w:tcPr>
            <w:tcW w:w="1600" w:type="dxa"/>
            <w:vAlign w:val="bottom"/>
            <w:tcBorders>
              <w:bottom w:val="single" w:sz="8" w:color="838383"/>
            </w:tcBorders>
          </w:tcPr>
          <w:p>
            <w:pPr>
              <w:spacing w:after="0"/>
              <w:rPr>
                <w:sz w:val="5"/>
                <w:szCs w:val="5"/>
                <w:color w:val="auto"/>
              </w:rPr>
            </w:pPr>
          </w:p>
        </w:tc>
        <w:tc>
          <w:tcPr>
            <w:tcW w:w="340" w:type="dxa"/>
            <w:vAlign w:val="bottom"/>
            <w:tcBorders>
              <w:bottom w:val="single" w:sz="8" w:color="838383"/>
            </w:tcBorders>
          </w:tcPr>
          <w:p>
            <w:pPr>
              <w:spacing w:after="0"/>
              <w:rPr>
                <w:sz w:val="5"/>
                <w:szCs w:val="5"/>
                <w:color w:val="auto"/>
              </w:rPr>
            </w:pPr>
          </w:p>
        </w:tc>
        <w:tc>
          <w:tcPr>
            <w:tcW w:w="1360" w:type="dxa"/>
            <w:vAlign w:val="bottom"/>
            <w:tcBorders>
              <w:bottom w:val="single" w:sz="8" w:color="838383"/>
            </w:tcBorders>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312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Allowance for Doubtful Accounts</w:t>
            </w:r>
          </w:p>
        </w:tc>
        <w:tc>
          <w:tcPr>
            <w:tcW w:w="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5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3,464,747</w:t>
            </w:r>
          </w:p>
        </w:tc>
        <w:tc>
          <w:tcPr>
            <w:tcW w:w="2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6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2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6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(288,542)</w:t>
            </w:r>
          </w:p>
        </w:tc>
        <w:tc>
          <w:tcPr>
            <w:tcW w:w="340" w:type="dxa"/>
            <w:vAlign w:val="bottom"/>
            <w:tcBorders>
              <w:bottom w:val="single" w:sz="8" w:color="838383"/>
            </w:tcBorders>
          </w:tcPr>
          <w:p>
            <w:pPr>
              <w:jc w:val="right"/>
              <w:ind w:right="70"/>
              <w:spacing w:after="0"/>
              <w:rPr>
                <w:sz w:val="20"/>
                <w:szCs w:val="20"/>
                <w:color w:val="auto"/>
              </w:rPr>
            </w:pPr>
            <w:r>
              <w:rPr>
                <w:rFonts w:ascii="Times New Roman" w:cs="Times New Roman" w:eastAsia="Times New Roman" w:hAnsi="Times New Roman"/>
                <w:sz w:val="18"/>
                <w:szCs w:val="18"/>
                <w:color w:val="262626"/>
              </w:rPr>
              <w:t>$</w:t>
            </w: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3,176,205</w:t>
            </w:r>
          </w:p>
        </w:tc>
        <w:tc>
          <w:tcPr>
            <w:tcW w:w="0" w:type="dxa"/>
            <w:vAlign w:val="bottom"/>
          </w:tcPr>
          <w:p>
            <w:pPr>
              <w:spacing w:after="0"/>
              <w:rPr>
                <w:sz w:val="1"/>
                <w:szCs w:val="1"/>
                <w:color w:val="auto"/>
              </w:rPr>
            </w:pPr>
          </w:p>
        </w:tc>
      </w:tr>
      <w:tr>
        <w:trPr>
          <w:trHeight w:val="273"/>
        </w:trPr>
        <w:tc>
          <w:tcPr>
            <w:tcW w:w="3120" w:type="dxa"/>
            <w:vAlign w:val="bottom"/>
          </w:tcPr>
          <w:p>
            <w:pPr>
              <w:spacing w:after="0"/>
              <w:rPr>
                <w:sz w:val="20"/>
                <w:szCs w:val="20"/>
                <w:color w:val="auto"/>
              </w:rPr>
            </w:pPr>
            <w:r>
              <w:rPr>
                <w:rFonts w:ascii="Arial" w:cs="Arial" w:eastAsia="Arial" w:hAnsi="Arial"/>
                <w:sz w:val="17"/>
                <w:szCs w:val="17"/>
                <w:b w:val="1"/>
                <w:bCs w:val="1"/>
                <w:color w:val="838383"/>
              </w:rPr>
              <w:t>YEAR ENDED DECEMBER 31, 2020:</w:t>
            </w: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3120" w:type="dxa"/>
            <w:vAlign w:val="bottom"/>
            <w:tcBorders>
              <w:bottom w:val="single" w:sz="8" w:color="838383"/>
            </w:tcBorders>
          </w:tcPr>
          <w:p>
            <w:pPr>
              <w:spacing w:after="0"/>
              <w:rPr>
                <w:sz w:val="5"/>
                <w:szCs w:val="5"/>
                <w:color w:val="auto"/>
              </w:rPr>
            </w:pPr>
          </w:p>
        </w:tc>
        <w:tc>
          <w:tcPr>
            <w:tcW w:w="440" w:type="dxa"/>
            <w:vAlign w:val="bottom"/>
            <w:tcBorders>
              <w:bottom w:val="single" w:sz="8" w:color="838383"/>
            </w:tcBorders>
          </w:tcPr>
          <w:p>
            <w:pPr>
              <w:spacing w:after="0"/>
              <w:rPr>
                <w:sz w:val="5"/>
                <w:szCs w:val="5"/>
                <w:color w:val="auto"/>
              </w:rPr>
            </w:pPr>
          </w:p>
        </w:tc>
        <w:tc>
          <w:tcPr>
            <w:tcW w:w="1580" w:type="dxa"/>
            <w:vAlign w:val="bottom"/>
            <w:tcBorders>
              <w:bottom w:val="single" w:sz="8" w:color="838383"/>
            </w:tcBorders>
          </w:tcPr>
          <w:p>
            <w:pPr>
              <w:spacing w:after="0"/>
              <w:rPr>
                <w:sz w:val="5"/>
                <w:szCs w:val="5"/>
                <w:color w:val="auto"/>
              </w:rPr>
            </w:pPr>
          </w:p>
        </w:tc>
        <w:tc>
          <w:tcPr>
            <w:tcW w:w="200" w:type="dxa"/>
            <w:vAlign w:val="bottom"/>
            <w:tcBorders>
              <w:bottom w:val="single" w:sz="8" w:color="838383"/>
            </w:tcBorders>
          </w:tcPr>
          <w:p>
            <w:pPr>
              <w:spacing w:after="0"/>
              <w:rPr>
                <w:sz w:val="5"/>
                <w:szCs w:val="5"/>
                <w:color w:val="auto"/>
              </w:rPr>
            </w:pPr>
          </w:p>
        </w:tc>
        <w:tc>
          <w:tcPr>
            <w:tcW w:w="1600" w:type="dxa"/>
            <w:vAlign w:val="bottom"/>
            <w:tcBorders>
              <w:bottom w:val="single" w:sz="8" w:color="838383"/>
            </w:tcBorders>
          </w:tcPr>
          <w:p>
            <w:pPr>
              <w:spacing w:after="0"/>
              <w:rPr>
                <w:sz w:val="5"/>
                <w:szCs w:val="5"/>
                <w:color w:val="auto"/>
              </w:rPr>
            </w:pPr>
          </w:p>
        </w:tc>
        <w:tc>
          <w:tcPr>
            <w:tcW w:w="200" w:type="dxa"/>
            <w:vAlign w:val="bottom"/>
            <w:tcBorders>
              <w:bottom w:val="single" w:sz="8" w:color="838383"/>
            </w:tcBorders>
          </w:tcPr>
          <w:p>
            <w:pPr>
              <w:spacing w:after="0"/>
              <w:rPr>
                <w:sz w:val="5"/>
                <w:szCs w:val="5"/>
                <w:color w:val="auto"/>
              </w:rPr>
            </w:pPr>
          </w:p>
        </w:tc>
        <w:tc>
          <w:tcPr>
            <w:tcW w:w="1600" w:type="dxa"/>
            <w:vAlign w:val="bottom"/>
            <w:tcBorders>
              <w:bottom w:val="single" w:sz="8" w:color="838383"/>
            </w:tcBorders>
          </w:tcPr>
          <w:p>
            <w:pPr>
              <w:spacing w:after="0"/>
              <w:rPr>
                <w:sz w:val="5"/>
                <w:szCs w:val="5"/>
                <w:color w:val="auto"/>
              </w:rPr>
            </w:pPr>
          </w:p>
        </w:tc>
        <w:tc>
          <w:tcPr>
            <w:tcW w:w="340" w:type="dxa"/>
            <w:vAlign w:val="bottom"/>
            <w:tcBorders>
              <w:bottom w:val="single" w:sz="8" w:color="838383"/>
            </w:tcBorders>
          </w:tcPr>
          <w:p>
            <w:pPr>
              <w:spacing w:after="0"/>
              <w:rPr>
                <w:sz w:val="5"/>
                <w:szCs w:val="5"/>
                <w:color w:val="auto"/>
              </w:rPr>
            </w:pPr>
          </w:p>
        </w:tc>
        <w:tc>
          <w:tcPr>
            <w:tcW w:w="1360" w:type="dxa"/>
            <w:vAlign w:val="bottom"/>
            <w:tcBorders>
              <w:bottom w:val="single" w:sz="8" w:color="838383"/>
            </w:tcBorders>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312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Allowance for Doubtful Accounts</w:t>
            </w:r>
          </w:p>
        </w:tc>
        <w:tc>
          <w:tcPr>
            <w:tcW w:w="4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5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2,451,293</w:t>
            </w:r>
          </w:p>
        </w:tc>
        <w:tc>
          <w:tcPr>
            <w:tcW w:w="2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6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1,000,000</w:t>
            </w:r>
          </w:p>
        </w:tc>
        <w:tc>
          <w:tcPr>
            <w:tcW w:w="2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6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13,454</w:t>
            </w:r>
          </w:p>
        </w:tc>
        <w:tc>
          <w:tcPr>
            <w:tcW w:w="340" w:type="dxa"/>
            <w:vAlign w:val="bottom"/>
            <w:tcBorders>
              <w:bottom w:val="single" w:sz="8" w:color="838383"/>
            </w:tcBorders>
          </w:tcPr>
          <w:p>
            <w:pPr>
              <w:jc w:val="right"/>
              <w:ind w:right="70"/>
              <w:spacing w:after="0"/>
              <w:rPr>
                <w:sz w:val="20"/>
                <w:szCs w:val="20"/>
                <w:color w:val="auto"/>
              </w:rPr>
            </w:pPr>
            <w:r>
              <w:rPr>
                <w:rFonts w:ascii="Times New Roman" w:cs="Times New Roman" w:eastAsia="Times New Roman" w:hAnsi="Times New Roman"/>
                <w:sz w:val="18"/>
                <w:szCs w:val="18"/>
                <w:color w:val="262626"/>
              </w:rPr>
              <w:t>$</w:t>
            </w: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3,464,747</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20" w:right="160"/>
        <w:spacing w:after="0" w:line="437" w:lineRule="auto"/>
        <w:rPr>
          <w:sz w:val="20"/>
          <w:szCs w:val="20"/>
          <w:color w:val="auto"/>
        </w:rPr>
      </w:pPr>
      <w:r>
        <w:rPr>
          <w:rFonts w:ascii="Times New Roman" w:cs="Times New Roman" w:eastAsia="Times New Roman" w:hAnsi="Times New Roman"/>
          <w:sz w:val="18"/>
          <w:szCs w:val="18"/>
          <w:color w:val="262626"/>
        </w:rPr>
        <w:t>The Company’s allowance for doubtful accounts primarily relates to financially distressed automotive customers. The Company continues to work with these financially distressed customers in collecting past due balances.</w:t>
      </w:r>
    </w:p>
    <w:p>
      <w:pPr>
        <w:sectPr>
          <w:pgSz w:w="12240" w:h="15840" w:orient="portrait"/>
          <w:cols w:equalWidth="0" w:num="1">
            <w:col w:w="10760"/>
          </w:cols>
          <w:pgMar w:left="580" w:top="84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64</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60"/>
          </w:cols>
          <w:pgMar w:left="580" w:top="843" w:right="900" w:bottom="0" w:gutter="0" w:footer="0" w:header="0"/>
          <w:type w:val="continuous"/>
        </w:sectPr>
      </w:pPr>
    </w:p>
    <w:bookmarkStart w:id="64" w:name="page65"/>
    <w:bookmarkEnd w:id="64"/>
    <w:p>
      <w:pPr>
        <w:spacing w:after="0"/>
        <w:rPr>
          <w:sz w:val="20"/>
          <w:szCs w:val="20"/>
          <w:color w:val="auto"/>
        </w:rPr>
      </w:pPr>
      <w:r>
        <w:rPr>
          <w:rFonts w:ascii="Arial" w:cs="Arial" w:eastAsia="Arial" w:hAnsi="Arial"/>
          <w:sz w:val="22"/>
          <w:szCs w:val="22"/>
          <w:b w:val="1"/>
          <w:bCs w:val="1"/>
          <w:color w:val="8F8F8F"/>
        </w:rPr>
        <w:t>Investments</w:t>
      </w:r>
    </w:p>
    <w:p>
      <w:pPr>
        <w:spacing w:after="0" w:line="263" w:lineRule="exact"/>
        <w:rPr>
          <w:sz w:val="20"/>
          <w:szCs w:val="20"/>
          <w:color w:val="auto"/>
        </w:rPr>
      </w:pPr>
    </w:p>
    <w:p>
      <w:pPr>
        <w:ind w:right="560"/>
        <w:spacing w:after="0" w:line="347" w:lineRule="auto"/>
        <w:rPr>
          <w:sz w:val="20"/>
          <w:szCs w:val="20"/>
          <w:color w:val="auto"/>
        </w:rPr>
      </w:pPr>
      <w:r>
        <w:rPr>
          <w:rFonts w:ascii="Times New Roman" w:cs="Times New Roman" w:eastAsia="Times New Roman" w:hAnsi="Times New Roman"/>
          <w:sz w:val="18"/>
          <w:szCs w:val="18"/>
          <w:color w:val="262626"/>
        </w:rPr>
        <w:t>The Company follows the provisions of ASC 820, Fair Value Measurements and Disclosures,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about a company’s use of fair-value measurements, including the effect of such measurement on earnings. The cost of securities sold is based on the specific identification method.</w:t>
      </w:r>
    </w:p>
    <w:p>
      <w:pPr>
        <w:spacing w:after="0" w:line="65" w:lineRule="exact"/>
        <w:rPr>
          <w:sz w:val="20"/>
          <w:szCs w:val="20"/>
          <w:color w:val="auto"/>
        </w:rPr>
      </w:pPr>
    </w:p>
    <w:p>
      <w:pPr>
        <w:ind w:right="380"/>
        <w:spacing w:after="0" w:line="381" w:lineRule="auto"/>
        <w:rPr>
          <w:sz w:val="20"/>
          <w:szCs w:val="20"/>
          <w:color w:val="auto"/>
        </w:rPr>
      </w:pPr>
      <w:r>
        <w:rPr>
          <w:rFonts w:ascii="Times New Roman" w:cs="Times New Roman" w:eastAsia="Times New Roman" w:hAnsi="Times New Roman"/>
          <w:sz w:val="18"/>
          <w:szCs w:val="18"/>
          <w:color w:val="262626"/>
        </w:rPr>
        <w:t>The Company determines the fair value of its government securities, asset-backed securities, corporate bonds, and certain municipal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34" w:lineRule="exact"/>
        <w:rPr>
          <w:sz w:val="20"/>
          <w:szCs w:val="20"/>
          <w:color w:val="auto"/>
        </w:rPr>
      </w:pPr>
    </w:p>
    <w:p>
      <w:pPr>
        <w:ind w:right="520"/>
        <w:spacing w:after="0" w:line="429" w:lineRule="auto"/>
        <w:rPr>
          <w:sz w:val="20"/>
          <w:szCs w:val="20"/>
          <w:color w:val="auto"/>
        </w:rPr>
      </w:pPr>
      <w:r>
        <w:rPr>
          <w:rFonts w:ascii="Times New Roman" w:cs="Times New Roman" w:eastAsia="Times New Roman" w:hAnsi="Times New Roman"/>
          <w:sz w:val="18"/>
          <w:szCs w:val="18"/>
          <w:color w:val="262626"/>
        </w:rPr>
        <w:t>The Company’s certificates of deposit are classified as available for sale, and are considered as Level 1 assets. These investments are carried at amortized cost, which approximates fair value.</w:t>
      </w:r>
    </w:p>
    <w:p>
      <w:pPr>
        <w:ind w:right="340"/>
        <w:spacing w:after="0" w:line="328" w:lineRule="auto"/>
        <w:rPr>
          <w:sz w:val="20"/>
          <w:szCs w:val="20"/>
          <w:color w:val="auto"/>
        </w:rPr>
      </w:pPr>
      <w:r>
        <w:rPr>
          <w:rFonts w:ascii="Times New Roman" w:cs="Times New Roman" w:eastAsia="Times New Roman" w:hAnsi="Times New Roman"/>
          <w:sz w:val="18"/>
          <w:szCs w:val="18"/>
          <w:color w:val="262626"/>
        </w:rPr>
        <w:t>The Company also periodically makes technology investments in certain non-consolidated third parties. These equity investments are accounted for in accordance with ASC 323, Investments - Equity Method and Joint Ventures. The Company’s share of the earnings or losses of non-controlled affiliates, over which the Company exercises significant influence (generally a 20% to 50% ownership interest), is included within Other Income (Loss) in the Company’s consolidated statement of income using the equity method of accounting. These equity method investments, over which the Company exercises significant influence, totaled approximately $48.4 million as of December 31, 2022 (including approximately $11.1 million of investments accounted for under ASC 321, Investments - Equity Securities, as of December 31, 2021, for which the Company obtained significant influence during 2022). On June 3, 2022, the Company obtained an approximate 20% equity share</w:t>
      </w:r>
    </w:p>
    <w:p>
      <w:pPr>
        <w:spacing w:after="0" w:line="5" w:lineRule="exact"/>
        <w:rPr>
          <w:sz w:val="20"/>
          <w:szCs w:val="20"/>
          <w:color w:val="auto"/>
        </w:rPr>
      </w:pPr>
    </w:p>
    <w:p>
      <w:pPr>
        <w:ind w:right="660"/>
        <w:spacing w:after="0" w:line="367" w:lineRule="auto"/>
        <w:rPr>
          <w:sz w:val="20"/>
          <w:szCs w:val="20"/>
          <w:color w:val="auto"/>
        </w:rPr>
      </w:pPr>
      <w:r>
        <w:rPr>
          <w:rFonts w:ascii="Times New Roman" w:cs="Times New Roman" w:eastAsia="Times New Roman" w:hAnsi="Times New Roman"/>
          <w:sz w:val="18"/>
          <w:szCs w:val="18"/>
          <w:color w:val="262626"/>
        </w:rPr>
        <w:t>in GreenMarbles for $20.0 million, in addition to an issuance of $5.0 million worth of common stock. GreenMarbles is a leading provider of sustainable solutions for integration into properties. The Company did not have equity method investments as of December 31, 2021. These investments are classified within Equity Method Investments in the consolidated balance sheets as of December 31, 2022.</w:t>
      </w:r>
    </w:p>
    <w:p>
      <w:pPr>
        <w:spacing w:after="0" w:line="47" w:lineRule="exact"/>
        <w:rPr>
          <w:sz w:val="20"/>
          <w:szCs w:val="20"/>
          <w:color w:val="auto"/>
        </w:rPr>
      </w:pPr>
    </w:p>
    <w:p>
      <w:pPr>
        <w:ind w:right="620"/>
        <w:spacing w:after="0" w:line="338" w:lineRule="auto"/>
        <w:rPr>
          <w:sz w:val="20"/>
          <w:szCs w:val="20"/>
          <w:color w:val="auto"/>
        </w:rPr>
      </w:pPr>
      <w:r>
        <w:rPr>
          <w:rFonts w:ascii="Times New Roman" w:cs="Times New Roman" w:eastAsia="Times New Roman" w:hAnsi="Times New Roman"/>
          <w:sz w:val="18"/>
          <w:szCs w:val="18"/>
          <w:color w:val="262626"/>
        </w:rPr>
        <w:t>The Company has made technology investments in certain non-consolidated affiliates for ownership interests of less than 20% (where the Company does not have the ability to exercise significant influence). These equity investments are accounted for in accordance with ASC</w:t>
      </w:r>
    </w:p>
    <w:p>
      <w:pPr>
        <w:spacing w:after="0" w:line="1" w:lineRule="exact"/>
        <w:rPr>
          <w:sz w:val="20"/>
          <w:szCs w:val="20"/>
          <w:color w:val="auto"/>
        </w:rPr>
      </w:pPr>
    </w:p>
    <w:p>
      <w:pPr>
        <w:ind w:right="540" w:firstLine="2"/>
        <w:spacing w:after="0" w:line="346" w:lineRule="auto"/>
        <w:tabs>
          <w:tab w:leader="none" w:pos="361" w:val="left"/>
        </w:tabs>
        <w:numPr>
          <w:ilvl w:val="0"/>
          <w:numId w:val="20"/>
        </w:numPr>
        <w:rPr>
          <w:rFonts w:ascii="Times New Roman" w:cs="Times New Roman" w:eastAsia="Times New Roman" w:hAnsi="Times New Roman"/>
          <w:sz w:val="18"/>
          <w:szCs w:val="18"/>
          <w:color w:val="262626"/>
        </w:rPr>
      </w:pPr>
      <w:r>
        <w:rPr>
          <w:rFonts w:ascii="Times New Roman" w:cs="Times New Roman" w:eastAsia="Times New Roman" w:hAnsi="Times New Roman"/>
          <w:sz w:val="18"/>
          <w:szCs w:val="18"/>
          <w:color w:val="262626"/>
        </w:rPr>
        <w:t>These equity investments that do not have readily determinable fair values, and where the Company has not identified any observable events that would cause adjustment of the valuation to date, are then held at cost. These technology investments totaled $17.1 million and $16.8 million as of December 31, 2022 and December 31, 2021, respectively. As of December 31, 2022, $3.8 million of these investments are classified within Short-Term Investments in the consolidated balance sheets. $13.3 million and $16.8 million of these investments are classified within Long-Term Investments in the consolidated balance sheets as of December 31, 2022 and December 31, 2021, respectively.</w:t>
      </w:r>
    </w:p>
    <w:p>
      <w:pPr>
        <w:sectPr>
          <w:pgSz w:w="12240" w:h="15840" w:orient="portrait"/>
          <w:cols w:equalWidth="0" w:num="1">
            <w:col w:w="10760"/>
          </w:cols>
          <w:pgMar w:left="900" w:top="1346"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65</w:t>
      </w:r>
    </w:p>
    <w:p>
      <w:pPr>
        <w:sectPr>
          <w:pgSz w:w="12240" w:h="15840" w:orient="portrait"/>
          <w:cols w:equalWidth="0" w:num="1">
            <w:col w:w="10760"/>
          </w:cols>
          <w:pgMar w:left="900" w:top="1346" w:right="580" w:bottom="0" w:gutter="0" w:footer="0" w:header="0"/>
          <w:type w:val="continuous"/>
        </w:sectPr>
      </w:pPr>
    </w:p>
    <w:bookmarkStart w:id="65" w:name="page66"/>
    <w:bookmarkEnd w:id="65"/>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62626"/>
        </w:rPr>
        <w:t>Assets or liabilities that have recurring fair value measurements are shown below as of December 31, 2022 and December 31, 2021:</w:t>
      </w:r>
    </w:p>
    <w:p>
      <w:pPr>
        <w:spacing w:after="0" w:line="299" w:lineRule="exact"/>
        <w:rPr>
          <w:sz w:val="20"/>
          <w:szCs w:val="20"/>
          <w:color w:val="auto"/>
        </w:rPr>
      </w:pPr>
    </w:p>
    <w:tbl>
      <w:tblPr>
        <w:tblLayout w:type="fixed"/>
        <w:tblInd w:w="320" w:type="dxa"/>
        <w:tblCellMar>
          <w:top w:w="0" w:type="dxa"/>
          <w:left w:w="0" w:type="dxa"/>
          <w:bottom w:w="0" w:type="dxa"/>
          <w:right w:w="0" w:type="dxa"/>
        </w:tblCellMar>
      </w:tblPr>
      <w:tr>
        <w:trPr>
          <w:trHeight w:val="290"/>
        </w:trPr>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Borders>
              <w:bottom w:val="single" w:sz="8" w:color="838383"/>
            </w:tcBorders>
          </w:tcPr>
          <w:p>
            <w:pPr>
              <w:spacing w:after="0"/>
              <w:rPr>
                <w:sz w:val="24"/>
                <w:szCs w:val="24"/>
                <w:color w:val="auto"/>
              </w:rPr>
            </w:pPr>
          </w:p>
        </w:tc>
        <w:tc>
          <w:tcPr>
            <w:tcW w:w="5560" w:type="dxa"/>
            <w:vAlign w:val="bottom"/>
            <w:tcBorders>
              <w:bottom w:val="single" w:sz="8" w:color="838383"/>
            </w:tcBorders>
            <w:gridSpan w:val="5"/>
          </w:tcPr>
          <w:p>
            <w:pPr>
              <w:jc w:val="right"/>
              <w:ind w:right="930"/>
              <w:spacing w:after="0"/>
              <w:rPr>
                <w:sz w:val="20"/>
                <w:szCs w:val="20"/>
                <w:color w:val="auto"/>
              </w:rPr>
            </w:pPr>
            <w:r>
              <w:rPr>
                <w:rFonts w:ascii="Arial" w:cs="Arial" w:eastAsia="Arial" w:hAnsi="Arial"/>
                <w:sz w:val="18"/>
                <w:szCs w:val="18"/>
                <w:b w:val="1"/>
                <w:bCs w:val="1"/>
                <w:color w:val="262626"/>
              </w:rPr>
              <w:t>Fair Value Measurements at Reporting Date Using</w:t>
            </w:r>
          </w:p>
        </w:tc>
        <w:tc>
          <w:tcPr>
            <w:tcW w:w="0" w:type="dxa"/>
            <w:vAlign w:val="bottom"/>
          </w:tcPr>
          <w:p>
            <w:pPr>
              <w:spacing w:after="0"/>
              <w:rPr>
                <w:sz w:val="1"/>
                <w:szCs w:val="1"/>
                <w:color w:val="auto"/>
              </w:rPr>
            </w:pPr>
          </w:p>
        </w:tc>
      </w:tr>
      <w:tr>
        <w:trPr>
          <w:trHeight w:val="287"/>
        </w:trPr>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b w:val="1"/>
                <w:bCs w:val="1"/>
                <w:color w:val="262626"/>
              </w:rPr>
              <w:t>QuotedPricesin</w:t>
            </w:r>
          </w:p>
        </w:tc>
        <w:tc>
          <w:tcPr>
            <w:tcW w:w="360" w:type="dxa"/>
            <w:vAlign w:val="bottom"/>
          </w:tcPr>
          <w:p>
            <w:pPr>
              <w:spacing w:after="0"/>
              <w:rPr>
                <w:sz w:val="24"/>
                <w:szCs w:val="24"/>
                <w:color w:val="auto"/>
              </w:rPr>
            </w:pPr>
          </w:p>
        </w:tc>
        <w:tc>
          <w:tcPr>
            <w:tcW w:w="17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262626"/>
              </w:rPr>
              <w:t>SignificantOther</w:t>
            </w:r>
          </w:p>
        </w:tc>
        <w:tc>
          <w:tcPr>
            <w:tcW w:w="200" w:type="dxa"/>
            <w:vAlign w:val="bottom"/>
          </w:tcPr>
          <w:p>
            <w:pPr>
              <w:spacing w:after="0"/>
              <w:rPr>
                <w:sz w:val="24"/>
                <w:szCs w:val="24"/>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Significant</w:t>
            </w:r>
          </w:p>
        </w:tc>
        <w:tc>
          <w:tcPr>
            <w:tcW w:w="0" w:type="dxa"/>
            <w:vAlign w:val="bottom"/>
          </w:tcPr>
          <w:p>
            <w:pPr>
              <w:spacing w:after="0"/>
              <w:rPr>
                <w:sz w:val="1"/>
                <w:szCs w:val="1"/>
                <w:color w:val="auto"/>
              </w:rPr>
            </w:pPr>
          </w:p>
        </w:tc>
      </w:tr>
      <w:tr>
        <w:trPr>
          <w:trHeight w:val="240"/>
        </w:trPr>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b w:val="1"/>
                <w:bCs w:val="1"/>
                <w:color w:val="262626"/>
              </w:rPr>
              <w:t>Active Markets</w:t>
            </w:r>
          </w:p>
        </w:tc>
        <w:tc>
          <w:tcPr>
            <w:tcW w:w="360" w:type="dxa"/>
            <w:vAlign w:val="bottom"/>
          </w:tcPr>
          <w:p>
            <w:pPr>
              <w:spacing w:after="0"/>
              <w:rPr>
                <w:sz w:val="20"/>
                <w:szCs w:val="20"/>
                <w:color w:val="auto"/>
              </w:rPr>
            </w:pPr>
          </w:p>
        </w:tc>
        <w:tc>
          <w:tcPr>
            <w:tcW w:w="17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262626"/>
              </w:rPr>
              <w:t>Total as of</w:t>
            </w:r>
          </w:p>
        </w:tc>
        <w:tc>
          <w:tcPr>
            <w:tcW w:w="280" w:type="dxa"/>
            <w:vAlign w:val="bottom"/>
            <w:tcBorders>
              <w:bottom w:val="single" w:sz="8" w:color="838383"/>
            </w:tcBorders>
          </w:tcPr>
          <w:p>
            <w:pPr>
              <w:spacing w:after="0"/>
              <w:rPr>
                <w:sz w:val="22"/>
                <w:szCs w:val="22"/>
                <w:color w:val="auto"/>
              </w:rPr>
            </w:pPr>
          </w:p>
        </w:tc>
        <w:tc>
          <w:tcPr>
            <w:tcW w:w="1700" w:type="dxa"/>
            <w:vAlign w:val="bottom"/>
            <w:tcBorders>
              <w:bottom w:val="single" w:sz="8" w:color="838383"/>
            </w:tcBorders>
          </w:tcPr>
          <w:p>
            <w:pPr>
              <w:jc w:val="right"/>
              <w:ind w:right="10"/>
              <w:spacing w:after="0"/>
              <w:rPr>
                <w:sz w:val="20"/>
                <w:szCs w:val="20"/>
                <w:color w:val="auto"/>
              </w:rPr>
            </w:pPr>
            <w:r>
              <w:rPr>
                <w:rFonts w:ascii="Arial" w:cs="Arial" w:eastAsia="Arial" w:hAnsi="Arial"/>
                <w:sz w:val="18"/>
                <w:szCs w:val="18"/>
                <w:b w:val="1"/>
                <w:bCs w:val="1"/>
                <w:color w:val="262626"/>
                <w:w w:val="95"/>
              </w:rPr>
              <w:t>for Identical Assets</w:t>
            </w:r>
          </w:p>
        </w:tc>
        <w:tc>
          <w:tcPr>
            <w:tcW w:w="360" w:type="dxa"/>
            <w:vAlign w:val="bottom"/>
            <w:tcBorders>
              <w:bottom w:val="single" w:sz="8" w:color="838383"/>
            </w:tcBorders>
          </w:tcPr>
          <w:p>
            <w:pPr>
              <w:spacing w:after="0"/>
              <w:rPr>
                <w:sz w:val="22"/>
                <w:szCs w:val="22"/>
                <w:color w:val="auto"/>
              </w:rPr>
            </w:pPr>
          </w:p>
        </w:tc>
        <w:tc>
          <w:tcPr>
            <w:tcW w:w="1700" w:type="dxa"/>
            <w:vAlign w:val="bottom"/>
            <w:tcBorders>
              <w:bottom w:val="single" w:sz="8" w:color="838383"/>
            </w:tcBorders>
          </w:tcPr>
          <w:p>
            <w:pPr>
              <w:jc w:val="right"/>
              <w:spacing w:after="0"/>
              <w:rPr>
                <w:sz w:val="20"/>
                <w:szCs w:val="20"/>
                <w:color w:val="auto"/>
              </w:rPr>
            </w:pPr>
            <w:r>
              <w:rPr>
                <w:rFonts w:ascii="Arial" w:cs="Arial" w:eastAsia="Arial" w:hAnsi="Arial"/>
                <w:sz w:val="18"/>
                <w:szCs w:val="18"/>
                <w:b w:val="1"/>
                <w:bCs w:val="1"/>
                <w:color w:val="262626"/>
              </w:rPr>
              <w:t>Observable Inputs</w:t>
            </w:r>
          </w:p>
        </w:tc>
        <w:tc>
          <w:tcPr>
            <w:tcW w:w="200" w:type="dxa"/>
            <w:vAlign w:val="bottom"/>
            <w:tcBorders>
              <w:bottom w:val="single" w:sz="8" w:color="838383"/>
            </w:tcBorders>
          </w:tcPr>
          <w:p>
            <w:pPr>
              <w:spacing w:after="0"/>
              <w:rPr>
                <w:sz w:val="22"/>
                <w:szCs w:val="22"/>
                <w:color w:val="auto"/>
              </w:rPr>
            </w:pPr>
          </w:p>
        </w:tc>
        <w:tc>
          <w:tcPr>
            <w:tcW w:w="1600" w:type="dxa"/>
            <w:vAlign w:val="bottom"/>
            <w:tcBorders>
              <w:bottom w:val="single" w:sz="8" w:color="838383"/>
            </w:tcBorders>
          </w:tcPr>
          <w:p>
            <w:pPr>
              <w:jc w:val="right"/>
              <w:spacing w:after="0"/>
              <w:rPr>
                <w:sz w:val="20"/>
                <w:szCs w:val="20"/>
                <w:color w:val="auto"/>
              </w:rPr>
            </w:pPr>
            <w:r>
              <w:rPr>
                <w:rFonts w:ascii="Arial" w:cs="Arial" w:eastAsia="Arial" w:hAnsi="Arial"/>
                <w:sz w:val="18"/>
                <w:szCs w:val="18"/>
                <w:b w:val="1"/>
                <w:bCs w:val="1"/>
                <w:color w:val="262626"/>
                <w:w w:val="88"/>
              </w:rPr>
              <w:t>Unobservable Inputs</w:t>
            </w:r>
          </w:p>
        </w:tc>
        <w:tc>
          <w:tcPr>
            <w:tcW w:w="0" w:type="dxa"/>
            <w:vAlign w:val="bottom"/>
          </w:tcPr>
          <w:p>
            <w:pPr>
              <w:spacing w:after="0"/>
              <w:rPr>
                <w:sz w:val="1"/>
                <w:szCs w:val="1"/>
                <w:color w:val="auto"/>
              </w:rPr>
            </w:pPr>
          </w:p>
        </w:tc>
      </w:tr>
      <w:tr>
        <w:trPr>
          <w:trHeight w:val="257"/>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262626"/>
              </w:rPr>
              <w:t>Description</w:t>
            </w:r>
          </w:p>
        </w:tc>
        <w:tc>
          <w:tcPr>
            <w:tcW w:w="260" w:type="dxa"/>
            <w:vAlign w:val="bottom"/>
          </w:tcPr>
          <w:p>
            <w:pPr>
              <w:spacing w:after="0"/>
              <w:rPr>
                <w:sz w:val="22"/>
                <w:szCs w:val="22"/>
                <w:color w:val="auto"/>
              </w:rPr>
            </w:pPr>
          </w:p>
        </w:tc>
        <w:tc>
          <w:tcPr>
            <w:tcW w:w="18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7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262626"/>
              </w:rPr>
              <w:t>(Level I)</w:t>
            </w:r>
          </w:p>
        </w:tc>
        <w:tc>
          <w:tcPr>
            <w:tcW w:w="360" w:type="dxa"/>
            <w:vAlign w:val="bottom"/>
          </w:tcPr>
          <w:p>
            <w:pPr>
              <w:spacing w:after="0"/>
              <w:rPr>
                <w:sz w:val="22"/>
                <w:szCs w:val="22"/>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(Level 2)</w:t>
            </w:r>
          </w:p>
        </w:tc>
        <w:tc>
          <w:tcPr>
            <w:tcW w:w="200" w:type="dxa"/>
            <w:vAlign w:val="bottom"/>
          </w:tcPr>
          <w:p>
            <w:pPr>
              <w:spacing w:after="0"/>
              <w:rPr>
                <w:sz w:val="22"/>
                <w:szCs w:val="22"/>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(Level 3)</w:t>
            </w:r>
          </w:p>
        </w:tc>
        <w:tc>
          <w:tcPr>
            <w:tcW w:w="0" w:type="dxa"/>
            <w:vAlign w:val="bottom"/>
          </w:tcPr>
          <w:p>
            <w:pPr>
              <w:spacing w:after="0"/>
              <w:rPr>
                <w:sz w:val="1"/>
                <w:szCs w:val="1"/>
                <w:color w:val="auto"/>
              </w:rPr>
            </w:pPr>
          </w:p>
        </w:tc>
      </w:tr>
      <w:tr>
        <w:trPr>
          <w:trHeight w:val="302"/>
        </w:trPr>
        <w:tc>
          <w:tcPr>
            <w:tcW w:w="2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jc w:val="right"/>
              <w:ind w:right="90"/>
              <w:spacing w:after="0"/>
              <w:rPr>
                <w:sz w:val="20"/>
                <w:szCs w:val="20"/>
                <w:color w:val="auto"/>
              </w:rPr>
            </w:pPr>
            <w:r>
              <w:rPr>
                <w:rFonts w:ascii="Arial" w:cs="Arial" w:eastAsia="Arial" w:hAnsi="Arial"/>
                <w:sz w:val="18"/>
                <w:szCs w:val="18"/>
                <w:b w:val="1"/>
                <w:bCs w:val="1"/>
                <w:color w:val="262626"/>
                <w:w w:val="99"/>
              </w:rPr>
              <w:t>December 31, 2022</w:t>
            </w:r>
          </w:p>
        </w:tc>
        <w:tc>
          <w:tcPr>
            <w:tcW w:w="2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2520" w:type="dxa"/>
            <w:vAlign w:val="bottom"/>
            <w:tcBorders>
              <w:bottom w:val="single" w:sz="8" w:color="838383"/>
            </w:tcBorders>
          </w:tcPr>
          <w:p>
            <w:pPr>
              <w:spacing w:after="0"/>
              <w:rPr>
                <w:sz w:val="4"/>
                <w:szCs w:val="4"/>
                <w:color w:val="auto"/>
              </w:rPr>
            </w:pPr>
          </w:p>
        </w:tc>
        <w:tc>
          <w:tcPr>
            <w:tcW w:w="260" w:type="dxa"/>
            <w:vAlign w:val="bottom"/>
            <w:tcBorders>
              <w:bottom w:val="single" w:sz="8" w:color="838383"/>
            </w:tcBorders>
          </w:tcPr>
          <w:p>
            <w:pPr>
              <w:spacing w:after="0"/>
              <w:rPr>
                <w:sz w:val="4"/>
                <w:szCs w:val="4"/>
                <w:color w:val="auto"/>
              </w:rPr>
            </w:pPr>
          </w:p>
        </w:tc>
        <w:tc>
          <w:tcPr>
            <w:tcW w:w="1820" w:type="dxa"/>
            <w:vAlign w:val="bottom"/>
            <w:tcBorders>
              <w:bottom w:val="single" w:sz="8" w:color="838383"/>
            </w:tcBorders>
          </w:tcPr>
          <w:p>
            <w:pPr>
              <w:spacing w:after="0"/>
              <w:rPr>
                <w:sz w:val="4"/>
                <w:szCs w:val="4"/>
                <w:color w:val="auto"/>
              </w:rPr>
            </w:pPr>
          </w:p>
        </w:tc>
        <w:tc>
          <w:tcPr>
            <w:tcW w:w="280" w:type="dxa"/>
            <w:vAlign w:val="bottom"/>
            <w:tcBorders>
              <w:bottom w:val="single" w:sz="8" w:color="838383"/>
            </w:tcBorders>
          </w:tcPr>
          <w:p>
            <w:pPr>
              <w:spacing w:after="0"/>
              <w:rPr>
                <w:sz w:val="4"/>
                <w:szCs w:val="4"/>
                <w:color w:val="auto"/>
              </w:rPr>
            </w:pPr>
          </w:p>
        </w:tc>
        <w:tc>
          <w:tcPr>
            <w:tcW w:w="1700" w:type="dxa"/>
            <w:vAlign w:val="bottom"/>
            <w:tcBorders>
              <w:bottom w:val="single" w:sz="8" w:color="838383"/>
            </w:tcBorders>
          </w:tcPr>
          <w:p>
            <w:pPr>
              <w:spacing w:after="0"/>
              <w:rPr>
                <w:sz w:val="4"/>
                <w:szCs w:val="4"/>
                <w:color w:val="auto"/>
              </w:rPr>
            </w:pPr>
          </w:p>
        </w:tc>
        <w:tc>
          <w:tcPr>
            <w:tcW w:w="360" w:type="dxa"/>
            <w:vAlign w:val="bottom"/>
            <w:tcBorders>
              <w:bottom w:val="single" w:sz="8" w:color="838383"/>
            </w:tcBorders>
          </w:tcPr>
          <w:p>
            <w:pPr>
              <w:spacing w:after="0"/>
              <w:rPr>
                <w:sz w:val="4"/>
                <w:szCs w:val="4"/>
                <w:color w:val="auto"/>
              </w:rPr>
            </w:pPr>
          </w:p>
        </w:tc>
        <w:tc>
          <w:tcPr>
            <w:tcW w:w="1700" w:type="dxa"/>
            <w:vAlign w:val="bottom"/>
            <w:tcBorders>
              <w:bottom w:val="single" w:sz="8" w:color="838383"/>
            </w:tcBorders>
          </w:tcPr>
          <w:p>
            <w:pPr>
              <w:spacing w:after="0"/>
              <w:rPr>
                <w:sz w:val="4"/>
                <w:szCs w:val="4"/>
                <w:color w:val="auto"/>
              </w:rPr>
            </w:pPr>
          </w:p>
        </w:tc>
        <w:tc>
          <w:tcPr>
            <w:tcW w:w="200" w:type="dxa"/>
            <w:vAlign w:val="bottom"/>
            <w:tcBorders>
              <w:bottom w:val="single" w:sz="8" w:color="838383"/>
            </w:tcBorders>
          </w:tcPr>
          <w:p>
            <w:pPr>
              <w:spacing w:after="0"/>
              <w:rPr>
                <w:sz w:val="4"/>
                <w:szCs w:val="4"/>
                <w:color w:val="auto"/>
              </w:rPr>
            </w:pPr>
          </w:p>
        </w:tc>
        <w:tc>
          <w:tcPr>
            <w:tcW w:w="1600" w:type="dxa"/>
            <w:vAlign w:val="bottom"/>
            <w:tcBorders>
              <w:bottom w:val="single" w:sz="8" w:color="838383"/>
            </w:tcBorders>
          </w:tcPr>
          <w:p>
            <w:pPr>
              <w:spacing w:after="0"/>
              <w:rPr>
                <w:sz w:val="4"/>
                <w:szCs w:val="4"/>
                <w:color w:val="auto"/>
              </w:rPr>
            </w:pPr>
          </w:p>
        </w:tc>
        <w:tc>
          <w:tcPr>
            <w:tcW w:w="0" w:type="dxa"/>
            <w:vAlign w:val="bottom"/>
          </w:tcPr>
          <w:p>
            <w:pPr>
              <w:spacing w:after="0"/>
              <w:rPr>
                <w:sz w:val="1"/>
                <w:szCs w:val="1"/>
                <w:color w:val="auto"/>
              </w:rPr>
            </w:pPr>
          </w:p>
        </w:tc>
      </w:tr>
      <w:tr>
        <w:trPr>
          <w:trHeight w:val="340"/>
        </w:trPr>
        <w:tc>
          <w:tcPr>
            <w:tcW w:w="25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Cash &amp; Cash Equivalents</w:t>
            </w:r>
          </w:p>
        </w:tc>
        <w:tc>
          <w:tcPr>
            <w:tcW w:w="260" w:type="dxa"/>
            <w:vAlign w:val="bottom"/>
            <w:tcBorders>
              <w:bottom w:val="single" w:sz="8" w:color="838383"/>
            </w:tcBorders>
          </w:tcPr>
          <w:p>
            <w:pPr>
              <w:jc w:val="right"/>
              <w:ind w:right="70"/>
              <w:spacing w:after="0"/>
              <w:rPr>
                <w:sz w:val="20"/>
                <w:szCs w:val="20"/>
                <w:color w:val="auto"/>
              </w:rPr>
            </w:pPr>
            <w:r>
              <w:rPr>
                <w:rFonts w:ascii="Times New Roman" w:cs="Times New Roman" w:eastAsia="Times New Roman" w:hAnsi="Times New Roman"/>
                <w:sz w:val="18"/>
                <w:szCs w:val="18"/>
                <w:color w:val="262626"/>
                <w:w w:val="88"/>
              </w:rPr>
              <w:t>$</w:t>
            </w:r>
          </w:p>
        </w:tc>
        <w:tc>
          <w:tcPr>
            <w:tcW w:w="18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214,754,638</w:t>
            </w:r>
          </w:p>
        </w:tc>
        <w:tc>
          <w:tcPr>
            <w:tcW w:w="280" w:type="dxa"/>
            <w:vAlign w:val="bottom"/>
            <w:tcBorders>
              <w:bottom w:val="single" w:sz="8" w:color="838383"/>
            </w:tcBorders>
          </w:tcPr>
          <w:p>
            <w:pPr>
              <w:jc w:val="right"/>
              <w:ind w:right="70"/>
              <w:spacing w:after="0"/>
              <w:rPr>
                <w:sz w:val="20"/>
                <w:szCs w:val="20"/>
                <w:color w:val="auto"/>
              </w:rPr>
            </w:pPr>
            <w:r>
              <w:rPr>
                <w:rFonts w:ascii="Times New Roman" w:cs="Times New Roman" w:eastAsia="Times New Roman" w:hAnsi="Times New Roman"/>
                <w:sz w:val="18"/>
                <w:szCs w:val="18"/>
                <w:color w:val="262626"/>
              </w:rPr>
              <w:t>$</w:t>
            </w:r>
          </w:p>
        </w:tc>
        <w:tc>
          <w:tcPr>
            <w:tcW w:w="17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214,754,638</w:t>
            </w:r>
          </w:p>
        </w:tc>
        <w:tc>
          <w:tcPr>
            <w:tcW w:w="36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w:t>
            </w:r>
          </w:p>
        </w:tc>
        <w:tc>
          <w:tcPr>
            <w:tcW w:w="17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6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25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Restricted Cash</w:t>
            </w:r>
          </w:p>
        </w:tc>
        <w:tc>
          <w:tcPr>
            <w:tcW w:w="260" w:type="dxa"/>
            <w:vAlign w:val="bottom"/>
            <w:tcBorders>
              <w:bottom w:val="single" w:sz="8" w:color="838383"/>
            </w:tcBorders>
          </w:tcPr>
          <w:p>
            <w:pPr>
              <w:spacing w:after="0"/>
              <w:rPr>
                <w:sz w:val="24"/>
                <w:szCs w:val="24"/>
                <w:color w:val="auto"/>
              </w:rPr>
            </w:pPr>
          </w:p>
        </w:tc>
        <w:tc>
          <w:tcPr>
            <w:tcW w:w="18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4,000,000</w:t>
            </w:r>
          </w:p>
        </w:tc>
        <w:tc>
          <w:tcPr>
            <w:tcW w:w="28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4,000,000</w:t>
            </w:r>
          </w:p>
        </w:tc>
        <w:tc>
          <w:tcPr>
            <w:tcW w:w="36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00" w:type="dxa"/>
            <w:vAlign w:val="bottom"/>
            <w:tcBorders>
              <w:bottom w:val="single" w:sz="8" w:color="838383"/>
            </w:tcBorders>
          </w:tcPr>
          <w:p>
            <w:pPr>
              <w:spacing w:after="0"/>
              <w:rPr>
                <w:sz w:val="24"/>
                <w:szCs w:val="24"/>
                <w:color w:val="auto"/>
              </w:rPr>
            </w:pPr>
          </w:p>
        </w:tc>
        <w:tc>
          <w:tcPr>
            <w:tcW w:w="16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25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Short-Term Investments:</w:t>
            </w:r>
          </w:p>
        </w:tc>
        <w:tc>
          <w:tcPr>
            <w:tcW w:w="260" w:type="dxa"/>
            <w:vAlign w:val="bottom"/>
            <w:tcBorders>
              <w:bottom w:val="single" w:sz="8" w:color="838383"/>
            </w:tcBorders>
          </w:tcPr>
          <w:p>
            <w:pPr>
              <w:spacing w:after="0"/>
              <w:rPr>
                <w:sz w:val="24"/>
                <w:szCs w:val="24"/>
                <w:color w:val="auto"/>
              </w:rPr>
            </w:pPr>
          </w:p>
        </w:tc>
        <w:tc>
          <w:tcPr>
            <w:tcW w:w="1820" w:type="dxa"/>
            <w:vAlign w:val="bottom"/>
            <w:tcBorders>
              <w:bottom w:val="single" w:sz="8" w:color="838383"/>
            </w:tcBorders>
          </w:tcPr>
          <w:p>
            <w:pPr>
              <w:spacing w:after="0"/>
              <w:rPr>
                <w:sz w:val="24"/>
                <w:szCs w:val="24"/>
                <w:color w:val="auto"/>
              </w:rPr>
            </w:pPr>
          </w:p>
        </w:tc>
        <w:tc>
          <w:tcPr>
            <w:tcW w:w="28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spacing w:after="0"/>
              <w:rPr>
                <w:sz w:val="24"/>
                <w:szCs w:val="24"/>
                <w:color w:val="auto"/>
              </w:rPr>
            </w:pPr>
          </w:p>
        </w:tc>
        <w:tc>
          <w:tcPr>
            <w:tcW w:w="36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spacing w:after="0"/>
              <w:rPr>
                <w:sz w:val="24"/>
                <w:szCs w:val="24"/>
                <w:color w:val="auto"/>
              </w:rPr>
            </w:pPr>
          </w:p>
        </w:tc>
        <w:tc>
          <w:tcPr>
            <w:tcW w:w="200" w:type="dxa"/>
            <w:vAlign w:val="bottom"/>
            <w:tcBorders>
              <w:bottom w:val="single" w:sz="8" w:color="838383"/>
            </w:tcBorders>
          </w:tcPr>
          <w:p>
            <w:pPr>
              <w:spacing w:after="0"/>
              <w:rPr>
                <w:sz w:val="24"/>
                <w:szCs w:val="24"/>
                <w:color w:val="auto"/>
              </w:rPr>
            </w:pPr>
          </w:p>
        </w:tc>
        <w:tc>
          <w:tcPr>
            <w:tcW w:w="1600" w:type="dxa"/>
            <w:vAlign w:val="bottom"/>
            <w:tcBorders>
              <w:bottom w:val="single" w:sz="8" w:color="838383"/>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52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Certificate of Deposit</w:t>
            </w:r>
          </w:p>
        </w:tc>
        <w:tc>
          <w:tcPr>
            <w:tcW w:w="260" w:type="dxa"/>
            <w:vAlign w:val="bottom"/>
            <w:tcBorders>
              <w:bottom w:val="single" w:sz="8" w:color="838383"/>
            </w:tcBorders>
          </w:tcPr>
          <w:p>
            <w:pPr>
              <w:spacing w:after="0"/>
              <w:rPr>
                <w:sz w:val="24"/>
                <w:szCs w:val="24"/>
                <w:color w:val="auto"/>
              </w:rPr>
            </w:pPr>
          </w:p>
        </w:tc>
        <w:tc>
          <w:tcPr>
            <w:tcW w:w="18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1,736,163</w:t>
            </w:r>
          </w:p>
        </w:tc>
        <w:tc>
          <w:tcPr>
            <w:tcW w:w="28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1,736,163</w:t>
            </w:r>
          </w:p>
        </w:tc>
        <w:tc>
          <w:tcPr>
            <w:tcW w:w="36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00" w:type="dxa"/>
            <w:vAlign w:val="bottom"/>
            <w:tcBorders>
              <w:bottom w:val="single" w:sz="8" w:color="838383"/>
            </w:tcBorders>
          </w:tcPr>
          <w:p>
            <w:pPr>
              <w:spacing w:after="0"/>
              <w:rPr>
                <w:sz w:val="24"/>
                <w:szCs w:val="24"/>
                <w:color w:val="auto"/>
              </w:rPr>
            </w:pPr>
          </w:p>
        </w:tc>
        <w:tc>
          <w:tcPr>
            <w:tcW w:w="16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252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Corporate Bonds</w:t>
            </w:r>
          </w:p>
        </w:tc>
        <w:tc>
          <w:tcPr>
            <w:tcW w:w="260" w:type="dxa"/>
            <w:vAlign w:val="bottom"/>
            <w:tcBorders>
              <w:bottom w:val="single" w:sz="8" w:color="838383"/>
            </w:tcBorders>
          </w:tcPr>
          <w:p>
            <w:pPr>
              <w:spacing w:after="0"/>
              <w:rPr>
                <w:sz w:val="24"/>
                <w:szCs w:val="24"/>
                <w:color w:val="auto"/>
              </w:rPr>
            </w:pPr>
          </w:p>
        </w:tc>
        <w:tc>
          <w:tcPr>
            <w:tcW w:w="18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5,473,341</w:t>
            </w:r>
          </w:p>
        </w:tc>
        <w:tc>
          <w:tcPr>
            <w:tcW w:w="28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36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5,473,341</w:t>
            </w:r>
          </w:p>
        </w:tc>
        <w:tc>
          <w:tcPr>
            <w:tcW w:w="200" w:type="dxa"/>
            <w:vAlign w:val="bottom"/>
            <w:tcBorders>
              <w:bottom w:val="single" w:sz="8" w:color="838383"/>
            </w:tcBorders>
          </w:tcPr>
          <w:p>
            <w:pPr>
              <w:spacing w:after="0"/>
              <w:rPr>
                <w:sz w:val="24"/>
                <w:szCs w:val="24"/>
                <w:color w:val="auto"/>
              </w:rPr>
            </w:pPr>
          </w:p>
        </w:tc>
        <w:tc>
          <w:tcPr>
            <w:tcW w:w="16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252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Government Securities</w:t>
            </w:r>
          </w:p>
        </w:tc>
        <w:tc>
          <w:tcPr>
            <w:tcW w:w="260" w:type="dxa"/>
            <w:vAlign w:val="bottom"/>
            <w:tcBorders>
              <w:bottom w:val="single" w:sz="8" w:color="838383"/>
            </w:tcBorders>
          </w:tcPr>
          <w:p>
            <w:pPr>
              <w:spacing w:after="0"/>
              <w:rPr>
                <w:sz w:val="24"/>
                <w:szCs w:val="24"/>
                <w:color w:val="auto"/>
              </w:rPr>
            </w:pPr>
          </w:p>
        </w:tc>
        <w:tc>
          <w:tcPr>
            <w:tcW w:w="18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4,423,041</w:t>
            </w:r>
          </w:p>
        </w:tc>
        <w:tc>
          <w:tcPr>
            <w:tcW w:w="28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36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4,423,041</w:t>
            </w:r>
          </w:p>
        </w:tc>
        <w:tc>
          <w:tcPr>
            <w:tcW w:w="200" w:type="dxa"/>
            <w:vAlign w:val="bottom"/>
            <w:tcBorders>
              <w:bottom w:val="single" w:sz="8" w:color="838383"/>
            </w:tcBorders>
          </w:tcPr>
          <w:p>
            <w:pPr>
              <w:spacing w:after="0"/>
              <w:rPr>
                <w:sz w:val="24"/>
                <w:szCs w:val="24"/>
                <w:color w:val="auto"/>
              </w:rPr>
            </w:pPr>
          </w:p>
        </w:tc>
        <w:tc>
          <w:tcPr>
            <w:tcW w:w="16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252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Municipal Bonds</w:t>
            </w:r>
          </w:p>
        </w:tc>
        <w:tc>
          <w:tcPr>
            <w:tcW w:w="260" w:type="dxa"/>
            <w:vAlign w:val="bottom"/>
            <w:tcBorders>
              <w:bottom w:val="single" w:sz="8" w:color="838383"/>
            </w:tcBorders>
          </w:tcPr>
          <w:p>
            <w:pPr>
              <w:spacing w:after="0"/>
              <w:rPr>
                <w:sz w:val="24"/>
                <w:szCs w:val="24"/>
                <w:color w:val="auto"/>
              </w:rPr>
            </w:pPr>
          </w:p>
        </w:tc>
        <w:tc>
          <w:tcPr>
            <w:tcW w:w="18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5,174,773</w:t>
            </w:r>
          </w:p>
        </w:tc>
        <w:tc>
          <w:tcPr>
            <w:tcW w:w="28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36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5,174,773</w:t>
            </w:r>
          </w:p>
        </w:tc>
        <w:tc>
          <w:tcPr>
            <w:tcW w:w="200" w:type="dxa"/>
            <w:vAlign w:val="bottom"/>
            <w:tcBorders>
              <w:bottom w:val="single" w:sz="8" w:color="838383"/>
            </w:tcBorders>
          </w:tcPr>
          <w:p>
            <w:pPr>
              <w:spacing w:after="0"/>
              <w:rPr>
                <w:sz w:val="24"/>
                <w:szCs w:val="24"/>
                <w:color w:val="auto"/>
              </w:rPr>
            </w:pPr>
          </w:p>
        </w:tc>
        <w:tc>
          <w:tcPr>
            <w:tcW w:w="16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252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Other</w:t>
            </w:r>
          </w:p>
        </w:tc>
        <w:tc>
          <w:tcPr>
            <w:tcW w:w="260" w:type="dxa"/>
            <w:vAlign w:val="bottom"/>
            <w:tcBorders>
              <w:bottom w:val="single" w:sz="8" w:color="838383"/>
            </w:tcBorders>
          </w:tcPr>
          <w:p>
            <w:pPr>
              <w:spacing w:after="0"/>
              <w:rPr>
                <w:sz w:val="24"/>
                <w:szCs w:val="24"/>
                <w:color w:val="auto"/>
              </w:rPr>
            </w:pPr>
          </w:p>
        </w:tc>
        <w:tc>
          <w:tcPr>
            <w:tcW w:w="18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2,347,602</w:t>
            </w:r>
          </w:p>
        </w:tc>
        <w:tc>
          <w:tcPr>
            <w:tcW w:w="28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1,093,602</w:t>
            </w:r>
          </w:p>
        </w:tc>
        <w:tc>
          <w:tcPr>
            <w:tcW w:w="36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1,254,000</w:t>
            </w:r>
          </w:p>
        </w:tc>
        <w:tc>
          <w:tcPr>
            <w:tcW w:w="200" w:type="dxa"/>
            <w:vAlign w:val="bottom"/>
            <w:tcBorders>
              <w:bottom w:val="single" w:sz="8" w:color="838383"/>
            </w:tcBorders>
          </w:tcPr>
          <w:p>
            <w:pPr>
              <w:spacing w:after="0"/>
              <w:rPr>
                <w:sz w:val="24"/>
                <w:szCs w:val="24"/>
                <w:color w:val="auto"/>
              </w:rPr>
            </w:pPr>
          </w:p>
        </w:tc>
        <w:tc>
          <w:tcPr>
            <w:tcW w:w="16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25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Long-Term Investments:</w:t>
            </w:r>
          </w:p>
        </w:tc>
        <w:tc>
          <w:tcPr>
            <w:tcW w:w="260" w:type="dxa"/>
            <w:vAlign w:val="bottom"/>
            <w:tcBorders>
              <w:bottom w:val="single" w:sz="8" w:color="838383"/>
            </w:tcBorders>
          </w:tcPr>
          <w:p>
            <w:pPr>
              <w:spacing w:after="0"/>
              <w:rPr>
                <w:sz w:val="24"/>
                <w:szCs w:val="24"/>
                <w:color w:val="auto"/>
              </w:rPr>
            </w:pPr>
          </w:p>
        </w:tc>
        <w:tc>
          <w:tcPr>
            <w:tcW w:w="1820" w:type="dxa"/>
            <w:vAlign w:val="bottom"/>
            <w:tcBorders>
              <w:bottom w:val="single" w:sz="8" w:color="838383"/>
            </w:tcBorders>
          </w:tcPr>
          <w:p>
            <w:pPr>
              <w:spacing w:after="0"/>
              <w:rPr>
                <w:sz w:val="24"/>
                <w:szCs w:val="24"/>
                <w:color w:val="auto"/>
              </w:rPr>
            </w:pPr>
          </w:p>
        </w:tc>
        <w:tc>
          <w:tcPr>
            <w:tcW w:w="28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spacing w:after="0"/>
              <w:rPr>
                <w:sz w:val="24"/>
                <w:szCs w:val="24"/>
                <w:color w:val="auto"/>
              </w:rPr>
            </w:pPr>
          </w:p>
        </w:tc>
        <w:tc>
          <w:tcPr>
            <w:tcW w:w="36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spacing w:after="0"/>
              <w:rPr>
                <w:sz w:val="24"/>
                <w:szCs w:val="24"/>
                <w:color w:val="auto"/>
              </w:rPr>
            </w:pPr>
          </w:p>
        </w:tc>
        <w:tc>
          <w:tcPr>
            <w:tcW w:w="200" w:type="dxa"/>
            <w:vAlign w:val="bottom"/>
            <w:tcBorders>
              <w:bottom w:val="single" w:sz="8" w:color="838383"/>
            </w:tcBorders>
          </w:tcPr>
          <w:p>
            <w:pPr>
              <w:spacing w:after="0"/>
              <w:rPr>
                <w:sz w:val="24"/>
                <w:szCs w:val="24"/>
                <w:color w:val="auto"/>
              </w:rPr>
            </w:pPr>
          </w:p>
        </w:tc>
        <w:tc>
          <w:tcPr>
            <w:tcW w:w="1600" w:type="dxa"/>
            <w:vAlign w:val="bottom"/>
            <w:tcBorders>
              <w:bottom w:val="single" w:sz="8" w:color="838383"/>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52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Asset-backed Securities</w:t>
            </w:r>
          </w:p>
        </w:tc>
        <w:tc>
          <w:tcPr>
            <w:tcW w:w="260" w:type="dxa"/>
            <w:vAlign w:val="bottom"/>
            <w:tcBorders>
              <w:bottom w:val="single" w:sz="8" w:color="838383"/>
            </w:tcBorders>
          </w:tcPr>
          <w:p>
            <w:pPr>
              <w:spacing w:after="0"/>
              <w:rPr>
                <w:sz w:val="24"/>
                <w:szCs w:val="24"/>
                <w:color w:val="auto"/>
              </w:rPr>
            </w:pPr>
          </w:p>
        </w:tc>
        <w:tc>
          <w:tcPr>
            <w:tcW w:w="18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18,829,696</w:t>
            </w:r>
          </w:p>
        </w:tc>
        <w:tc>
          <w:tcPr>
            <w:tcW w:w="28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36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18,829,696</w:t>
            </w:r>
          </w:p>
        </w:tc>
        <w:tc>
          <w:tcPr>
            <w:tcW w:w="200" w:type="dxa"/>
            <w:vAlign w:val="bottom"/>
            <w:tcBorders>
              <w:bottom w:val="single" w:sz="8" w:color="838383"/>
            </w:tcBorders>
          </w:tcPr>
          <w:p>
            <w:pPr>
              <w:spacing w:after="0"/>
              <w:rPr>
                <w:sz w:val="24"/>
                <w:szCs w:val="24"/>
                <w:color w:val="auto"/>
              </w:rPr>
            </w:pPr>
          </w:p>
        </w:tc>
        <w:tc>
          <w:tcPr>
            <w:tcW w:w="16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252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Certificate of Deposit</w:t>
            </w:r>
          </w:p>
        </w:tc>
        <w:tc>
          <w:tcPr>
            <w:tcW w:w="260" w:type="dxa"/>
            <w:vAlign w:val="bottom"/>
            <w:tcBorders>
              <w:bottom w:val="single" w:sz="8" w:color="838383"/>
            </w:tcBorders>
          </w:tcPr>
          <w:p>
            <w:pPr>
              <w:spacing w:after="0"/>
              <w:rPr>
                <w:sz w:val="24"/>
                <w:szCs w:val="24"/>
                <w:color w:val="auto"/>
              </w:rPr>
            </w:pPr>
          </w:p>
        </w:tc>
        <w:tc>
          <w:tcPr>
            <w:tcW w:w="18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238,925</w:t>
            </w:r>
          </w:p>
        </w:tc>
        <w:tc>
          <w:tcPr>
            <w:tcW w:w="28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238,925</w:t>
            </w:r>
          </w:p>
        </w:tc>
        <w:tc>
          <w:tcPr>
            <w:tcW w:w="36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00" w:type="dxa"/>
            <w:vAlign w:val="bottom"/>
            <w:tcBorders>
              <w:bottom w:val="single" w:sz="8" w:color="838383"/>
            </w:tcBorders>
          </w:tcPr>
          <w:p>
            <w:pPr>
              <w:spacing w:after="0"/>
              <w:rPr>
                <w:sz w:val="24"/>
                <w:szCs w:val="24"/>
                <w:color w:val="auto"/>
              </w:rPr>
            </w:pPr>
          </w:p>
        </w:tc>
        <w:tc>
          <w:tcPr>
            <w:tcW w:w="16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252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Corporate Bonds</w:t>
            </w:r>
          </w:p>
        </w:tc>
        <w:tc>
          <w:tcPr>
            <w:tcW w:w="260" w:type="dxa"/>
            <w:vAlign w:val="bottom"/>
            <w:tcBorders>
              <w:bottom w:val="single" w:sz="8" w:color="838383"/>
            </w:tcBorders>
          </w:tcPr>
          <w:p>
            <w:pPr>
              <w:spacing w:after="0"/>
              <w:rPr>
                <w:sz w:val="24"/>
                <w:szCs w:val="24"/>
                <w:color w:val="auto"/>
              </w:rPr>
            </w:pPr>
          </w:p>
        </w:tc>
        <w:tc>
          <w:tcPr>
            <w:tcW w:w="18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36,310,477</w:t>
            </w:r>
          </w:p>
        </w:tc>
        <w:tc>
          <w:tcPr>
            <w:tcW w:w="28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36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36,310,477</w:t>
            </w:r>
          </w:p>
        </w:tc>
        <w:tc>
          <w:tcPr>
            <w:tcW w:w="200" w:type="dxa"/>
            <w:vAlign w:val="bottom"/>
            <w:tcBorders>
              <w:bottom w:val="single" w:sz="8" w:color="838383"/>
            </w:tcBorders>
          </w:tcPr>
          <w:p>
            <w:pPr>
              <w:spacing w:after="0"/>
              <w:rPr>
                <w:sz w:val="24"/>
                <w:szCs w:val="24"/>
                <w:color w:val="auto"/>
              </w:rPr>
            </w:pPr>
          </w:p>
        </w:tc>
        <w:tc>
          <w:tcPr>
            <w:tcW w:w="16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252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Government Securities</w:t>
            </w:r>
          </w:p>
        </w:tc>
        <w:tc>
          <w:tcPr>
            <w:tcW w:w="260" w:type="dxa"/>
            <w:vAlign w:val="bottom"/>
            <w:tcBorders>
              <w:bottom w:val="single" w:sz="8" w:color="838383"/>
            </w:tcBorders>
          </w:tcPr>
          <w:p>
            <w:pPr>
              <w:spacing w:after="0"/>
              <w:rPr>
                <w:sz w:val="24"/>
                <w:szCs w:val="24"/>
                <w:color w:val="auto"/>
              </w:rPr>
            </w:pPr>
          </w:p>
        </w:tc>
        <w:tc>
          <w:tcPr>
            <w:tcW w:w="18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36,532,634</w:t>
            </w:r>
          </w:p>
        </w:tc>
        <w:tc>
          <w:tcPr>
            <w:tcW w:w="28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36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36,532,634</w:t>
            </w:r>
          </w:p>
        </w:tc>
        <w:tc>
          <w:tcPr>
            <w:tcW w:w="200" w:type="dxa"/>
            <w:vAlign w:val="bottom"/>
            <w:tcBorders>
              <w:bottom w:val="single" w:sz="8" w:color="838383"/>
            </w:tcBorders>
          </w:tcPr>
          <w:p>
            <w:pPr>
              <w:spacing w:after="0"/>
              <w:rPr>
                <w:sz w:val="24"/>
                <w:szCs w:val="24"/>
                <w:color w:val="auto"/>
              </w:rPr>
            </w:pPr>
          </w:p>
        </w:tc>
        <w:tc>
          <w:tcPr>
            <w:tcW w:w="16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252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Municipal Bonds</w:t>
            </w:r>
          </w:p>
        </w:tc>
        <w:tc>
          <w:tcPr>
            <w:tcW w:w="260" w:type="dxa"/>
            <w:vAlign w:val="bottom"/>
            <w:tcBorders>
              <w:bottom w:val="single" w:sz="8" w:color="838383"/>
            </w:tcBorders>
          </w:tcPr>
          <w:p>
            <w:pPr>
              <w:spacing w:after="0"/>
              <w:rPr>
                <w:sz w:val="24"/>
                <w:szCs w:val="24"/>
                <w:color w:val="auto"/>
              </w:rPr>
            </w:pPr>
          </w:p>
        </w:tc>
        <w:tc>
          <w:tcPr>
            <w:tcW w:w="18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48,430,166</w:t>
            </w:r>
          </w:p>
        </w:tc>
        <w:tc>
          <w:tcPr>
            <w:tcW w:w="28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360" w:type="dxa"/>
            <w:vAlign w:val="bottom"/>
            <w:tcBorders>
              <w:bottom w:val="single" w:sz="8" w:color="838383"/>
            </w:tcBorders>
          </w:tcPr>
          <w:p>
            <w:pPr>
              <w:spacing w:after="0"/>
              <w:rPr>
                <w:sz w:val="24"/>
                <w:szCs w:val="24"/>
                <w:color w:val="auto"/>
              </w:rPr>
            </w:pPr>
          </w:p>
        </w:tc>
        <w:tc>
          <w:tcPr>
            <w:tcW w:w="17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48,430,166</w:t>
            </w:r>
          </w:p>
        </w:tc>
        <w:tc>
          <w:tcPr>
            <w:tcW w:w="200" w:type="dxa"/>
            <w:vAlign w:val="bottom"/>
            <w:tcBorders>
              <w:bottom w:val="single" w:sz="8" w:color="838383"/>
            </w:tcBorders>
          </w:tcPr>
          <w:p>
            <w:pPr>
              <w:spacing w:after="0"/>
              <w:rPr>
                <w:sz w:val="24"/>
                <w:szCs w:val="24"/>
                <w:color w:val="auto"/>
              </w:rPr>
            </w:pPr>
          </w:p>
        </w:tc>
        <w:tc>
          <w:tcPr>
            <w:tcW w:w="16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55"/>
        </w:trPr>
        <w:tc>
          <w:tcPr>
            <w:tcW w:w="252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Common Stock</w:t>
            </w:r>
          </w:p>
        </w:tc>
        <w:tc>
          <w:tcPr>
            <w:tcW w:w="260" w:type="dxa"/>
            <w:vAlign w:val="bottom"/>
            <w:tcBorders>
              <w:bottom w:val="single" w:sz="8" w:color="8F8F8F"/>
            </w:tcBorders>
          </w:tcPr>
          <w:p>
            <w:pPr>
              <w:spacing w:after="0"/>
              <w:rPr>
                <w:sz w:val="24"/>
                <w:szCs w:val="24"/>
                <w:color w:val="auto"/>
              </w:rPr>
            </w:pPr>
          </w:p>
        </w:tc>
        <w:tc>
          <w:tcPr>
            <w:tcW w:w="1820" w:type="dxa"/>
            <w:vAlign w:val="bottom"/>
            <w:tcBorders>
              <w:bottom w:val="single" w:sz="8" w:color="8F8F8F"/>
            </w:tcBorders>
          </w:tcPr>
          <w:p>
            <w:pPr>
              <w:jc w:val="right"/>
              <w:ind w:right="90"/>
              <w:spacing w:after="0"/>
              <w:rPr>
                <w:sz w:val="20"/>
                <w:szCs w:val="20"/>
                <w:color w:val="auto"/>
              </w:rPr>
            </w:pPr>
            <w:r>
              <w:rPr>
                <w:rFonts w:ascii="Times New Roman" w:cs="Times New Roman" w:eastAsia="Times New Roman" w:hAnsi="Times New Roman"/>
                <w:sz w:val="18"/>
                <w:szCs w:val="18"/>
                <w:color w:val="262626"/>
              </w:rPr>
              <w:t>293,300</w:t>
            </w:r>
          </w:p>
        </w:tc>
        <w:tc>
          <w:tcPr>
            <w:tcW w:w="280" w:type="dxa"/>
            <w:vAlign w:val="bottom"/>
            <w:tcBorders>
              <w:bottom w:val="single" w:sz="8" w:color="8F8F8F"/>
            </w:tcBorders>
          </w:tcPr>
          <w:p>
            <w:pPr>
              <w:spacing w:after="0"/>
              <w:rPr>
                <w:sz w:val="24"/>
                <w:szCs w:val="24"/>
                <w:color w:val="auto"/>
              </w:rPr>
            </w:pPr>
          </w:p>
        </w:tc>
        <w:tc>
          <w:tcPr>
            <w:tcW w:w="170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293,300</w:t>
            </w:r>
          </w:p>
        </w:tc>
        <w:tc>
          <w:tcPr>
            <w:tcW w:w="360" w:type="dxa"/>
            <w:vAlign w:val="bottom"/>
            <w:tcBorders>
              <w:bottom w:val="single" w:sz="8" w:color="8F8F8F"/>
            </w:tcBorders>
          </w:tcPr>
          <w:p>
            <w:pPr>
              <w:spacing w:after="0"/>
              <w:rPr>
                <w:sz w:val="24"/>
                <w:szCs w:val="24"/>
                <w:color w:val="auto"/>
              </w:rPr>
            </w:pPr>
          </w:p>
        </w:tc>
        <w:tc>
          <w:tcPr>
            <w:tcW w:w="17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00" w:type="dxa"/>
            <w:vAlign w:val="bottom"/>
            <w:tcBorders>
              <w:bottom w:val="single" w:sz="8" w:color="8F8F8F"/>
            </w:tcBorders>
          </w:tcPr>
          <w:p>
            <w:pPr>
              <w:spacing w:after="0"/>
              <w:rPr>
                <w:sz w:val="24"/>
                <w:szCs w:val="24"/>
                <w:color w:val="auto"/>
              </w:rPr>
            </w:pPr>
          </w:p>
        </w:tc>
        <w:tc>
          <w:tcPr>
            <w:tcW w:w="16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30"/>
        </w:trPr>
        <w:tc>
          <w:tcPr>
            <w:tcW w:w="25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Total</w:t>
            </w:r>
          </w:p>
        </w:tc>
        <w:tc>
          <w:tcPr>
            <w:tcW w:w="260" w:type="dxa"/>
            <w:vAlign w:val="bottom"/>
            <w:tcBorders>
              <w:bottom w:val="single" w:sz="8" w:color="8F8F8F"/>
            </w:tcBorders>
          </w:tcPr>
          <w:p>
            <w:pPr>
              <w:jc w:val="right"/>
              <w:ind w:right="70"/>
              <w:spacing w:after="0"/>
              <w:rPr>
                <w:sz w:val="20"/>
                <w:szCs w:val="20"/>
                <w:color w:val="auto"/>
              </w:rPr>
            </w:pPr>
            <w:r>
              <w:rPr>
                <w:rFonts w:ascii="Times New Roman" w:cs="Times New Roman" w:eastAsia="Times New Roman" w:hAnsi="Times New Roman"/>
                <w:sz w:val="18"/>
                <w:szCs w:val="18"/>
                <w:color w:val="262626"/>
                <w:w w:val="88"/>
              </w:rPr>
              <w:t>$</w:t>
            </w:r>
          </w:p>
        </w:tc>
        <w:tc>
          <w:tcPr>
            <w:tcW w:w="1820" w:type="dxa"/>
            <w:vAlign w:val="bottom"/>
            <w:tcBorders>
              <w:bottom w:val="single" w:sz="8" w:color="8F8F8F"/>
            </w:tcBorders>
          </w:tcPr>
          <w:p>
            <w:pPr>
              <w:jc w:val="right"/>
              <w:ind w:right="90"/>
              <w:spacing w:after="0"/>
              <w:rPr>
                <w:sz w:val="20"/>
                <w:szCs w:val="20"/>
                <w:color w:val="auto"/>
              </w:rPr>
            </w:pPr>
            <w:r>
              <w:rPr>
                <w:rFonts w:ascii="Times New Roman" w:cs="Times New Roman" w:eastAsia="Times New Roman" w:hAnsi="Times New Roman"/>
                <w:sz w:val="18"/>
                <w:szCs w:val="18"/>
                <w:color w:val="262626"/>
              </w:rPr>
              <w:t>378,544,756</w:t>
            </w:r>
          </w:p>
        </w:tc>
        <w:tc>
          <w:tcPr>
            <w:tcW w:w="280" w:type="dxa"/>
            <w:vAlign w:val="bottom"/>
            <w:tcBorders>
              <w:bottom w:val="single" w:sz="8" w:color="8F8F8F"/>
            </w:tcBorders>
          </w:tcPr>
          <w:p>
            <w:pPr>
              <w:jc w:val="right"/>
              <w:ind w:right="70"/>
              <w:spacing w:after="0"/>
              <w:rPr>
                <w:sz w:val="20"/>
                <w:szCs w:val="20"/>
                <w:color w:val="auto"/>
              </w:rPr>
            </w:pPr>
            <w:r>
              <w:rPr>
                <w:rFonts w:ascii="Times New Roman" w:cs="Times New Roman" w:eastAsia="Times New Roman" w:hAnsi="Times New Roman"/>
                <w:sz w:val="18"/>
                <w:szCs w:val="18"/>
                <w:color w:val="262626"/>
              </w:rPr>
              <w:t>$</w:t>
            </w:r>
          </w:p>
        </w:tc>
        <w:tc>
          <w:tcPr>
            <w:tcW w:w="170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222,116,628</w:t>
            </w:r>
          </w:p>
        </w:tc>
        <w:tc>
          <w:tcPr>
            <w:tcW w:w="360" w:type="dxa"/>
            <w:vAlign w:val="bottom"/>
            <w:tcBorders>
              <w:bottom w:val="single" w:sz="8" w:color="8F8F8F"/>
            </w:tcBorders>
          </w:tcPr>
          <w:p>
            <w:pPr>
              <w:jc w:val="right"/>
              <w:ind w:right="90"/>
              <w:spacing w:after="0"/>
              <w:rPr>
                <w:sz w:val="20"/>
                <w:szCs w:val="20"/>
                <w:color w:val="auto"/>
              </w:rPr>
            </w:pPr>
            <w:r>
              <w:rPr>
                <w:rFonts w:ascii="Times New Roman" w:cs="Times New Roman" w:eastAsia="Times New Roman" w:hAnsi="Times New Roman"/>
                <w:sz w:val="18"/>
                <w:szCs w:val="18"/>
                <w:color w:val="262626"/>
              </w:rPr>
              <w:t>$</w:t>
            </w:r>
          </w:p>
        </w:tc>
        <w:tc>
          <w:tcPr>
            <w:tcW w:w="17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156,428,128</w:t>
            </w:r>
          </w:p>
        </w:tc>
        <w:tc>
          <w:tcPr>
            <w:tcW w:w="2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6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580" w:top="144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66</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60"/>
          </w:cols>
          <w:pgMar w:left="580" w:top="1440" w:right="900" w:bottom="0" w:gutter="0" w:footer="0" w:header="0"/>
          <w:type w:val="continuous"/>
        </w:sectPr>
      </w:pPr>
    </w:p>
    <w:bookmarkStart w:id="66" w:name="page67"/>
    <w:bookmarkEnd w:id="66"/>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The amortized cost, unrealized gains and losses, and market value of investment securities are shown as of December 31, 2022 and 2021:</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838383"/>
            </w:tcBorders>
          </w:tcPr>
          <w:p>
            <w:pPr>
              <w:spacing w:after="0"/>
              <w:rPr>
                <w:sz w:val="24"/>
                <w:szCs w:val="24"/>
                <w:color w:val="auto"/>
              </w:rPr>
            </w:pPr>
          </w:p>
        </w:tc>
        <w:tc>
          <w:tcPr>
            <w:tcW w:w="5780" w:type="dxa"/>
            <w:vAlign w:val="bottom"/>
            <w:tcBorders>
              <w:bottom w:val="single" w:sz="8" w:color="838383"/>
            </w:tcBorders>
            <w:gridSpan w:val="4"/>
          </w:tcPr>
          <w:p>
            <w:pPr>
              <w:jc w:val="right"/>
              <w:ind w:right="1010"/>
              <w:spacing w:after="0"/>
              <w:rPr>
                <w:sz w:val="20"/>
                <w:szCs w:val="20"/>
                <w:color w:val="auto"/>
              </w:rPr>
            </w:pPr>
            <w:r>
              <w:rPr>
                <w:rFonts w:ascii="Arial" w:cs="Arial" w:eastAsia="Arial" w:hAnsi="Arial"/>
                <w:sz w:val="18"/>
                <w:szCs w:val="18"/>
                <w:b w:val="1"/>
                <w:bCs w:val="1"/>
                <w:color w:val="262626"/>
              </w:rPr>
              <w:t>Fair Value Measurements at Reporting Date Using</w:t>
            </w:r>
          </w:p>
        </w:tc>
        <w:tc>
          <w:tcPr>
            <w:tcW w:w="0" w:type="dxa"/>
            <w:vAlign w:val="bottom"/>
          </w:tcPr>
          <w:p>
            <w:pPr>
              <w:spacing w:after="0"/>
              <w:rPr>
                <w:sz w:val="1"/>
                <w:szCs w:val="1"/>
                <w:color w:val="auto"/>
              </w:rPr>
            </w:pPr>
          </w:p>
        </w:tc>
      </w:tr>
      <w:tr>
        <w:trPr>
          <w:trHeight w:val="287"/>
        </w:trPr>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b w:val="1"/>
                <w:bCs w:val="1"/>
                <w:color w:val="262626"/>
              </w:rPr>
              <w:t>QuotedPricesin</w:t>
            </w:r>
          </w:p>
        </w:tc>
        <w:tc>
          <w:tcPr>
            <w:tcW w:w="380" w:type="dxa"/>
            <w:vAlign w:val="bottom"/>
          </w:tcPr>
          <w:p>
            <w:pPr>
              <w:spacing w:after="0"/>
              <w:rPr>
                <w:sz w:val="24"/>
                <w:szCs w:val="24"/>
                <w:color w:val="auto"/>
              </w:rPr>
            </w:pPr>
          </w:p>
        </w:tc>
        <w:tc>
          <w:tcPr>
            <w:tcW w:w="20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262626"/>
              </w:rPr>
              <w:t>SignificantOther</w:t>
            </w:r>
          </w:p>
        </w:tc>
        <w:tc>
          <w:tcPr>
            <w:tcW w:w="168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Significant</w:t>
            </w:r>
          </w:p>
        </w:tc>
        <w:tc>
          <w:tcPr>
            <w:tcW w:w="0" w:type="dxa"/>
            <w:vAlign w:val="bottom"/>
          </w:tcPr>
          <w:p>
            <w:pPr>
              <w:spacing w:after="0"/>
              <w:rPr>
                <w:sz w:val="1"/>
                <w:szCs w:val="1"/>
                <w:color w:val="auto"/>
              </w:rPr>
            </w:pPr>
          </w:p>
        </w:tc>
      </w:tr>
      <w:tr>
        <w:trPr>
          <w:trHeight w:val="240"/>
        </w:trPr>
        <w:tc>
          <w:tcPr>
            <w:tcW w:w="2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262626"/>
              </w:rPr>
              <w:t>Active Markets</w:t>
            </w:r>
          </w:p>
        </w:tc>
        <w:tc>
          <w:tcPr>
            <w:tcW w:w="380" w:type="dxa"/>
            <w:vAlign w:val="bottom"/>
          </w:tcPr>
          <w:p>
            <w:pPr>
              <w:spacing w:after="0"/>
              <w:rPr>
                <w:sz w:val="20"/>
                <w:szCs w:val="20"/>
                <w:color w:val="auto"/>
              </w:rPr>
            </w:pPr>
          </w:p>
        </w:tc>
        <w:tc>
          <w:tcPr>
            <w:tcW w:w="2000" w:type="dxa"/>
            <w:vAlign w:val="bottom"/>
            <w:vMerge w:val="continue"/>
          </w:tcPr>
          <w:p>
            <w:pPr>
              <w:spacing w:after="0"/>
              <w:rPr>
                <w:sz w:val="20"/>
                <w:szCs w:val="20"/>
                <w:color w:val="auto"/>
              </w:rPr>
            </w:pPr>
          </w:p>
        </w:tc>
        <w:tc>
          <w:tcPr>
            <w:tcW w:w="1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262626"/>
              </w:rPr>
              <w:t>Total as of</w:t>
            </w:r>
          </w:p>
        </w:tc>
        <w:tc>
          <w:tcPr>
            <w:tcW w:w="80" w:type="dxa"/>
            <w:vAlign w:val="bottom"/>
          </w:tcPr>
          <w:p>
            <w:pPr>
              <w:spacing w:after="0"/>
              <w:rPr>
                <w:sz w:val="22"/>
                <w:szCs w:val="22"/>
                <w:color w:val="auto"/>
              </w:rPr>
            </w:pPr>
          </w:p>
        </w:tc>
        <w:tc>
          <w:tcPr>
            <w:tcW w:w="260" w:type="dxa"/>
            <w:vAlign w:val="bottom"/>
            <w:tcBorders>
              <w:bottom w:val="single" w:sz="8" w:color="838383"/>
            </w:tcBorders>
          </w:tcPr>
          <w:p>
            <w:pPr>
              <w:spacing w:after="0"/>
              <w:rPr>
                <w:sz w:val="22"/>
                <w:szCs w:val="22"/>
                <w:color w:val="auto"/>
              </w:rPr>
            </w:pPr>
          </w:p>
        </w:tc>
        <w:tc>
          <w:tcPr>
            <w:tcW w:w="1720" w:type="dxa"/>
            <w:vAlign w:val="bottom"/>
            <w:tcBorders>
              <w:bottom w:val="single" w:sz="8" w:color="838383"/>
            </w:tcBorders>
          </w:tcPr>
          <w:p>
            <w:pPr>
              <w:jc w:val="right"/>
              <w:spacing w:after="0"/>
              <w:rPr>
                <w:sz w:val="20"/>
                <w:szCs w:val="20"/>
                <w:color w:val="auto"/>
              </w:rPr>
            </w:pPr>
            <w:r>
              <w:rPr>
                <w:rFonts w:ascii="Arial" w:cs="Arial" w:eastAsia="Arial" w:hAnsi="Arial"/>
                <w:sz w:val="18"/>
                <w:szCs w:val="18"/>
                <w:b w:val="1"/>
                <w:bCs w:val="1"/>
                <w:color w:val="262626"/>
                <w:w w:val="97"/>
              </w:rPr>
              <w:t>for Identical Assets</w:t>
            </w:r>
          </w:p>
        </w:tc>
        <w:tc>
          <w:tcPr>
            <w:tcW w:w="380" w:type="dxa"/>
            <w:vAlign w:val="bottom"/>
            <w:tcBorders>
              <w:bottom w:val="single" w:sz="8" w:color="838383"/>
            </w:tcBorders>
          </w:tcPr>
          <w:p>
            <w:pPr>
              <w:spacing w:after="0"/>
              <w:rPr>
                <w:sz w:val="22"/>
                <w:szCs w:val="22"/>
                <w:color w:val="auto"/>
              </w:rPr>
            </w:pPr>
          </w:p>
        </w:tc>
        <w:tc>
          <w:tcPr>
            <w:tcW w:w="2000" w:type="dxa"/>
            <w:vAlign w:val="bottom"/>
            <w:tcBorders>
              <w:bottom w:val="single" w:sz="8" w:color="838383"/>
            </w:tcBorders>
          </w:tcPr>
          <w:p>
            <w:pPr>
              <w:jc w:val="right"/>
              <w:ind w:right="310"/>
              <w:spacing w:after="0"/>
              <w:rPr>
                <w:sz w:val="20"/>
                <w:szCs w:val="20"/>
                <w:color w:val="auto"/>
              </w:rPr>
            </w:pPr>
            <w:r>
              <w:rPr>
                <w:rFonts w:ascii="Arial" w:cs="Arial" w:eastAsia="Arial" w:hAnsi="Arial"/>
                <w:sz w:val="18"/>
                <w:szCs w:val="18"/>
                <w:b w:val="1"/>
                <w:bCs w:val="1"/>
                <w:color w:val="262626"/>
              </w:rPr>
              <w:t>Observable Inputs</w:t>
            </w:r>
          </w:p>
        </w:tc>
        <w:tc>
          <w:tcPr>
            <w:tcW w:w="1680" w:type="dxa"/>
            <w:vAlign w:val="bottom"/>
            <w:tcBorders>
              <w:bottom w:val="single" w:sz="8" w:color="838383"/>
            </w:tcBorders>
          </w:tcPr>
          <w:p>
            <w:pPr>
              <w:jc w:val="right"/>
              <w:spacing w:after="0"/>
              <w:rPr>
                <w:sz w:val="20"/>
                <w:szCs w:val="20"/>
                <w:color w:val="auto"/>
              </w:rPr>
            </w:pPr>
            <w:r>
              <w:rPr>
                <w:rFonts w:ascii="Arial" w:cs="Arial" w:eastAsia="Arial" w:hAnsi="Arial"/>
                <w:sz w:val="18"/>
                <w:szCs w:val="18"/>
                <w:b w:val="1"/>
                <w:bCs w:val="1"/>
                <w:color w:val="262626"/>
                <w:w w:val="93"/>
              </w:rPr>
              <w:t>Unobservable Inputs</w:t>
            </w:r>
          </w:p>
        </w:tc>
        <w:tc>
          <w:tcPr>
            <w:tcW w:w="0" w:type="dxa"/>
            <w:vAlign w:val="bottom"/>
          </w:tcPr>
          <w:p>
            <w:pPr>
              <w:spacing w:after="0"/>
              <w:rPr>
                <w:sz w:val="1"/>
                <w:szCs w:val="1"/>
                <w:color w:val="auto"/>
              </w:rPr>
            </w:pPr>
          </w:p>
        </w:tc>
      </w:tr>
      <w:tr>
        <w:trPr>
          <w:trHeight w:val="257"/>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262626"/>
              </w:rPr>
              <w:t>Description</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(Level I)</w:t>
            </w:r>
          </w:p>
        </w:tc>
        <w:tc>
          <w:tcPr>
            <w:tcW w:w="380" w:type="dxa"/>
            <w:vAlign w:val="bottom"/>
          </w:tcPr>
          <w:p>
            <w:pPr>
              <w:spacing w:after="0"/>
              <w:rPr>
                <w:sz w:val="22"/>
                <w:szCs w:val="22"/>
                <w:color w:val="auto"/>
              </w:rPr>
            </w:pPr>
          </w:p>
        </w:tc>
        <w:tc>
          <w:tcPr>
            <w:tcW w:w="20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262626"/>
              </w:rPr>
              <w:t>(Level 2)</w:t>
            </w:r>
          </w:p>
        </w:tc>
        <w:tc>
          <w:tcPr>
            <w:tcW w:w="168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(Level 3)</w:t>
            </w:r>
          </w:p>
        </w:tc>
        <w:tc>
          <w:tcPr>
            <w:tcW w:w="0" w:type="dxa"/>
            <w:vAlign w:val="bottom"/>
          </w:tcPr>
          <w:p>
            <w:pPr>
              <w:spacing w:after="0"/>
              <w:rPr>
                <w:sz w:val="1"/>
                <w:szCs w:val="1"/>
                <w:color w:val="auto"/>
              </w:rPr>
            </w:pPr>
          </w:p>
        </w:tc>
      </w:tr>
      <w:tr>
        <w:trPr>
          <w:trHeight w:val="302"/>
        </w:trPr>
        <w:tc>
          <w:tcPr>
            <w:tcW w:w="2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262626"/>
                <w:w w:val="98"/>
              </w:rPr>
              <w:t>December 31, 2021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2360" w:type="dxa"/>
            <w:vAlign w:val="bottom"/>
            <w:tcBorders>
              <w:bottom w:val="single" w:sz="8" w:color="838383"/>
            </w:tcBorders>
          </w:tcPr>
          <w:p>
            <w:pPr>
              <w:spacing w:after="0"/>
              <w:rPr>
                <w:sz w:val="4"/>
                <w:szCs w:val="4"/>
                <w:color w:val="auto"/>
              </w:rPr>
            </w:pPr>
          </w:p>
        </w:tc>
        <w:tc>
          <w:tcPr>
            <w:tcW w:w="20" w:type="dxa"/>
            <w:vAlign w:val="bottom"/>
            <w:tcBorders>
              <w:bottom w:val="single" w:sz="8" w:color="838383"/>
            </w:tcBorders>
          </w:tcPr>
          <w:p>
            <w:pPr>
              <w:spacing w:after="0"/>
              <w:rPr>
                <w:sz w:val="4"/>
                <w:szCs w:val="4"/>
                <w:color w:val="auto"/>
              </w:rPr>
            </w:pPr>
          </w:p>
        </w:tc>
        <w:tc>
          <w:tcPr>
            <w:tcW w:w="240" w:type="dxa"/>
            <w:vAlign w:val="bottom"/>
            <w:tcBorders>
              <w:bottom w:val="single" w:sz="8" w:color="838383"/>
            </w:tcBorders>
          </w:tcPr>
          <w:p>
            <w:pPr>
              <w:spacing w:after="0"/>
              <w:rPr>
                <w:sz w:val="4"/>
                <w:szCs w:val="4"/>
                <w:color w:val="auto"/>
              </w:rPr>
            </w:pPr>
          </w:p>
        </w:tc>
        <w:tc>
          <w:tcPr>
            <w:tcW w:w="1720" w:type="dxa"/>
            <w:vAlign w:val="bottom"/>
            <w:tcBorders>
              <w:bottom w:val="single" w:sz="8" w:color="838383"/>
            </w:tcBorders>
          </w:tcPr>
          <w:p>
            <w:pPr>
              <w:spacing w:after="0"/>
              <w:rPr>
                <w:sz w:val="4"/>
                <w:szCs w:val="4"/>
                <w:color w:val="auto"/>
              </w:rPr>
            </w:pPr>
          </w:p>
        </w:tc>
        <w:tc>
          <w:tcPr>
            <w:tcW w:w="340" w:type="dxa"/>
            <w:vAlign w:val="bottom"/>
            <w:tcBorders>
              <w:bottom w:val="single" w:sz="8" w:color="838383"/>
            </w:tcBorders>
            <w:gridSpan w:val="2"/>
          </w:tcPr>
          <w:p>
            <w:pPr>
              <w:spacing w:after="0"/>
              <w:rPr>
                <w:sz w:val="4"/>
                <w:szCs w:val="4"/>
                <w:color w:val="auto"/>
              </w:rPr>
            </w:pPr>
          </w:p>
        </w:tc>
        <w:tc>
          <w:tcPr>
            <w:tcW w:w="1720" w:type="dxa"/>
            <w:vAlign w:val="bottom"/>
            <w:tcBorders>
              <w:bottom w:val="single" w:sz="8" w:color="838383"/>
            </w:tcBorders>
          </w:tcPr>
          <w:p>
            <w:pPr>
              <w:spacing w:after="0"/>
              <w:rPr>
                <w:sz w:val="4"/>
                <w:szCs w:val="4"/>
                <w:color w:val="auto"/>
              </w:rPr>
            </w:pPr>
          </w:p>
        </w:tc>
        <w:tc>
          <w:tcPr>
            <w:tcW w:w="380" w:type="dxa"/>
            <w:vAlign w:val="bottom"/>
            <w:tcBorders>
              <w:bottom w:val="single" w:sz="8" w:color="838383"/>
            </w:tcBorders>
          </w:tcPr>
          <w:p>
            <w:pPr>
              <w:spacing w:after="0"/>
              <w:rPr>
                <w:sz w:val="4"/>
                <w:szCs w:val="4"/>
                <w:color w:val="auto"/>
              </w:rPr>
            </w:pPr>
          </w:p>
        </w:tc>
        <w:tc>
          <w:tcPr>
            <w:tcW w:w="2000" w:type="dxa"/>
            <w:vAlign w:val="bottom"/>
            <w:tcBorders>
              <w:bottom w:val="single" w:sz="8" w:color="838383"/>
            </w:tcBorders>
          </w:tcPr>
          <w:p>
            <w:pPr>
              <w:spacing w:after="0"/>
              <w:rPr>
                <w:sz w:val="4"/>
                <w:szCs w:val="4"/>
                <w:color w:val="auto"/>
              </w:rPr>
            </w:pPr>
          </w:p>
        </w:tc>
        <w:tc>
          <w:tcPr>
            <w:tcW w:w="1680" w:type="dxa"/>
            <w:vAlign w:val="bottom"/>
            <w:tcBorders>
              <w:bottom w:val="single" w:sz="8" w:color="838383"/>
            </w:tcBorders>
          </w:tcPr>
          <w:p>
            <w:pPr>
              <w:spacing w:after="0"/>
              <w:rPr>
                <w:sz w:val="4"/>
                <w:szCs w:val="4"/>
                <w:color w:val="auto"/>
              </w:rPr>
            </w:pPr>
          </w:p>
        </w:tc>
        <w:tc>
          <w:tcPr>
            <w:tcW w:w="0" w:type="dxa"/>
            <w:vAlign w:val="bottom"/>
          </w:tcPr>
          <w:p>
            <w:pPr>
              <w:spacing w:after="0"/>
              <w:rPr>
                <w:sz w:val="1"/>
                <w:szCs w:val="1"/>
                <w:color w:val="auto"/>
              </w:rPr>
            </w:pPr>
          </w:p>
        </w:tc>
      </w:tr>
      <w:tr>
        <w:trPr>
          <w:trHeight w:val="340"/>
        </w:trPr>
        <w:tc>
          <w:tcPr>
            <w:tcW w:w="23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Cash &amp; Cash Equivalents</w:t>
            </w:r>
          </w:p>
        </w:tc>
        <w:tc>
          <w:tcPr>
            <w:tcW w:w="260" w:type="dxa"/>
            <w:vAlign w:val="bottom"/>
            <w:tcBorders>
              <w:bottom w:val="single" w:sz="8" w:color="838383"/>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262626"/>
                <w:w w:val="70"/>
              </w:rPr>
              <w:t>$</w:t>
            </w:r>
          </w:p>
        </w:tc>
        <w:tc>
          <w:tcPr>
            <w:tcW w:w="17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262,311,670</w:t>
            </w:r>
          </w:p>
        </w:tc>
        <w:tc>
          <w:tcPr>
            <w:tcW w:w="340" w:type="dxa"/>
            <w:vAlign w:val="bottom"/>
            <w:tcBorders>
              <w:bottom w:val="single" w:sz="8" w:color="838383"/>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262626"/>
              </w:rPr>
              <w:t>$</w:t>
            </w:r>
          </w:p>
        </w:tc>
        <w:tc>
          <w:tcPr>
            <w:tcW w:w="17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262,311,670</w:t>
            </w:r>
          </w:p>
        </w:tc>
        <w:tc>
          <w:tcPr>
            <w:tcW w:w="380" w:type="dxa"/>
            <w:vAlign w:val="bottom"/>
            <w:tcBorders>
              <w:bottom w:val="single" w:sz="8" w:color="838383"/>
            </w:tcBorders>
          </w:tcPr>
          <w:p>
            <w:pPr>
              <w:jc w:val="right"/>
              <w:ind w:right="110"/>
              <w:spacing w:after="0"/>
              <w:rPr>
                <w:sz w:val="20"/>
                <w:szCs w:val="20"/>
                <w:color w:val="auto"/>
              </w:rPr>
            </w:pPr>
            <w:r>
              <w:rPr>
                <w:rFonts w:ascii="Times New Roman" w:cs="Times New Roman" w:eastAsia="Times New Roman" w:hAnsi="Times New Roman"/>
                <w:sz w:val="18"/>
                <w:szCs w:val="18"/>
                <w:color w:val="262626"/>
              </w:rPr>
              <w:t>$</w:t>
            </w:r>
          </w:p>
        </w:tc>
        <w:tc>
          <w:tcPr>
            <w:tcW w:w="200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  $</w:t>
            </w:r>
          </w:p>
        </w:tc>
        <w:tc>
          <w:tcPr>
            <w:tcW w:w="16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23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Short-Term Investments:</w:t>
            </w:r>
          </w:p>
        </w:tc>
        <w:tc>
          <w:tcPr>
            <w:tcW w:w="20" w:type="dxa"/>
            <w:vAlign w:val="bottom"/>
            <w:tcBorders>
              <w:bottom w:val="single" w:sz="8" w:color="838383"/>
            </w:tcBorders>
          </w:tcPr>
          <w:p>
            <w:pPr>
              <w:spacing w:after="0"/>
              <w:rPr>
                <w:sz w:val="24"/>
                <w:szCs w:val="24"/>
                <w:color w:val="auto"/>
              </w:rPr>
            </w:pPr>
          </w:p>
        </w:tc>
        <w:tc>
          <w:tcPr>
            <w:tcW w:w="24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spacing w:after="0"/>
              <w:rPr>
                <w:sz w:val="24"/>
                <w:szCs w:val="24"/>
                <w:color w:val="auto"/>
              </w:rPr>
            </w:pPr>
          </w:p>
        </w:tc>
        <w:tc>
          <w:tcPr>
            <w:tcW w:w="80" w:type="dxa"/>
            <w:vAlign w:val="bottom"/>
            <w:tcBorders>
              <w:bottom w:val="single" w:sz="8" w:color="838383"/>
            </w:tcBorders>
          </w:tcPr>
          <w:p>
            <w:pPr>
              <w:spacing w:after="0"/>
              <w:rPr>
                <w:sz w:val="24"/>
                <w:szCs w:val="24"/>
                <w:color w:val="auto"/>
              </w:rPr>
            </w:pPr>
          </w:p>
        </w:tc>
        <w:tc>
          <w:tcPr>
            <w:tcW w:w="26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spacing w:after="0"/>
              <w:rPr>
                <w:sz w:val="24"/>
                <w:szCs w:val="24"/>
                <w:color w:val="auto"/>
              </w:rPr>
            </w:pPr>
          </w:p>
        </w:tc>
        <w:tc>
          <w:tcPr>
            <w:tcW w:w="380" w:type="dxa"/>
            <w:vAlign w:val="bottom"/>
            <w:tcBorders>
              <w:bottom w:val="single" w:sz="8" w:color="838383"/>
            </w:tcBorders>
          </w:tcPr>
          <w:p>
            <w:pPr>
              <w:spacing w:after="0"/>
              <w:rPr>
                <w:sz w:val="24"/>
                <w:szCs w:val="24"/>
                <w:color w:val="auto"/>
              </w:rPr>
            </w:pPr>
          </w:p>
        </w:tc>
        <w:tc>
          <w:tcPr>
            <w:tcW w:w="2000" w:type="dxa"/>
            <w:vAlign w:val="bottom"/>
            <w:tcBorders>
              <w:bottom w:val="single" w:sz="8" w:color="838383"/>
            </w:tcBorders>
          </w:tcPr>
          <w:p>
            <w:pPr>
              <w:spacing w:after="0"/>
              <w:rPr>
                <w:sz w:val="24"/>
                <w:szCs w:val="24"/>
                <w:color w:val="auto"/>
              </w:rPr>
            </w:pPr>
          </w:p>
        </w:tc>
        <w:tc>
          <w:tcPr>
            <w:tcW w:w="1680" w:type="dxa"/>
            <w:vAlign w:val="bottom"/>
            <w:tcBorders>
              <w:bottom w:val="single" w:sz="8" w:color="838383"/>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Certificate of Deposit</w:t>
            </w:r>
          </w:p>
        </w:tc>
        <w:tc>
          <w:tcPr>
            <w:tcW w:w="20" w:type="dxa"/>
            <w:vAlign w:val="bottom"/>
            <w:tcBorders>
              <w:bottom w:val="single" w:sz="8" w:color="838383"/>
            </w:tcBorders>
          </w:tcPr>
          <w:p>
            <w:pPr>
              <w:spacing w:after="0"/>
              <w:rPr>
                <w:sz w:val="24"/>
                <w:szCs w:val="24"/>
                <w:color w:val="auto"/>
              </w:rPr>
            </w:pPr>
          </w:p>
        </w:tc>
        <w:tc>
          <w:tcPr>
            <w:tcW w:w="24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1,507,770</w:t>
            </w:r>
          </w:p>
        </w:tc>
        <w:tc>
          <w:tcPr>
            <w:tcW w:w="80" w:type="dxa"/>
            <w:vAlign w:val="bottom"/>
            <w:tcBorders>
              <w:bottom w:val="single" w:sz="8" w:color="838383"/>
            </w:tcBorders>
          </w:tcPr>
          <w:p>
            <w:pPr>
              <w:spacing w:after="0"/>
              <w:rPr>
                <w:sz w:val="24"/>
                <w:szCs w:val="24"/>
                <w:color w:val="auto"/>
              </w:rPr>
            </w:pPr>
          </w:p>
        </w:tc>
        <w:tc>
          <w:tcPr>
            <w:tcW w:w="26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1,507,770</w:t>
            </w:r>
          </w:p>
        </w:tc>
        <w:tc>
          <w:tcPr>
            <w:tcW w:w="380" w:type="dxa"/>
            <w:vAlign w:val="bottom"/>
            <w:tcBorders>
              <w:bottom w:val="single" w:sz="8" w:color="838383"/>
            </w:tcBorders>
          </w:tcPr>
          <w:p>
            <w:pPr>
              <w:spacing w:after="0"/>
              <w:rPr>
                <w:sz w:val="24"/>
                <w:szCs w:val="24"/>
                <w:color w:val="auto"/>
              </w:rPr>
            </w:pPr>
          </w:p>
        </w:tc>
        <w:tc>
          <w:tcPr>
            <w:tcW w:w="200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6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Corporate Bonds</w:t>
            </w:r>
          </w:p>
        </w:tc>
        <w:tc>
          <w:tcPr>
            <w:tcW w:w="20" w:type="dxa"/>
            <w:vAlign w:val="bottom"/>
            <w:tcBorders>
              <w:bottom w:val="single" w:sz="8" w:color="838383"/>
            </w:tcBorders>
          </w:tcPr>
          <w:p>
            <w:pPr>
              <w:spacing w:after="0"/>
              <w:rPr>
                <w:sz w:val="24"/>
                <w:szCs w:val="24"/>
                <w:color w:val="auto"/>
              </w:rPr>
            </w:pPr>
          </w:p>
        </w:tc>
        <w:tc>
          <w:tcPr>
            <w:tcW w:w="24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2,018,440</w:t>
            </w:r>
          </w:p>
        </w:tc>
        <w:tc>
          <w:tcPr>
            <w:tcW w:w="80" w:type="dxa"/>
            <w:vAlign w:val="bottom"/>
            <w:tcBorders>
              <w:bottom w:val="single" w:sz="8" w:color="838383"/>
            </w:tcBorders>
          </w:tcPr>
          <w:p>
            <w:pPr>
              <w:spacing w:after="0"/>
              <w:rPr>
                <w:sz w:val="24"/>
                <w:szCs w:val="24"/>
                <w:color w:val="auto"/>
              </w:rPr>
            </w:pPr>
          </w:p>
        </w:tc>
        <w:tc>
          <w:tcPr>
            <w:tcW w:w="26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380" w:type="dxa"/>
            <w:vAlign w:val="bottom"/>
            <w:tcBorders>
              <w:bottom w:val="single" w:sz="8" w:color="838383"/>
            </w:tcBorders>
          </w:tcPr>
          <w:p>
            <w:pPr>
              <w:spacing w:after="0"/>
              <w:rPr>
                <w:sz w:val="24"/>
                <w:szCs w:val="24"/>
                <w:color w:val="auto"/>
              </w:rPr>
            </w:pPr>
          </w:p>
        </w:tc>
        <w:tc>
          <w:tcPr>
            <w:tcW w:w="200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2,018,440</w:t>
            </w:r>
          </w:p>
        </w:tc>
        <w:tc>
          <w:tcPr>
            <w:tcW w:w="16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Government Securities</w:t>
            </w:r>
          </w:p>
        </w:tc>
        <w:tc>
          <w:tcPr>
            <w:tcW w:w="20" w:type="dxa"/>
            <w:vAlign w:val="bottom"/>
            <w:tcBorders>
              <w:bottom w:val="single" w:sz="8" w:color="838383"/>
            </w:tcBorders>
          </w:tcPr>
          <w:p>
            <w:pPr>
              <w:spacing w:after="0"/>
              <w:rPr>
                <w:sz w:val="24"/>
                <w:szCs w:val="24"/>
                <w:color w:val="auto"/>
              </w:rPr>
            </w:pPr>
          </w:p>
        </w:tc>
        <w:tc>
          <w:tcPr>
            <w:tcW w:w="24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80" w:type="dxa"/>
            <w:vAlign w:val="bottom"/>
            <w:tcBorders>
              <w:bottom w:val="single" w:sz="8" w:color="838383"/>
            </w:tcBorders>
          </w:tcPr>
          <w:p>
            <w:pPr>
              <w:spacing w:after="0"/>
              <w:rPr>
                <w:sz w:val="24"/>
                <w:szCs w:val="24"/>
                <w:color w:val="auto"/>
              </w:rPr>
            </w:pPr>
          </w:p>
        </w:tc>
        <w:tc>
          <w:tcPr>
            <w:tcW w:w="26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380" w:type="dxa"/>
            <w:vAlign w:val="bottom"/>
            <w:tcBorders>
              <w:bottom w:val="single" w:sz="8" w:color="838383"/>
            </w:tcBorders>
          </w:tcPr>
          <w:p>
            <w:pPr>
              <w:spacing w:after="0"/>
              <w:rPr>
                <w:sz w:val="24"/>
                <w:szCs w:val="24"/>
                <w:color w:val="auto"/>
              </w:rPr>
            </w:pPr>
          </w:p>
        </w:tc>
        <w:tc>
          <w:tcPr>
            <w:tcW w:w="200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6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Municipal Bonds</w:t>
            </w:r>
          </w:p>
        </w:tc>
        <w:tc>
          <w:tcPr>
            <w:tcW w:w="20" w:type="dxa"/>
            <w:vAlign w:val="bottom"/>
            <w:tcBorders>
              <w:bottom w:val="single" w:sz="8" w:color="838383"/>
            </w:tcBorders>
          </w:tcPr>
          <w:p>
            <w:pPr>
              <w:spacing w:after="0"/>
              <w:rPr>
                <w:sz w:val="24"/>
                <w:szCs w:val="24"/>
                <w:color w:val="auto"/>
              </w:rPr>
            </w:pPr>
          </w:p>
        </w:tc>
        <w:tc>
          <w:tcPr>
            <w:tcW w:w="24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80" w:type="dxa"/>
            <w:vAlign w:val="bottom"/>
            <w:tcBorders>
              <w:bottom w:val="single" w:sz="8" w:color="838383"/>
            </w:tcBorders>
          </w:tcPr>
          <w:p>
            <w:pPr>
              <w:spacing w:after="0"/>
              <w:rPr>
                <w:sz w:val="24"/>
                <w:szCs w:val="24"/>
                <w:color w:val="auto"/>
              </w:rPr>
            </w:pPr>
          </w:p>
        </w:tc>
        <w:tc>
          <w:tcPr>
            <w:tcW w:w="26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380" w:type="dxa"/>
            <w:vAlign w:val="bottom"/>
            <w:tcBorders>
              <w:bottom w:val="single" w:sz="8" w:color="838383"/>
            </w:tcBorders>
          </w:tcPr>
          <w:p>
            <w:pPr>
              <w:spacing w:after="0"/>
              <w:rPr>
                <w:sz w:val="24"/>
                <w:szCs w:val="24"/>
                <w:color w:val="auto"/>
              </w:rPr>
            </w:pPr>
          </w:p>
        </w:tc>
        <w:tc>
          <w:tcPr>
            <w:tcW w:w="200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6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Other</w:t>
            </w:r>
          </w:p>
        </w:tc>
        <w:tc>
          <w:tcPr>
            <w:tcW w:w="20" w:type="dxa"/>
            <w:vAlign w:val="bottom"/>
            <w:tcBorders>
              <w:bottom w:val="single" w:sz="8" w:color="838383"/>
            </w:tcBorders>
          </w:tcPr>
          <w:p>
            <w:pPr>
              <w:spacing w:after="0"/>
              <w:rPr>
                <w:sz w:val="24"/>
                <w:szCs w:val="24"/>
                <w:color w:val="auto"/>
              </w:rPr>
            </w:pPr>
          </w:p>
        </w:tc>
        <w:tc>
          <w:tcPr>
            <w:tcW w:w="24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1,897,402</w:t>
            </w:r>
          </w:p>
        </w:tc>
        <w:tc>
          <w:tcPr>
            <w:tcW w:w="80" w:type="dxa"/>
            <w:vAlign w:val="bottom"/>
            <w:tcBorders>
              <w:bottom w:val="single" w:sz="8" w:color="838383"/>
            </w:tcBorders>
          </w:tcPr>
          <w:p>
            <w:pPr>
              <w:spacing w:after="0"/>
              <w:rPr>
                <w:sz w:val="24"/>
                <w:szCs w:val="24"/>
                <w:color w:val="auto"/>
              </w:rPr>
            </w:pPr>
          </w:p>
        </w:tc>
        <w:tc>
          <w:tcPr>
            <w:tcW w:w="26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1,897,402</w:t>
            </w:r>
          </w:p>
        </w:tc>
        <w:tc>
          <w:tcPr>
            <w:tcW w:w="380" w:type="dxa"/>
            <w:vAlign w:val="bottom"/>
            <w:tcBorders>
              <w:bottom w:val="single" w:sz="8" w:color="838383"/>
            </w:tcBorders>
          </w:tcPr>
          <w:p>
            <w:pPr>
              <w:spacing w:after="0"/>
              <w:rPr>
                <w:sz w:val="24"/>
                <w:szCs w:val="24"/>
                <w:color w:val="auto"/>
              </w:rPr>
            </w:pPr>
          </w:p>
        </w:tc>
        <w:tc>
          <w:tcPr>
            <w:tcW w:w="200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6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23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Long-Term Investments:</w:t>
            </w:r>
          </w:p>
        </w:tc>
        <w:tc>
          <w:tcPr>
            <w:tcW w:w="20" w:type="dxa"/>
            <w:vAlign w:val="bottom"/>
            <w:tcBorders>
              <w:bottom w:val="single" w:sz="8" w:color="838383"/>
            </w:tcBorders>
          </w:tcPr>
          <w:p>
            <w:pPr>
              <w:spacing w:after="0"/>
              <w:rPr>
                <w:sz w:val="24"/>
                <w:szCs w:val="24"/>
                <w:color w:val="auto"/>
              </w:rPr>
            </w:pPr>
          </w:p>
        </w:tc>
        <w:tc>
          <w:tcPr>
            <w:tcW w:w="24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spacing w:after="0"/>
              <w:rPr>
                <w:sz w:val="24"/>
                <w:szCs w:val="24"/>
                <w:color w:val="auto"/>
              </w:rPr>
            </w:pPr>
          </w:p>
        </w:tc>
        <w:tc>
          <w:tcPr>
            <w:tcW w:w="80" w:type="dxa"/>
            <w:vAlign w:val="bottom"/>
            <w:tcBorders>
              <w:bottom w:val="single" w:sz="8" w:color="838383"/>
            </w:tcBorders>
          </w:tcPr>
          <w:p>
            <w:pPr>
              <w:spacing w:after="0"/>
              <w:rPr>
                <w:sz w:val="24"/>
                <w:szCs w:val="24"/>
                <w:color w:val="auto"/>
              </w:rPr>
            </w:pPr>
          </w:p>
        </w:tc>
        <w:tc>
          <w:tcPr>
            <w:tcW w:w="26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spacing w:after="0"/>
              <w:rPr>
                <w:sz w:val="24"/>
                <w:szCs w:val="24"/>
                <w:color w:val="auto"/>
              </w:rPr>
            </w:pPr>
          </w:p>
        </w:tc>
        <w:tc>
          <w:tcPr>
            <w:tcW w:w="380" w:type="dxa"/>
            <w:vAlign w:val="bottom"/>
            <w:tcBorders>
              <w:bottom w:val="single" w:sz="8" w:color="838383"/>
            </w:tcBorders>
          </w:tcPr>
          <w:p>
            <w:pPr>
              <w:spacing w:after="0"/>
              <w:rPr>
                <w:sz w:val="24"/>
                <w:szCs w:val="24"/>
                <w:color w:val="auto"/>
              </w:rPr>
            </w:pPr>
          </w:p>
        </w:tc>
        <w:tc>
          <w:tcPr>
            <w:tcW w:w="2000" w:type="dxa"/>
            <w:vAlign w:val="bottom"/>
            <w:tcBorders>
              <w:bottom w:val="single" w:sz="8" w:color="838383"/>
            </w:tcBorders>
          </w:tcPr>
          <w:p>
            <w:pPr>
              <w:spacing w:after="0"/>
              <w:rPr>
                <w:sz w:val="24"/>
                <w:szCs w:val="24"/>
                <w:color w:val="auto"/>
              </w:rPr>
            </w:pPr>
          </w:p>
        </w:tc>
        <w:tc>
          <w:tcPr>
            <w:tcW w:w="1680" w:type="dxa"/>
            <w:vAlign w:val="bottom"/>
            <w:tcBorders>
              <w:bottom w:val="single" w:sz="8" w:color="838383"/>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Asset-backed Securities</w:t>
            </w:r>
          </w:p>
        </w:tc>
        <w:tc>
          <w:tcPr>
            <w:tcW w:w="20" w:type="dxa"/>
            <w:vAlign w:val="bottom"/>
            <w:tcBorders>
              <w:bottom w:val="single" w:sz="8" w:color="838383"/>
            </w:tcBorders>
          </w:tcPr>
          <w:p>
            <w:pPr>
              <w:spacing w:after="0"/>
              <w:rPr>
                <w:sz w:val="24"/>
                <w:szCs w:val="24"/>
                <w:color w:val="auto"/>
              </w:rPr>
            </w:pPr>
          </w:p>
        </w:tc>
        <w:tc>
          <w:tcPr>
            <w:tcW w:w="24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25,799,513</w:t>
            </w:r>
          </w:p>
        </w:tc>
        <w:tc>
          <w:tcPr>
            <w:tcW w:w="80" w:type="dxa"/>
            <w:vAlign w:val="bottom"/>
            <w:tcBorders>
              <w:bottom w:val="single" w:sz="8" w:color="838383"/>
            </w:tcBorders>
          </w:tcPr>
          <w:p>
            <w:pPr>
              <w:spacing w:after="0"/>
              <w:rPr>
                <w:sz w:val="24"/>
                <w:szCs w:val="24"/>
                <w:color w:val="auto"/>
              </w:rPr>
            </w:pPr>
          </w:p>
        </w:tc>
        <w:tc>
          <w:tcPr>
            <w:tcW w:w="26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380" w:type="dxa"/>
            <w:vAlign w:val="bottom"/>
            <w:tcBorders>
              <w:bottom w:val="single" w:sz="8" w:color="838383"/>
            </w:tcBorders>
          </w:tcPr>
          <w:p>
            <w:pPr>
              <w:spacing w:after="0"/>
              <w:rPr>
                <w:sz w:val="24"/>
                <w:szCs w:val="24"/>
                <w:color w:val="auto"/>
              </w:rPr>
            </w:pPr>
          </w:p>
        </w:tc>
        <w:tc>
          <w:tcPr>
            <w:tcW w:w="200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25,799,513</w:t>
            </w:r>
          </w:p>
        </w:tc>
        <w:tc>
          <w:tcPr>
            <w:tcW w:w="16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Certificate of Deposit</w:t>
            </w:r>
          </w:p>
        </w:tc>
        <w:tc>
          <w:tcPr>
            <w:tcW w:w="20" w:type="dxa"/>
            <w:vAlign w:val="bottom"/>
            <w:tcBorders>
              <w:bottom w:val="single" w:sz="8" w:color="838383"/>
            </w:tcBorders>
          </w:tcPr>
          <w:p>
            <w:pPr>
              <w:spacing w:after="0"/>
              <w:rPr>
                <w:sz w:val="24"/>
                <w:szCs w:val="24"/>
                <w:color w:val="auto"/>
              </w:rPr>
            </w:pPr>
          </w:p>
        </w:tc>
        <w:tc>
          <w:tcPr>
            <w:tcW w:w="24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2,056,710</w:t>
            </w:r>
          </w:p>
        </w:tc>
        <w:tc>
          <w:tcPr>
            <w:tcW w:w="80" w:type="dxa"/>
            <w:vAlign w:val="bottom"/>
            <w:tcBorders>
              <w:bottom w:val="single" w:sz="8" w:color="838383"/>
            </w:tcBorders>
          </w:tcPr>
          <w:p>
            <w:pPr>
              <w:spacing w:after="0"/>
              <w:rPr>
                <w:sz w:val="24"/>
                <w:szCs w:val="24"/>
                <w:color w:val="auto"/>
              </w:rPr>
            </w:pPr>
          </w:p>
        </w:tc>
        <w:tc>
          <w:tcPr>
            <w:tcW w:w="26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2,056,710</w:t>
            </w:r>
          </w:p>
        </w:tc>
        <w:tc>
          <w:tcPr>
            <w:tcW w:w="380" w:type="dxa"/>
            <w:vAlign w:val="bottom"/>
            <w:tcBorders>
              <w:bottom w:val="single" w:sz="8" w:color="838383"/>
            </w:tcBorders>
          </w:tcPr>
          <w:p>
            <w:pPr>
              <w:spacing w:after="0"/>
              <w:rPr>
                <w:sz w:val="24"/>
                <w:szCs w:val="24"/>
                <w:color w:val="auto"/>
              </w:rPr>
            </w:pPr>
          </w:p>
        </w:tc>
        <w:tc>
          <w:tcPr>
            <w:tcW w:w="200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6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Corporate Bonds</w:t>
            </w:r>
          </w:p>
        </w:tc>
        <w:tc>
          <w:tcPr>
            <w:tcW w:w="20" w:type="dxa"/>
            <w:vAlign w:val="bottom"/>
            <w:tcBorders>
              <w:bottom w:val="single" w:sz="8" w:color="838383"/>
            </w:tcBorders>
          </w:tcPr>
          <w:p>
            <w:pPr>
              <w:spacing w:after="0"/>
              <w:rPr>
                <w:sz w:val="24"/>
                <w:szCs w:val="24"/>
                <w:color w:val="auto"/>
              </w:rPr>
            </w:pPr>
          </w:p>
        </w:tc>
        <w:tc>
          <w:tcPr>
            <w:tcW w:w="24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40,354,929</w:t>
            </w:r>
          </w:p>
        </w:tc>
        <w:tc>
          <w:tcPr>
            <w:tcW w:w="80" w:type="dxa"/>
            <w:vAlign w:val="bottom"/>
            <w:tcBorders>
              <w:bottom w:val="single" w:sz="8" w:color="838383"/>
            </w:tcBorders>
          </w:tcPr>
          <w:p>
            <w:pPr>
              <w:spacing w:after="0"/>
              <w:rPr>
                <w:sz w:val="24"/>
                <w:szCs w:val="24"/>
                <w:color w:val="auto"/>
              </w:rPr>
            </w:pPr>
          </w:p>
        </w:tc>
        <w:tc>
          <w:tcPr>
            <w:tcW w:w="26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380" w:type="dxa"/>
            <w:vAlign w:val="bottom"/>
            <w:tcBorders>
              <w:bottom w:val="single" w:sz="8" w:color="838383"/>
            </w:tcBorders>
          </w:tcPr>
          <w:p>
            <w:pPr>
              <w:spacing w:after="0"/>
              <w:rPr>
                <w:sz w:val="24"/>
                <w:szCs w:val="24"/>
                <w:color w:val="auto"/>
              </w:rPr>
            </w:pPr>
          </w:p>
        </w:tc>
        <w:tc>
          <w:tcPr>
            <w:tcW w:w="200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40,354,929</w:t>
            </w:r>
          </w:p>
        </w:tc>
        <w:tc>
          <w:tcPr>
            <w:tcW w:w="16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Government Securities</w:t>
            </w:r>
          </w:p>
        </w:tc>
        <w:tc>
          <w:tcPr>
            <w:tcW w:w="20" w:type="dxa"/>
            <w:vAlign w:val="bottom"/>
            <w:tcBorders>
              <w:bottom w:val="single" w:sz="8" w:color="838383"/>
            </w:tcBorders>
          </w:tcPr>
          <w:p>
            <w:pPr>
              <w:spacing w:after="0"/>
              <w:rPr>
                <w:sz w:val="24"/>
                <w:szCs w:val="24"/>
                <w:color w:val="auto"/>
              </w:rPr>
            </w:pPr>
          </w:p>
        </w:tc>
        <w:tc>
          <w:tcPr>
            <w:tcW w:w="24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47,944,036</w:t>
            </w:r>
          </w:p>
        </w:tc>
        <w:tc>
          <w:tcPr>
            <w:tcW w:w="80" w:type="dxa"/>
            <w:vAlign w:val="bottom"/>
            <w:tcBorders>
              <w:bottom w:val="single" w:sz="8" w:color="838383"/>
            </w:tcBorders>
          </w:tcPr>
          <w:p>
            <w:pPr>
              <w:spacing w:after="0"/>
              <w:rPr>
                <w:sz w:val="24"/>
                <w:szCs w:val="24"/>
                <w:color w:val="auto"/>
              </w:rPr>
            </w:pPr>
          </w:p>
        </w:tc>
        <w:tc>
          <w:tcPr>
            <w:tcW w:w="260" w:type="dxa"/>
            <w:vAlign w:val="bottom"/>
            <w:tcBorders>
              <w:bottom w:val="single" w:sz="8" w:color="838383"/>
            </w:tcBorders>
          </w:tcPr>
          <w:p>
            <w:pPr>
              <w:spacing w:after="0"/>
              <w:rPr>
                <w:sz w:val="24"/>
                <w:szCs w:val="24"/>
                <w:color w:val="auto"/>
              </w:rPr>
            </w:pPr>
          </w:p>
        </w:tc>
        <w:tc>
          <w:tcPr>
            <w:tcW w:w="17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380" w:type="dxa"/>
            <w:vAlign w:val="bottom"/>
            <w:tcBorders>
              <w:bottom w:val="single" w:sz="8" w:color="838383"/>
            </w:tcBorders>
          </w:tcPr>
          <w:p>
            <w:pPr>
              <w:spacing w:after="0"/>
              <w:rPr>
                <w:sz w:val="24"/>
                <w:szCs w:val="24"/>
                <w:color w:val="auto"/>
              </w:rPr>
            </w:pPr>
          </w:p>
        </w:tc>
        <w:tc>
          <w:tcPr>
            <w:tcW w:w="200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47,944,036</w:t>
            </w:r>
          </w:p>
        </w:tc>
        <w:tc>
          <w:tcPr>
            <w:tcW w:w="16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55"/>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Municipal Bonds</w:t>
            </w:r>
          </w:p>
        </w:tc>
        <w:tc>
          <w:tcPr>
            <w:tcW w:w="20" w:type="dxa"/>
            <w:vAlign w:val="bottom"/>
            <w:tcBorders>
              <w:bottom w:val="single" w:sz="8" w:color="838383"/>
            </w:tcBorders>
          </w:tcPr>
          <w:p>
            <w:pPr>
              <w:spacing w:after="0"/>
              <w:rPr>
                <w:sz w:val="24"/>
                <w:szCs w:val="24"/>
                <w:color w:val="auto"/>
              </w:rPr>
            </w:pPr>
          </w:p>
        </w:tc>
        <w:tc>
          <w:tcPr>
            <w:tcW w:w="240" w:type="dxa"/>
            <w:vAlign w:val="bottom"/>
            <w:tcBorders>
              <w:bottom w:val="single" w:sz="8" w:color="8F8F8F"/>
            </w:tcBorders>
          </w:tcPr>
          <w:p>
            <w:pPr>
              <w:spacing w:after="0"/>
              <w:rPr>
                <w:sz w:val="24"/>
                <w:szCs w:val="24"/>
                <w:color w:val="auto"/>
              </w:rPr>
            </w:pPr>
          </w:p>
        </w:tc>
        <w:tc>
          <w:tcPr>
            <w:tcW w:w="172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74,720,480</w:t>
            </w:r>
          </w:p>
        </w:tc>
        <w:tc>
          <w:tcPr>
            <w:tcW w:w="80" w:type="dxa"/>
            <w:vAlign w:val="bottom"/>
            <w:tcBorders>
              <w:bottom w:val="single" w:sz="8" w:color="8F8F8F"/>
            </w:tcBorders>
          </w:tcPr>
          <w:p>
            <w:pPr>
              <w:spacing w:after="0"/>
              <w:rPr>
                <w:sz w:val="24"/>
                <w:szCs w:val="24"/>
                <w:color w:val="auto"/>
              </w:rPr>
            </w:pPr>
          </w:p>
        </w:tc>
        <w:tc>
          <w:tcPr>
            <w:tcW w:w="260" w:type="dxa"/>
            <w:vAlign w:val="bottom"/>
            <w:tcBorders>
              <w:bottom w:val="single" w:sz="8" w:color="8F8F8F"/>
            </w:tcBorders>
          </w:tcPr>
          <w:p>
            <w:pPr>
              <w:spacing w:after="0"/>
              <w:rPr>
                <w:sz w:val="24"/>
                <w:szCs w:val="24"/>
                <w:color w:val="auto"/>
              </w:rPr>
            </w:pPr>
          </w:p>
        </w:tc>
        <w:tc>
          <w:tcPr>
            <w:tcW w:w="172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380" w:type="dxa"/>
            <w:vAlign w:val="bottom"/>
            <w:tcBorders>
              <w:bottom w:val="single" w:sz="8" w:color="8F8F8F"/>
            </w:tcBorders>
          </w:tcPr>
          <w:p>
            <w:pPr>
              <w:spacing w:after="0"/>
              <w:rPr>
                <w:sz w:val="24"/>
                <w:szCs w:val="24"/>
                <w:color w:val="auto"/>
              </w:rPr>
            </w:pPr>
          </w:p>
        </w:tc>
        <w:tc>
          <w:tcPr>
            <w:tcW w:w="2000" w:type="dxa"/>
            <w:vAlign w:val="bottom"/>
            <w:tcBorders>
              <w:bottom w:val="single" w:sz="8" w:color="8F8F8F"/>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74,720,480</w:t>
            </w:r>
          </w:p>
        </w:tc>
        <w:tc>
          <w:tcPr>
            <w:tcW w:w="16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31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262626"/>
              </w:rPr>
              <w:t>Total</w:t>
            </w:r>
          </w:p>
        </w:tc>
        <w:tc>
          <w:tcPr>
            <w:tcW w:w="260" w:type="dxa"/>
            <w:vAlign w:val="bottom"/>
            <w:tcBorders>
              <w:bottom w:val="single" w:sz="8" w:color="8F8F8F"/>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262626"/>
                <w:w w:val="70"/>
              </w:rPr>
              <w:t>$</w:t>
            </w:r>
          </w:p>
        </w:tc>
        <w:tc>
          <w:tcPr>
            <w:tcW w:w="172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458,610,950</w:t>
            </w:r>
          </w:p>
        </w:tc>
        <w:tc>
          <w:tcPr>
            <w:tcW w:w="340" w:type="dxa"/>
            <w:vAlign w:val="bottom"/>
            <w:tcBorders>
              <w:bottom w:val="single" w:sz="8" w:color="8F8F8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262626"/>
              </w:rPr>
              <w:t>$</w:t>
            </w:r>
          </w:p>
        </w:tc>
        <w:tc>
          <w:tcPr>
            <w:tcW w:w="172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267,773,552</w:t>
            </w:r>
          </w:p>
        </w:tc>
        <w:tc>
          <w:tcPr>
            <w:tcW w:w="380" w:type="dxa"/>
            <w:vAlign w:val="bottom"/>
            <w:tcBorders>
              <w:bottom w:val="single" w:sz="8" w:color="8F8F8F"/>
            </w:tcBorders>
          </w:tcPr>
          <w:p>
            <w:pPr>
              <w:jc w:val="right"/>
              <w:ind w:right="110"/>
              <w:spacing w:after="0"/>
              <w:rPr>
                <w:sz w:val="20"/>
                <w:szCs w:val="20"/>
                <w:color w:val="auto"/>
              </w:rPr>
            </w:pPr>
            <w:r>
              <w:rPr>
                <w:rFonts w:ascii="Times New Roman" w:cs="Times New Roman" w:eastAsia="Times New Roman" w:hAnsi="Times New Roman"/>
                <w:sz w:val="18"/>
                <w:szCs w:val="18"/>
                <w:color w:val="262626"/>
              </w:rPr>
              <w:t>$</w:t>
            </w:r>
          </w:p>
        </w:tc>
        <w:tc>
          <w:tcPr>
            <w:tcW w:w="2000" w:type="dxa"/>
            <w:vAlign w:val="bottom"/>
            <w:tcBorders>
              <w:bottom w:val="single" w:sz="8" w:color="8F8F8F"/>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190,837,398</w:t>
            </w:r>
          </w:p>
        </w:tc>
        <w:tc>
          <w:tcPr>
            <w:tcW w:w="16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8F8F8F"/>
            </w:tcBorders>
          </w:tcPr>
          <w:p>
            <w:pPr>
              <w:spacing w:after="0" w:line="20" w:lineRule="exact"/>
              <w:rPr>
                <w:sz w:val="1"/>
                <w:szCs w:val="1"/>
                <w:color w:val="auto"/>
              </w:rPr>
            </w:pPr>
          </w:p>
        </w:tc>
        <w:tc>
          <w:tcPr>
            <w:tcW w:w="1720" w:type="dxa"/>
            <w:vAlign w:val="bottom"/>
            <w:tcBorders>
              <w:bottom w:val="single" w:sz="8" w:color="8F8F8F"/>
            </w:tcBorders>
          </w:tcPr>
          <w:p>
            <w:pPr>
              <w:spacing w:after="0" w:line="20" w:lineRule="exact"/>
              <w:rPr>
                <w:sz w:val="1"/>
                <w:szCs w:val="1"/>
                <w:color w:val="auto"/>
              </w:rPr>
            </w:pPr>
          </w:p>
        </w:tc>
        <w:tc>
          <w:tcPr>
            <w:tcW w:w="80" w:type="dxa"/>
            <w:vAlign w:val="bottom"/>
            <w:tcBorders>
              <w:bottom w:val="single" w:sz="8" w:color="8F8F8F"/>
            </w:tcBorders>
          </w:tcPr>
          <w:p>
            <w:pPr>
              <w:spacing w:after="0" w:line="20" w:lineRule="exact"/>
              <w:rPr>
                <w:sz w:val="1"/>
                <w:szCs w:val="1"/>
                <w:color w:val="auto"/>
              </w:rPr>
            </w:pPr>
          </w:p>
        </w:tc>
        <w:tc>
          <w:tcPr>
            <w:tcW w:w="260" w:type="dxa"/>
            <w:vAlign w:val="bottom"/>
            <w:tcBorders>
              <w:bottom w:val="single" w:sz="8" w:color="8F8F8F"/>
            </w:tcBorders>
          </w:tcPr>
          <w:p>
            <w:pPr>
              <w:spacing w:after="0" w:line="20" w:lineRule="exact"/>
              <w:rPr>
                <w:sz w:val="1"/>
                <w:szCs w:val="1"/>
                <w:color w:val="auto"/>
              </w:rPr>
            </w:pPr>
          </w:p>
        </w:tc>
        <w:tc>
          <w:tcPr>
            <w:tcW w:w="1720" w:type="dxa"/>
            <w:vAlign w:val="bottom"/>
            <w:tcBorders>
              <w:bottom w:val="single" w:sz="8" w:color="8F8F8F"/>
            </w:tcBorders>
          </w:tcPr>
          <w:p>
            <w:pPr>
              <w:spacing w:after="0" w:line="20" w:lineRule="exact"/>
              <w:rPr>
                <w:sz w:val="1"/>
                <w:szCs w:val="1"/>
                <w:color w:val="auto"/>
              </w:rPr>
            </w:pPr>
          </w:p>
        </w:tc>
        <w:tc>
          <w:tcPr>
            <w:tcW w:w="380" w:type="dxa"/>
            <w:vAlign w:val="bottom"/>
            <w:tcBorders>
              <w:bottom w:val="single" w:sz="8" w:color="8F8F8F"/>
            </w:tcBorders>
          </w:tcPr>
          <w:p>
            <w:pPr>
              <w:spacing w:after="0" w:line="20" w:lineRule="exact"/>
              <w:rPr>
                <w:sz w:val="1"/>
                <w:szCs w:val="1"/>
                <w:color w:val="auto"/>
              </w:rPr>
            </w:pPr>
          </w:p>
        </w:tc>
        <w:tc>
          <w:tcPr>
            <w:tcW w:w="2000" w:type="dxa"/>
            <w:vAlign w:val="bottom"/>
            <w:tcBorders>
              <w:bottom w:val="single" w:sz="8" w:color="8F8F8F"/>
            </w:tcBorders>
          </w:tcPr>
          <w:p>
            <w:pPr>
              <w:spacing w:after="0" w:line="20" w:lineRule="exact"/>
              <w:rPr>
                <w:sz w:val="1"/>
                <w:szCs w:val="1"/>
                <w:color w:val="auto"/>
              </w:rPr>
            </w:pPr>
          </w:p>
        </w:tc>
        <w:tc>
          <w:tcPr>
            <w:tcW w:w="1680" w:type="dxa"/>
            <w:vAlign w:val="bottom"/>
            <w:tcBorders>
              <w:bottom w:val="single" w:sz="8" w:color="8F8F8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900" w:top="144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67</w:t>
      </w:r>
    </w:p>
    <w:p>
      <w:pPr>
        <w:sectPr>
          <w:pgSz w:w="12240" w:h="15840" w:orient="portrait"/>
          <w:cols w:equalWidth="0" w:num="1">
            <w:col w:w="10760"/>
          </w:cols>
          <w:pgMar w:left="900" w:top="1440" w:right="580" w:bottom="0" w:gutter="0" w:footer="0" w:header="0"/>
          <w:type w:val="continuous"/>
        </w:sectPr>
      </w:pPr>
    </w:p>
    <w:bookmarkStart w:id="67" w:name="page68"/>
    <w:bookmarkEnd w:id="67"/>
    <w:tbl>
      <w:tblPr>
        <w:tblLayout w:type="fixed"/>
        <w:tblInd w:w="320" w:type="dxa"/>
        <w:tblCellMar>
          <w:top w:w="0" w:type="dxa"/>
          <w:left w:w="0" w:type="dxa"/>
          <w:bottom w:w="0" w:type="dxa"/>
          <w:right w:w="0" w:type="dxa"/>
        </w:tblCellMar>
      </w:tblPr>
      <w:tr>
        <w:trPr>
          <w:trHeight w:val="290"/>
        </w:trPr>
        <w:tc>
          <w:tcPr>
            <w:tcW w:w="2360" w:type="dxa"/>
            <w:vAlign w:val="bottom"/>
          </w:tcPr>
          <w:p>
            <w:pPr>
              <w:spacing w:after="0"/>
              <w:rPr>
                <w:sz w:val="24"/>
                <w:szCs w:val="24"/>
                <w:color w:val="auto"/>
              </w:rPr>
            </w:pP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spacing w:after="0"/>
              <w:rPr>
                <w:sz w:val="24"/>
                <w:szCs w:val="24"/>
                <w:color w:val="auto"/>
              </w:rPr>
            </w:pPr>
          </w:p>
        </w:tc>
        <w:tc>
          <w:tcPr>
            <w:tcW w:w="780" w:type="dxa"/>
            <w:vAlign w:val="bottom"/>
            <w:tcBorders>
              <w:bottom w:val="single" w:sz="8" w:color="838383"/>
            </w:tcBorders>
          </w:tcPr>
          <w:p>
            <w:pPr>
              <w:spacing w:after="0"/>
              <w:rPr>
                <w:sz w:val="24"/>
                <w:szCs w:val="24"/>
                <w:color w:val="auto"/>
              </w:rPr>
            </w:pPr>
          </w:p>
        </w:tc>
        <w:tc>
          <w:tcPr>
            <w:tcW w:w="2020" w:type="dxa"/>
            <w:vAlign w:val="bottom"/>
            <w:tcBorders>
              <w:bottom w:val="single" w:sz="8" w:color="838383"/>
            </w:tcBorders>
            <w:gridSpan w:val="2"/>
          </w:tcPr>
          <w:p>
            <w:pPr>
              <w:jc w:val="right"/>
              <w:ind w:right="230"/>
              <w:spacing w:after="0"/>
              <w:rPr>
                <w:sz w:val="20"/>
                <w:szCs w:val="20"/>
                <w:color w:val="auto"/>
              </w:rPr>
            </w:pPr>
            <w:r>
              <w:rPr>
                <w:rFonts w:ascii="Arial" w:cs="Arial" w:eastAsia="Arial" w:hAnsi="Arial"/>
                <w:sz w:val="18"/>
                <w:szCs w:val="18"/>
                <w:b w:val="1"/>
                <w:bCs w:val="1"/>
                <w:color w:val="262626"/>
              </w:rPr>
              <w:t>Unrealized</w:t>
            </w:r>
          </w:p>
        </w:tc>
        <w:tc>
          <w:tcPr>
            <w:tcW w:w="1340" w:type="dxa"/>
            <w:vAlign w:val="bottom"/>
            <w:tcBorders>
              <w:bottom w:val="single" w:sz="8" w:color="838383"/>
            </w:tcBorders>
          </w:tcPr>
          <w:p>
            <w:pPr>
              <w:spacing w:after="0"/>
              <w:rPr>
                <w:sz w:val="24"/>
                <w:szCs w:val="24"/>
                <w:color w:val="auto"/>
              </w:rPr>
            </w:pP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spacing w:after="0"/>
              <w:rPr>
                <w:sz w:val="24"/>
                <w:szCs w:val="24"/>
                <w:color w:val="auto"/>
              </w:rPr>
            </w:pPr>
          </w:p>
        </w:tc>
      </w:tr>
      <w:tr>
        <w:trPr>
          <w:trHeight w:val="340"/>
        </w:trPr>
        <w:tc>
          <w:tcPr>
            <w:tcW w:w="2360" w:type="dxa"/>
            <w:vAlign w:val="bottom"/>
            <w:tcBorders>
              <w:bottom w:val="single" w:sz="8" w:color="838383"/>
            </w:tcBorders>
          </w:tcPr>
          <w:p>
            <w:pPr>
              <w:spacing w:after="0"/>
              <w:rPr>
                <w:sz w:val="20"/>
                <w:szCs w:val="20"/>
                <w:color w:val="auto"/>
              </w:rPr>
            </w:pPr>
            <w:r>
              <w:rPr>
                <w:rFonts w:ascii="Arial" w:cs="Arial" w:eastAsia="Arial" w:hAnsi="Arial"/>
                <w:sz w:val="18"/>
                <w:szCs w:val="18"/>
                <w:b w:val="1"/>
                <w:bCs w:val="1"/>
                <w:color w:val="262626"/>
              </w:rPr>
              <w:t>2022</w:t>
            </w: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jc w:val="right"/>
              <w:ind w:right="10"/>
              <w:spacing w:after="0"/>
              <w:rPr>
                <w:sz w:val="20"/>
                <w:szCs w:val="20"/>
                <w:color w:val="auto"/>
              </w:rPr>
            </w:pPr>
            <w:r>
              <w:rPr>
                <w:rFonts w:ascii="Arial" w:cs="Arial" w:eastAsia="Arial" w:hAnsi="Arial"/>
                <w:sz w:val="18"/>
                <w:szCs w:val="18"/>
                <w:b w:val="1"/>
                <w:bCs w:val="1"/>
                <w:color w:val="262626"/>
              </w:rPr>
              <w:t>Cost</w:t>
            </w:r>
          </w:p>
        </w:tc>
        <w:tc>
          <w:tcPr>
            <w:tcW w:w="780" w:type="dxa"/>
            <w:vAlign w:val="bottom"/>
            <w:tcBorders>
              <w:bottom w:val="single" w:sz="8" w:color="838383"/>
            </w:tcBorders>
          </w:tcPr>
          <w:p>
            <w:pPr>
              <w:spacing w:after="0"/>
              <w:rPr>
                <w:sz w:val="24"/>
                <w:szCs w:val="24"/>
                <w:color w:val="auto"/>
              </w:rPr>
            </w:pPr>
          </w:p>
        </w:tc>
        <w:tc>
          <w:tcPr>
            <w:tcW w:w="1280" w:type="dxa"/>
            <w:vAlign w:val="bottom"/>
            <w:tcBorders>
              <w:bottom w:val="single" w:sz="8" w:color="838383"/>
            </w:tcBorders>
          </w:tcPr>
          <w:p>
            <w:pPr>
              <w:jc w:val="right"/>
              <w:spacing w:after="0"/>
              <w:rPr>
                <w:sz w:val="20"/>
                <w:szCs w:val="20"/>
                <w:color w:val="auto"/>
              </w:rPr>
            </w:pPr>
            <w:r>
              <w:rPr>
                <w:rFonts w:ascii="Arial" w:cs="Arial" w:eastAsia="Arial" w:hAnsi="Arial"/>
                <w:sz w:val="18"/>
                <w:szCs w:val="18"/>
                <w:b w:val="1"/>
                <w:bCs w:val="1"/>
                <w:color w:val="262626"/>
              </w:rPr>
              <w:t>Gains</w:t>
            </w:r>
          </w:p>
        </w:tc>
        <w:tc>
          <w:tcPr>
            <w:tcW w:w="740" w:type="dxa"/>
            <w:vAlign w:val="bottom"/>
            <w:tcBorders>
              <w:bottom w:val="single" w:sz="8" w:color="838383"/>
            </w:tcBorders>
          </w:tcPr>
          <w:p>
            <w:pPr>
              <w:spacing w:after="0"/>
              <w:rPr>
                <w:sz w:val="24"/>
                <w:szCs w:val="24"/>
                <w:color w:val="auto"/>
              </w:rPr>
            </w:pPr>
          </w:p>
        </w:tc>
        <w:tc>
          <w:tcPr>
            <w:tcW w:w="1340" w:type="dxa"/>
            <w:vAlign w:val="bottom"/>
            <w:tcBorders>
              <w:bottom w:val="single" w:sz="8" w:color="838383"/>
            </w:tcBorders>
          </w:tcPr>
          <w:p>
            <w:pPr>
              <w:jc w:val="right"/>
              <w:ind w:right="10"/>
              <w:spacing w:after="0"/>
              <w:rPr>
                <w:sz w:val="20"/>
                <w:szCs w:val="20"/>
                <w:color w:val="auto"/>
              </w:rPr>
            </w:pPr>
            <w:r>
              <w:rPr>
                <w:rFonts w:ascii="Arial" w:cs="Arial" w:eastAsia="Arial" w:hAnsi="Arial"/>
                <w:sz w:val="18"/>
                <w:szCs w:val="18"/>
                <w:b w:val="1"/>
                <w:bCs w:val="1"/>
                <w:color w:val="262626"/>
              </w:rPr>
              <w:t>Losses</w:t>
            </w: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jc w:val="right"/>
              <w:spacing w:after="0"/>
              <w:rPr>
                <w:sz w:val="20"/>
                <w:szCs w:val="20"/>
                <w:color w:val="auto"/>
              </w:rPr>
            </w:pPr>
            <w:r>
              <w:rPr>
                <w:rFonts w:ascii="Arial" w:cs="Arial" w:eastAsia="Arial" w:hAnsi="Arial"/>
                <w:sz w:val="18"/>
                <w:szCs w:val="18"/>
                <w:b w:val="1"/>
                <w:bCs w:val="1"/>
                <w:color w:val="262626"/>
              </w:rPr>
              <w:t>Market Value</w:t>
            </w:r>
          </w:p>
        </w:tc>
      </w:tr>
      <w:tr>
        <w:trPr>
          <w:trHeight w:val="340"/>
        </w:trPr>
        <w:tc>
          <w:tcPr>
            <w:tcW w:w="23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Short-Term Investments:</w:t>
            </w: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spacing w:after="0"/>
              <w:rPr>
                <w:sz w:val="24"/>
                <w:szCs w:val="24"/>
                <w:color w:val="auto"/>
              </w:rPr>
            </w:pPr>
          </w:p>
        </w:tc>
        <w:tc>
          <w:tcPr>
            <w:tcW w:w="780" w:type="dxa"/>
            <w:vAlign w:val="bottom"/>
            <w:tcBorders>
              <w:bottom w:val="single" w:sz="8" w:color="838383"/>
            </w:tcBorders>
          </w:tcPr>
          <w:p>
            <w:pPr>
              <w:spacing w:after="0"/>
              <w:rPr>
                <w:sz w:val="24"/>
                <w:szCs w:val="24"/>
                <w:color w:val="auto"/>
              </w:rPr>
            </w:pPr>
          </w:p>
        </w:tc>
        <w:tc>
          <w:tcPr>
            <w:tcW w:w="1280" w:type="dxa"/>
            <w:vAlign w:val="bottom"/>
            <w:tcBorders>
              <w:bottom w:val="single" w:sz="8" w:color="838383"/>
            </w:tcBorders>
          </w:tcPr>
          <w:p>
            <w:pPr>
              <w:spacing w:after="0"/>
              <w:rPr>
                <w:sz w:val="24"/>
                <w:szCs w:val="24"/>
                <w:color w:val="auto"/>
              </w:rPr>
            </w:pPr>
          </w:p>
        </w:tc>
        <w:tc>
          <w:tcPr>
            <w:tcW w:w="740" w:type="dxa"/>
            <w:vAlign w:val="bottom"/>
            <w:tcBorders>
              <w:bottom w:val="single" w:sz="8" w:color="838383"/>
            </w:tcBorders>
          </w:tcPr>
          <w:p>
            <w:pPr>
              <w:spacing w:after="0"/>
              <w:rPr>
                <w:sz w:val="24"/>
                <w:szCs w:val="24"/>
                <w:color w:val="auto"/>
              </w:rPr>
            </w:pPr>
          </w:p>
        </w:tc>
        <w:tc>
          <w:tcPr>
            <w:tcW w:w="1340" w:type="dxa"/>
            <w:vAlign w:val="bottom"/>
            <w:tcBorders>
              <w:bottom w:val="single" w:sz="8" w:color="838383"/>
            </w:tcBorders>
          </w:tcPr>
          <w:p>
            <w:pPr>
              <w:spacing w:after="0"/>
              <w:rPr>
                <w:sz w:val="24"/>
                <w:szCs w:val="24"/>
                <w:color w:val="auto"/>
              </w:rPr>
            </w:pP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spacing w:after="0"/>
              <w:rPr>
                <w:sz w:val="24"/>
                <w:szCs w:val="24"/>
                <w:color w:val="auto"/>
              </w:rPr>
            </w:pP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Certificate of Deposit</w:t>
            </w:r>
          </w:p>
        </w:tc>
        <w:tc>
          <w:tcPr>
            <w:tcW w:w="540" w:type="dxa"/>
            <w:vAlign w:val="bottom"/>
            <w:tcBorders>
              <w:bottom w:val="single" w:sz="8" w:color="838383"/>
            </w:tcBorders>
          </w:tcPr>
          <w:p>
            <w:pPr>
              <w:jc w:val="right"/>
              <w:ind w:right="375"/>
              <w:spacing w:after="0"/>
              <w:rPr>
                <w:sz w:val="20"/>
                <w:szCs w:val="20"/>
                <w:color w:val="auto"/>
              </w:rPr>
            </w:pPr>
            <w:r>
              <w:rPr>
                <w:rFonts w:ascii="Times New Roman" w:cs="Times New Roman" w:eastAsia="Times New Roman" w:hAnsi="Times New Roman"/>
                <w:sz w:val="17"/>
                <w:szCs w:val="17"/>
                <w:color w:val="262626"/>
                <w:w w:val="70"/>
              </w:rPr>
              <w:t>$</w:t>
            </w:r>
          </w:p>
        </w:tc>
        <w:tc>
          <w:tcPr>
            <w:tcW w:w="14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1,750,256</w:t>
            </w:r>
          </w:p>
        </w:tc>
        <w:tc>
          <w:tcPr>
            <w:tcW w:w="780" w:type="dxa"/>
            <w:vAlign w:val="bottom"/>
            <w:tcBorders>
              <w:bottom w:val="single" w:sz="8" w:color="838383"/>
            </w:tcBorders>
          </w:tcPr>
          <w:p>
            <w:pPr>
              <w:jc w:val="right"/>
              <w:ind w:right="510"/>
              <w:spacing w:after="0"/>
              <w:rPr>
                <w:sz w:val="20"/>
                <w:szCs w:val="20"/>
                <w:color w:val="auto"/>
              </w:rPr>
            </w:pPr>
            <w:r>
              <w:rPr>
                <w:rFonts w:ascii="Times New Roman" w:cs="Times New Roman" w:eastAsia="Times New Roman" w:hAnsi="Times New Roman"/>
                <w:sz w:val="18"/>
                <w:szCs w:val="18"/>
                <w:color w:val="262626"/>
              </w:rPr>
              <w:t>$</w:t>
            </w:r>
          </w:p>
        </w:tc>
        <w:tc>
          <w:tcPr>
            <w:tcW w:w="12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740" w:type="dxa"/>
            <w:vAlign w:val="bottom"/>
            <w:tcBorders>
              <w:bottom w:val="single" w:sz="8" w:color="838383"/>
            </w:tcBorders>
          </w:tcPr>
          <w:p>
            <w:pPr>
              <w:jc w:val="right"/>
              <w:ind w:right="470"/>
              <w:spacing w:after="0"/>
              <w:rPr>
                <w:sz w:val="20"/>
                <w:szCs w:val="20"/>
                <w:color w:val="auto"/>
              </w:rPr>
            </w:pPr>
            <w:r>
              <w:rPr>
                <w:rFonts w:ascii="Times New Roman" w:cs="Times New Roman" w:eastAsia="Times New Roman" w:hAnsi="Times New Roman"/>
                <w:sz w:val="18"/>
                <w:szCs w:val="18"/>
                <w:color w:val="262626"/>
              </w:rPr>
              <w:t>$</w:t>
            </w:r>
          </w:p>
        </w:tc>
        <w:tc>
          <w:tcPr>
            <w:tcW w:w="13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(14,093)</w:t>
            </w:r>
          </w:p>
        </w:tc>
        <w:tc>
          <w:tcPr>
            <w:tcW w:w="560" w:type="dxa"/>
            <w:vAlign w:val="bottom"/>
            <w:tcBorders>
              <w:bottom w:val="single" w:sz="8" w:color="838383"/>
            </w:tcBorders>
          </w:tcPr>
          <w:p>
            <w:pPr>
              <w:jc w:val="right"/>
              <w:ind w:right="290"/>
              <w:spacing w:after="0"/>
              <w:rPr>
                <w:sz w:val="20"/>
                <w:szCs w:val="20"/>
                <w:color w:val="auto"/>
              </w:rPr>
            </w:pPr>
            <w:r>
              <w:rPr>
                <w:rFonts w:ascii="Times New Roman" w:cs="Times New Roman" w:eastAsia="Times New Roman" w:hAnsi="Times New Roman"/>
                <w:sz w:val="18"/>
                <w:szCs w:val="18"/>
                <w:color w:val="262626"/>
              </w:rPr>
              <w:t>$</w:t>
            </w:r>
          </w:p>
        </w:tc>
        <w:tc>
          <w:tcPr>
            <w:tcW w:w="14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1,736,163</w:t>
            </w: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Corporate Bonds</w:t>
            </w: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5,571,417</w:t>
            </w:r>
          </w:p>
        </w:tc>
        <w:tc>
          <w:tcPr>
            <w:tcW w:w="780" w:type="dxa"/>
            <w:vAlign w:val="bottom"/>
            <w:tcBorders>
              <w:bottom w:val="single" w:sz="8" w:color="838383"/>
            </w:tcBorders>
          </w:tcPr>
          <w:p>
            <w:pPr>
              <w:spacing w:after="0"/>
              <w:rPr>
                <w:sz w:val="24"/>
                <w:szCs w:val="24"/>
                <w:color w:val="auto"/>
              </w:rPr>
            </w:pPr>
          </w:p>
        </w:tc>
        <w:tc>
          <w:tcPr>
            <w:tcW w:w="12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740" w:type="dxa"/>
            <w:vAlign w:val="bottom"/>
            <w:tcBorders>
              <w:bottom w:val="single" w:sz="8" w:color="838383"/>
            </w:tcBorders>
          </w:tcPr>
          <w:p>
            <w:pPr>
              <w:spacing w:after="0"/>
              <w:rPr>
                <w:sz w:val="24"/>
                <w:szCs w:val="24"/>
                <w:color w:val="auto"/>
              </w:rPr>
            </w:pPr>
          </w:p>
        </w:tc>
        <w:tc>
          <w:tcPr>
            <w:tcW w:w="13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(98,076)</w:t>
            </w: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5,473,341</w:t>
            </w: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Government Securities</w:t>
            </w: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4,476,613</w:t>
            </w:r>
          </w:p>
        </w:tc>
        <w:tc>
          <w:tcPr>
            <w:tcW w:w="780" w:type="dxa"/>
            <w:vAlign w:val="bottom"/>
            <w:tcBorders>
              <w:bottom w:val="single" w:sz="8" w:color="838383"/>
            </w:tcBorders>
          </w:tcPr>
          <w:p>
            <w:pPr>
              <w:spacing w:after="0"/>
              <w:rPr>
                <w:sz w:val="24"/>
                <w:szCs w:val="24"/>
                <w:color w:val="auto"/>
              </w:rPr>
            </w:pPr>
          </w:p>
        </w:tc>
        <w:tc>
          <w:tcPr>
            <w:tcW w:w="12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740" w:type="dxa"/>
            <w:vAlign w:val="bottom"/>
            <w:tcBorders>
              <w:bottom w:val="single" w:sz="8" w:color="838383"/>
            </w:tcBorders>
          </w:tcPr>
          <w:p>
            <w:pPr>
              <w:spacing w:after="0"/>
              <w:rPr>
                <w:sz w:val="24"/>
                <w:szCs w:val="24"/>
                <w:color w:val="auto"/>
              </w:rPr>
            </w:pPr>
          </w:p>
        </w:tc>
        <w:tc>
          <w:tcPr>
            <w:tcW w:w="13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(53,572)</w:t>
            </w: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4,423,041</w:t>
            </w: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Municipal Bonds</w:t>
            </w: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5,223,500</w:t>
            </w:r>
          </w:p>
        </w:tc>
        <w:tc>
          <w:tcPr>
            <w:tcW w:w="780" w:type="dxa"/>
            <w:vAlign w:val="bottom"/>
            <w:tcBorders>
              <w:bottom w:val="single" w:sz="8" w:color="838383"/>
            </w:tcBorders>
          </w:tcPr>
          <w:p>
            <w:pPr>
              <w:spacing w:after="0"/>
              <w:rPr>
                <w:sz w:val="24"/>
                <w:szCs w:val="24"/>
                <w:color w:val="auto"/>
              </w:rPr>
            </w:pPr>
          </w:p>
        </w:tc>
        <w:tc>
          <w:tcPr>
            <w:tcW w:w="12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740" w:type="dxa"/>
            <w:vAlign w:val="bottom"/>
            <w:tcBorders>
              <w:bottom w:val="single" w:sz="8" w:color="838383"/>
            </w:tcBorders>
          </w:tcPr>
          <w:p>
            <w:pPr>
              <w:spacing w:after="0"/>
              <w:rPr>
                <w:sz w:val="24"/>
                <w:szCs w:val="24"/>
                <w:color w:val="auto"/>
              </w:rPr>
            </w:pPr>
          </w:p>
        </w:tc>
        <w:tc>
          <w:tcPr>
            <w:tcW w:w="13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(48,727)</w:t>
            </w: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5,174,773</w:t>
            </w: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Other</w:t>
            </w: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2,347,602</w:t>
            </w:r>
          </w:p>
        </w:tc>
        <w:tc>
          <w:tcPr>
            <w:tcW w:w="780" w:type="dxa"/>
            <w:vAlign w:val="bottom"/>
            <w:tcBorders>
              <w:bottom w:val="single" w:sz="8" w:color="838383"/>
            </w:tcBorders>
          </w:tcPr>
          <w:p>
            <w:pPr>
              <w:spacing w:after="0"/>
              <w:rPr>
                <w:sz w:val="24"/>
                <w:szCs w:val="24"/>
                <w:color w:val="auto"/>
              </w:rPr>
            </w:pPr>
          </w:p>
        </w:tc>
        <w:tc>
          <w:tcPr>
            <w:tcW w:w="12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740" w:type="dxa"/>
            <w:vAlign w:val="bottom"/>
            <w:tcBorders>
              <w:bottom w:val="single" w:sz="8" w:color="838383"/>
            </w:tcBorders>
          </w:tcPr>
          <w:p>
            <w:pPr>
              <w:spacing w:after="0"/>
              <w:rPr>
                <w:sz w:val="24"/>
                <w:szCs w:val="24"/>
                <w:color w:val="auto"/>
              </w:rPr>
            </w:pPr>
          </w:p>
        </w:tc>
        <w:tc>
          <w:tcPr>
            <w:tcW w:w="13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2,347,602</w:t>
            </w:r>
          </w:p>
        </w:tc>
      </w:tr>
      <w:tr>
        <w:trPr>
          <w:trHeight w:val="340"/>
        </w:trPr>
        <w:tc>
          <w:tcPr>
            <w:tcW w:w="23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Long-Term Investments:</w:t>
            </w: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spacing w:after="0"/>
              <w:rPr>
                <w:sz w:val="24"/>
                <w:szCs w:val="24"/>
                <w:color w:val="auto"/>
              </w:rPr>
            </w:pPr>
          </w:p>
        </w:tc>
        <w:tc>
          <w:tcPr>
            <w:tcW w:w="780" w:type="dxa"/>
            <w:vAlign w:val="bottom"/>
            <w:tcBorders>
              <w:bottom w:val="single" w:sz="8" w:color="838383"/>
            </w:tcBorders>
          </w:tcPr>
          <w:p>
            <w:pPr>
              <w:spacing w:after="0"/>
              <w:rPr>
                <w:sz w:val="24"/>
                <w:szCs w:val="24"/>
                <w:color w:val="auto"/>
              </w:rPr>
            </w:pPr>
          </w:p>
        </w:tc>
        <w:tc>
          <w:tcPr>
            <w:tcW w:w="1280" w:type="dxa"/>
            <w:vAlign w:val="bottom"/>
            <w:tcBorders>
              <w:bottom w:val="single" w:sz="8" w:color="838383"/>
            </w:tcBorders>
          </w:tcPr>
          <w:p>
            <w:pPr>
              <w:spacing w:after="0"/>
              <w:rPr>
                <w:sz w:val="24"/>
                <w:szCs w:val="24"/>
                <w:color w:val="auto"/>
              </w:rPr>
            </w:pPr>
          </w:p>
        </w:tc>
        <w:tc>
          <w:tcPr>
            <w:tcW w:w="740" w:type="dxa"/>
            <w:vAlign w:val="bottom"/>
            <w:tcBorders>
              <w:bottom w:val="single" w:sz="8" w:color="838383"/>
            </w:tcBorders>
          </w:tcPr>
          <w:p>
            <w:pPr>
              <w:spacing w:after="0"/>
              <w:rPr>
                <w:sz w:val="24"/>
                <w:szCs w:val="24"/>
                <w:color w:val="auto"/>
              </w:rPr>
            </w:pPr>
          </w:p>
        </w:tc>
        <w:tc>
          <w:tcPr>
            <w:tcW w:w="1340" w:type="dxa"/>
            <w:vAlign w:val="bottom"/>
            <w:tcBorders>
              <w:bottom w:val="single" w:sz="8" w:color="838383"/>
            </w:tcBorders>
          </w:tcPr>
          <w:p>
            <w:pPr>
              <w:spacing w:after="0"/>
              <w:rPr>
                <w:sz w:val="24"/>
                <w:szCs w:val="24"/>
                <w:color w:val="auto"/>
              </w:rPr>
            </w:pP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spacing w:after="0"/>
              <w:rPr>
                <w:sz w:val="24"/>
                <w:szCs w:val="24"/>
                <w:color w:val="auto"/>
              </w:rPr>
            </w:pP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Asset-backed Securities</w:t>
            </w: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19,151,229</w:t>
            </w:r>
          </w:p>
        </w:tc>
        <w:tc>
          <w:tcPr>
            <w:tcW w:w="780" w:type="dxa"/>
            <w:vAlign w:val="bottom"/>
            <w:tcBorders>
              <w:bottom w:val="single" w:sz="8" w:color="838383"/>
            </w:tcBorders>
          </w:tcPr>
          <w:p>
            <w:pPr>
              <w:spacing w:after="0"/>
              <w:rPr>
                <w:sz w:val="24"/>
                <w:szCs w:val="24"/>
                <w:color w:val="auto"/>
              </w:rPr>
            </w:pPr>
          </w:p>
        </w:tc>
        <w:tc>
          <w:tcPr>
            <w:tcW w:w="12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740" w:type="dxa"/>
            <w:vAlign w:val="bottom"/>
            <w:tcBorders>
              <w:bottom w:val="single" w:sz="8" w:color="838383"/>
            </w:tcBorders>
          </w:tcPr>
          <w:p>
            <w:pPr>
              <w:spacing w:after="0"/>
              <w:rPr>
                <w:sz w:val="24"/>
                <w:szCs w:val="24"/>
                <w:color w:val="auto"/>
              </w:rPr>
            </w:pPr>
          </w:p>
        </w:tc>
        <w:tc>
          <w:tcPr>
            <w:tcW w:w="13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(321,533)</w:t>
            </w: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18,829,696</w:t>
            </w: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Certificate of Deposit</w:t>
            </w: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250,000</w:t>
            </w:r>
          </w:p>
        </w:tc>
        <w:tc>
          <w:tcPr>
            <w:tcW w:w="780" w:type="dxa"/>
            <w:vAlign w:val="bottom"/>
            <w:tcBorders>
              <w:bottom w:val="single" w:sz="8" w:color="838383"/>
            </w:tcBorders>
          </w:tcPr>
          <w:p>
            <w:pPr>
              <w:spacing w:after="0"/>
              <w:rPr>
                <w:sz w:val="24"/>
                <w:szCs w:val="24"/>
                <w:color w:val="auto"/>
              </w:rPr>
            </w:pPr>
          </w:p>
        </w:tc>
        <w:tc>
          <w:tcPr>
            <w:tcW w:w="12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740" w:type="dxa"/>
            <w:vAlign w:val="bottom"/>
            <w:tcBorders>
              <w:bottom w:val="single" w:sz="8" w:color="838383"/>
            </w:tcBorders>
          </w:tcPr>
          <w:p>
            <w:pPr>
              <w:spacing w:after="0"/>
              <w:rPr>
                <w:sz w:val="24"/>
                <w:szCs w:val="24"/>
                <w:color w:val="auto"/>
              </w:rPr>
            </w:pPr>
          </w:p>
        </w:tc>
        <w:tc>
          <w:tcPr>
            <w:tcW w:w="13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(11,075)</w:t>
            </w: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238,925</w:t>
            </w: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Corporate Bonds</w:t>
            </w: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40,410,206</w:t>
            </w:r>
          </w:p>
        </w:tc>
        <w:tc>
          <w:tcPr>
            <w:tcW w:w="780" w:type="dxa"/>
            <w:vAlign w:val="bottom"/>
            <w:tcBorders>
              <w:bottom w:val="single" w:sz="8" w:color="838383"/>
            </w:tcBorders>
          </w:tcPr>
          <w:p>
            <w:pPr>
              <w:spacing w:after="0"/>
              <w:rPr>
                <w:sz w:val="24"/>
                <w:szCs w:val="24"/>
                <w:color w:val="auto"/>
              </w:rPr>
            </w:pPr>
          </w:p>
        </w:tc>
        <w:tc>
          <w:tcPr>
            <w:tcW w:w="12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740" w:type="dxa"/>
            <w:vAlign w:val="bottom"/>
            <w:tcBorders>
              <w:bottom w:val="single" w:sz="8" w:color="838383"/>
            </w:tcBorders>
          </w:tcPr>
          <w:p>
            <w:pPr>
              <w:spacing w:after="0"/>
              <w:rPr>
                <w:sz w:val="24"/>
                <w:szCs w:val="24"/>
                <w:color w:val="auto"/>
              </w:rPr>
            </w:pPr>
          </w:p>
        </w:tc>
        <w:tc>
          <w:tcPr>
            <w:tcW w:w="13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(4,099,729)</w:t>
            </w: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36,310,477</w:t>
            </w: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Government Securities</w:t>
            </w: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39,637,461</w:t>
            </w:r>
          </w:p>
        </w:tc>
        <w:tc>
          <w:tcPr>
            <w:tcW w:w="780" w:type="dxa"/>
            <w:vAlign w:val="bottom"/>
            <w:tcBorders>
              <w:bottom w:val="single" w:sz="8" w:color="838383"/>
            </w:tcBorders>
          </w:tcPr>
          <w:p>
            <w:pPr>
              <w:spacing w:after="0"/>
              <w:rPr>
                <w:sz w:val="24"/>
                <w:szCs w:val="24"/>
                <w:color w:val="auto"/>
              </w:rPr>
            </w:pPr>
          </w:p>
        </w:tc>
        <w:tc>
          <w:tcPr>
            <w:tcW w:w="12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740" w:type="dxa"/>
            <w:vAlign w:val="bottom"/>
            <w:tcBorders>
              <w:bottom w:val="single" w:sz="8" w:color="838383"/>
            </w:tcBorders>
          </w:tcPr>
          <w:p>
            <w:pPr>
              <w:spacing w:after="0"/>
              <w:rPr>
                <w:sz w:val="24"/>
                <w:szCs w:val="24"/>
                <w:color w:val="auto"/>
              </w:rPr>
            </w:pPr>
          </w:p>
        </w:tc>
        <w:tc>
          <w:tcPr>
            <w:tcW w:w="13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(3,104,827)</w:t>
            </w: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36,532,634</w:t>
            </w: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Municipal Bonds</w:t>
            </w: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53,476,883</w:t>
            </w:r>
          </w:p>
        </w:tc>
        <w:tc>
          <w:tcPr>
            <w:tcW w:w="780" w:type="dxa"/>
            <w:vAlign w:val="bottom"/>
            <w:tcBorders>
              <w:bottom w:val="single" w:sz="8" w:color="838383"/>
            </w:tcBorders>
          </w:tcPr>
          <w:p>
            <w:pPr>
              <w:spacing w:after="0"/>
              <w:rPr>
                <w:sz w:val="24"/>
                <w:szCs w:val="24"/>
                <w:color w:val="auto"/>
              </w:rPr>
            </w:pPr>
          </w:p>
        </w:tc>
        <w:tc>
          <w:tcPr>
            <w:tcW w:w="12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235,713</w:t>
            </w:r>
          </w:p>
        </w:tc>
        <w:tc>
          <w:tcPr>
            <w:tcW w:w="740" w:type="dxa"/>
            <w:vAlign w:val="bottom"/>
            <w:tcBorders>
              <w:bottom w:val="single" w:sz="8" w:color="838383"/>
            </w:tcBorders>
          </w:tcPr>
          <w:p>
            <w:pPr>
              <w:spacing w:after="0"/>
              <w:rPr>
                <w:sz w:val="24"/>
                <w:szCs w:val="24"/>
                <w:color w:val="auto"/>
              </w:rPr>
            </w:pPr>
          </w:p>
        </w:tc>
        <w:tc>
          <w:tcPr>
            <w:tcW w:w="13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(5,282,430)</w:t>
            </w: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48,430,166</w:t>
            </w:r>
          </w:p>
        </w:tc>
      </w:tr>
      <w:tr>
        <w:trPr>
          <w:trHeight w:val="355"/>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Common Stock</w:t>
            </w:r>
          </w:p>
        </w:tc>
        <w:tc>
          <w:tcPr>
            <w:tcW w:w="540" w:type="dxa"/>
            <w:vAlign w:val="bottom"/>
            <w:tcBorders>
              <w:bottom w:val="single" w:sz="8" w:color="8F8F8F"/>
            </w:tcBorders>
          </w:tcPr>
          <w:p>
            <w:pPr>
              <w:spacing w:after="0"/>
              <w:rPr>
                <w:sz w:val="24"/>
                <w:szCs w:val="24"/>
                <w:color w:val="auto"/>
              </w:rPr>
            </w:pPr>
          </w:p>
        </w:tc>
        <w:tc>
          <w:tcPr>
            <w:tcW w:w="144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292,638</w:t>
            </w:r>
          </w:p>
        </w:tc>
        <w:tc>
          <w:tcPr>
            <w:tcW w:w="780" w:type="dxa"/>
            <w:vAlign w:val="bottom"/>
            <w:tcBorders>
              <w:bottom w:val="single" w:sz="8" w:color="8F8F8F"/>
            </w:tcBorders>
          </w:tcPr>
          <w:p>
            <w:pPr>
              <w:spacing w:after="0"/>
              <w:rPr>
                <w:sz w:val="24"/>
                <w:szCs w:val="24"/>
                <w:color w:val="auto"/>
              </w:rPr>
            </w:pPr>
          </w:p>
        </w:tc>
        <w:tc>
          <w:tcPr>
            <w:tcW w:w="12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662</w:t>
            </w:r>
          </w:p>
        </w:tc>
        <w:tc>
          <w:tcPr>
            <w:tcW w:w="740" w:type="dxa"/>
            <w:vAlign w:val="bottom"/>
            <w:tcBorders>
              <w:bottom w:val="single" w:sz="8" w:color="8F8F8F"/>
            </w:tcBorders>
          </w:tcPr>
          <w:p>
            <w:pPr>
              <w:spacing w:after="0"/>
              <w:rPr>
                <w:sz w:val="24"/>
                <w:szCs w:val="24"/>
                <w:color w:val="auto"/>
              </w:rPr>
            </w:pPr>
          </w:p>
        </w:tc>
        <w:tc>
          <w:tcPr>
            <w:tcW w:w="134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560" w:type="dxa"/>
            <w:vAlign w:val="bottom"/>
            <w:tcBorders>
              <w:bottom w:val="single" w:sz="8" w:color="8F8F8F"/>
            </w:tcBorders>
          </w:tcPr>
          <w:p>
            <w:pPr>
              <w:spacing w:after="0"/>
              <w:rPr>
                <w:sz w:val="24"/>
                <w:szCs w:val="24"/>
                <w:color w:val="auto"/>
              </w:rPr>
            </w:pPr>
          </w:p>
        </w:tc>
        <w:tc>
          <w:tcPr>
            <w:tcW w:w="142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293,300</w:t>
            </w:r>
          </w:p>
        </w:tc>
      </w:tr>
      <w:tr>
        <w:trPr>
          <w:trHeight w:val="31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262626"/>
              </w:rPr>
              <w:t>Total</w:t>
            </w:r>
          </w:p>
        </w:tc>
        <w:tc>
          <w:tcPr>
            <w:tcW w:w="540" w:type="dxa"/>
            <w:vAlign w:val="bottom"/>
            <w:tcBorders>
              <w:bottom w:val="single" w:sz="8" w:color="8F8F8F"/>
            </w:tcBorders>
          </w:tcPr>
          <w:p>
            <w:pPr>
              <w:jc w:val="right"/>
              <w:ind w:right="375"/>
              <w:spacing w:after="0"/>
              <w:rPr>
                <w:sz w:val="20"/>
                <w:szCs w:val="20"/>
                <w:color w:val="auto"/>
              </w:rPr>
            </w:pPr>
            <w:r>
              <w:rPr>
                <w:rFonts w:ascii="Times New Roman" w:cs="Times New Roman" w:eastAsia="Times New Roman" w:hAnsi="Times New Roman"/>
                <w:sz w:val="17"/>
                <w:szCs w:val="17"/>
                <w:color w:val="262626"/>
                <w:w w:val="70"/>
              </w:rPr>
              <w:t>$</w:t>
            </w:r>
          </w:p>
        </w:tc>
        <w:tc>
          <w:tcPr>
            <w:tcW w:w="144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172,587,805</w:t>
            </w:r>
          </w:p>
        </w:tc>
        <w:tc>
          <w:tcPr>
            <w:tcW w:w="780" w:type="dxa"/>
            <w:vAlign w:val="bottom"/>
            <w:tcBorders>
              <w:bottom w:val="single" w:sz="8" w:color="8F8F8F"/>
            </w:tcBorders>
          </w:tcPr>
          <w:p>
            <w:pPr>
              <w:jc w:val="right"/>
              <w:ind w:right="510"/>
              <w:spacing w:after="0"/>
              <w:rPr>
                <w:sz w:val="20"/>
                <w:szCs w:val="20"/>
                <w:color w:val="auto"/>
              </w:rPr>
            </w:pPr>
            <w:r>
              <w:rPr>
                <w:rFonts w:ascii="Times New Roman" w:cs="Times New Roman" w:eastAsia="Times New Roman" w:hAnsi="Times New Roman"/>
                <w:sz w:val="18"/>
                <w:szCs w:val="18"/>
                <w:color w:val="262626"/>
              </w:rPr>
              <w:t>$</w:t>
            </w:r>
          </w:p>
        </w:tc>
        <w:tc>
          <w:tcPr>
            <w:tcW w:w="12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236,375</w:t>
            </w:r>
          </w:p>
        </w:tc>
        <w:tc>
          <w:tcPr>
            <w:tcW w:w="740" w:type="dxa"/>
            <w:vAlign w:val="bottom"/>
            <w:tcBorders>
              <w:bottom w:val="single" w:sz="8" w:color="8F8F8F"/>
            </w:tcBorders>
          </w:tcPr>
          <w:p>
            <w:pPr>
              <w:jc w:val="right"/>
              <w:ind w:right="470"/>
              <w:spacing w:after="0"/>
              <w:rPr>
                <w:sz w:val="20"/>
                <w:szCs w:val="20"/>
                <w:color w:val="auto"/>
              </w:rPr>
            </w:pPr>
            <w:r>
              <w:rPr>
                <w:rFonts w:ascii="Times New Roman" w:cs="Times New Roman" w:eastAsia="Times New Roman" w:hAnsi="Times New Roman"/>
                <w:sz w:val="18"/>
                <w:szCs w:val="18"/>
                <w:color w:val="262626"/>
              </w:rPr>
              <w:t>$</w:t>
            </w:r>
          </w:p>
        </w:tc>
        <w:tc>
          <w:tcPr>
            <w:tcW w:w="134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(13,034,062)</w:t>
            </w:r>
          </w:p>
        </w:tc>
        <w:tc>
          <w:tcPr>
            <w:tcW w:w="560" w:type="dxa"/>
            <w:vAlign w:val="bottom"/>
            <w:tcBorders>
              <w:bottom w:val="single" w:sz="8" w:color="8F8F8F"/>
            </w:tcBorders>
          </w:tcPr>
          <w:p>
            <w:pPr>
              <w:jc w:val="right"/>
              <w:ind w:right="290"/>
              <w:spacing w:after="0"/>
              <w:rPr>
                <w:sz w:val="20"/>
                <w:szCs w:val="20"/>
                <w:color w:val="auto"/>
              </w:rPr>
            </w:pPr>
            <w:r>
              <w:rPr>
                <w:rFonts w:ascii="Times New Roman" w:cs="Times New Roman" w:eastAsia="Times New Roman" w:hAnsi="Times New Roman"/>
                <w:sz w:val="18"/>
                <w:szCs w:val="18"/>
                <w:color w:val="262626"/>
              </w:rPr>
              <w:t>$</w:t>
            </w:r>
          </w:p>
        </w:tc>
        <w:tc>
          <w:tcPr>
            <w:tcW w:w="142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159,790,118</w:t>
            </w:r>
          </w:p>
        </w:tc>
      </w:tr>
      <w:tr>
        <w:trPr>
          <w:trHeight w:val="20"/>
        </w:trPr>
        <w:tc>
          <w:tcPr>
            <w:tcW w:w="2360" w:type="dxa"/>
            <w:vAlign w:val="bottom"/>
          </w:tcPr>
          <w:p>
            <w:pPr>
              <w:spacing w:after="0" w:line="20" w:lineRule="exact"/>
              <w:rPr>
                <w:sz w:val="1"/>
                <w:szCs w:val="1"/>
                <w:color w:val="auto"/>
              </w:rPr>
            </w:pPr>
          </w:p>
        </w:tc>
        <w:tc>
          <w:tcPr>
            <w:tcW w:w="540" w:type="dxa"/>
            <w:vAlign w:val="bottom"/>
            <w:tcBorders>
              <w:bottom w:val="single" w:sz="8" w:color="8F8F8F"/>
            </w:tcBorders>
          </w:tcPr>
          <w:p>
            <w:pPr>
              <w:spacing w:after="0" w:line="20" w:lineRule="exact"/>
              <w:rPr>
                <w:sz w:val="1"/>
                <w:szCs w:val="1"/>
                <w:color w:val="auto"/>
              </w:rPr>
            </w:pPr>
          </w:p>
        </w:tc>
        <w:tc>
          <w:tcPr>
            <w:tcW w:w="1440" w:type="dxa"/>
            <w:vAlign w:val="bottom"/>
            <w:tcBorders>
              <w:bottom w:val="single" w:sz="8" w:color="8F8F8F"/>
            </w:tcBorders>
          </w:tcPr>
          <w:p>
            <w:pPr>
              <w:spacing w:after="0" w:line="20" w:lineRule="exact"/>
              <w:rPr>
                <w:sz w:val="1"/>
                <w:szCs w:val="1"/>
                <w:color w:val="auto"/>
              </w:rPr>
            </w:pPr>
          </w:p>
        </w:tc>
        <w:tc>
          <w:tcPr>
            <w:tcW w:w="780" w:type="dxa"/>
            <w:vAlign w:val="bottom"/>
            <w:tcBorders>
              <w:bottom w:val="single" w:sz="8" w:color="8F8F8F"/>
            </w:tcBorders>
          </w:tcPr>
          <w:p>
            <w:pPr>
              <w:spacing w:after="0" w:line="20" w:lineRule="exact"/>
              <w:rPr>
                <w:sz w:val="1"/>
                <w:szCs w:val="1"/>
                <w:color w:val="auto"/>
              </w:rPr>
            </w:pPr>
          </w:p>
        </w:tc>
        <w:tc>
          <w:tcPr>
            <w:tcW w:w="1280" w:type="dxa"/>
            <w:vAlign w:val="bottom"/>
            <w:tcBorders>
              <w:bottom w:val="single" w:sz="8" w:color="8F8F8F"/>
            </w:tcBorders>
          </w:tcPr>
          <w:p>
            <w:pPr>
              <w:spacing w:after="0" w:line="20" w:lineRule="exact"/>
              <w:rPr>
                <w:sz w:val="1"/>
                <w:szCs w:val="1"/>
                <w:color w:val="auto"/>
              </w:rPr>
            </w:pPr>
          </w:p>
        </w:tc>
        <w:tc>
          <w:tcPr>
            <w:tcW w:w="740" w:type="dxa"/>
            <w:vAlign w:val="bottom"/>
            <w:tcBorders>
              <w:bottom w:val="single" w:sz="8" w:color="8F8F8F"/>
            </w:tcBorders>
          </w:tcPr>
          <w:p>
            <w:pPr>
              <w:spacing w:after="0" w:line="20" w:lineRule="exact"/>
              <w:rPr>
                <w:sz w:val="1"/>
                <w:szCs w:val="1"/>
                <w:color w:val="auto"/>
              </w:rPr>
            </w:pPr>
          </w:p>
        </w:tc>
        <w:tc>
          <w:tcPr>
            <w:tcW w:w="1340" w:type="dxa"/>
            <w:vAlign w:val="bottom"/>
            <w:tcBorders>
              <w:bottom w:val="single" w:sz="8" w:color="8F8F8F"/>
            </w:tcBorders>
          </w:tcPr>
          <w:p>
            <w:pPr>
              <w:spacing w:after="0" w:line="20" w:lineRule="exact"/>
              <w:rPr>
                <w:sz w:val="1"/>
                <w:szCs w:val="1"/>
                <w:color w:val="auto"/>
              </w:rPr>
            </w:pPr>
          </w:p>
        </w:tc>
        <w:tc>
          <w:tcPr>
            <w:tcW w:w="560" w:type="dxa"/>
            <w:vAlign w:val="bottom"/>
            <w:tcBorders>
              <w:bottom w:val="single" w:sz="8" w:color="8F8F8F"/>
            </w:tcBorders>
          </w:tcPr>
          <w:p>
            <w:pPr>
              <w:spacing w:after="0" w:line="20" w:lineRule="exact"/>
              <w:rPr>
                <w:sz w:val="1"/>
                <w:szCs w:val="1"/>
                <w:color w:val="auto"/>
              </w:rPr>
            </w:pPr>
          </w:p>
        </w:tc>
        <w:tc>
          <w:tcPr>
            <w:tcW w:w="1420" w:type="dxa"/>
            <w:vAlign w:val="bottom"/>
            <w:tcBorders>
              <w:bottom w:val="single" w:sz="8" w:color="8F8F8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320" w:type="dxa"/>
        <w:tblCellMar>
          <w:top w:w="0" w:type="dxa"/>
          <w:left w:w="0" w:type="dxa"/>
          <w:bottom w:w="0" w:type="dxa"/>
          <w:right w:w="0" w:type="dxa"/>
        </w:tblCellMar>
      </w:tblPr>
      <w:tr>
        <w:trPr>
          <w:trHeight w:val="290"/>
        </w:trPr>
        <w:tc>
          <w:tcPr>
            <w:tcW w:w="2360" w:type="dxa"/>
            <w:vAlign w:val="bottom"/>
          </w:tcPr>
          <w:p>
            <w:pPr>
              <w:spacing w:after="0"/>
              <w:rPr>
                <w:sz w:val="24"/>
                <w:szCs w:val="24"/>
                <w:color w:val="auto"/>
              </w:rPr>
            </w:pP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spacing w:after="0"/>
              <w:rPr>
                <w:sz w:val="24"/>
                <w:szCs w:val="24"/>
                <w:color w:val="auto"/>
              </w:rPr>
            </w:pPr>
          </w:p>
        </w:tc>
        <w:tc>
          <w:tcPr>
            <w:tcW w:w="720" w:type="dxa"/>
            <w:vAlign w:val="bottom"/>
            <w:tcBorders>
              <w:bottom w:val="single" w:sz="8" w:color="838383"/>
            </w:tcBorders>
          </w:tcPr>
          <w:p>
            <w:pPr>
              <w:spacing w:after="0"/>
              <w:rPr>
                <w:sz w:val="24"/>
                <w:szCs w:val="24"/>
                <w:color w:val="auto"/>
              </w:rPr>
            </w:pPr>
          </w:p>
        </w:tc>
        <w:tc>
          <w:tcPr>
            <w:tcW w:w="2120" w:type="dxa"/>
            <w:vAlign w:val="bottom"/>
            <w:tcBorders>
              <w:bottom w:val="single" w:sz="8" w:color="838383"/>
            </w:tcBorders>
            <w:gridSpan w:val="2"/>
          </w:tcPr>
          <w:p>
            <w:pPr>
              <w:jc w:val="right"/>
              <w:ind w:right="270"/>
              <w:spacing w:after="0"/>
              <w:rPr>
                <w:sz w:val="20"/>
                <w:szCs w:val="20"/>
                <w:color w:val="auto"/>
              </w:rPr>
            </w:pPr>
            <w:r>
              <w:rPr>
                <w:rFonts w:ascii="Arial" w:cs="Arial" w:eastAsia="Arial" w:hAnsi="Arial"/>
                <w:sz w:val="18"/>
                <w:szCs w:val="18"/>
                <w:b w:val="1"/>
                <w:bCs w:val="1"/>
                <w:color w:val="262626"/>
              </w:rPr>
              <w:t>Unrealized</w:t>
            </w:r>
          </w:p>
        </w:tc>
        <w:tc>
          <w:tcPr>
            <w:tcW w:w="1300" w:type="dxa"/>
            <w:vAlign w:val="bottom"/>
            <w:tcBorders>
              <w:bottom w:val="single" w:sz="8" w:color="838383"/>
            </w:tcBorders>
          </w:tcPr>
          <w:p>
            <w:pPr>
              <w:spacing w:after="0"/>
              <w:rPr>
                <w:sz w:val="24"/>
                <w:szCs w:val="24"/>
                <w:color w:val="auto"/>
              </w:rPr>
            </w:pP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spacing w:after="0"/>
              <w:rPr>
                <w:sz w:val="24"/>
                <w:szCs w:val="24"/>
                <w:color w:val="auto"/>
              </w:rPr>
            </w:pPr>
          </w:p>
        </w:tc>
      </w:tr>
      <w:tr>
        <w:trPr>
          <w:trHeight w:val="340"/>
        </w:trPr>
        <w:tc>
          <w:tcPr>
            <w:tcW w:w="2360" w:type="dxa"/>
            <w:vAlign w:val="bottom"/>
            <w:tcBorders>
              <w:bottom w:val="single" w:sz="8" w:color="838383"/>
            </w:tcBorders>
          </w:tcPr>
          <w:p>
            <w:pPr>
              <w:spacing w:after="0"/>
              <w:rPr>
                <w:sz w:val="20"/>
                <w:szCs w:val="20"/>
                <w:color w:val="auto"/>
              </w:rPr>
            </w:pPr>
            <w:r>
              <w:rPr>
                <w:rFonts w:ascii="Arial" w:cs="Arial" w:eastAsia="Arial" w:hAnsi="Arial"/>
                <w:sz w:val="18"/>
                <w:szCs w:val="18"/>
                <w:b w:val="1"/>
                <w:bCs w:val="1"/>
                <w:color w:val="262626"/>
              </w:rPr>
              <w:t>2021</w:t>
            </w: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jc w:val="right"/>
              <w:ind w:right="10"/>
              <w:spacing w:after="0"/>
              <w:rPr>
                <w:sz w:val="20"/>
                <w:szCs w:val="20"/>
                <w:color w:val="auto"/>
              </w:rPr>
            </w:pPr>
            <w:r>
              <w:rPr>
                <w:rFonts w:ascii="Arial" w:cs="Arial" w:eastAsia="Arial" w:hAnsi="Arial"/>
                <w:sz w:val="18"/>
                <w:szCs w:val="18"/>
                <w:b w:val="1"/>
                <w:bCs w:val="1"/>
                <w:color w:val="262626"/>
              </w:rPr>
              <w:t>Cost</w:t>
            </w:r>
          </w:p>
        </w:tc>
        <w:tc>
          <w:tcPr>
            <w:tcW w:w="720" w:type="dxa"/>
            <w:vAlign w:val="bottom"/>
            <w:tcBorders>
              <w:bottom w:val="single" w:sz="8" w:color="838383"/>
            </w:tcBorders>
          </w:tcPr>
          <w:p>
            <w:pPr>
              <w:spacing w:after="0"/>
              <w:rPr>
                <w:sz w:val="24"/>
                <w:szCs w:val="24"/>
                <w:color w:val="auto"/>
              </w:rPr>
            </w:pPr>
          </w:p>
        </w:tc>
        <w:tc>
          <w:tcPr>
            <w:tcW w:w="1340" w:type="dxa"/>
            <w:vAlign w:val="bottom"/>
            <w:tcBorders>
              <w:bottom w:val="single" w:sz="8" w:color="838383"/>
            </w:tcBorders>
          </w:tcPr>
          <w:p>
            <w:pPr>
              <w:jc w:val="right"/>
              <w:spacing w:after="0"/>
              <w:rPr>
                <w:sz w:val="20"/>
                <w:szCs w:val="20"/>
                <w:color w:val="auto"/>
              </w:rPr>
            </w:pPr>
            <w:r>
              <w:rPr>
                <w:rFonts w:ascii="Arial" w:cs="Arial" w:eastAsia="Arial" w:hAnsi="Arial"/>
                <w:sz w:val="18"/>
                <w:szCs w:val="18"/>
                <w:b w:val="1"/>
                <w:bCs w:val="1"/>
                <w:color w:val="262626"/>
              </w:rPr>
              <w:t>Gains</w:t>
            </w:r>
          </w:p>
        </w:tc>
        <w:tc>
          <w:tcPr>
            <w:tcW w:w="7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ind w:right="10"/>
              <w:spacing w:after="0"/>
              <w:rPr>
                <w:sz w:val="20"/>
                <w:szCs w:val="20"/>
                <w:color w:val="auto"/>
              </w:rPr>
            </w:pPr>
            <w:r>
              <w:rPr>
                <w:rFonts w:ascii="Arial" w:cs="Arial" w:eastAsia="Arial" w:hAnsi="Arial"/>
                <w:sz w:val="18"/>
                <w:szCs w:val="18"/>
                <w:b w:val="1"/>
                <w:bCs w:val="1"/>
                <w:color w:val="262626"/>
              </w:rPr>
              <w:t>Losses</w:t>
            </w: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jc w:val="right"/>
              <w:spacing w:after="0"/>
              <w:rPr>
                <w:sz w:val="20"/>
                <w:szCs w:val="20"/>
                <w:color w:val="auto"/>
              </w:rPr>
            </w:pPr>
            <w:r>
              <w:rPr>
                <w:rFonts w:ascii="Arial" w:cs="Arial" w:eastAsia="Arial" w:hAnsi="Arial"/>
                <w:sz w:val="18"/>
                <w:szCs w:val="18"/>
                <w:b w:val="1"/>
                <w:bCs w:val="1"/>
                <w:color w:val="262626"/>
              </w:rPr>
              <w:t>Market Value</w:t>
            </w:r>
          </w:p>
        </w:tc>
      </w:tr>
      <w:tr>
        <w:trPr>
          <w:trHeight w:val="340"/>
        </w:trPr>
        <w:tc>
          <w:tcPr>
            <w:tcW w:w="23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Short-Term Investments:</w:t>
            </w: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spacing w:after="0"/>
              <w:rPr>
                <w:sz w:val="24"/>
                <w:szCs w:val="24"/>
                <w:color w:val="auto"/>
              </w:rPr>
            </w:pPr>
          </w:p>
        </w:tc>
        <w:tc>
          <w:tcPr>
            <w:tcW w:w="720" w:type="dxa"/>
            <w:vAlign w:val="bottom"/>
            <w:tcBorders>
              <w:bottom w:val="single" w:sz="8" w:color="838383"/>
            </w:tcBorders>
          </w:tcPr>
          <w:p>
            <w:pPr>
              <w:spacing w:after="0"/>
              <w:rPr>
                <w:sz w:val="24"/>
                <w:szCs w:val="24"/>
                <w:color w:val="auto"/>
              </w:rPr>
            </w:pPr>
          </w:p>
        </w:tc>
        <w:tc>
          <w:tcPr>
            <w:tcW w:w="1340" w:type="dxa"/>
            <w:vAlign w:val="bottom"/>
            <w:tcBorders>
              <w:bottom w:val="single" w:sz="8" w:color="838383"/>
            </w:tcBorders>
          </w:tcPr>
          <w:p>
            <w:pPr>
              <w:spacing w:after="0"/>
              <w:rPr>
                <w:sz w:val="24"/>
                <w:szCs w:val="24"/>
                <w:color w:val="auto"/>
              </w:rPr>
            </w:pPr>
          </w:p>
        </w:tc>
        <w:tc>
          <w:tcPr>
            <w:tcW w:w="7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spacing w:after="0"/>
              <w:rPr>
                <w:sz w:val="24"/>
                <w:szCs w:val="24"/>
                <w:color w:val="auto"/>
              </w:rPr>
            </w:pP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spacing w:after="0"/>
              <w:rPr>
                <w:sz w:val="24"/>
                <w:szCs w:val="24"/>
                <w:color w:val="auto"/>
              </w:rPr>
            </w:pP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Certificate of Deposit</w:t>
            </w:r>
          </w:p>
        </w:tc>
        <w:tc>
          <w:tcPr>
            <w:tcW w:w="540" w:type="dxa"/>
            <w:vAlign w:val="bottom"/>
            <w:tcBorders>
              <w:bottom w:val="single" w:sz="8" w:color="838383"/>
            </w:tcBorders>
          </w:tcPr>
          <w:p>
            <w:pPr>
              <w:jc w:val="right"/>
              <w:ind w:right="375"/>
              <w:spacing w:after="0"/>
              <w:rPr>
                <w:sz w:val="20"/>
                <w:szCs w:val="20"/>
                <w:color w:val="auto"/>
              </w:rPr>
            </w:pPr>
            <w:r>
              <w:rPr>
                <w:rFonts w:ascii="Times New Roman" w:cs="Times New Roman" w:eastAsia="Times New Roman" w:hAnsi="Times New Roman"/>
                <w:sz w:val="17"/>
                <w:szCs w:val="17"/>
                <w:color w:val="262626"/>
                <w:w w:val="70"/>
              </w:rPr>
              <w:t>$</w:t>
            </w:r>
          </w:p>
        </w:tc>
        <w:tc>
          <w:tcPr>
            <w:tcW w:w="14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1,500,543</w:t>
            </w:r>
          </w:p>
        </w:tc>
        <w:tc>
          <w:tcPr>
            <w:tcW w:w="720" w:type="dxa"/>
            <w:vAlign w:val="bottom"/>
            <w:tcBorders>
              <w:bottom w:val="single" w:sz="8" w:color="838383"/>
            </w:tcBorders>
          </w:tcPr>
          <w:p>
            <w:pPr>
              <w:jc w:val="right"/>
              <w:ind w:right="450"/>
              <w:spacing w:after="0"/>
              <w:rPr>
                <w:sz w:val="20"/>
                <w:szCs w:val="20"/>
                <w:color w:val="auto"/>
              </w:rPr>
            </w:pPr>
            <w:r>
              <w:rPr>
                <w:rFonts w:ascii="Times New Roman" w:cs="Times New Roman" w:eastAsia="Times New Roman" w:hAnsi="Times New Roman"/>
                <w:sz w:val="18"/>
                <w:szCs w:val="18"/>
                <w:color w:val="262626"/>
              </w:rPr>
              <w:t>$</w:t>
            </w:r>
          </w:p>
        </w:tc>
        <w:tc>
          <w:tcPr>
            <w:tcW w:w="13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7,227</w:t>
            </w:r>
          </w:p>
        </w:tc>
        <w:tc>
          <w:tcPr>
            <w:tcW w:w="780" w:type="dxa"/>
            <w:vAlign w:val="bottom"/>
            <w:tcBorders>
              <w:bottom w:val="single" w:sz="8" w:color="838383"/>
            </w:tcBorders>
          </w:tcPr>
          <w:p>
            <w:pPr>
              <w:jc w:val="right"/>
              <w:ind w:right="510"/>
              <w:spacing w:after="0"/>
              <w:rPr>
                <w:sz w:val="20"/>
                <w:szCs w:val="20"/>
                <w:color w:val="auto"/>
              </w:rPr>
            </w:pPr>
            <w:r>
              <w:rPr>
                <w:rFonts w:ascii="Times New Roman" w:cs="Times New Roman" w:eastAsia="Times New Roman" w:hAnsi="Times New Roman"/>
                <w:sz w:val="18"/>
                <w:szCs w:val="18"/>
                <w:color w:val="262626"/>
              </w:rPr>
              <w:t>$</w:t>
            </w:r>
          </w:p>
        </w:tc>
        <w:tc>
          <w:tcPr>
            <w:tcW w:w="13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560" w:type="dxa"/>
            <w:vAlign w:val="bottom"/>
            <w:tcBorders>
              <w:bottom w:val="single" w:sz="8" w:color="838383"/>
            </w:tcBorders>
          </w:tcPr>
          <w:p>
            <w:pPr>
              <w:jc w:val="right"/>
              <w:ind w:right="290"/>
              <w:spacing w:after="0"/>
              <w:rPr>
                <w:sz w:val="20"/>
                <w:szCs w:val="20"/>
                <w:color w:val="auto"/>
              </w:rPr>
            </w:pPr>
            <w:r>
              <w:rPr>
                <w:rFonts w:ascii="Times New Roman" w:cs="Times New Roman" w:eastAsia="Times New Roman" w:hAnsi="Times New Roman"/>
                <w:sz w:val="18"/>
                <w:szCs w:val="18"/>
                <w:color w:val="262626"/>
              </w:rPr>
              <w:t>$</w:t>
            </w:r>
          </w:p>
        </w:tc>
        <w:tc>
          <w:tcPr>
            <w:tcW w:w="14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1,507,770</w:t>
            </w: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Corporate Bonds</w:t>
            </w: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1,994,639</w:t>
            </w:r>
          </w:p>
        </w:tc>
        <w:tc>
          <w:tcPr>
            <w:tcW w:w="720" w:type="dxa"/>
            <w:vAlign w:val="bottom"/>
            <w:tcBorders>
              <w:bottom w:val="single" w:sz="8" w:color="838383"/>
            </w:tcBorders>
          </w:tcPr>
          <w:p>
            <w:pPr>
              <w:spacing w:after="0"/>
              <w:rPr>
                <w:sz w:val="24"/>
                <w:szCs w:val="24"/>
                <w:color w:val="auto"/>
              </w:rPr>
            </w:pPr>
          </w:p>
        </w:tc>
        <w:tc>
          <w:tcPr>
            <w:tcW w:w="13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23,801</w:t>
            </w:r>
          </w:p>
        </w:tc>
        <w:tc>
          <w:tcPr>
            <w:tcW w:w="7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2,018,440</w:t>
            </w: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Other</w:t>
            </w: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1,897,402</w:t>
            </w:r>
          </w:p>
        </w:tc>
        <w:tc>
          <w:tcPr>
            <w:tcW w:w="720" w:type="dxa"/>
            <w:vAlign w:val="bottom"/>
            <w:tcBorders>
              <w:bottom w:val="single" w:sz="8" w:color="838383"/>
            </w:tcBorders>
          </w:tcPr>
          <w:p>
            <w:pPr>
              <w:spacing w:after="0"/>
              <w:rPr>
                <w:sz w:val="24"/>
                <w:szCs w:val="24"/>
                <w:color w:val="auto"/>
              </w:rPr>
            </w:pPr>
          </w:p>
        </w:tc>
        <w:tc>
          <w:tcPr>
            <w:tcW w:w="13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7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1,897,402</w:t>
            </w:r>
          </w:p>
        </w:tc>
      </w:tr>
      <w:tr>
        <w:trPr>
          <w:trHeight w:val="340"/>
        </w:trPr>
        <w:tc>
          <w:tcPr>
            <w:tcW w:w="23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Long-Term Investments:</w:t>
            </w: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spacing w:after="0"/>
              <w:rPr>
                <w:sz w:val="24"/>
                <w:szCs w:val="24"/>
                <w:color w:val="auto"/>
              </w:rPr>
            </w:pPr>
          </w:p>
        </w:tc>
        <w:tc>
          <w:tcPr>
            <w:tcW w:w="720" w:type="dxa"/>
            <w:vAlign w:val="bottom"/>
            <w:tcBorders>
              <w:bottom w:val="single" w:sz="8" w:color="838383"/>
            </w:tcBorders>
          </w:tcPr>
          <w:p>
            <w:pPr>
              <w:spacing w:after="0"/>
              <w:rPr>
                <w:sz w:val="24"/>
                <w:szCs w:val="24"/>
                <w:color w:val="auto"/>
              </w:rPr>
            </w:pPr>
          </w:p>
        </w:tc>
        <w:tc>
          <w:tcPr>
            <w:tcW w:w="1340" w:type="dxa"/>
            <w:vAlign w:val="bottom"/>
            <w:tcBorders>
              <w:bottom w:val="single" w:sz="8" w:color="838383"/>
            </w:tcBorders>
          </w:tcPr>
          <w:p>
            <w:pPr>
              <w:spacing w:after="0"/>
              <w:rPr>
                <w:sz w:val="24"/>
                <w:szCs w:val="24"/>
                <w:color w:val="auto"/>
              </w:rPr>
            </w:pPr>
          </w:p>
        </w:tc>
        <w:tc>
          <w:tcPr>
            <w:tcW w:w="7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spacing w:after="0"/>
              <w:rPr>
                <w:sz w:val="24"/>
                <w:szCs w:val="24"/>
                <w:color w:val="auto"/>
              </w:rPr>
            </w:pP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spacing w:after="0"/>
              <w:rPr>
                <w:sz w:val="24"/>
                <w:szCs w:val="24"/>
                <w:color w:val="auto"/>
              </w:rPr>
            </w:pP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Asset-backed Securities</w:t>
            </w: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26,352,630</w:t>
            </w:r>
          </w:p>
        </w:tc>
        <w:tc>
          <w:tcPr>
            <w:tcW w:w="720" w:type="dxa"/>
            <w:vAlign w:val="bottom"/>
            <w:tcBorders>
              <w:bottom w:val="single" w:sz="8" w:color="838383"/>
            </w:tcBorders>
          </w:tcPr>
          <w:p>
            <w:pPr>
              <w:spacing w:after="0"/>
              <w:rPr>
                <w:sz w:val="24"/>
                <w:szCs w:val="24"/>
                <w:color w:val="auto"/>
              </w:rPr>
            </w:pPr>
          </w:p>
        </w:tc>
        <w:tc>
          <w:tcPr>
            <w:tcW w:w="13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34,771</w:t>
            </w:r>
          </w:p>
        </w:tc>
        <w:tc>
          <w:tcPr>
            <w:tcW w:w="7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(587,888)</w:t>
            </w: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25,799,513</w:t>
            </w: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Certificate of Deposit</w:t>
            </w: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2,001,714</w:t>
            </w:r>
          </w:p>
        </w:tc>
        <w:tc>
          <w:tcPr>
            <w:tcW w:w="720" w:type="dxa"/>
            <w:vAlign w:val="bottom"/>
            <w:tcBorders>
              <w:bottom w:val="single" w:sz="8" w:color="838383"/>
            </w:tcBorders>
          </w:tcPr>
          <w:p>
            <w:pPr>
              <w:spacing w:after="0"/>
              <w:rPr>
                <w:sz w:val="24"/>
                <w:szCs w:val="24"/>
                <w:color w:val="auto"/>
              </w:rPr>
            </w:pPr>
          </w:p>
        </w:tc>
        <w:tc>
          <w:tcPr>
            <w:tcW w:w="13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54,996</w:t>
            </w:r>
          </w:p>
        </w:tc>
        <w:tc>
          <w:tcPr>
            <w:tcW w:w="7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2,056,710</w:t>
            </w: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Corporate Bonds</w:t>
            </w: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40,716,866</w:t>
            </w:r>
          </w:p>
        </w:tc>
        <w:tc>
          <w:tcPr>
            <w:tcW w:w="720" w:type="dxa"/>
            <w:vAlign w:val="bottom"/>
            <w:tcBorders>
              <w:bottom w:val="single" w:sz="8" w:color="838383"/>
            </w:tcBorders>
          </w:tcPr>
          <w:p>
            <w:pPr>
              <w:spacing w:after="0"/>
              <w:rPr>
                <w:sz w:val="24"/>
                <w:szCs w:val="24"/>
                <w:color w:val="auto"/>
              </w:rPr>
            </w:pPr>
          </w:p>
        </w:tc>
        <w:tc>
          <w:tcPr>
            <w:tcW w:w="13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168,416</w:t>
            </w:r>
          </w:p>
        </w:tc>
        <w:tc>
          <w:tcPr>
            <w:tcW w:w="7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(530,353)</w:t>
            </w: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40,354,929</w:t>
            </w:r>
          </w:p>
        </w:tc>
      </w:tr>
      <w:tr>
        <w:trPr>
          <w:trHeight w:val="340"/>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Government Securities</w:t>
            </w:r>
          </w:p>
        </w:tc>
        <w:tc>
          <w:tcPr>
            <w:tcW w:w="540" w:type="dxa"/>
            <w:vAlign w:val="bottom"/>
            <w:tcBorders>
              <w:bottom w:val="single" w:sz="8" w:color="838383"/>
            </w:tcBorders>
          </w:tcPr>
          <w:p>
            <w:pPr>
              <w:spacing w:after="0"/>
              <w:rPr>
                <w:sz w:val="24"/>
                <w:szCs w:val="24"/>
                <w:color w:val="auto"/>
              </w:rPr>
            </w:pPr>
          </w:p>
        </w:tc>
        <w:tc>
          <w:tcPr>
            <w:tcW w:w="14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48,385,672</w:t>
            </w:r>
          </w:p>
        </w:tc>
        <w:tc>
          <w:tcPr>
            <w:tcW w:w="720" w:type="dxa"/>
            <w:vAlign w:val="bottom"/>
            <w:tcBorders>
              <w:bottom w:val="single" w:sz="8" w:color="838383"/>
            </w:tcBorders>
          </w:tcPr>
          <w:p>
            <w:pPr>
              <w:spacing w:after="0"/>
              <w:rPr>
                <w:sz w:val="24"/>
                <w:szCs w:val="24"/>
                <w:color w:val="auto"/>
              </w:rPr>
            </w:pPr>
          </w:p>
        </w:tc>
        <w:tc>
          <w:tcPr>
            <w:tcW w:w="13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55,939</w:t>
            </w:r>
          </w:p>
        </w:tc>
        <w:tc>
          <w:tcPr>
            <w:tcW w:w="7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(497,575)</w:t>
            </w: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47,944,036</w:t>
            </w:r>
          </w:p>
        </w:tc>
      </w:tr>
      <w:tr>
        <w:trPr>
          <w:trHeight w:val="355"/>
        </w:trPr>
        <w:tc>
          <w:tcPr>
            <w:tcW w:w="23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Municipal Bonds</w:t>
            </w:r>
          </w:p>
        </w:tc>
        <w:tc>
          <w:tcPr>
            <w:tcW w:w="540" w:type="dxa"/>
            <w:vAlign w:val="bottom"/>
            <w:tcBorders>
              <w:bottom w:val="single" w:sz="8" w:color="8F8F8F"/>
            </w:tcBorders>
          </w:tcPr>
          <w:p>
            <w:pPr>
              <w:spacing w:after="0"/>
              <w:rPr>
                <w:sz w:val="24"/>
                <w:szCs w:val="24"/>
                <w:color w:val="auto"/>
              </w:rPr>
            </w:pPr>
          </w:p>
        </w:tc>
        <w:tc>
          <w:tcPr>
            <w:tcW w:w="144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72,175,568</w:t>
            </w:r>
          </w:p>
        </w:tc>
        <w:tc>
          <w:tcPr>
            <w:tcW w:w="720" w:type="dxa"/>
            <w:vAlign w:val="bottom"/>
            <w:tcBorders>
              <w:bottom w:val="single" w:sz="8" w:color="8F8F8F"/>
            </w:tcBorders>
          </w:tcPr>
          <w:p>
            <w:pPr>
              <w:spacing w:after="0"/>
              <w:rPr>
                <w:sz w:val="24"/>
                <w:szCs w:val="24"/>
                <w:color w:val="auto"/>
              </w:rPr>
            </w:pPr>
          </w:p>
        </w:tc>
        <w:tc>
          <w:tcPr>
            <w:tcW w:w="13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2,747,964</w:t>
            </w:r>
          </w:p>
        </w:tc>
        <w:tc>
          <w:tcPr>
            <w:tcW w:w="780" w:type="dxa"/>
            <w:vAlign w:val="bottom"/>
            <w:tcBorders>
              <w:bottom w:val="single" w:sz="8" w:color="8F8F8F"/>
            </w:tcBorders>
          </w:tcPr>
          <w:p>
            <w:pPr>
              <w:spacing w:after="0"/>
              <w:rPr>
                <w:sz w:val="24"/>
                <w:szCs w:val="24"/>
                <w:color w:val="auto"/>
              </w:rPr>
            </w:pPr>
          </w:p>
        </w:tc>
        <w:tc>
          <w:tcPr>
            <w:tcW w:w="130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(203,052)</w:t>
            </w:r>
          </w:p>
        </w:tc>
        <w:tc>
          <w:tcPr>
            <w:tcW w:w="560" w:type="dxa"/>
            <w:vAlign w:val="bottom"/>
            <w:tcBorders>
              <w:bottom w:val="single" w:sz="8" w:color="8F8F8F"/>
            </w:tcBorders>
          </w:tcPr>
          <w:p>
            <w:pPr>
              <w:spacing w:after="0"/>
              <w:rPr>
                <w:sz w:val="24"/>
                <w:szCs w:val="24"/>
                <w:color w:val="auto"/>
              </w:rPr>
            </w:pPr>
          </w:p>
        </w:tc>
        <w:tc>
          <w:tcPr>
            <w:tcW w:w="142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74,720,480</w:t>
            </w:r>
          </w:p>
        </w:tc>
      </w:tr>
      <w:tr>
        <w:trPr>
          <w:trHeight w:val="310"/>
        </w:trPr>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262626"/>
              </w:rPr>
              <w:t>Total</w:t>
            </w:r>
          </w:p>
        </w:tc>
        <w:tc>
          <w:tcPr>
            <w:tcW w:w="540" w:type="dxa"/>
            <w:vAlign w:val="bottom"/>
            <w:tcBorders>
              <w:bottom w:val="single" w:sz="8" w:color="8F8F8F"/>
            </w:tcBorders>
          </w:tcPr>
          <w:p>
            <w:pPr>
              <w:jc w:val="right"/>
              <w:ind w:right="375"/>
              <w:spacing w:after="0"/>
              <w:rPr>
                <w:sz w:val="20"/>
                <w:szCs w:val="20"/>
                <w:color w:val="auto"/>
              </w:rPr>
            </w:pPr>
            <w:r>
              <w:rPr>
                <w:rFonts w:ascii="Times New Roman" w:cs="Times New Roman" w:eastAsia="Times New Roman" w:hAnsi="Times New Roman"/>
                <w:sz w:val="17"/>
                <w:szCs w:val="17"/>
                <w:color w:val="262626"/>
                <w:w w:val="70"/>
              </w:rPr>
              <w:t>$</w:t>
            </w:r>
          </w:p>
        </w:tc>
        <w:tc>
          <w:tcPr>
            <w:tcW w:w="144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195,025,034</w:t>
            </w:r>
          </w:p>
        </w:tc>
        <w:tc>
          <w:tcPr>
            <w:tcW w:w="720" w:type="dxa"/>
            <w:vAlign w:val="bottom"/>
            <w:tcBorders>
              <w:bottom w:val="single" w:sz="8" w:color="8F8F8F"/>
            </w:tcBorders>
          </w:tcPr>
          <w:p>
            <w:pPr>
              <w:jc w:val="right"/>
              <w:ind w:right="450"/>
              <w:spacing w:after="0"/>
              <w:rPr>
                <w:sz w:val="20"/>
                <w:szCs w:val="20"/>
                <w:color w:val="auto"/>
              </w:rPr>
            </w:pPr>
            <w:r>
              <w:rPr>
                <w:rFonts w:ascii="Times New Roman" w:cs="Times New Roman" w:eastAsia="Times New Roman" w:hAnsi="Times New Roman"/>
                <w:sz w:val="18"/>
                <w:szCs w:val="18"/>
                <w:color w:val="262626"/>
              </w:rPr>
              <w:t>$</w:t>
            </w:r>
          </w:p>
        </w:tc>
        <w:tc>
          <w:tcPr>
            <w:tcW w:w="13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3,093,114</w:t>
            </w:r>
          </w:p>
        </w:tc>
        <w:tc>
          <w:tcPr>
            <w:tcW w:w="780" w:type="dxa"/>
            <w:vAlign w:val="bottom"/>
            <w:tcBorders>
              <w:bottom w:val="single" w:sz="8" w:color="8F8F8F"/>
            </w:tcBorders>
          </w:tcPr>
          <w:p>
            <w:pPr>
              <w:jc w:val="right"/>
              <w:ind w:right="510"/>
              <w:spacing w:after="0"/>
              <w:rPr>
                <w:sz w:val="20"/>
                <w:szCs w:val="20"/>
                <w:color w:val="auto"/>
              </w:rPr>
            </w:pPr>
            <w:r>
              <w:rPr>
                <w:rFonts w:ascii="Times New Roman" w:cs="Times New Roman" w:eastAsia="Times New Roman" w:hAnsi="Times New Roman"/>
                <w:sz w:val="18"/>
                <w:szCs w:val="18"/>
                <w:color w:val="262626"/>
              </w:rPr>
              <w:t>$</w:t>
            </w:r>
          </w:p>
        </w:tc>
        <w:tc>
          <w:tcPr>
            <w:tcW w:w="130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(1,818,868)</w:t>
            </w:r>
          </w:p>
        </w:tc>
        <w:tc>
          <w:tcPr>
            <w:tcW w:w="560" w:type="dxa"/>
            <w:vAlign w:val="bottom"/>
            <w:tcBorders>
              <w:bottom w:val="single" w:sz="8" w:color="8F8F8F"/>
            </w:tcBorders>
          </w:tcPr>
          <w:p>
            <w:pPr>
              <w:jc w:val="right"/>
              <w:ind w:right="290"/>
              <w:spacing w:after="0"/>
              <w:rPr>
                <w:sz w:val="20"/>
                <w:szCs w:val="20"/>
                <w:color w:val="auto"/>
              </w:rPr>
            </w:pPr>
            <w:r>
              <w:rPr>
                <w:rFonts w:ascii="Times New Roman" w:cs="Times New Roman" w:eastAsia="Times New Roman" w:hAnsi="Times New Roman"/>
                <w:sz w:val="18"/>
                <w:szCs w:val="18"/>
                <w:color w:val="262626"/>
              </w:rPr>
              <w:t>$</w:t>
            </w:r>
          </w:p>
        </w:tc>
        <w:tc>
          <w:tcPr>
            <w:tcW w:w="142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196,299,280</w:t>
            </w:r>
          </w:p>
        </w:tc>
      </w:tr>
      <w:tr>
        <w:trPr>
          <w:trHeight w:val="20"/>
        </w:trPr>
        <w:tc>
          <w:tcPr>
            <w:tcW w:w="2360" w:type="dxa"/>
            <w:vAlign w:val="bottom"/>
          </w:tcPr>
          <w:p>
            <w:pPr>
              <w:spacing w:after="0" w:line="20" w:lineRule="exact"/>
              <w:rPr>
                <w:sz w:val="1"/>
                <w:szCs w:val="1"/>
                <w:color w:val="auto"/>
              </w:rPr>
            </w:pPr>
          </w:p>
        </w:tc>
        <w:tc>
          <w:tcPr>
            <w:tcW w:w="540" w:type="dxa"/>
            <w:vAlign w:val="bottom"/>
            <w:tcBorders>
              <w:bottom w:val="single" w:sz="8" w:color="8F8F8F"/>
            </w:tcBorders>
          </w:tcPr>
          <w:p>
            <w:pPr>
              <w:spacing w:after="0" w:line="20" w:lineRule="exact"/>
              <w:rPr>
                <w:sz w:val="1"/>
                <w:szCs w:val="1"/>
                <w:color w:val="auto"/>
              </w:rPr>
            </w:pPr>
          </w:p>
        </w:tc>
        <w:tc>
          <w:tcPr>
            <w:tcW w:w="1440" w:type="dxa"/>
            <w:vAlign w:val="bottom"/>
            <w:tcBorders>
              <w:bottom w:val="single" w:sz="8" w:color="8F8F8F"/>
            </w:tcBorders>
          </w:tcPr>
          <w:p>
            <w:pPr>
              <w:spacing w:after="0" w:line="20" w:lineRule="exact"/>
              <w:rPr>
                <w:sz w:val="1"/>
                <w:szCs w:val="1"/>
                <w:color w:val="auto"/>
              </w:rPr>
            </w:pPr>
          </w:p>
        </w:tc>
        <w:tc>
          <w:tcPr>
            <w:tcW w:w="720" w:type="dxa"/>
            <w:vAlign w:val="bottom"/>
            <w:tcBorders>
              <w:bottom w:val="single" w:sz="8" w:color="8F8F8F"/>
            </w:tcBorders>
          </w:tcPr>
          <w:p>
            <w:pPr>
              <w:spacing w:after="0" w:line="20" w:lineRule="exact"/>
              <w:rPr>
                <w:sz w:val="1"/>
                <w:szCs w:val="1"/>
                <w:color w:val="auto"/>
              </w:rPr>
            </w:pPr>
          </w:p>
        </w:tc>
        <w:tc>
          <w:tcPr>
            <w:tcW w:w="1340" w:type="dxa"/>
            <w:vAlign w:val="bottom"/>
            <w:tcBorders>
              <w:bottom w:val="single" w:sz="8" w:color="8F8F8F"/>
            </w:tcBorders>
          </w:tcPr>
          <w:p>
            <w:pPr>
              <w:spacing w:after="0" w:line="20" w:lineRule="exact"/>
              <w:rPr>
                <w:sz w:val="1"/>
                <w:szCs w:val="1"/>
                <w:color w:val="auto"/>
              </w:rPr>
            </w:pPr>
          </w:p>
        </w:tc>
        <w:tc>
          <w:tcPr>
            <w:tcW w:w="780" w:type="dxa"/>
            <w:vAlign w:val="bottom"/>
            <w:tcBorders>
              <w:bottom w:val="single" w:sz="8" w:color="8F8F8F"/>
            </w:tcBorders>
          </w:tcPr>
          <w:p>
            <w:pPr>
              <w:spacing w:after="0" w:line="20" w:lineRule="exact"/>
              <w:rPr>
                <w:sz w:val="1"/>
                <w:szCs w:val="1"/>
                <w:color w:val="auto"/>
              </w:rPr>
            </w:pPr>
          </w:p>
        </w:tc>
        <w:tc>
          <w:tcPr>
            <w:tcW w:w="1300" w:type="dxa"/>
            <w:vAlign w:val="bottom"/>
            <w:tcBorders>
              <w:bottom w:val="single" w:sz="8" w:color="8F8F8F"/>
            </w:tcBorders>
          </w:tcPr>
          <w:p>
            <w:pPr>
              <w:spacing w:after="0" w:line="20" w:lineRule="exact"/>
              <w:rPr>
                <w:sz w:val="1"/>
                <w:szCs w:val="1"/>
                <w:color w:val="auto"/>
              </w:rPr>
            </w:pPr>
          </w:p>
        </w:tc>
        <w:tc>
          <w:tcPr>
            <w:tcW w:w="560" w:type="dxa"/>
            <w:vAlign w:val="bottom"/>
            <w:tcBorders>
              <w:bottom w:val="single" w:sz="8" w:color="8F8F8F"/>
            </w:tcBorders>
          </w:tcPr>
          <w:p>
            <w:pPr>
              <w:spacing w:after="0" w:line="20" w:lineRule="exact"/>
              <w:rPr>
                <w:sz w:val="1"/>
                <w:szCs w:val="1"/>
                <w:color w:val="auto"/>
              </w:rPr>
            </w:pPr>
          </w:p>
        </w:tc>
        <w:tc>
          <w:tcPr>
            <w:tcW w:w="1420" w:type="dxa"/>
            <w:vAlign w:val="bottom"/>
            <w:tcBorders>
              <w:bottom w:val="single" w:sz="8" w:color="8F8F8F"/>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80"/>
          </w:cols>
          <w:pgMar w:left="580" w:top="96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68</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80"/>
          </w:cols>
          <w:pgMar w:left="580" w:top="965" w:right="88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262626"/>
        </w:rPr>
        <w:t>Unrealized losses on investments as of December.31, 2022 are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304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2560" w:type="dxa"/>
            <w:vAlign w:val="bottom"/>
            <w:tcBorders>
              <w:bottom w:val="single" w:sz="8" w:color="838383"/>
            </w:tcBorders>
          </w:tcPr>
          <w:p>
            <w:pPr>
              <w:jc w:val="right"/>
              <w:spacing w:after="0"/>
              <w:rPr>
                <w:sz w:val="20"/>
                <w:szCs w:val="20"/>
                <w:color w:val="auto"/>
              </w:rPr>
            </w:pPr>
            <w:r>
              <w:rPr>
                <w:rFonts w:ascii="Arial" w:cs="Arial" w:eastAsia="Arial" w:hAnsi="Arial"/>
                <w:sz w:val="18"/>
                <w:szCs w:val="18"/>
                <w:b w:val="1"/>
                <w:bCs w:val="1"/>
                <w:color w:val="262626"/>
                <w:w w:val="97"/>
              </w:rPr>
              <w:t>Aggregate Unrealized Losses</w:t>
            </w:r>
          </w:p>
        </w:tc>
        <w:tc>
          <w:tcPr>
            <w:tcW w:w="780" w:type="dxa"/>
            <w:vAlign w:val="bottom"/>
            <w:tcBorders>
              <w:bottom w:val="single" w:sz="8" w:color="838383"/>
            </w:tcBorders>
          </w:tcPr>
          <w:p>
            <w:pPr>
              <w:spacing w:after="0"/>
              <w:rPr>
                <w:sz w:val="24"/>
                <w:szCs w:val="24"/>
                <w:color w:val="auto"/>
              </w:rPr>
            </w:pPr>
          </w:p>
        </w:tc>
        <w:tc>
          <w:tcPr>
            <w:tcW w:w="2200" w:type="dxa"/>
            <w:vAlign w:val="bottom"/>
            <w:tcBorders>
              <w:bottom w:val="single" w:sz="8" w:color="838383"/>
            </w:tcBorders>
          </w:tcPr>
          <w:p>
            <w:pPr>
              <w:jc w:val="right"/>
              <w:spacing w:after="0"/>
              <w:rPr>
                <w:sz w:val="20"/>
                <w:szCs w:val="20"/>
                <w:color w:val="auto"/>
              </w:rPr>
            </w:pPr>
            <w:r>
              <w:rPr>
                <w:rFonts w:ascii="Arial" w:cs="Arial" w:eastAsia="Arial" w:hAnsi="Arial"/>
                <w:sz w:val="18"/>
                <w:szCs w:val="18"/>
                <w:b w:val="1"/>
                <w:bCs w:val="1"/>
                <w:color w:val="262626"/>
              </w:rPr>
              <w:t>Aggregate Fair Value</w:t>
            </w:r>
          </w:p>
        </w:tc>
      </w:tr>
      <w:tr>
        <w:trPr>
          <w:trHeight w:val="340"/>
        </w:trPr>
        <w:tc>
          <w:tcPr>
            <w:tcW w:w="30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Less than one year</w:t>
            </w:r>
          </w:p>
        </w:tc>
        <w:tc>
          <w:tcPr>
            <w:tcW w:w="1880" w:type="dxa"/>
            <w:vAlign w:val="bottom"/>
            <w:tcBorders>
              <w:bottom w:val="single" w:sz="8" w:color="838383"/>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262626"/>
              </w:rPr>
              <w:t>$</w:t>
            </w:r>
          </w:p>
        </w:tc>
        <w:tc>
          <w:tcPr>
            <w:tcW w:w="25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4,816,103</w:t>
            </w:r>
          </w:p>
        </w:tc>
        <w:tc>
          <w:tcPr>
            <w:tcW w:w="780" w:type="dxa"/>
            <w:vAlign w:val="bottom"/>
            <w:tcBorders>
              <w:bottom w:val="single" w:sz="8" w:color="838383"/>
            </w:tcBorders>
          </w:tcPr>
          <w:p>
            <w:pPr>
              <w:jc w:val="right"/>
              <w:ind w:right="510"/>
              <w:spacing w:after="0"/>
              <w:rPr>
                <w:sz w:val="20"/>
                <w:szCs w:val="20"/>
                <w:color w:val="auto"/>
              </w:rPr>
            </w:pPr>
            <w:r>
              <w:rPr>
                <w:rFonts w:ascii="Times New Roman" w:cs="Times New Roman" w:eastAsia="Times New Roman" w:hAnsi="Times New Roman"/>
                <w:sz w:val="18"/>
                <w:szCs w:val="18"/>
                <w:color w:val="262626"/>
              </w:rPr>
              <w:t>$</w:t>
            </w:r>
          </w:p>
        </w:tc>
        <w:tc>
          <w:tcPr>
            <w:tcW w:w="22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77,701,146</w:t>
            </w:r>
          </w:p>
        </w:tc>
      </w:tr>
      <w:tr>
        <w:trPr>
          <w:trHeight w:val="355"/>
        </w:trPr>
        <w:tc>
          <w:tcPr>
            <w:tcW w:w="30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Greater than one year</w:t>
            </w:r>
          </w:p>
        </w:tc>
        <w:tc>
          <w:tcPr>
            <w:tcW w:w="1480" w:type="dxa"/>
            <w:vAlign w:val="bottom"/>
            <w:tcBorders>
              <w:bottom w:val="single" w:sz="8" w:color="838383"/>
            </w:tcBorders>
          </w:tcPr>
          <w:p>
            <w:pPr>
              <w:spacing w:after="0"/>
              <w:rPr>
                <w:sz w:val="24"/>
                <w:szCs w:val="24"/>
                <w:color w:val="auto"/>
              </w:rPr>
            </w:pPr>
          </w:p>
        </w:tc>
        <w:tc>
          <w:tcPr>
            <w:tcW w:w="400" w:type="dxa"/>
            <w:vAlign w:val="bottom"/>
            <w:tcBorders>
              <w:bottom w:val="single" w:sz="8" w:color="8F8F8F"/>
            </w:tcBorders>
          </w:tcPr>
          <w:p>
            <w:pPr>
              <w:spacing w:after="0"/>
              <w:rPr>
                <w:sz w:val="24"/>
                <w:szCs w:val="24"/>
                <w:color w:val="auto"/>
              </w:rPr>
            </w:pPr>
          </w:p>
        </w:tc>
        <w:tc>
          <w:tcPr>
            <w:tcW w:w="25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8,217,959</w:t>
            </w:r>
          </w:p>
        </w:tc>
        <w:tc>
          <w:tcPr>
            <w:tcW w:w="780" w:type="dxa"/>
            <w:vAlign w:val="bottom"/>
            <w:tcBorders>
              <w:bottom w:val="single" w:sz="8" w:color="8F8F8F"/>
            </w:tcBorders>
          </w:tcPr>
          <w:p>
            <w:pPr>
              <w:spacing w:after="0"/>
              <w:rPr>
                <w:sz w:val="24"/>
                <w:szCs w:val="24"/>
                <w:color w:val="auto"/>
              </w:rPr>
            </w:pPr>
          </w:p>
        </w:tc>
        <w:tc>
          <w:tcPr>
            <w:tcW w:w="22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76,643,586</w:t>
            </w:r>
          </w:p>
        </w:tc>
      </w:tr>
      <w:tr>
        <w:trPr>
          <w:trHeight w:val="31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262626"/>
              </w:rPr>
              <w:t>Total</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62626"/>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13,034,062</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262626"/>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154,344,732</w:t>
            </w:r>
          </w:p>
        </w:tc>
      </w:tr>
      <w:tr>
        <w:trPr>
          <w:trHeight w:val="20"/>
        </w:trPr>
        <w:tc>
          <w:tcPr>
            <w:tcW w:w="3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Borders>
              <w:top w:val="single" w:sz="8" w:color="8F8F8F"/>
              <w:bottom w:val="single" w:sz="8" w:color="8F8F8F"/>
            </w:tcBorders>
          </w:tcPr>
          <w:p>
            <w:pPr>
              <w:spacing w:after="0" w:line="20" w:lineRule="exact"/>
              <w:rPr>
                <w:sz w:val="1"/>
                <w:szCs w:val="1"/>
                <w:color w:val="auto"/>
              </w:rPr>
            </w:pPr>
          </w:p>
        </w:tc>
        <w:tc>
          <w:tcPr>
            <w:tcW w:w="2560" w:type="dxa"/>
            <w:vAlign w:val="bottom"/>
            <w:tcBorders>
              <w:top w:val="single" w:sz="8" w:color="8F8F8F"/>
              <w:bottom w:val="single" w:sz="8" w:color="8F8F8F"/>
            </w:tcBorders>
          </w:tcPr>
          <w:p>
            <w:pPr>
              <w:spacing w:after="0" w:line="20" w:lineRule="exact"/>
              <w:rPr>
                <w:sz w:val="1"/>
                <w:szCs w:val="1"/>
                <w:color w:val="auto"/>
              </w:rPr>
            </w:pPr>
          </w:p>
        </w:tc>
        <w:tc>
          <w:tcPr>
            <w:tcW w:w="780" w:type="dxa"/>
            <w:vAlign w:val="bottom"/>
            <w:tcBorders>
              <w:top w:val="single" w:sz="8" w:color="8F8F8F"/>
              <w:bottom w:val="single" w:sz="8" w:color="8F8F8F"/>
            </w:tcBorders>
          </w:tcPr>
          <w:p>
            <w:pPr>
              <w:spacing w:after="0" w:line="20" w:lineRule="exact"/>
              <w:rPr>
                <w:sz w:val="1"/>
                <w:szCs w:val="1"/>
                <w:color w:val="auto"/>
              </w:rPr>
            </w:pPr>
          </w:p>
        </w:tc>
        <w:tc>
          <w:tcPr>
            <w:tcW w:w="2200" w:type="dxa"/>
            <w:vAlign w:val="bottom"/>
            <w:tcBorders>
              <w:top w:val="single" w:sz="8" w:color="8F8F8F"/>
              <w:bottom w:val="single" w:sz="8" w:color="8F8F8F"/>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Unrealized losses on investments as of December 31, 2021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3040" w:type="dxa"/>
            <w:vAlign w:val="bottom"/>
            <w:tcBorders>
              <w:bottom w:val="single" w:sz="8" w:color="838383"/>
            </w:tcBorders>
          </w:tcPr>
          <w:p>
            <w:pPr>
              <w:spacing w:after="0"/>
              <w:rPr>
                <w:sz w:val="24"/>
                <w:szCs w:val="24"/>
                <w:color w:val="auto"/>
              </w:rPr>
            </w:pPr>
          </w:p>
        </w:tc>
        <w:tc>
          <w:tcPr>
            <w:tcW w:w="1480" w:type="dxa"/>
            <w:vAlign w:val="bottom"/>
            <w:tcBorders>
              <w:bottom w:val="single" w:sz="8" w:color="838383"/>
            </w:tcBorders>
          </w:tcPr>
          <w:p>
            <w:pPr>
              <w:spacing w:after="0"/>
              <w:rPr>
                <w:sz w:val="24"/>
                <w:szCs w:val="24"/>
                <w:color w:val="auto"/>
              </w:rPr>
            </w:pPr>
          </w:p>
        </w:tc>
        <w:tc>
          <w:tcPr>
            <w:tcW w:w="400" w:type="dxa"/>
            <w:vAlign w:val="bottom"/>
            <w:tcBorders>
              <w:bottom w:val="single" w:sz="8" w:color="838383"/>
            </w:tcBorders>
          </w:tcPr>
          <w:p>
            <w:pPr>
              <w:spacing w:after="0"/>
              <w:rPr>
                <w:sz w:val="24"/>
                <w:szCs w:val="24"/>
                <w:color w:val="auto"/>
              </w:rPr>
            </w:pPr>
          </w:p>
        </w:tc>
        <w:tc>
          <w:tcPr>
            <w:tcW w:w="2560" w:type="dxa"/>
            <w:vAlign w:val="bottom"/>
            <w:tcBorders>
              <w:bottom w:val="single" w:sz="8" w:color="838383"/>
            </w:tcBorders>
          </w:tcPr>
          <w:p>
            <w:pPr>
              <w:jc w:val="right"/>
              <w:spacing w:after="0"/>
              <w:rPr>
                <w:sz w:val="20"/>
                <w:szCs w:val="20"/>
                <w:color w:val="auto"/>
              </w:rPr>
            </w:pPr>
            <w:r>
              <w:rPr>
                <w:rFonts w:ascii="Arial" w:cs="Arial" w:eastAsia="Arial" w:hAnsi="Arial"/>
                <w:sz w:val="18"/>
                <w:szCs w:val="18"/>
                <w:b w:val="1"/>
                <w:bCs w:val="1"/>
                <w:color w:val="262626"/>
                <w:w w:val="97"/>
              </w:rPr>
              <w:t>Aggregate Unrealized Losses</w:t>
            </w:r>
          </w:p>
        </w:tc>
        <w:tc>
          <w:tcPr>
            <w:tcW w:w="780" w:type="dxa"/>
            <w:vAlign w:val="bottom"/>
            <w:tcBorders>
              <w:bottom w:val="single" w:sz="8" w:color="838383"/>
            </w:tcBorders>
          </w:tcPr>
          <w:p>
            <w:pPr>
              <w:spacing w:after="0"/>
              <w:rPr>
                <w:sz w:val="24"/>
                <w:szCs w:val="24"/>
                <w:color w:val="auto"/>
              </w:rPr>
            </w:pPr>
          </w:p>
        </w:tc>
        <w:tc>
          <w:tcPr>
            <w:tcW w:w="2200" w:type="dxa"/>
            <w:vAlign w:val="bottom"/>
            <w:tcBorders>
              <w:bottom w:val="single" w:sz="8" w:color="838383"/>
            </w:tcBorders>
          </w:tcPr>
          <w:p>
            <w:pPr>
              <w:jc w:val="right"/>
              <w:spacing w:after="0"/>
              <w:rPr>
                <w:sz w:val="20"/>
                <w:szCs w:val="20"/>
                <w:color w:val="auto"/>
              </w:rPr>
            </w:pPr>
            <w:r>
              <w:rPr>
                <w:rFonts w:ascii="Arial" w:cs="Arial" w:eastAsia="Arial" w:hAnsi="Arial"/>
                <w:sz w:val="18"/>
                <w:szCs w:val="18"/>
                <w:b w:val="1"/>
                <w:bCs w:val="1"/>
                <w:color w:val="262626"/>
              </w:rPr>
              <w:t>Aggregate Fair Value</w:t>
            </w:r>
          </w:p>
        </w:tc>
      </w:tr>
      <w:tr>
        <w:trPr>
          <w:trHeight w:val="340"/>
        </w:trPr>
        <w:tc>
          <w:tcPr>
            <w:tcW w:w="30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Less than one year</w:t>
            </w:r>
          </w:p>
        </w:tc>
        <w:tc>
          <w:tcPr>
            <w:tcW w:w="1880" w:type="dxa"/>
            <w:vAlign w:val="bottom"/>
            <w:tcBorders>
              <w:bottom w:val="single" w:sz="8" w:color="838383"/>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262626"/>
              </w:rPr>
              <w:t>$</w:t>
            </w:r>
          </w:p>
        </w:tc>
        <w:tc>
          <w:tcPr>
            <w:tcW w:w="25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1,244,053</w:t>
            </w:r>
          </w:p>
        </w:tc>
        <w:tc>
          <w:tcPr>
            <w:tcW w:w="780" w:type="dxa"/>
            <w:vAlign w:val="bottom"/>
            <w:tcBorders>
              <w:bottom w:val="single" w:sz="8" w:color="838383"/>
            </w:tcBorders>
          </w:tcPr>
          <w:p>
            <w:pPr>
              <w:jc w:val="right"/>
              <w:ind w:right="510"/>
              <w:spacing w:after="0"/>
              <w:rPr>
                <w:sz w:val="20"/>
                <w:szCs w:val="20"/>
                <w:color w:val="auto"/>
              </w:rPr>
            </w:pPr>
            <w:r>
              <w:rPr>
                <w:rFonts w:ascii="Times New Roman" w:cs="Times New Roman" w:eastAsia="Times New Roman" w:hAnsi="Times New Roman"/>
                <w:sz w:val="18"/>
                <w:szCs w:val="18"/>
                <w:color w:val="262626"/>
              </w:rPr>
              <w:t>$</w:t>
            </w:r>
          </w:p>
        </w:tc>
        <w:tc>
          <w:tcPr>
            <w:tcW w:w="22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94,417,123</w:t>
            </w:r>
          </w:p>
        </w:tc>
      </w:tr>
      <w:tr>
        <w:trPr>
          <w:trHeight w:val="355"/>
        </w:trPr>
        <w:tc>
          <w:tcPr>
            <w:tcW w:w="30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Greater than one year</w:t>
            </w:r>
          </w:p>
        </w:tc>
        <w:tc>
          <w:tcPr>
            <w:tcW w:w="1480" w:type="dxa"/>
            <w:vAlign w:val="bottom"/>
            <w:tcBorders>
              <w:bottom w:val="single" w:sz="8" w:color="838383"/>
            </w:tcBorders>
          </w:tcPr>
          <w:p>
            <w:pPr>
              <w:spacing w:after="0"/>
              <w:rPr>
                <w:sz w:val="24"/>
                <w:szCs w:val="24"/>
                <w:color w:val="auto"/>
              </w:rPr>
            </w:pPr>
          </w:p>
        </w:tc>
        <w:tc>
          <w:tcPr>
            <w:tcW w:w="400" w:type="dxa"/>
            <w:vAlign w:val="bottom"/>
            <w:tcBorders>
              <w:bottom w:val="single" w:sz="8" w:color="8F8F8F"/>
            </w:tcBorders>
          </w:tcPr>
          <w:p>
            <w:pPr>
              <w:spacing w:after="0"/>
              <w:rPr>
                <w:sz w:val="24"/>
                <w:szCs w:val="24"/>
                <w:color w:val="auto"/>
              </w:rPr>
            </w:pPr>
          </w:p>
        </w:tc>
        <w:tc>
          <w:tcPr>
            <w:tcW w:w="25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574,815</w:t>
            </w:r>
          </w:p>
        </w:tc>
        <w:tc>
          <w:tcPr>
            <w:tcW w:w="780" w:type="dxa"/>
            <w:vAlign w:val="bottom"/>
            <w:tcBorders>
              <w:bottom w:val="single" w:sz="8" w:color="8F8F8F"/>
            </w:tcBorders>
          </w:tcPr>
          <w:p>
            <w:pPr>
              <w:spacing w:after="0"/>
              <w:rPr>
                <w:sz w:val="24"/>
                <w:szCs w:val="24"/>
                <w:color w:val="auto"/>
              </w:rPr>
            </w:pPr>
          </w:p>
        </w:tc>
        <w:tc>
          <w:tcPr>
            <w:tcW w:w="22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6,875,230</w:t>
            </w:r>
          </w:p>
        </w:tc>
      </w:tr>
      <w:tr>
        <w:trPr>
          <w:trHeight w:val="31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262626"/>
              </w:rPr>
              <w:t>Total</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62626"/>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1,818,868</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262626"/>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101,292,353</w:t>
            </w:r>
          </w:p>
        </w:tc>
      </w:tr>
      <w:tr>
        <w:trPr>
          <w:trHeight w:val="20"/>
        </w:trPr>
        <w:tc>
          <w:tcPr>
            <w:tcW w:w="3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Borders>
              <w:top w:val="single" w:sz="8" w:color="8F8F8F"/>
              <w:bottom w:val="single" w:sz="8" w:color="8F8F8F"/>
            </w:tcBorders>
          </w:tcPr>
          <w:p>
            <w:pPr>
              <w:spacing w:after="0" w:line="20" w:lineRule="exact"/>
              <w:rPr>
                <w:sz w:val="1"/>
                <w:szCs w:val="1"/>
                <w:color w:val="auto"/>
              </w:rPr>
            </w:pPr>
          </w:p>
        </w:tc>
        <w:tc>
          <w:tcPr>
            <w:tcW w:w="2560" w:type="dxa"/>
            <w:vAlign w:val="bottom"/>
            <w:tcBorders>
              <w:top w:val="single" w:sz="8" w:color="8F8F8F"/>
              <w:bottom w:val="single" w:sz="8" w:color="8F8F8F"/>
            </w:tcBorders>
          </w:tcPr>
          <w:p>
            <w:pPr>
              <w:spacing w:after="0" w:line="20" w:lineRule="exact"/>
              <w:rPr>
                <w:sz w:val="1"/>
                <w:szCs w:val="1"/>
                <w:color w:val="auto"/>
              </w:rPr>
            </w:pPr>
          </w:p>
        </w:tc>
        <w:tc>
          <w:tcPr>
            <w:tcW w:w="780" w:type="dxa"/>
            <w:vAlign w:val="bottom"/>
            <w:tcBorders>
              <w:top w:val="single" w:sz="8" w:color="8F8F8F"/>
              <w:bottom w:val="single" w:sz="8" w:color="8F8F8F"/>
            </w:tcBorders>
          </w:tcPr>
          <w:p>
            <w:pPr>
              <w:spacing w:after="0" w:line="20" w:lineRule="exact"/>
              <w:rPr>
                <w:sz w:val="1"/>
                <w:szCs w:val="1"/>
                <w:color w:val="auto"/>
              </w:rPr>
            </w:pPr>
          </w:p>
        </w:tc>
        <w:tc>
          <w:tcPr>
            <w:tcW w:w="2200" w:type="dxa"/>
            <w:vAlign w:val="bottom"/>
            <w:tcBorders>
              <w:top w:val="single" w:sz="8" w:color="8F8F8F"/>
              <w:bottom w:val="single" w:sz="8" w:color="8F8F8F"/>
            </w:tcBorders>
          </w:tcPr>
          <w:p>
            <w:pPr>
              <w:spacing w:after="0" w:line="20" w:lineRule="exact"/>
              <w:rPr>
                <w:sz w:val="1"/>
                <w:szCs w:val="1"/>
                <w:color w:val="auto"/>
              </w:rPr>
            </w:pPr>
          </w:p>
        </w:tc>
      </w:tr>
    </w:tbl>
    <w:p>
      <w:pPr>
        <w:spacing w:after="0" w:line="200" w:lineRule="exact"/>
        <w:rPr>
          <w:sz w:val="20"/>
          <w:szCs w:val="20"/>
          <w:color w:val="auto"/>
        </w:rPr>
      </w:pPr>
    </w:p>
    <w:p>
      <w:pPr>
        <w:ind w:right="480"/>
        <w:spacing w:after="0" w:line="343" w:lineRule="auto"/>
        <w:rPr>
          <w:sz w:val="20"/>
          <w:szCs w:val="20"/>
          <w:color w:val="auto"/>
        </w:rPr>
      </w:pPr>
      <w:r>
        <w:rPr>
          <w:rFonts w:ascii="Times New Roman" w:cs="Times New Roman" w:eastAsia="Times New Roman" w:hAnsi="Times New Roman"/>
          <w:sz w:val="18"/>
          <w:szCs w:val="18"/>
          <w:color w:val="262626"/>
        </w:rPr>
        <w:t>Effective January 1, 2020, the Company adopted Accounting Standards Update (“ASU”) 2016-13, Financial Instruments - Credit Losses (Topic 326), Measurement of Credit Losses on Financial Instruments. The guidance modifies the impairment model for available-for-sale debt securities and provides a simplified accounting model for purchased financial assets with credit deterioration since their origination. The Company utilized the guidance provided by ASC 326 to determine whether any of the available-for-sale debt securities held by the Company were impaired. No investments were considered to be impaired during the years presented. The Company has the intention and current ability to hold its debt investments until the amortized cost basis has been recovered. If market, industry, and/or investee conditions deteriorate, the Company may incur future impairments. No investments were considered to be other-than-temporarily impaired in 2022 and 2021.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262626"/>
              </w:rPr>
              <w:t>Fixed income securities as of December 31, 2022, have contractual maturities as follows:</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88"/>
        </w:trPr>
        <w:tc>
          <w:tcPr>
            <w:tcW w:w="7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Due within one year</w:t>
            </w:r>
          </w:p>
        </w:tc>
        <w:tc>
          <w:tcPr>
            <w:tcW w:w="1040" w:type="dxa"/>
            <w:vAlign w:val="bottom"/>
            <w:tcBorders>
              <w:bottom w:val="single" w:sz="8" w:color="838383"/>
            </w:tcBorders>
            <w:gridSpan w:val="2"/>
          </w:tcPr>
          <w:p>
            <w:pPr>
              <w:jc w:val="right"/>
              <w:ind w:right="940"/>
              <w:spacing w:after="0"/>
              <w:rPr>
                <w:sz w:val="20"/>
                <w:szCs w:val="20"/>
                <w:color w:val="auto"/>
              </w:rPr>
            </w:pPr>
            <w:r>
              <w:rPr>
                <w:rFonts w:ascii="Times New Roman" w:cs="Times New Roman" w:eastAsia="Times New Roman" w:hAnsi="Times New Roman"/>
                <w:sz w:val="18"/>
                <w:szCs w:val="18"/>
                <w:color w:val="262626"/>
                <w:w w:val="88"/>
              </w:rPr>
              <w:t>$</w:t>
            </w:r>
          </w:p>
        </w:tc>
        <w:tc>
          <w:tcPr>
            <w:tcW w:w="18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16,807,318</w:t>
            </w:r>
          </w:p>
        </w:tc>
      </w:tr>
      <w:tr>
        <w:trPr>
          <w:trHeight w:val="340"/>
        </w:trPr>
        <w:tc>
          <w:tcPr>
            <w:tcW w:w="7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Due between one and five years</w:t>
            </w:r>
          </w:p>
        </w:tc>
        <w:tc>
          <w:tcPr>
            <w:tcW w:w="20" w:type="dxa"/>
            <w:vAlign w:val="bottom"/>
            <w:tcBorders>
              <w:bottom w:val="single" w:sz="8" w:color="838383"/>
            </w:tcBorders>
          </w:tcPr>
          <w:p>
            <w:pPr>
              <w:spacing w:after="0"/>
              <w:rPr>
                <w:sz w:val="24"/>
                <w:szCs w:val="24"/>
                <w:color w:val="auto"/>
              </w:rPr>
            </w:pPr>
          </w:p>
        </w:tc>
        <w:tc>
          <w:tcPr>
            <w:tcW w:w="1020" w:type="dxa"/>
            <w:vAlign w:val="bottom"/>
            <w:tcBorders>
              <w:bottom w:val="single" w:sz="8" w:color="838383"/>
            </w:tcBorders>
          </w:tcPr>
          <w:p>
            <w:pPr>
              <w:spacing w:after="0"/>
              <w:rPr>
                <w:sz w:val="24"/>
                <w:szCs w:val="24"/>
                <w:color w:val="auto"/>
              </w:rPr>
            </w:pPr>
          </w:p>
        </w:tc>
        <w:tc>
          <w:tcPr>
            <w:tcW w:w="18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103,712,406</w:t>
            </w:r>
          </w:p>
        </w:tc>
      </w:tr>
      <w:tr>
        <w:trPr>
          <w:trHeight w:val="335"/>
        </w:trPr>
        <w:tc>
          <w:tcPr>
            <w:tcW w:w="7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Due over five years</w:t>
            </w:r>
          </w:p>
        </w:tc>
        <w:tc>
          <w:tcPr>
            <w:tcW w:w="20" w:type="dxa"/>
            <w:vAlign w:val="bottom"/>
            <w:tcBorders>
              <w:bottom w:val="single" w:sz="8" w:color="838383"/>
            </w:tcBorders>
          </w:tcPr>
          <w:p>
            <w:pPr>
              <w:spacing w:after="0"/>
              <w:rPr>
                <w:sz w:val="24"/>
                <w:szCs w:val="24"/>
                <w:color w:val="auto"/>
              </w:rPr>
            </w:pPr>
          </w:p>
        </w:tc>
        <w:tc>
          <w:tcPr>
            <w:tcW w:w="1020" w:type="dxa"/>
            <w:vAlign w:val="bottom"/>
            <w:tcBorders>
              <w:bottom w:val="single" w:sz="8" w:color="8F8F8F"/>
            </w:tcBorders>
          </w:tcPr>
          <w:p>
            <w:pPr>
              <w:spacing w:after="0"/>
              <w:rPr>
                <w:sz w:val="24"/>
                <w:szCs w:val="24"/>
                <w:color w:val="auto"/>
              </w:rPr>
            </w:pPr>
          </w:p>
        </w:tc>
        <w:tc>
          <w:tcPr>
            <w:tcW w:w="18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36,629,492</w:t>
            </w:r>
          </w:p>
        </w:tc>
      </w:tr>
      <w:tr>
        <w:trPr>
          <w:trHeight w:val="330"/>
        </w:trPr>
        <w:tc>
          <w:tcPr>
            <w:tcW w:w="7560" w:type="dxa"/>
            <w:vAlign w:val="bottom"/>
          </w:tcPr>
          <w:p>
            <w:pPr>
              <w:spacing w:after="0"/>
              <w:rPr>
                <w:sz w:val="24"/>
                <w:szCs w:val="24"/>
                <w:color w:val="auto"/>
              </w:rPr>
            </w:pPr>
          </w:p>
        </w:tc>
        <w:tc>
          <w:tcPr>
            <w:tcW w:w="1040" w:type="dxa"/>
            <w:vAlign w:val="bottom"/>
            <w:tcBorders>
              <w:bottom w:val="single" w:sz="8" w:color="8F8F8F"/>
            </w:tcBorders>
            <w:gridSpan w:val="2"/>
          </w:tcPr>
          <w:p>
            <w:pPr>
              <w:jc w:val="right"/>
              <w:ind w:right="940"/>
              <w:spacing w:after="0"/>
              <w:rPr>
                <w:sz w:val="20"/>
                <w:szCs w:val="20"/>
                <w:color w:val="auto"/>
              </w:rPr>
            </w:pPr>
            <w:r>
              <w:rPr>
                <w:rFonts w:ascii="Times New Roman" w:cs="Times New Roman" w:eastAsia="Times New Roman" w:hAnsi="Times New Roman"/>
                <w:sz w:val="18"/>
                <w:szCs w:val="18"/>
                <w:color w:val="262626"/>
                <w:w w:val="88"/>
              </w:rPr>
              <w:t>$</w:t>
            </w:r>
          </w:p>
        </w:tc>
        <w:tc>
          <w:tcPr>
            <w:tcW w:w="18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157,149,216</w:t>
            </w:r>
          </w:p>
        </w:tc>
      </w:tr>
      <w:tr>
        <w:trPr>
          <w:trHeight w:val="20"/>
        </w:trPr>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8F8F8F"/>
            </w:tcBorders>
          </w:tcPr>
          <w:p>
            <w:pPr>
              <w:spacing w:after="0" w:line="20" w:lineRule="exact"/>
              <w:rPr>
                <w:sz w:val="1"/>
                <w:szCs w:val="1"/>
                <w:color w:val="auto"/>
              </w:rPr>
            </w:pPr>
          </w:p>
        </w:tc>
        <w:tc>
          <w:tcPr>
            <w:tcW w:w="1840" w:type="dxa"/>
            <w:vAlign w:val="bottom"/>
            <w:tcBorders>
              <w:bottom w:val="single" w:sz="8" w:color="8F8F8F"/>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8F8F8F"/>
        </w:rPr>
        <w:t>Fair Value of Financial Instruments</w:t>
      </w:r>
    </w:p>
    <w:p>
      <w:pPr>
        <w:spacing w:after="0" w:line="191" w:lineRule="exact"/>
        <w:rPr>
          <w:sz w:val="20"/>
          <w:szCs w:val="20"/>
          <w:color w:val="auto"/>
        </w:rPr>
      </w:pPr>
    </w:p>
    <w:p>
      <w:pPr>
        <w:ind w:right="420"/>
        <w:spacing w:after="0" w:line="369" w:lineRule="auto"/>
        <w:rPr>
          <w:sz w:val="20"/>
          <w:szCs w:val="20"/>
          <w:color w:val="auto"/>
        </w:rPr>
      </w:pPr>
      <w:r>
        <w:rPr>
          <w:rFonts w:ascii="Times New Roman" w:cs="Times New Roman" w:eastAsia="Times New Roman" w:hAnsi="Times New Roman"/>
          <w:sz w:val="18"/>
          <w:szCs w:val="18"/>
          <w:color w:val="262626"/>
        </w:rPr>
        <w:t>The Company’s financial instruments consist of cash and cash equivalents, investments, accounts receivable, accounts payable, and short and long-term debt. The Company’s estimate of the fair values of these financial instruments approximates their carrying amounts at December 31, 2022 and 2021.</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8F8F8F"/>
        </w:rPr>
        <w:t>Inventories</w:t>
      </w:r>
    </w:p>
    <w:p>
      <w:pPr>
        <w:spacing w:after="0" w:line="191" w:lineRule="exact"/>
        <w:rPr>
          <w:sz w:val="20"/>
          <w:szCs w:val="20"/>
          <w:color w:val="auto"/>
        </w:rPr>
      </w:pPr>
    </w:p>
    <w:p>
      <w:pPr>
        <w:ind w:right="920"/>
        <w:spacing w:after="0" w:line="439" w:lineRule="auto"/>
        <w:rPr>
          <w:sz w:val="20"/>
          <w:szCs w:val="20"/>
          <w:color w:val="auto"/>
        </w:rPr>
      </w:pPr>
      <w:r>
        <w:rPr>
          <w:rFonts w:ascii="Times New Roman" w:cs="Times New Roman" w:eastAsia="Times New Roman" w:hAnsi="Times New Roman"/>
          <w:sz w:val="18"/>
          <w:szCs w:val="18"/>
          <w:color w:val="262626"/>
        </w:rPr>
        <w:t>Inventories include material, direct labor and manufacturing overhead and are valued at the lower of first-in, first-out (FIFO) cost or net realizable value. Inventories consisted of the following as of December 31, 2022 and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500" w:type="dxa"/>
            <w:vAlign w:val="bottom"/>
            <w:tcBorders>
              <w:bottom w:val="single" w:sz="8" w:color="838383"/>
            </w:tcBorders>
          </w:tcPr>
          <w:p>
            <w:pPr>
              <w:spacing w:after="0"/>
              <w:rPr>
                <w:sz w:val="24"/>
                <w:szCs w:val="24"/>
                <w:color w:val="auto"/>
              </w:rPr>
            </w:pPr>
          </w:p>
        </w:tc>
        <w:tc>
          <w:tcPr>
            <w:tcW w:w="1040" w:type="dxa"/>
            <w:vAlign w:val="bottom"/>
            <w:tcBorders>
              <w:bottom w:val="single" w:sz="8" w:color="838383"/>
            </w:tcBorders>
          </w:tcPr>
          <w:p>
            <w:pPr>
              <w:spacing w:after="0"/>
              <w:rPr>
                <w:sz w:val="24"/>
                <w:szCs w:val="24"/>
                <w:color w:val="auto"/>
              </w:rPr>
            </w:pPr>
          </w:p>
        </w:tc>
        <w:tc>
          <w:tcPr>
            <w:tcW w:w="1940" w:type="dxa"/>
            <w:vAlign w:val="bottom"/>
            <w:tcBorders>
              <w:bottom w:val="single" w:sz="8" w:color="838383"/>
            </w:tcBorders>
          </w:tcPr>
          <w:p>
            <w:pPr>
              <w:jc w:val="right"/>
              <w:ind w:right="10"/>
              <w:spacing w:after="0"/>
              <w:rPr>
                <w:sz w:val="20"/>
                <w:szCs w:val="20"/>
                <w:color w:val="auto"/>
              </w:rPr>
            </w:pPr>
            <w:r>
              <w:rPr>
                <w:rFonts w:ascii="Arial" w:cs="Arial" w:eastAsia="Arial" w:hAnsi="Arial"/>
                <w:sz w:val="18"/>
                <w:szCs w:val="18"/>
                <w:b w:val="1"/>
                <w:bCs w:val="1"/>
                <w:color w:val="262626"/>
              </w:rPr>
              <w:t>2022</w:t>
            </w:r>
          </w:p>
        </w:tc>
        <w:tc>
          <w:tcPr>
            <w:tcW w:w="1120" w:type="dxa"/>
            <w:vAlign w:val="bottom"/>
            <w:tcBorders>
              <w:bottom w:val="single" w:sz="8" w:color="838383"/>
            </w:tcBorders>
          </w:tcPr>
          <w:p>
            <w:pPr>
              <w:spacing w:after="0"/>
              <w:rPr>
                <w:sz w:val="24"/>
                <w:szCs w:val="24"/>
                <w:color w:val="auto"/>
              </w:rPr>
            </w:pPr>
          </w:p>
        </w:tc>
        <w:tc>
          <w:tcPr>
            <w:tcW w:w="1840" w:type="dxa"/>
            <w:vAlign w:val="bottom"/>
            <w:tcBorders>
              <w:bottom w:val="single" w:sz="8" w:color="838383"/>
            </w:tcBorders>
          </w:tcPr>
          <w:p>
            <w:pPr>
              <w:jc w:val="right"/>
              <w:spacing w:after="0"/>
              <w:rPr>
                <w:sz w:val="20"/>
                <w:szCs w:val="20"/>
                <w:color w:val="auto"/>
              </w:rPr>
            </w:pPr>
            <w:r>
              <w:rPr>
                <w:rFonts w:ascii="Arial" w:cs="Arial" w:eastAsia="Arial" w:hAnsi="Arial"/>
                <w:sz w:val="18"/>
                <w:szCs w:val="18"/>
                <w:b w:val="1"/>
                <w:bCs w:val="1"/>
                <w:color w:val="262626"/>
              </w:rPr>
              <w:t>2021</w:t>
            </w:r>
          </w:p>
        </w:tc>
      </w:tr>
      <w:tr>
        <w:trPr>
          <w:trHeight w:val="333"/>
        </w:trPr>
        <w:tc>
          <w:tcPr>
            <w:tcW w:w="45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Raw materials</w:t>
            </w:r>
          </w:p>
        </w:tc>
        <w:tc>
          <w:tcPr>
            <w:tcW w:w="1040" w:type="dxa"/>
            <w:vAlign w:val="bottom"/>
            <w:tcBorders>
              <w:bottom w:val="single" w:sz="8" w:color="838383"/>
            </w:tcBorders>
          </w:tcPr>
          <w:p>
            <w:pPr>
              <w:jc w:val="right"/>
              <w:ind w:right="850"/>
              <w:spacing w:after="0"/>
              <w:rPr>
                <w:sz w:val="20"/>
                <w:szCs w:val="20"/>
                <w:color w:val="auto"/>
              </w:rPr>
            </w:pPr>
            <w:r>
              <w:rPr>
                <w:rFonts w:ascii="Times New Roman" w:cs="Times New Roman" w:eastAsia="Times New Roman" w:hAnsi="Times New Roman"/>
                <w:sz w:val="18"/>
                <w:szCs w:val="18"/>
                <w:color w:val="262626"/>
                <w:w w:val="88"/>
              </w:rPr>
              <w:t>$</w:t>
            </w:r>
          </w:p>
        </w:tc>
        <w:tc>
          <w:tcPr>
            <w:tcW w:w="19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304,184,004</w:t>
            </w:r>
          </w:p>
        </w:tc>
        <w:tc>
          <w:tcPr>
            <w:tcW w:w="1120" w:type="dxa"/>
            <w:vAlign w:val="bottom"/>
            <w:tcBorders>
              <w:bottom w:val="single" w:sz="8" w:color="838383"/>
            </w:tcBorders>
          </w:tcPr>
          <w:p>
            <w:pPr>
              <w:jc w:val="right"/>
              <w:ind w:right="850"/>
              <w:spacing w:after="0"/>
              <w:rPr>
                <w:sz w:val="20"/>
                <w:szCs w:val="20"/>
                <w:color w:val="auto"/>
              </w:rPr>
            </w:pPr>
            <w:r>
              <w:rPr>
                <w:rFonts w:ascii="Times New Roman" w:cs="Times New Roman" w:eastAsia="Times New Roman" w:hAnsi="Times New Roman"/>
                <w:sz w:val="18"/>
                <w:szCs w:val="18"/>
                <w:color w:val="262626"/>
              </w:rPr>
              <w:t>$</w:t>
            </w:r>
          </w:p>
        </w:tc>
        <w:tc>
          <w:tcPr>
            <w:tcW w:w="18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235,014,277</w:t>
            </w:r>
          </w:p>
        </w:tc>
      </w:tr>
      <w:tr>
        <w:trPr>
          <w:trHeight w:val="333"/>
        </w:trPr>
        <w:tc>
          <w:tcPr>
            <w:tcW w:w="45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Work-in-process</w:t>
            </w:r>
          </w:p>
        </w:tc>
        <w:tc>
          <w:tcPr>
            <w:tcW w:w="1040" w:type="dxa"/>
            <w:vAlign w:val="bottom"/>
            <w:tcBorders>
              <w:bottom w:val="single" w:sz="8" w:color="838383"/>
            </w:tcBorders>
          </w:tcPr>
          <w:p>
            <w:pPr>
              <w:spacing w:after="0"/>
              <w:rPr>
                <w:sz w:val="24"/>
                <w:szCs w:val="24"/>
                <w:color w:val="auto"/>
              </w:rPr>
            </w:pPr>
          </w:p>
        </w:tc>
        <w:tc>
          <w:tcPr>
            <w:tcW w:w="19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45,512,275</w:t>
            </w:r>
          </w:p>
        </w:tc>
        <w:tc>
          <w:tcPr>
            <w:tcW w:w="1120" w:type="dxa"/>
            <w:vAlign w:val="bottom"/>
            <w:tcBorders>
              <w:bottom w:val="single" w:sz="8" w:color="838383"/>
            </w:tcBorders>
          </w:tcPr>
          <w:p>
            <w:pPr>
              <w:spacing w:after="0"/>
              <w:rPr>
                <w:sz w:val="24"/>
                <w:szCs w:val="24"/>
                <w:color w:val="auto"/>
              </w:rPr>
            </w:pPr>
          </w:p>
        </w:tc>
        <w:tc>
          <w:tcPr>
            <w:tcW w:w="18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34,032,164</w:t>
            </w:r>
          </w:p>
        </w:tc>
      </w:tr>
      <w:tr>
        <w:trPr>
          <w:trHeight w:val="348"/>
        </w:trPr>
        <w:tc>
          <w:tcPr>
            <w:tcW w:w="45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Finished goods</w:t>
            </w:r>
          </w:p>
        </w:tc>
        <w:tc>
          <w:tcPr>
            <w:tcW w:w="1040" w:type="dxa"/>
            <w:vAlign w:val="bottom"/>
            <w:tcBorders>
              <w:bottom w:val="single" w:sz="8" w:color="8F8F8F"/>
            </w:tcBorders>
          </w:tcPr>
          <w:p>
            <w:pPr>
              <w:spacing w:after="0"/>
              <w:rPr>
                <w:sz w:val="24"/>
                <w:szCs w:val="24"/>
                <w:color w:val="auto"/>
              </w:rPr>
            </w:pPr>
          </w:p>
        </w:tc>
        <w:tc>
          <w:tcPr>
            <w:tcW w:w="194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54,663,991</w:t>
            </w:r>
          </w:p>
        </w:tc>
        <w:tc>
          <w:tcPr>
            <w:tcW w:w="1120" w:type="dxa"/>
            <w:vAlign w:val="bottom"/>
            <w:tcBorders>
              <w:bottom w:val="single" w:sz="8" w:color="8F8F8F"/>
            </w:tcBorders>
          </w:tcPr>
          <w:p>
            <w:pPr>
              <w:spacing w:after="0"/>
              <w:rPr>
                <w:sz w:val="24"/>
                <w:szCs w:val="24"/>
                <w:color w:val="auto"/>
              </w:rPr>
            </w:pPr>
          </w:p>
        </w:tc>
        <w:tc>
          <w:tcPr>
            <w:tcW w:w="18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47,221,001</w:t>
            </w:r>
          </w:p>
        </w:tc>
      </w:tr>
      <w:tr>
        <w:trPr>
          <w:trHeight w:val="323"/>
        </w:trPr>
        <w:tc>
          <w:tcPr>
            <w:tcW w:w="45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Total Inventory</w:t>
            </w:r>
          </w:p>
        </w:tc>
        <w:tc>
          <w:tcPr>
            <w:tcW w:w="1040" w:type="dxa"/>
            <w:vAlign w:val="bottom"/>
            <w:tcBorders>
              <w:bottom w:val="single" w:sz="8" w:color="8F8F8F"/>
            </w:tcBorders>
          </w:tcPr>
          <w:p>
            <w:pPr>
              <w:jc w:val="right"/>
              <w:ind w:right="850"/>
              <w:spacing w:after="0"/>
              <w:rPr>
                <w:sz w:val="20"/>
                <w:szCs w:val="20"/>
                <w:color w:val="auto"/>
              </w:rPr>
            </w:pPr>
            <w:r>
              <w:rPr>
                <w:rFonts w:ascii="Times New Roman" w:cs="Times New Roman" w:eastAsia="Times New Roman" w:hAnsi="Times New Roman"/>
                <w:sz w:val="18"/>
                <w:szCs w:val="18"/>
                <w:color w:val="262626"/>
                <w:w w:val="88"/>
              </w:rPr>
              <w:t>$</w:t>
            </w:r>
          </w:p>
        </w:tc>
        <w:tc>
          <w:tcPr>
            <w:tcW w:w="194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404,360,270</w:t>
            </w:r>
          </w:p>
        </w:tc>
        <w:tc>
          <w:tcPr>
            <w:tcW w:w="1120" w:type="dxa"/>
            <w:vAlign w:val="bottom"/>
            <w:tcBorders>
              <w:bottom w:val="single" w:sz="8" w:color="8F8F8F"/>
            </w:tcBorders>
          </w:tcPr>
          <w:p>
            <w:pPr>
              <w:jc w:val="right"/>
              <w:ind w:right="850"/>
              <w:spacing w:after="0"/>
              <w:rPr>
                <w:sz w:val="20"/>
                <w:szCs w:val="20"/>
                <w:color w:val="auto"/>
              </w:rPr>
            </w:pPr>
            <w:r>
              <w:rPr>
                <w:rFonts w:ascii="Times New Roman" w:cs="Times New Roman" w:eastAsia="Times New Roman" w:hAnsi="Times New Roman"/>
                <w:sz w:val="18"/>
                <w:szCs w:val="18"/>
                <w:color w:val="262626"/>
              </w:rPr>
              <w:t>$</w:t>
            </w:r>
          </w:p>
        </w:tc>
        <w:tc>
          <w:tcPr>
            <w:tcW w:w="18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316,267,442</w:t>
            </w:r>
          </w:p>
        </w:tc>
      </w:tr>
    </w:tbl>
    <w:p>
      <w:pPr>
        <w:spacing w:after="0" w:line="200" w:lineRule="exact"/>
        <w:rPr>
          <w:sz w:val="20"/>
          <w:szCs w:val="20"/>
          <w:color w:val="auto"/>
        </w:rPr>
      </w:pPr>
    </w:p>
    <w:p>
      <w:pPr>
        <w:ind w:right="320"/>
        <w:spacing w:after="0" w:line="338" w:lineRule="auto"/>
        <w:rPr>
          <w:sz w:val="20"/>
          <w:szCs w:val="20"/>
          <w:color w:val="auto"/>
        </w:rPr>
      </w:pPr>
      <w:r>
        <w:rPr>
          <w:rFonts w:ascii="Times New Roman" w:cs="Times New Roman" w:eastAsia="Times New Roman" w:hAnsi="Times New Roman"/>
          <w:sz w:val="18"/>
          <w:szCs w:val="18"/>
          <w:color w:val="262626"/>
        </w:rPr>
        <w:t>Estimated inventory allowances for slow-moving and obsolete inventories are based on current assessments of future demands, market conditions, evaluation of longer lead times for certain electronic components and related management initiatives. If market conditions or customer requirements change and are less favorable than those projected by management, inventory allowances are adjusted accordingly. Allowances for slow-moving and obsolete inventories (which are included, net, in the above inventory values) were $10.0 million and $10.9 million at December 31, 2022 and 2021, respectively.</w:t>
      </w:r>
    </w:p>
    <w:p>
      <w:pPr>
        <w:sectPr>
          <w:pgSz w:w="12240" w:h="15840" w:orient="portrait"/>
          <w:cols w:equalWidth="0" w:num="1">
            <w:col w:w="10760"/>
          </w:cols>
          <w:pgMar w:left="900" w:top="852" w:right="580" w:bottom="0" w:gutter="0" w:footer="0" w:header="0"/>
        </w:sectPr>
      </w:pPr>
    </w:p>
    <w:p>
      <w:pPr>
        <w:spacing w:after="0" w:line="2"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69</w:t>
      </w:r>
    </w:p>
    <w:p>
      <w:pPr>
        <w:sectPr>
          <w:pgSz w:w="12240" w:h="15840" w:orient="portrait"/>
          <w:cols w:equalWidth="0" w:num="1">
            <w:col w:w="10760"/>
          </w:cols>
          <w:pgMar w:left="900" w:top="852" w:right="580" w:bottom="0" w:gutter="0" w:footer="0" w:header="0"/>
          <w:type w:val="continuous"/>
        </w:sectPr>
      </w:pPr>
    </w:p>
    <w:bookmarkStart w:id="69" w:name="page70"/>
    <w:bookmarkEnd w:id="69"/>
    <w:p>
      <w:pPr>
        <w:ind w:left="320"/>
        <w:spacing w:after="0"/>
        <w:rPr>
          <w:sz w:val="20"/>
          <w:szCs w:val="20"/>
          <w:color w:val="auto"/>
        </w:rPr>
      </w:pPr>
      <w:r>
        <w:rPr>
          <w:rFonts w:ascii="Arial" w:cs="Arial" w:eastAsia="Arial" w:hAnsi="Arial"/>
          <w:sz w:val="22"/>
          <w:szCs w:val="22"/>
          <w:b w:val="1"/>
          <w:bCs w:val="1"/>
          <w:color w:val="8F8F8F"/>
        </w:rPr>
        <w:t>Plant and Equipment</w:t>
      </w:r>
    </w:p>
    <w:p>
      <w:pPr>
        <w:spacing w:after="0" w:line="191" w:lineRule="exact"/>
        <w:rPr>
          <w:sz w:val="20"/>
          <w:szCs w:val="20"/>
          <w:color w:val="auto"/>
        </w:rPr>
      </w:pPr>
    </w:p>
    <w:p>
      <w:pPr>
        <w:ind w:left="320" w:right="120"/>
        <w:spacing w:after="0" w:line="388" w:lineRule="auto"/>
        <w:rPr>
          <w:sz w:val="20"/>
          <w:szCs w:val="20"/>
          <w:color w:val="auto"/>
        </w:rPr>
      </w:pPr>
      <w:r>
        <w:rPr>
          <w:rFonts w:ascii="Times New Roman" w:cs="Times New Roman" w:eastAsia="Times New Roman" w:hAnsi="Times New Roman"/>
          <w:sz w:val="17"/>
          <w:szCs w:val="17"/>
          <w:color w:val="262626"/>
        </w:rPr>
        <w:t>Plant and equipment is stated at cost. Depreciation and amortization are computed for financial reporting purposes using the straight-line method, with estimated useful lives of 7 to 30 years for buildings and improvements, and 3 to 10 years for machinery and equipment. Depreciation expense was approximately $74.9 million, $76.8 million and $82.4 million in 2022, 2021 and 2020, respectively. As of December 31, 2022, 2021 and 2020, capital expenditures recorded in accounts payable totaled $14.6 million, $9.8 million and $4.8 million, respectively.</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Impairment or Disposal of Long-Lived Assets</w:t>
      </w:r>
    </w:p>
    <w:p>
      <w:pPr>
        <w:spacing w:after="0" w:line="191" w:lineRule="exact"/>
        <w:rPr>
          <w:sz w:val="20"/>
          <w:szCs w:val="20"/>
          <w:color w:val="auto"/>
        </w:rPr>
      </w:pPr>
    </w:p>
    <w:p>
      <w:pPr>
        <w:ind w:left="320"/>
        <w:spacing w:after="0" w:line="343" w:lineRule="auto"/>
        <w:rPr>
          <w:sz w:val="20"/>
          <w:szCs w:val="20"/>
          <w:color w:val="auto"/>
        </w:rPr>
      </w:pPr>
      <w:r>
        <w:rPr>
          <w:rFonts w:ascii="Times New Roman" w:cs="Times New Roman" w:eastAsia="Times New Roman" w:hAnsi="Times New Roman"/>
          <w:sz w:val="18"/>
          <w:szCs w:val="18"/>
          <w:color w:val="262626"/>
        </w:rPr>
        <w:t>The Company reviews long-lived assets, including property, plant and equipment and other intangible assets with definite lives, for impairment whenever events or changes in circumstances indicate that the asset’s carrying amount may not be recoverable. The Company conducts its long-lived asset impairment analysis in accordance with ASC 360-10-15, Impairment or Disposal of Long-Lived Assets. ASC 360-10-15 requires the Company to group assets and liabilities at the lowest level for which identifiable cash flows are largely independent of the cash flows of other assets and liabilities and evaluate the asset group against the sum of the undiscounted future cash flows. If the undiscounted cash flows do not indicate the carrying amount of the asset is recoverable, an impairment charge is measured as the amount by which the carrying amount of the asset group exceeds its fair value based on discounted cash flow analysis or appraisals.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Patents</w:t>
      </w:r>
    </w:p>
    <w:p>
      <w:pPr>
        <w:spacing w:after="0" w:line="191" w:lineRule="exact"/>
        <w:rPr>
          <w:sz w:val="20"/>
          <w:szCs w:val="20"/>
          <w:color w:val="auto"/>
        </w:rPr>
      </w:pPr>
    </w:p>
    <w:p>
      <w:pPr>
        <w:ind w:left="320" w:right="60"/>
        <w:spacing w:after="0" w:line="381" w:lineRule="auto"/>
        <w:rPr>
          <w:sz w:val="20"/>
          <w:szCs w:val="20"/>
          <w:color w:val="auto"/>
        </w:rPr>
      </w:pPr>
      <w:r>
        <w:rPr>
          <w:rFonts w:ascii="Times New Roman" w:cs="Times New Roman" w:eastAsia="Times New Roman" w:hAnsi="Times New Roman"/>
          <w:sz w:val="18"/>
          <w:szCs w:val="18"/>
          <w:color w:val="262626"/>
        </w:rPr>
        <w:t>The Company’s policy is to capitalize costs incurred to obtain patents. The cost of patents is amortized over their useful lives. The cost of patents in process is not amortized until issuance. The Company periodically obtains intellectual property rights, in the ordinary course of business, and the cost of the rights are amortized over their useful lives.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Goodwill and Intangible Assets</w:t>
      </w:r>
    </w:p>
    <w:p>
      <w:pPr>
        <w:spacing w:after="0" w:line="191" w:lineRule="exact"/>
        <w:rPr>
          <w:sz w:val="20"/>
          <w:szCs w:val="20"/>
          <w:color w:val="auto"/>
        </w:rPr>
      </w:pPr>
    </w:p>
    <w:p>
      <w:pPr>
        <w:ind w:left="320" w:right="200"/>
        <w:spacing w:after="0" w:line="357" w:lineRule="auto"/>
        <w:rPr>
          <w:sz w:val="20"/>
          <w:szCs w:val="20"/>
          <w:color w:val="auto"/>
        </w:rPr>
      </w:pPr>
      <w:r>
        <w:rPr>
          <w:rFonts w:ascii="Times New Roman" w:cs="Times New Roman" w:eastAsia="Times New Roman" w:hAnsi="Times New Roman"/>
          <w:sz w:val="17"/>
          <w:szCs w:val="17"/>
          <w:color w:val="262626"/>
        </w:rPr>
        <w:t>Goodwill reflects the cost of an acquisition in excess of the fair values assigned to identifiable net assets acquired. The Company reviews goodwill for impairment during the fourth quarter on an annual basis or more frequently if events or changes in circumstances indicate that goodwill might be impaired. The Company performs an impairment review for its automotive reporting unit, which has been determined to be one of the Company’s reportable segments, using either a qualitative approach or quantitative approach which utilizes a fair value method that incorporates certain assumptions and judgments. The fair value of a reporting unit refers to the price that would be received to sell the unit as a whole in an orderly transaction between market participants at the measurement date. The Company performs a qualitative assessment (step 0) to determine whether it is more likely than not that a reporting unit’s fair value is less than its carrying amount. If not, no further goodwill impairment testing is performed. If so, the Company performs a step 1 test to determine the fair value of the reporting unit using an income approach to estimate the fair value of each of its reporting units and a market valuation approach to further support this analysis. If the fair value of the reporting unit is greater than its carrying amount, goodwill is not considered to be impaired. However, if the fair value of the reporting unit is less than its carrying amount, an impairment change is recorded as the excess of the reporting unit’s carrying value over its fair value.</w:t>
      </w:r>
    </w:p>
    <w:p>
      <w:pPr>
        <w:spacing w:after="0" w:line="62" w:lineRule="exact"/>
        <w:rPr>
          <w:sz w:val="20"/>
          <w:szCs w:val="20"/>
          <w:color w:val="auto"/>
        </w:rPr>
      </w:pPr>
    </w:p>
    <w:p>
      <w:pPr>
        <w:ind w:left="320" w:right="40"/>
        <w:spacing w:after="0" w:line="338" w:lineRule="auto"/>
        <w:rPr>
          <w:sz w:val="20"/>
          <w:szCs w:val="20"/>
          <w:color w:val="auto"/>
        </w:rPr>
      </w:pPr>
      <w:r>
        <w:rPr>
          <w:rFonts w:ascii="Times New Roman" w:cs="Times New Roman" w:eastAsia="Times New Roman" w:hAnsi="Times New Roman"/>
          <w:sz w:val="18"/>
          <w:szCs w:val="18"/>
          <w:color w:val="262626"/>
        </w:rPr>
        <w:t>The assumptions included in the impairment tests require judgment and changes to these inputs could impact the results of the calculations which could result in an impairment charge in future periods if the carrying amount of the reporting unit exceeds its calculated fair value. For the qualitative assessment performed, management considers factors such as macro-economic conditions, industry and market considerations, overall financial performance, and other company-specific events, amongst other factors, in making the determination as to whether it is more likely than not that a reporting unit’s fair value is less than its carrying amount. Other than management’s internal projections of future cash flows, the primary assumptions used in the step 1 impairment test is the weighted-average cost of capital and long-term growth rates. Although the Company’s cash flow forecasts are based on assumptions that are considered reasonable by management and consistent with the plans and estimates management is using to operate the underlying business, there are significant judgments in determining the expected future cash flows attributable to a reporting unit. There have been no impairment charges recorded currently or in prior periods in which goodwill existed.</w:t>
      </w:r>
    </w:p>
    <w:p>
      <w:pPr>
        <w:spacing w:after="0" w:line="77" w:lineRule="exact"/>
        <w:rPr>
          <w:sz w:val="20"/>
          <w:szCs w:val="20"/>
          <w:color w:val="auto"/>
        </w:rPr>
      </w:pPr>
    </w:p>
    <w:p>
      <w:pPr>
        <w:ind w:left="320" w:right="180"/>
        <w:spacing w:after="0" w:line="382" w:lineRule="auto"/>
        <w:rPr>
          <w:sz w:val="20"/>
          <w:szCs w:val="20"/>
          <w:color w:val="auto"/>
        </w:rPr>
      </w:pPr>
      <w:r>
        <w:rPr>
          <w:rFonts w:ascii="Times New Roman" w:cs="Times New Roman" w:eastAsia="Times New Roman" w:hAnsi="Times New Roman"/>
          <w:sz w:val="18"/>
          <w:szCs w:val="18"/>
          <w:color w:val="262626"/>
        </w:rPr>
        <w:t>Indefinite lived intangible assets are also subject to annual impairment testing or more frequently if indicators of impairment are identified. Management’s judgment and assumptions are required in determining the underlying fair value of the indefinite lived intangible assets. While the Company believes the judgments and assumptions used in determining fair value are reasonable, different assumptions could change the</w:t>
      </w:r>
    </w:p>
    <w:p>
      <w:pPr>
        <w:sectPr>
          <w:pgSz w:w="12240" w:h="15840" w:orient="portrait"/>
          <w:cols w:equalWidth="0" w:num="1">
            <w:col w:w="10740"/>
          </w:cols>
          <w:pgMar w:left="58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70</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40"/>
          </w:cols>
          <w:pgMar w:left="580" w:top="830" w:right="920" w:bottom="0" w:gutter="0" w:footer="0" w:header="0"/>
          <w:type w:val="continuous"/>
        </w:sectPr>
      </w:pPr>
    </w:p>
    <w:bookmarkStart w:id="70" w:name="page71"/>
    <w:bookmarkEnd w:id="70"/>
    <w:p>
      <w:pPr>
        <w:ind w:right="400"/>
        <w:spacing w:after="0" w:line="362" w:lineRule="auto"/>
        <w:rPr>
          <w:sz w:val="20"/>
          <w:szCs w:val="20"/>
          <w:color w:val="auto"/>
        </w:rPr>
      </w:pPr>
      <w:r>
        <w:rPr>
          <w:rFonts w:ascii="Times New Roman" w:cs="Times New Roman" w:eastAsia="Times New Roman" w:hAnsi="Times New Roman"/>
          <w:sz w:val="18"/>
          <w:szCs w:val="18"/>
          <w:color w:val="262626"/>
        </w:rPr>
        <w:t>estimated fair values and, therefore, impairment charges could be required, which could be material to the consolidated financial statements. The Company performs a qualitative assessment (step 0) to determine whether it is more likely than not that an intangible asset’s fair value is less than its carrying amount. If not, no further impairment testing over the indefinite lived intangible assets is performed. The indefinite lived intangible assets were not impaired as a result of the annual test prepared by management for either period presented.</w:t>
      </w:r>
    </w:p>
    <w:p>
      <w:pPr>
        <w:spacing w:after="0" w:line="52" w:lineRule="exact"/>
        <w:rPr>
          <w:sz w:val="20"/>
          <w:szCs w:val="20"/>
          <w:color w:val="auto"/>
        </w:rPr>
      </w:pPr>
    </w:p>
    <w:p>
      <w:pPr>
        <w:jc w:val="both"/>
        <w:ind w:right="520"/>
        <w:spacing w:after="0" w:line="353" w:lineRule="auto"/>
        <w:rPr>
          <w:sz w:val="20"/>
          <w:szCs w:val="20"/>
          <w:color w:val="auto"/>
        </w:rPr>
      </w:pPr>
      <w:r>
        <w:rPr>
          <w:rFonts w:ascii="Times New Roman" w:cs="Times New Roman" w:eastAsia="Times New Roman" w:hAnsi="Times New Roman"/>
          <w:sz w:val="18"/>
          <w:szCs w:val="18"/>
          <w:color w:val="262626"/>
        </w:rPr>
        <w:t>As part of recent acquisitions, the Company acquired Indefinite lived in-process research and development (“IPR&amp;D”) intangible assets. These IPR&amp;D assets are not amortized, but are tested for impairment annually, or more frequently when indicators of potential impairment exist, until the completion or abandonment of the associated research and development efforts. Upon completion of the projects, the assets will be amortized over the expected economic life of the asset, which will be determined on that date. Should the project be determined to be abandoned, and if the asset developed has no alternative use, the full value of the asset will be charged to expense.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Refer to Note 10, “Goodwill and Intangible Assets” for information regarding the impairment testing performed in calendar year 2022.</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8F8F8F"/>
        </w:rPr>
        <w:t>Revenue Recognition</w:t>
      </w:r>
    </w:p>
    <w:p>
      <w:pPr>
        <w:spacing w:after="0" w:line="191" w:lineRule="exact"/>
        <w:rPr>
          <w:sz w:val="20"/>
          <w:szCs w:val="20"/>
          <w:color w:val="auto"/>
        </w:rPr>
      </w:pPr>
    </w:p>
    <w:p>
      <w:pPr>
        <w:ind w:right="320"/>
        <w:spacing w:after="0" w:line="343" w:lineRule="auto"/>
        <w:rPr>
          <w:sz w:val="20"/>
          <w:szCs w:val="20"/>
          <w:color w:val="auto"/>
        </w:rPr>
      </w:pPr>
      <w:r>
        <w:rPr>
          <w:rFonts w:ascii="Times New Roman" w:cs="Times New Roman" w:eastAsia="Times New Roman" w:hAnsi="Times New Roman"/>
          <w:sz w:val="18"/>
          <w:szCs w:val="18"/>
          <w:color w:val="262626"/>
        </w:rPr>
        <w:t>The Company recognizes revenue in accordance with Accounting Standards Codification (ASC) 606, Revenue from Contracts with Customers. Accordingly, revenue is recognized in an amount that reflects the consideration to which the Company expects to be entitled in exchange for promised goods or services when it transfers those goods or services to customers. Sales are shown net of returns, which have not historically been significant. The Company does not generate sales from arrangements with multiple deliverables. The Company generally receives purchase orders from customers on an annual basis in the ordinary course of business. Typically, such purchase orders provide the annual terms, including pricing, related to a particular vehicle model. Purchase orders generally do not specify quantities. The Company recognizes revenue based on the pricing terms included in such annual purchase orders.</w:t>
      </w:r>
    </w:p>
    <w:p>
      <w:pPr>
        <w:spacing w:after="0" w:line="70" w:lineRule="exact"/>
        <w:rPr>
          <w:sz w:val="20"/>
          <w:szCs w:val="20"/>
          <w:color w:val="auto"/>
        </w:rPr>
      </w:pPr>
    </w:p>
    <w:p>
      <w:pPr>
        <w:ind w:right="340"/>
        <w:spacing w:after="0" w:line="329" w:lineRule="auto"/>
        <w:rPr>
          <w:sz w:val="20"/>
          <w:szCs w:val="20"/>
          <w:color w:val="auto"/>
        </w:rPr>
      </w:pPr>
      <w:r>
        <w:rPr>
          <w:rFonts w:ascii="Times New Roman" w:cs="Times New Roman" w:eastAsia="Times New Roman" w:hAnsi="Times New Roman"/>
          <w:sz w:val="18"/>
          <w:szCs w:val="18"/>
          <w:color w:val="262626"/>
        </w:rPr>
        <w:t>As part of certain agreements, entered into in the ordinary course of business, the Company is asked to provide customers with annual price reductions. Such amounts are subject to estimate and are accrued as a reduction of revenue as products are shipped to those customers.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w:t>
      </w:r>
    </w:p>
    <w:p>
      <w:pPr>
        <w:spacing w:after="0" w:line="2" w:lineRule="exact"/>
        <w:rPr>
          <w:sz w:val="20"/>
          <w:szCs w:val="20"/>
          <w:color w:val="auto"/>
        </w:rPr>
      </w:pPr>
    </w:p>
    <w:p>
      <w:pPr>
        <w:jc w:val="both"/>
        <w:ind w:right="480"/>
        <w:spacing w:after="0" w:line="367" w:lineRule="auto"/>
        <w:rPr>
          <w:sz w:val="20"/>
          <w:szCs w:val="20"/>
          <w:color w:val="auto"/>
        </w:rPr>
      </w:pPr>
      <w:r>
        <w:rPr>
          <w:rFonts w:ascii="Times New Roman" w:cs="Times New Roman" w:eastAsia="Times New Roman" w:hAnsi="Times New Roman"/>
          <w:sz w:val="18"/>
          <w:szCs w:val="18"/>
          <w:color w:val="262626"/>
        </w:rPr>
        <w:t>is estimated based on the then most likely price amount. In addition, the Company has ongoing adjustments to our pricing arrangements with customers based on the related content, the cost of Company products and other commercial factors. Such pricing accruals are adjusted as they are settled with customers. Refer to Note 11, “Revenue”, for further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8F8F8F"/>
        </w:rPr>
        <w:t>Advertising and Promotional Materials</w:t>
      </w:r>
    </w:p>
    <w:p>
      <w:pPr>
        <w:spacing w:after="0" w:line="191" w:lineRule="exact"/>
        <w:rPr>
          <w:sz w:val="20"/>
          <w:szCs w:val="20"/>
          <w:color w:val="auto"/>
        </w:rPr>
      </w:pPr>
    </w:p>
    <w:p>
      <w:pPr>
        <w:ind w:right="740"/>
        <w:spacing w:after="0" w:line="437" w:lineRule="auto"/>
        <w:rPr>
          <w:sz w:val="20"/>
          <w:szCs w:val="20"/>
          <w:color w:val="auto"/>
        </w:rPr>
      </w:pPr>
      <w:r>
        <w:rPr>
          <w:rFonts w:ascii="Times New Roman" w:cs="Times New Roman" w:eastAsia="Times New Roman" w:hAnsi="Times New Roman"/>
          <w:sz w:val="18"/>
          <w:szCs w:val="18"/>
          <w:color w:val="262626"/>
        </w:rPr>
        <w:t>All advertising and promotional costs are expensed as incurred and amounted to approximately $3.3 million, $1.8 million and $2.0 million, in 2022, 2021 and 2020,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8F8F8F"/>
        </w:rPr>
        <w:t>Repairs and Maintenance</w:t>
      </w:r>
    </w:p>
    <w:p>
      <w:pPr>
        <w:spacing w:after="0" w:line="191" w:lineRule="exact"/>
        <w:rPr>
          <w:sz w:val="20"/>
          <w:szCs w:val="20"/>
          <w:color w:val="auto"/>
        </w:rPr>
      </w:pPr>
    </w:p>
    <w:p>
      <w:pPr>
        <w:ind w:right="540"/>
        <w:spacing w:after="0" w:line="382" w:lineRule="auto"/>
        <w:rPr>
          <w:sz w:val="20"/>
          <w:szCs w:val="20"/>
          <w:color w:val="auto"/>
        </w:rPr>
      </w:pPr>
      <w:r>
        <w:rPr>
          <w:rFonts w:ascii="Times New Roman" w:cs="Times New Roman" w:eastAsia="Times New Roman" w:hAnsi="Times New Roman"/>
          <w:sz w:val="18"/>
          <w:szCs w:val="18"/>
          <w:color w:val="262626"/>
        </w:rPr>
        <w:t>Major renewals and improvements of property and equipment are capitalized, and repairs and maintenance are expensed as incurred. The Company incurred expenses relating to the repair and maintenance of plant and equipment of approximately $27.9 million, $24.2 million and $22.6 million, in 2022, 2021 and 2020,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8F8F8F"/>
        </w:rPr>
        <w:t>Self-Insurance</w:t>
      </w:r>
    </w:p>
    <w:p>
      <w:pPr>
        <w:spacing w:after="0" w:line="191" w:lineRule="exact"/>
        <w:rPr>
          <w:sz w:val="20"/>
          <w:szCs w:val="20"/>
          <w:color w:val="auto"/>
        </w:rPr>
      </w:pPr>
    </w:p>
    <w:p>
      <w:pPr>
        <w:ind w:right="400"/>
        <w:spacing w:after="0" w:line="362" w:lineRule="auto"/>
        <w:rPr>
          <w:sz w:val="20"/>
          <w:szCs w:val="20"/>
          <w:color w:val="auto"/>
        </w:rPr>
      </w:pPr>
      <w:r>
        <w:rPr>
          <w:rFonts w:ascii="Times New Roman" w:cs="Times New Roman" w:eastAsia="Times New Roman" w:hAnsi="Times New Roman"/>
          <w:sz w:val="18"/>
          <w:szCs w:val="18"/>
          <w:color w:val="262626"/>
        </w:rPr>
        <w:t>The Company is self-insured for a portion of its risk on workers’ compensation and employee medical costs. The arrangements provide for stop loss insurance to manage the Company’s risk. Such costs are accrued based on known claims and an estimate of incurred, but not reported (“IBNR”) claims. IBNR claims are estimated using historical lag information and other data provided by claims administrators. This estimation process is subjective, and to the extent that future results differ from original estimates, adjustments to recorded accruals may be necessary.</w:t>
      </w: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71</w:t>
      </w:r>
    </w:p>
    <w:p>
      <w:pPr>
        <w:sectPr>
          <w:pgSz w:w="12240" w:h="15840" w:orient="portrait"/>
          <w:cols w:equalWidth="0" w:num="1">
            <w:col w:w="10760"/>
          </w:cols>
          <w:pgMar w:left="900" w:top="852" w:right="580" w:bottom="0" w:gutter="0" w:footer="0" w:header="0"/>
          <w:type w:val="continuous"/>
        </w:sectPr>
      </w:pPr>
    </w:p>
    <w:bookmarkStart w:id="71" w:name="page72"/>
    <w:bookmarkEnd w:id="71"/>
    <w:p>
      <w:pPr>
        <w:ind w:left="320"/>
        <w:spacing w:after="0"/>
        <w:rPr>
          <w:sz w:val="20"/>
          <w:szCs w:val="20"/>
          <w:color w:val="auto"/>
        </w:rPr>
      </w:pPr>
      <w:r>
        <w:rPr>
          <w:rFonts w:ascii="Arial" w:cs="Arial" w:eastAsia="Arial" w:hAnsi="Arial"/>
          <w:sz w:val="22"/>
          <w:szCs w:val="22"/>
          <w:b w:val="1"/>
          <w:bCs w:val="1"/>
          <w:color w:val="8F8F8F"/>
        </w:rPr>
        <w:t>Product Warranty</w:t>
      </w:r>
    </w:p>
    <w:p>
      <w:pPr>
        <w:spacing w:after="0" w:line="191" w:lineRule="exact"/>
        <w:rPr>
          <w:sz w:val="20"/>
          <w:szCs w:val="20"/>
          <w:color w:val="auto"/>
        </w:rPr>
      </w:pPr>
    </w:p>
    <w:p>
      <w:pPr>
        <w:ind w:left="320" w:right="180"/>
        <w:spacing w:after="0" w:line="477" w:lineRule="auto"/>
        <w:rPr>
          <w:sz w:val="20"/>
          <w:szCs w:val="20"/>
          <w:color w:val="auto"/>
        </w:rPr>
      </w:pPr>
      <w:r>
        <w:rPr>
          <w:rFonts w:ascii="Times New Roman" w:cs="Times New Roman" w:eastAsia="Times New Roman" w:hAnsi="Times New Roman"/>
          <w:sz w:val="17"/>
          <w:szCs w:val="17"/>
          <w:color w:val="262626"/>
        </w:rPr>
        <w:t>The Company periodically incurs product warranty costs. Any liabilities associated with product warranty are estimated based on known facts and circumstances and are not significant at December 31, 2022, 2021 and 2020. The Company does not offer extended warranties on its products.</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Income Taxes</w:t>
      </w:r>
    </w:p>
    <w:p>
      <w:pPr>
        <w:spacing w:after="0" w:line="191" w:lineRule="exact"/>
        <w:rPr>
          <w:sz w:val="20"/>
          <w:szCs w:val="20"/>
          <w:color w:val="auto"/>
        </w:rPr>
      </w:pPr>
    </w:p>
    <w:p>
      <w:pPr>
        <w:ind w:left="320"/>
        <w:spacing w:after="0" w:line="343" w:lineRule="auto"/>
        <w:rPr>
          <w:sz w:val="20"/>
          <w:szCs w:val="20"/>
          <w:color w:val="auto"/>
        </w:rPr>
      </w:pPr>
      <w:r>
        <w:rPr>
          <w:rFonts w:ascii="Times New Roman" w:cs="Times New Roman" w:eastAsia="Times New Roman" w:hAnsi="Times New Roman"/>
          <w:sz w:val="18"/>
          <w:szCs w:val="18"/>
          <w:color w:val="262626"/>
        </w:rPr>
        <w:t>The provision for income taxes is based on the earnings reported in the consolidated financial statements. Deferred income tax assets and liabilities are computed for differences between the financial statement and tax basis of assets and liabilities that will result in deductible or taxable amounts in the future. Such deferred income tax asset and liability computations are based on enacted tax laws and rates. The Company applies the provisions of ASC 740, Income Taxes, as it relates to uncertainty in income taxes recognized in the Company’s consolidated financial statements. A threshold of more likely than not to be sustained upon examination is applied to uncertain tax positions. The Company deems the estimates related to this provision to be reasonable, however, no assurance can be given that the final outcome of these matters will not vary from what is reflected in the historical income tax provisions and accruals.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Leases</w:t>
      </w:r>
    </w:p>
    <w:p>
      <w:pPr>
        <w:spacing w:after="0" w:line="191" w:lineRule="exact"/>
        <w:rPr>
          <w:sz w:val="20"/>
          <w:szCs w:val="20"/>
          <w:color w:val="auto"/>
        </w:rPr>
      </w:pPr>
    </w:p>
    <w:p>
      <w:pPr>
        <w:ind w:left="320" w:right="60"/>
        <w:spacing w:after="0" w:line="362" w:lineRule="auto"/>
        <w:rPr>
          <w:sz w:val="20"/>
          <w:szCs w:val="20"/>
          <w:color w:val="auto"/>
        </w:rPr>
      </w:pPr>
      <w:r>
        <w:rPr>
          <w:rFonts w:ascii="Times New Roman" w:cs="Times New Roman" w:eastAsia="Times New Roman" w:hAnsi="Times New Roman"/>
          <w:sz w:val="18"/>
          <w:szCs w:val="18"/>
          <w:color w:val="262626"/>
        </w:rPr>
        <w:t>The Company has operating leases for corporate offices, warehouses, vehicles, and other equipment, which are included within “Patents and other assets” section of the Consolidated Balance Sheets. The leases have remaining lease terms of 1 year to 5 years. The weighted average remaining lease term for operating leases as of December 31, 2022 was 2 years, with a weighted average discount rate of 5.2%. Future minimum lease payments for operating leases are as follows:</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62626"/>
        </w:rPr>
        <w:t>Year ending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203200</wp:posOffset>
                </wp:positionH>
                <wp:positionV relativeFrom="paragraph">
                  <wp:posOffset>55245</wp:posOffset>
                </wp:positionV>
                <wp:extent cx="662940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838383"/>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pt,4.35pt" to="538pt,4.35pt" o:allowincell="f" strokecolor="#838383" strokeweight="0.5pt"/>
            </w:pict>
          </mc:Fallback>
        </mc:AlternateContent>
      </w:r>
    </w:p>
    <w:p>
      <w:pPr>
        <w:spacing w:after="0" w:line="134" w:lineRule="exact"/>
        <w:rPr>
          <w:sz w:val="20"/>
          <w:szCs w:val="20"/>
          <w:color w:val="auto"/>
        </w:rPr>
      </w:pPr>
    </w:p>
    <w:tbl>
      <w:tblPr>
        <w:tblLayout w:type="fixed"/>
        <w:tblInd w:w="320" w:type="dxa"/>
        <w:tblCellMar>
          <w:top w:w="0" w:type="dxa"/>
          <w:left w:w="0" w:type="dxa"/>
          <w:bottom w:w="0" w:type="dxa"/>
          <w:right w:w="0" w:type="dxa"/>
        </w:tblCellMar>
      </w:tblPr>
      <w:tr>
        <w:trPr>
          <w:trHeight w:val="289"/>
        </w:trPr>
        <w:tc>
          <w:tcPr>
            <w:tcW w:w="7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2023</w:t>
            </w:r>
          </w:p>
        </w:tc>
        <w:tc>
          <w:tcPr>
            <w:tcW w:w="1120" w:type="dxa"/>
            <w:vAlign w:val="bottom"/>
            <w:tcBorders>
              <w:bottom w:val="single" w:sz="8" w:color="838383"/>
            </w:tcBorders>
            <w:gridSpan w:val="2"/>
          </w:tcPr>
          <w:p>
            <w:pPr>
              <w:jc w:val="right"/>
              <w:ind w:right="1020"/>
              <w:spacing w:after="0"/>
              <w:rPr>
                <w:sz w:val="20"/>
                <w:szCs w:val="20"/>
                <w:color w:val="auto"/>
              </w:rPr>
            </w:pPr>
            <w:r>
              <w:rPr>
                <w:rFonts w:ascii="Times New Roman" w:cs="Times New Roman" w:eastAsia="Times New Roman" w:hAnsi="Times New Roman"/>
                <w:sz w:val="18"/>
                <w:szCs w:val="18"/>
                <w:color w:val="262626"/>
                <w:w w:val="88"/>
              </w:rPr>
              <w:t>$</w:t>
            </w:r>
          </w:p>
        </w:tc>
        <w:tc>
          <w:tcPr>
            <w:tcW w:w="17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1,429,526</w:t>
            </w:r>
          </w:p>
        </w:tc>
      </w:tr>
      <w:tr>
        <w:trPr>
          <w:trHeight w:val="340"/>
        </w:trPr>
        <w:tc>
          <w:tcPr>
            <w:tcW w:w="7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2024</w:t>
            </w:r>
          </w:p>
        </w:tc>
        <w:tc>
          <w:tcPr>
            <w:tcW w:w="20" w:type="dxa"/>
            <w:vAlign w:val="bottom"/>
            <w:tcBorders>
              <w:bottom w:val="single" w:sz="8" w:color="838383"/>
            </w:tcBorders>
          </w:tcPr>
          <w:p>
            <w:pPr>
              <w:spacing w:after="0"/>
              <w:rPr>
                <w:sz w:val="24"/>
                <w:szCs w:val="24"/>
                <w:color w:val="auto"/>
              </w:rPr>
            </w:pPr>
          </w:p>
        </w:tc>
        <w:tc>
          <w:tcPr>
            <w:tcW w:w="1100" w:type="dxa"/>
            <w:vAlign w:val="bottom"/>
            <w:tcBorders>
              <w:bottom w:val="single" w:sz="8" w:color="838383"/>
            </w:tcBorders>
          </w:tcPr>
          <w:p>
            <w:pPr>
              <w:spacing w:after="0"/>
              <w:rPr>
                <w:sz w:val="24"/>
                <w:szCs w:val="24"/>
                <w:color w:val="auto"/>
              </w:rPr>
            </w:pPr>
          </w:p>
        </w:tc>
        <w:tc>
          <w:tcPr>
            <w:tcW w:w="17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547,870</w:t>
            </w:r>
          </w:p>
        </w:tc>
      </w:tr>
      <w:tr>
        <w:trPr>
          <w:trHeight w:val="340"/>
        </w:trPr>
        <w:tc>
          <w:tcPr>
            <w:tcW w:w="7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2025</w:t>
            </w:r>
          </w:p>
        </w:tc>
        <w:tc>
          <w:tcPr>
            <w:tcW w:w="20" w:type="dxa"/>
            <w:vAlign w:val="bottom"/>
            <w:tcBorders>
              <w:bottom w:val="single" w:sz="8" w:color="838383"/>
            </w:tcBorders>
          </w:tcPr>
          <w:p>
            <w:pPr>
              <w:spacing w:after="0"/>
              <w:rPr>
                <w:sz w:val="24"/>
                <w:szCs w:val="24"/>
                <w:color w:val="auto"/>
              </w:rPr>
            </w:pPr>
          </w:p>
        </w:tc>
        <w:tc>
          <w:tcPr>
            <w:tcW w:w="1100" w:type="dxa"/>
            <w:vAlign w:val="bottom"/>
            <w:tcBorders>
              <w:bottom w:val="single" w:sz="8" w:color="838383"/>
            </w:tcBorders>
          </w:tcPr>
          <w:p>
            <w:pPr>
              <w:spacing w:after="0"/>
              <w:rPr>
                <w:sz w:val="24"/>
                <w:szCs w:val="24"/>
                <w:color w:val="auto"/>
              </w:rPr>
            </w:pPr>
          </w:p>
        </w:tc>
        <w:tc>
          <w:tcPr>
            <w:tcW w:w="17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184,470</w:t>
            </w:r>
          </w:p>
        </w:tc>
      </w:tr>
      <w:tr>
        <w:trPr>
          <w:trHeight w:val="340"/>
        </w:trPr>
        <w:tc>
          <w:tcPr>
            <w:tcW w:w="7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2026</w:t>
            </w:r>
          </w:p>
        </w:tc>
        <w:tc>
          <w:tcPr>
            <w:tcW w:w="20" w:type="dxa"/>
            <w:vAlign w:val="bottom"/>
            <w:tcBorders>
              <w:bottom w:val="single" w:sz="8" w:color="838383"/>
            </w:tcBorders>
          </w:tcPr>
          <w:p>
            <w:pPr>
              <w:spacing w:after="0"/>
              <w:rPr>
                <w:sz w:val="24"/>
                <w:szCs w:val="24"/>
                <w:color w:val="auto"/>
              </w:rPr>
            </w:pPr>
          </w:p>
        </w:tc>
        <w:tc>
          <w:tcPr>
            <w:tcW w:w="1100" w:type="dxa"/>
            <w:vAlign w:val="bottom"/>
            <w:tcBorders>
              <w:bottom w:val="single" w:sz="8" w:color="838383"/>
            </w:tcBorders>
          </w:tcPr>
          <w:p>
            <w:pPr>
              <w:spacing w:after="0"/>
              <w:rPr>
                <w:sz w:val="24"/>
                <w:szCs w:val="24"/>
                <w:color w:val="auto"/>
              </w:rPr>
            </w:pPr>
          </w:p>
        </w:tc>
        <w:tc>
          <w:tcPr>
            <w:tcW w:w="17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37,375</w:t>
            </w:r>
          </w:p>
        </w:tc>
      </w:tr>
      <w:tr>
        <w:trPr>
          <w:trHeight w:val="355"/>
        </w:trPr>
        <w:tc>
          <w:tcPr>
            <w:tcW w:w="7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Thereafter</w:t>
            </w:r>
          </w:p>
        </w:tc>
        <w:tc>
          <w:tcPr>
            <w:tcW w:w="20" w:type="dxa"/>
            <w:vAlign w:val="bottom"/>
            <w:tcBorders>
              <w:bottom w:val="single" w:sz="8" w:color="838383"/>
            </w:tcBorders>
          </w:tcPr>
          <w:p>
            <w:pPr>
              <w:spacing w:after="0"/>
              <w:rPr>
                <w:sz w:val="24"/>
                <w:szCs w:val="24"/>
                <w:color w:val="auto"/>
              </w:rPr>
            </w:pPr>
          </w:p>
        </w:tc>
        <w:tc>
          <w:tcPr>
            <w:tcW w:w="1100" w:type="dxa"/>
            <w:vAlign w:val="bottom"/>
            <w:tcBorders>
              <w:bottom w:val="single" w:sz="8" w:color="8F8F8F"/>
            </w:tcBorders>
          </w:tcPr>
          <w:p>
            <w:pPr>
              <w:spacing w:after="0"/>
              <w:rPr>
                <w:sz w:val="24"/>
                <w:szCs w:val="24"/>
                <w:color w:val="auto"/>
              </w:rPr>
            </w:pPr>
          </w:p>
        </w:tc>
        <w:tc>
          <w:tcPr>
            <w:tcW w:w="17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978</w:t>
            </w:r>
          </w:p>
        </w:tc>
      </w:tr>
      <w:tr>
        <w:trPr>
          <w:trHeight w:val="325"/>
        </w:trPr>
        <w:tc>
          <w:tcPr>
            <w:tcW w:w="75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Total future minimum lease payments</w:t>
            </w:r>
          </w:p>
        </w:tc>
        <w:tc>
          <w:tcPr>
            <w:tcW w:w="1120" w:type="dxa"/>
            <w:vAlign w:val="bottom"/>
            <w:tcBorders>
              <w:bottom w:val="single" w:sz="8" w:color="838383"/>
            </w:tcBorders>
            <w:gridSpan w:val="2"/>
          </w:tcPr>
          <w:p>
            <w:pPr>
              <w:jc w:val="right"/>
              <w:ind w:right="1020"/>
              <w:spacing w:after="0"/>
              <w:rPr>
                <w:sz w:val="20"/>
                <w:szCs w:val="20"/>
                <w:color w:val="auto"/>
              </w:rPr>
            </w:pPr>
            <w:r>
              <w:rPr>
                <w:rFonts w:ascii="Times New Roman" w:cs="Times New Roman" w:eastAsia="Times New Roman" w:hAnsi="Times New Roman"/>
                <w:sz w:val="18"/>
                <w:szCs w:val="18"/>
                <w:color w:val="262626"/>
                <w:w w:val="88"/>
              </w:rPr>
              <w:t>$</w:t>
            </w:r>
          </w:p>
        </w:tc>
        <w:tc>
          <w:tcPr>
            <w:tcW w:w="17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2,200,219</w:t>
            </w:r>
          </w:p>
        </w:tc>
      </w:tr>
      <w:tr>
        <w:trPr>
          <w:trHeight w:val="355"/>
        </w:trPr>
        <w:tc>
          <w:tcPr>
            <w:tcW w:w="756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Less imputed interest</w:t>
            </w:r>
          </w:p>
        </w:tc>
        <w:tc>
          <w:tcPr>
            <w:tcW w:w="20" w:type="dxa"/>
            <w:vAlign w:val="bottom"/>
            <w:tcBorders>
              <w:bottom w:val="single" w:sz="8" w:color="838383"/>
            </w:tcBorders>
          </w:tcPr>
          <w:p>
            <w:pPr>
              <w:spacing w:after="0"/>
              <w:rPr>
                <w:sz w:val="24"/>
                <w:szCs w:val="24"/>
                <w:color w:val="auto"/>
              </w:rPr>
            </w:pPr>
          </w:p>
        </w:tc>
        <w:tc>
          <w:tcPr>
            <w:tcW w:w="1100" w:type="dxa"/>
            <w:vAlign w:val="bottom"/>
            <w:tcBorders>
              <w:bottom w:val="single" w:sz="8" w:color="8F8F8F"/>
            </w:tcBorders>
          </w:tcPr>
          <w:p>
            <w:pPr>
              <w:spacing w:after="0"/>
              <w:rPr>
                <w:sz w:val="24"/>
                <w:szCs w:val="24"/>
                <w:color w:val="auto"/>
              </w:rPr>
            </w:pPr>
          </w:p>
        </w:tc>
        <w:tc>
          <w:tcPr>
            <w:tcW w:w="17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(50,718)</w:t>
            </w:r>
          </w:p>
        </w:tc>
      </w:tr>
      <w:tr>
        <w:trPr>
          <w:trHeight w:val="3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262626"/>
              </w:rPr>
              <w:t>Total</w:t>
            </w:r>
          </w:p>
        </w:tc>
        <w:tc>
          <w:tcPr>
            <w:tcW w:w="1120" w:type="dxa"/>
            <w:vAlign w:val="bottom"/>
            <w:tcBorders>
              <w:bottom w:val="single" w:sz="8" w:color="8F8F8F"/>
            </w:tcBorders>
            <w:gridSpan w:val="2"/>
          </w:tcPr>
          <w:p>
            <w:pPr>
              <w:jc w:val="right"/>
              <w:ind w:right="1020"/>
              <w:spacing w:after="0"/>
              <w:rPr>
                <w:sz w:val="20"/>
                <w:szCs w:val="20"/>
                <w:color w:val="auto"/>
              </w:rPr>
            </w:pPr>
            <w:r>
              <w:rPr>
                <w:rFonts w:ascii="Times New Roman" w:cs="Times New Roman" w:eastAsia="Times New Roman" w:hAnsi="Times New Roman"/>
                <w:sz w:val="18"/>
                <w:szCs w:val="18"/>
                <w:color w:val="262626"/>
                <w:w w:val="88"/>
              </w:rPr>
              <w:t>$</w:t>
            </w:r>
          </w:p>
        </w:tc>
        <w:tc>
          <w:tcPr>
            <w:tcW w:w="17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2,149,501</w:t>
            </w:r>
          </w:p>
        </w:tc>
      </w:tr>
      <w:tr>
        <w:trPr>
          <w:trHeight w:val="20"/>
        </w:trPr>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8F8F8F"/>
            </w:tcBorders>
          </w:tcPr>
          <w:p>
            <w:pPr>
              <w:spacing w:after="0" w:line="20" w:lineRule="exact"/>
              <w:rPr>
                <w:sz w:val="1"/>
                <w:szCs w:val="1"/>
                <w:color w:val="auto"/>
              </w:rPr>
            </w:pPr>
          </w:p>
        </w:tc>
        <w:tc>
          <w:tcPr>
            <w:tcW w:w="1760" w:type="dxa"/>
            <w:vAlign w:val="bottom"/>
            <w:tcBorders>
              <w:bottom w:val="single" w:sz="8" w:color="8F8F8F"/>
            </w:tcBorders>
          </w:tcPr>
          <w:p>
            <w:pPr>
              <w:spacing w:after="0" w:line="20" w:lineRule="exact"/>
              <w:rPr>
                <w:sz w:val="1"/>
                <w:szCs w:val="1"/>
                <w:color w:val="auto"/>
              </w:rPr>
            </w:pPr>
          </w:p>
        </w:tc>
      </w:tr>
    </w:tbl>
    <w:p>
      <w:pPr>
        <w:spacing w:after="0" w:line="32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Earnings Per Share</w:t>
      </w:r>
    </w:p>
    <w:p>
      <w:pPr>
        <w:spacing w:after="0" w:line="263" w:lineRule="exact"/>
        <w:rPr>
          <w:sz w:val="20"/>
          <w:szCs w:val="20"/>
          <w:color w:val="auto"/>
        </w:rPr>
      </w:pPr>
    </w:p>
    <w:p>
      <w:pPr>
        <w:ind w:left="320" w:right="240"/>
        <w:spacing w:after="0" w:line="352" w:lineRule="auto"/>
        <w:rPr>
          <w:sz w:val="20"/>
          <w:szCs w:val="20"/>
          <w:color w:val="auto"/>
        </w:rPr>
      </w:pPr>
      <w:r>
        <w:rPr>
          <w:rFonts w:ascii="Times New Roman" w:cs="Times New Roman" w:eastAsia="Times New Roman" w:hAnsi="Times New Roman"/>
          <w:sz w:val="18"/>
          <w:szCs w:val="18"/>
          <w:color w:val="262626"/>
        </w:rPr>
        <w:t>The Company has unvested share-based payment awards with a right to receive non-forfeitable dividends, which are considered participating securities under ASC 260, Earnings Per Share.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w:t>
      </w:r>
    </w:p>
    <w:p>
      <w:pPr>
        <w:sectPr>
          <w:pgSz w:w="12240" w:h="15840" w:orient="portrait"/>
          <w:cols w:equalWidth="0" w:num="1">
            <w:col w:w="10760"/>
          </w:cols>
          <w:pgMar w:left="580" w:top="83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72</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60"/>
          </w:cols>
          <w:pgMar w:left="580" w:top="830" w:right="900" w:bottom="0" w:gutter="0" w:footer="0" w:header="0"/>
          <w:type w:val="continuous"/>
        </w:sectPr>
      </w:pPr>
    </w:p>
    <w:bookmarkStart w:id="72" w:name="page73"/>
    <w:bookmarkEnd w:id="72"/>
    <w:p>
      <w:pPr>
        <w:ind w:right="540"/>
        <w:spacing w:after="0" w:line="437" w:lineRule="auto"/>
        <w:rPr>
          <w:sz w:val="20"/>
          <w:szCs w:val="20"/>
          <w:color w:val="auto"/>
        </w:rPr>
      </w:pPr>
      <w:r>
        <w:rPr>
          <w:rFonts w:ascii="Times New Roman" w:cs="Times New Roman" w:eastAsia="Times New Roman" w:hAnsi="Times New Roman"/>
          <w:sz w:val="18"/>
          <w:szCs w:val="18"/>
          <w:color w:val="262626"/>
        </w:rPr>
        <w:t>The following table sets forth the computation of basic and diluted net income per common share under the two-class method for each of the last three years: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4440" w:type="dxa"/>
            <w:vAlign w:val="bottom"/>
          </w:tcPr>
          <w:p>
            <w:pPr>
              <w:spacing w:after="0"/>
              <w:rPr>
                <w:sz w:val="20"/>
                <w:szCs w:val="20"/>
                <w:color w:val="auto"/>
              </w:rPr>
            </w:pPr>
            <w:r>
              <w:rPr>
                <w:rFonts w:ascii="Arial" w:cs="Arial" w:eastAsia="Arial" w:hAnsi="Arial"/>
                <w:sz w:val="17"/>
                <w:szCs w:val="17"/>
                <w:b w:val="1"/>
                <w:bCs w:val="1"/>
                <w:color w:val="838383"/>
              </w:rPr>
              <w:t>BASIC EARNINGS PER SHARE</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2022</w:t>
            </w:r>
          </w:p>
        </w:tc>
        <w:tc>
          <w:tcPr>
            <w:tcW w:w="58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2021</w:t>
            </w:r>
          </w:p>
        </w:tc>
        <w:tc>
          <w:tcPr>
            <w:tcW w:w="5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262626"/>
              </w:rPr>
              <w:t>2020</w:t>
            </w:r>
          </w:p>
        </w:tc>
        <w:tc>
          <w:tcPr>
            <w:tcW w:w="0" w:type="dxa"/>
            <w:vAlign w:val="bottom"/>
          </w:tcPr>
          <w:p>
            <w:pPr>
              <w:spacing w:after="0"/>
              <w:rPr>
                <w:sz w:val="1"/>
                <w:szCs w:val="1"/>
                <w:color w:val="auto"/>
              </w:rPr>
            </w:pPr>
          </w:p>
        </w:tc>
      </w:tr>
      <w:tr>
        <w:trPr>
          <w:trHeight w:val="345"/>
        </w:trPr>
        <w:tc>
          <w:tcPr>
            <w:tcW w:w="44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Net Income</w:t>
            </w:r>
          </w:p>
        </w:tc>
        <w:tc>
          <w:tcPr>
            <w:tcW w:w="760" w:type="dxa"/>
            <w:vAlign w:val="bottom"/>
            <w:tcBorders>
              <w:bottom w:val="single" w:sz="8" w:color="838383"/>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262626"/>
              </w:rPr>
              <w:t>$</w:t>
            </w:r>
          </w:p>
        </w:tc>
        <w:tc>
          <w:tcPr>
            <w:tcW w:w="13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318,757,352</w:t>
            </w:r>
          </w:p>
        </w:tc>
        <w:tc>
          <w:tcPr>
            <w:tcW w:w="58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4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360,797,232</w:t>
            </w:r>
          </w:p>
        </w:tc>
        <w:tc>
          <w:tcPr>
            <w:tcW w:w="58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347,563,621</w:t>
            </w:r>
          </w:p>
        </w:tc>
        <w:tc>
          <w:tcPr>
            <w:tcW w:w="0" w:type="dxa"/>
            <w:vAlign w:val="bottom"/>
          </w:tcPr>
          <w:p>
            <w:pPr>
              <w:spacing w:after="0"/>
              <w:rPr>
                <w:sz w:val="1"/>
                <w:szCs w:val="1"/>
                <w:color w:val="auto"/>
              </w:rPr>
            </w:pPr>
          </w:p>
        </w:tc>
      </w:tr>
      <w:tr>
        <w:trPr>
          <w:trHeight w:val="355"/>
        </w:trPr>
        <w:tc>
          <w:tcPr>
            <w:tcW w:w="444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Less: Allocated to participating securities</w:t>
            </w:r>
          </w:p>
        </w:tc>
        <w:tc>
          <w:tcPr>
            <w:tcW w:w="240" w:type="dxa"/>
            <w:vAlign w:val="bottom"/>
            <w:tcBorders>
              <w:bottom w:val="single" w:sz="8" w:color="838383"/>
            </w:tcBorders>
          </w:tcPr>
          <w:p>
            <w:pPr>
              <w:spacing w:after="0"/>
              <w:rPr>
                <w:sz w:val="24"/>
                <w:szCs w:val="24"/>
                <w:color w:val="auto"/>
              </w:rPr>
            </w:pPr>
          </w:p>
        </w:tc>
        <w:tc>
          <w:tcPr>
            <w:tcW w:w="52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4,875,057</w:t>
            </w:r>
          </w:p>
        </w:tc>
        <w:tc>
          <w:tcPr>
            <w:tcW w:w="580" w:type="dxa"/>
            <w:vAlign w:val="bottom"/>
            <w:tcBorders>
              <w:bottom w:val="single" w:sz="8" w:color="8F8F8F"/>
            </w:tcBorders>
          </w:tcPr>
          <w:p>
            <w:pPr>
              <w:spacing w:after="0"/>
              <w:rPr>
                <w:sz w:val="24"/>
                <w:szCs w:val="24"/>
                <w:color w:val="auto"/>
              </w:rPr>
            </w:pPr>
          </w:p>
        </w:tc>
        <w:tc>
          <w:tcPr>
            <w:tcW w:w="140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5,591,992</w:t>
            </w:r>
          </w:p>
        </w:tc>
        <w:tc>
          <w:tcPr>
            <w:tcW w:w="580" w:type="dxa"/>
            <w:vAlign w:val="bottom"/>
            <w:tcBorders>
              <w:bottom w:val="single" w:sz="8" w:color="8F8F8F"/>
            </w:tcBorders>
          </w:tcPr>
          <w:p>
            <w:pPr>
              <w:spacing w:after="0"/>
              <w:rPr>
                <w:sz w:val="24"/>
                <w:szCs w:val="24"/>
                <w:color w:val="auto"/>
              </w:rPr>
            </w:pPr>
          </w:p>
        </w:tc>
        <w:tc>
          <w:tcPr>
            <w:tcW w:w="13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4,964,928</w:t>
            </w:r>
          </w:p>
        </w:tc>
        <w:tc>
          <w:tcPr>
            <w:tcW w:w="0" w:type="dxa"/>
            <w:vAlign w:val="bottom"/>
          </w:tcPr>
          <w:p>
            <w:pPr>
              <w:spacing w:after="0"/>
              <w:rPr>
                <w:sz w:val="1"/>
                <w:szCs w:val="1"/>
                <w:color w:val="auto"/>
              </w:rPr>
            </w:pPr>
          </w:p>
        </w:tc>
      </w:tr>
      <w:tr>
        <w:trPr>
          <w:trHeight w:val="335"/>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262626"/>
              </w:rPr>
              <w:t>Net Income available to common shareholders</w:t>
            </w: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262626"/>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313,882,295</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355,205,240</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342,598,693</w:t>
            </w:r>
          </w:p>
        </w:tc>
        <w:tc>
          <w:tcPr>
            <w:tcW w:w="0" w:type="dxa"/>
            <w:vAlign w:val="bottom"/>
          </w:tcPr>
          <w:p>
            <w:pPr>
              <w:spacing w:after="0"/>
              <w:rPr>
                <w:sz w:val="1"/>
                <w:szCs w:val="1"/>
                <w:color w:val="auto"/>
              </w:rPr>
            </w:pPr>
          </w:p>
        </w:tc>
      </w:tr>
      <w:tr>
        <w:trPr>
          <w:trHeight w:val="330"/>
        </w:trPr>
        <w:tc>
          <w:tcPr>
            <w:tcW w:w="4440" w:type="dxa"/>
            <w:vAlign w:val="bottom"/>
            <w:tcBorders>
              <w:top w:val="single" w:sz="8" w:color="838383"/>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Basic weighted average shares outstanding</w:t>
            </w:r>
          </w:p>
        </w:tc>
        <w:tc>
          <w:tcPr>
            <w:tcW w:w="240" w:type="dxa"/>
            <w:vAlign w:val="bottom"/>
            <w:tcBorders>
              <w:top w:val="single" w:sz="8" w:color="838383"/>
              <w:bottom w:val="single" w:sz="8" w:color="838383"/>
            </w:tcBorders>
          </w:tcPr>
          <w:p>
            <w:pPr>
              <w:spacing w:after="0"/>
              <w:rPr>
                <w:sz w:val="24"/>
                <w:szCs w:val="24"/>
                <w:color w:val="auto"/>
              </w:rPr>
            </w:pPr>
          </w:p>
        </w:tc>
        <w:tc>
          <w:tcPr>
            <w:tcW w:w="520" w:type="dxa"/>
            <w:vAlign w:val="bottom"/>
            <w:tcBorders>
              <w:top w:val="single" w:sz="8" w:color="8F8F8F"/>
              <w:bottom w:val="single" w:sz="8" w:color="838383"/>
            </w:tcBorders>
          </w:tcPr>
          <w:p>
            <w:pPr>
              <w:spacing w:after="0"/>
              <w:rPr>
                <w:sz w:val="24"/>
                <w:szCs w:val="24"/>
                <w:color w:val="auto"/>
              </w:rPr>
            </w:pPr>
          </w:p>
        </w:tc>
        <w:tc>
          <w:tcPr>
            <w:tcW w:w="1380" w:type="dxa"/>
            <w:vAlign w:val="bottom"/>
            <w:tcBorders>
              <w:top w:val="single" w:sz="8" w:color="8F8F8F"/>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230,825,293</w:t>
            </w:r>
          </w:p>
        </w:tc>
        <w:tc>
          <w:tcPr>
            <w:tcW w:w="580" w:type="dxa"/>
            <w:vAlign w:val="bottom"/>
            <w:tcBorders>
              <w:top w:val="single" w:sz="8" w:color="8F8F8F"/>
              <w:bottom w:val="single" w:sz="8" w:color="838383"/>
            </w:tcBorders>
          </w:tcPr>
          <w:p>
            <w:pPr>
              <w:spacing w:after="0"/>
              <w:rPr>
                <w:sz w:val="24"/>
                <w:szCs w:val="24"/>
                <w:color w:val="auto"/>
              </w:rPr>
            </w:pPr>
          </w:p>
        </w:tc>
        <w:tc>
          <w:tcPr>
            <w:tcW w:w="1400" w:type="dxa"/>
            <w:vAlign w:val="bottom"/>
            <w:tcBorders>
              <w:top w:val="single" w:sz="8" w:color="8F8F8F"/>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235,526,911</w:t>
            </w:r>
          </w:p>
        </w:tc>
        <w:tc>
          <w:tcPr>
            <w:tcW w:w="580" w:type="dxa"/>
            <w:vAlign w:val="bottom"/>
            <w:tcBorders>
              <w:top w:val="single" w:sz="8" w:color="8F8F8F"/>
              <w:bottom w:val="single" w:sz="8" w:color="838383"/>
            </w:tcBorders>
          </w:tcPr>
          <w:p>
            <w:pPr>
              <w:spacing w:after="0"/>
              <w:rPr>
                <w:sz w:val="24"/>
                <w:szCs w:val="24"/>
                <w:color w:val="auto"/>
              </w:rPr>
            </w:pPr>
          </w:p>
        </w:tc>
        <w:tc>
          <w:tcPr>
            <w:tcW w:w="1300" w:type="dxa"/>
            <w:vAlign w:val="bottom"/>
            <w:tcBorders>
              <w:top w:val="single" w:sz="8" w:color="8F8F8F"/>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242,599,923</w:t>
            </w:r>
          </w:p>
        </w:tc>
        <w:tc>
          <w:tcPr>
            <w:tcW w:w="0" w:type="dxa"/>
            <w:vAlign w:val="bottom"/>
          </w:tcPr>
          <w:p>
            <w:pPr>
              <w:spacing w:after="0"/>
              <w:rPr>
                <w:sz w:val="1"/>
                <w:szCs w:val="1"/>
                <w:color w:val="auto"/>
              </w:rPr>
            </w:pPr>
          </w:p>
        </w:tc>
      </w:tr>
      <w:tr>
        <w:trPr>
          <w:trHeight w:val="340"/>
        </w:trPr>
        <w:tc>
          <w:tcPr>
            <w:tcW w:w="44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Net Income per share - Basic</w:t>
            </w:r>
          </w:p>
        </w:tc>
        <w:tc>
          <w:tcPr>
            <w:tcW w:w="760" w:type="dxa"/>
            <w:vAlign w:val="bottom"/>
            <w:tcBorders>
              <w:bottom w:val="single" w:sz="8" w:color="838383"/>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262626"/>
              </w:rPr>
              <w:t>$</w:t>
            </w:r>
          </w:p>
        </w:tc>
        <w:tc>
          <w:tcPr>
            <w:tcW w:w="13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1.36</w:t>
            </w:r>
          </w:p>
        </w:tc>
        <w:tc>
          <w:tcPr>
            <w:tcW w:w="58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4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1.51</w:t>
            </w:r>
          </w:p>
        </w:tc>
        <w:tc>
          <w:tcPr>
            <w:tcW w:w="58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1.41</w:t>
            </w:r>
          </w:p>
        </w:tc>
        <w:tc>
          <w:tcPr>
            <w:tcW w:w="0" w:type="dxa"/>
            <w:vAlign w:val="bottom"/>
          </w:tcPr>
          <w:p>
            <w:pPr>
              <w:spacing w:after="0"/>
              <w:rPr>
                <w:sz w:val="1"/>
                <w:szCs w:val="1"/>
                <w:color w:val="auto"/>
              </w:rPr>
            </w:pPr>
          </w:p>
        </w:tc>
      </w:tr>
      <w:tr>
        <w:trPr>
          <w:trHeight w:val="273"/>
        </w:trPr>
        <w:tc>
          <w:tcPr>
            <w:tcW w:w="4440" w:type="dxa"/>
            <w:vAlign w:val="bottom"/>
          </w:tcPr>
          <w:p>
            <w:pPr>
              <w:spacing w:after="0"/>
              <w:rPr>
                <w:sz w:val="20"/>
                <w:szCs w:val="20"/>
                <w:color w:val="auto"/>
              </w:rPr>
            </w:pPr>
            <w:r>
              <w:rPr>
                <w:rFonts w:ascii="Arial" w:cs="Arial" w:eastAsia="Arial" w:hAnsi="Arial"/>
                <w:sz w:val="17"/>
                <w:szCs w:val="17"/>
                <w:b w:val="1"/>
                <w:bCs w:val="1"/>
                <w:color w:val="838383"/>
              </w:rPr>
              <w:t>DILUTED EARNINGS PER SHARE</w:t>
            </w: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4440" w:type="dxa"/>
            <w:vAlign w:val="bottom"/>
            <w:tcBorders>
              <w:bottom w:val="single" w:sz="8" w:color="838383"/>
            </w:tcBorders>
          </w:tcPr>
          <w:p>
            <w:pPr>
              <w:spacing w:after="0"/>
              <w:rPr>
                <w:sz w:val="5"/>
                <w:szCs w:val="5"/>
                <w:color w:val="auto"/>
              </w:rPr>
            </w:pPr>
          </w:p>
        </w:tc>
        <w:tc>
          <w:tcPr>
            <w:tcW w:w="760" w:type="dxa"/>
            <w:vAlign w:val="bottom"/>
            <w:tcBorders>
              <w:bottom w:val="single" w:sz="8" w:color="838383"/>
            </w:tcBorders>
            <w:gridSpan w:val="2"/>
          </w:tcPr>
          <w:p>
            <w:pPr>
              <w:spacing w:after="0"/>
              <w:rPr>
                <w:sz w:val="5"/>
                <w:szCs w:val="5"/>
                <w:color w:val="auto"/>
              </w:rPr>
            </w:pPr>
          </w:p>
        </w:tc>
        <w:tc>
          <w:tcPr>
            <w:tcW w:w="1380" w:type="dxa"/>
            <w:vAlign w:val="bottom"/>
            <w:tcBorders>
              <w:bottom w:val="single" w:sz="8" w:color="838383"/>
            </w:tcBorders>
          </w:tcPr>
          <w:p>
            <w:pPr>
              <w:spacing w:after="0"/>
              <w:rPr>
                <w:sz w:val="5"/>
                <w:szCs w:val="5"/>
                <w:color w:val="auto"/>
              </w:rPr>
            </w:pPr>
          </w:p>
        </w:tc>
        <w:tc>
          <w:tcPr>
            <w:tcW w:w="580" w:type="dxa"/>
            <w:vAlign w:val="bottom"/>
            <w:tcBorders>
              <w:bottom w:val="single" w:sz="8" w:color="838383"/>
            </w:tcBorders>
          </w:tcPr>
          <w:p>
            <w:pPr>
              <w:spacing w:after="0"/>
              <w:rPr>
                <w:sz w:val="5"/>
                <w:szCs w:val="5"/>
                <w:color w:val="auto"/>
              </w:rPr>
            </w:pPr>
          </w:p>
        </w:tc>
        <w:tc>
          <w:tcPr>
            <w:tcW w:w="1400" w:type="dxa"/>
            <w:vAlign w:val="bottom"/>
            <w:tcBorders>
              <w:bottom w:val="single" w:sz="8" w:color="838383"/>
            </w:tcBorders>
          </w:tcPr>
          <w:p>
            <w:pPr>
              <w:spacing w:after="0"/>
              <w:rPr>
                <w:sz w:val="5"/>
                <w:szCs w:val="5"/>
                <w:color w:val="auto"/>
              </w:rPr>
            </w:pPr>
          </w:p>
        </w:tc>
        <w:tc>
          <w:tcPr>
            <w:tcW w:w="580" w:type="dxa"/>
            <w:vAlign w:val="bottom"/>
            <w:tcBorders>
              <w:bottom w:val="single" w:sz="8" w:color="838383"/>
            </w:tcBorders>
          </w:tcPr>
          <w:p>
            <w:pPr>
              <w:spacing w:after="0"/>
              <w:rPr>
                <w:sz w:val="5"/>
                <w:szCs w:val="5"/>
                <w:color w:val="auto"/>
              </w:rPr>
            </w:pPr>
          </w:p>
        </w:tc>
        <w:tc>
          <w:tcPr>
            <w:tcW w:w="1300" w:type="dxa"/>
            <w:vAlign w:val="bottom"/>
            <w:tcBorders>
              <w:bottom w:val="single" w:sz="8" w:color="838383"/>
            </w:tcBorders>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44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Allocation of Net Income used in basic computation</w:t>
            </w:r>
          </w:p>
        </w:tc>
        <w:tc>
          <w:tcPr>
            <w:tcW w:w="760" w:type="dxa"/>
            <w:vAlign w:val="bottom"/>
            <w:tcBorders>
              <w:bottom w:val="single" w:sz="8" w:color="838383"/>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262626"/>
              </w:rPr>
              <w:t>$</w:t>
            </w:r>
          </w:p>
        </w:tc>
        <w:tc>
          <w:tcPr>
            <w:tcW w:w="13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313,882,295</w:t>
            </w:r>
          </w:p>
        </w:tc>
        <w:tc>
          <w:tcPr>
            <w:tcW w:w="58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4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355,205,240</w:t>
            </w:r>
          </w:p>
        </w:tc>
        <w:tc>
          <w:tcPr>
            <w:tcW w:w="58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342,598,693</w:t>
            </w:r>
          </w:p>
        </w:tc>
        <w:tc>
          <w:tcPr>
            <w:tcW w:w="0" w:type="dxa"/>
            <w:vAlign w:val="bottom"/>
          </w:tcPr>
          <w:p>
            <w:pPr>
              <w:spacing w:after="0"/>
              <w:rPr>
                <w:sz w:val="1"/>
                <w:szCs w:val="1"/>
                <w:color w:val="auto"/>
              </w:rPr>
            </w:pPr>
          </w:p>
        </w:tc>
      </w:tr>
      <w:tr>
        <w:trPr>
          <w:trHeight w:val="355"/>
        </w:trPr>
        <w:tc>
          <w:tcPr>
            <w:tcW w:w="444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Reallocation of undistributed earnings</w:t>
            </w:r>
          </w:p>
        </w:tc>
        <w:tc>
          <w:tcPr>
            <w:tcW w:w="240" w:type="dxa"/>
            <w:vAlign w:val="bottom"/>
            <w:tcBorders>
              <w:bottom w:val="single" w:sz="8" w:color="838383"/>
            </w:tcBorders>
          </w:tcPr>
          <w:p>
            <w:pPr>
              <w:spacing w:after="0"/>
              <w:rPr>
                <w:sz w:val="24"/>
                <w:szCs w:val="24"/>
                <w:color w:val="auto"/>
              </w:rPr>
            </w:pPr>
          </w:p>
        </w:tc>
        <w:tc>
          <w:tcPr>
            <w:tcW w:w="52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5,299</w:t>
            </w:r>
          </w:p>
        </w:tc>
        <w:tc>
          <w:tcPr>
            <w:tcW w:w="580" w:type="dxa"/>
            <w:vAlign w:val="bottom"/>
            <w:tcBorders>
              <w:bottom w:val="single" w:sz="8" w:color="8F8F8F"/>
            </w:tcBorders>
          </w:tcPr>
          <w:p>
            <w:pPr>
              <w:spacing w:after="0"/>
              <w:rPr>
                <w:sz w:val="24"/>
                <w:szCs w:val="24"/>
                <w:color w:val="auto"/>
              </w:rPr>
            </w:pPr>
          </w:p>
        </w:tc>
        <w:tc>
          <w:tcPr>
            <w:tcW w:w="140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17,014</w:t>
            </w:r>
          </w:p>
        </w:tc>
        <w:tc>
          <w:tcPr>
            <w:tcW w:w="580" w:type="dxa"/>
            <w:vAlign w:val="bottom"/>
            <w:tcBorders>
              <w:bottom w:val="single" w:sz="8" w:color="8F8F8F"/>
            </w:tcBorders>
          </w:tcPr>
          <w:p>
            <w:pPr>
              <w:spacing w:after="0"/>
              <w:rPr>
                <w:sz w:val="24"/>
                <w:szCs w:val="24"/>
                <w:color w:val="auto"/>
              </w:rPr>
            </w:pPr>
          </w:p>
        </w:tc>
        <w:tc>
          <w:tcPr>
            <w:tcW w:w="13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14,232</w:t>
            </w:r>
          </w:p>
        </w:tc>
        <w:tc>
          <w:tcPr>
            <w:tcW w:w="0" w:type="dxa"/>
            <w:vAlign w:val="bottom"/>
          </w:tcPr>
          <w:p>
            <w:pPr>
              <w:spacing w:after="0"/>
              <w:rPr>
                <w:sz w:val="1"/>
                <w:szCs w:val="1"/>
                <w:color w:val="auto"/>
              </w:rPr>
            </w:pPr>
          </w:p>
        </w:tc>
      </w:tr>
      <w:tr>
        <w:trPr>
          <w:trHeight w:val="325"/>
        </w:trPr>
        <w:tc>
          <w:tcPr>
            <w:tcW w:w="44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Net Income available to common shareholders — Diluted</w:t>
            </w:r>
          </w:p>
        </w:tc>
        <w:tc>
          <w:tcPr>
            <w:tcW w:w="760" w:type="dxa"/>
            <w:vAlign w:val="bottom"/>
            <w:tcBorders>
              <w:bottom w:val="single" w:sz="8" w:color="838383"/>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262626"/>
              </w:rPr>
              <w:t>$</w:t>
            </w:r>
          </w:p>
        </w:tc>
        <w:tc>
          <w:tcPr>
            <w:tcW w:w="13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313,887,594</w:t>
            </w:r>
          </w:p>
        </w:tc>
        <w:tc>
          <w:tcPr>
            <w:tcW w:w="58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4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355,222,254</w:t>
            </w:r>
          </w:p>
        </w:tc>
        <w:tc>
          <w:tcPr>
            <w:tcW w:w="58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342,612,925</w:t>
            </w:r>
          </w:p>
        </w:tc>
        <w:tc>
          <w:tcPr>
            <w:tcW w:w="0" w:type="dxa"/>
            <w:vAlign w:val="bottom"/>
          </w:tcPr>
          <w:p>
            <w:pPr>
              <w:spacing w:after="0"/>
              <w:rPr>
                <w:sz w:val="1"/>
                <w:szCs w:val="1"/>
                <w:color w:val="auto"/>
              </w:rPr>
            </w:pPr>
          </w:p>
        </w:tc>
      </w:tr>
      <w:tr>
        <w:trPr>
          <w:trHeight w:val="340"/>
        </w:trPr>
        <w:tc>
          <w:tcPr>
            <w:tcW w:w="44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Number of shares used in basic computation</w:t>
            </w:r>
          </w:p>
        </w:tc>
        <w:tc>
          <w:tcPr>
            <w:tcW w:w="240" w:type="dxa"/>
            <w:vAlign w:val="bottom"/>
            <w:tcBorders>
              <w:bottom w:val="single" w:sz="8" w:color="838383"/>
            </w:tcBorders>
          </w:tcPr>
          <w:p>
            <w:pPr>
              <w:spacing w:after="0"/>
              <w:rPr>
                <w:sz w:val="24"/>
                <w:szCs w:val="24"/>
                <w:color w:val="auto"/>
              </w:rPr>
            </w:pPr>
          </w:p>
        </w:tc>
        <w:tc>
          <w:tcPr>
            <w:tcW w:w="52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230,825,293</w:t>
            </w:r>
          </w:p>
        </w:tc>
        <w:tc>
          <w:tcPr>
            <w:tcW w:w="580" w:type="dxa"/>
            <w:vAlign w:val="bottom"/>
            <w:tcBorders>
              <w:bottom w:val="single" w:sz="8" w:color="838383"/>
            </w:tcBorders>
          </w:tcPr>
          <w:p>
            <w:pPr>
              <w:spacing w:after="0"/>
              <w:rPr>
                <w:sz w:val="24"/>
                <w:szCs w:val="24"/>
                <w:color w:val="auto"/>
              </w:rPr>
            </w:pPr>
          </w:p>
        </w:tc>
        <w:tc>
          <w:tcPr>
            <w:tcW w:w="14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235,526,911</w:t>
            </w:r>
          </w:p>
        </w:tc>
        <w:tc>
          <w:tcPr>
            <w:tcW w:w="5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242,599,923</w:t>
            </w:r>
          </w:p>
        </w:tc>
        <w:tc>
          <w:tcPr>
            <w:tcW w:w="0" w:type="dxa"/>
            <w:vAlign w:val="bottom"/>
          </w:tcPr>
          <w:p>
            <w:pPr>
              <w:spacing w:after="0"/>
              <w:rPr>
                <w:sz w:val="1"/>
                <w:szCs w:val="1"/>
                <w:color w:val="auto"/>
              </w:rPr>
            </w:pPr>
          </w:p>
        </w:tc>
      </w:tr>
      <w:tr>
        <w:trPr>
          <w:trHeight w:val="261"/>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262626"/>
              </w:rPr>
              <w:t>Additional weighted average dilutive common</w:t>
            </w: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262626"/>
              </w:rPr>
              <w:t>394,196</w:t>
            </w:r>
          </w:p>
        </w:tc>
        <w:tc>
          <w:tcPr>
            <w:tcW w:w="580" w:type="dxa"/>
            <w:vAlign w:val="bottom"/>
          </w:tcPr>
          <w:p>
            <w:pPr>
              <w:spacing w:after="0"/>
              <w:rPr>
                <w:sz w:val="22"/>
                <w:szCs w:val="22"/>
                <w:color w:val="auto"/>
              </w:rPr>
            </w:pPr>
          </w:p>
        </w:tc>
        <w:tc>
          <w:tcPr>
            <w:tcW w:w="14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262626"/>
              </w:rPr>
              <w:t>1,077,103</w:t>
            </w:r>
          </w:p>
        </w:tc>
        <w:tc>
          <w:tcPr>
            <w:tcW w:w="580" w:type="dxa"/>
            <w:vAlign w:val="bottom"/>
          </w:tcPr>
          <w:p>
            <w:pPr>
              <w:spacing w:after="0"/>
              <w:rPr>
                <w:sz w:val="22"/>
                <w:szCs w:val="2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1,082,069</w:t>
            </w:r>
          </w:p>
        </w:tc>
        <w:tc>
          <w:tcPr>
            <w:tcW w:w="0" w:type="dxa"/>
            <w:vAlign w:val="bottom"/>
          </w:tcPr>
          <w:p>
            <w:pPr>
              <w:spacing w:after="0"/>
              <w:rPr>
                <w:sz w:val="1"/>
                <w:szCs w:val="1"/>
                <w:color w:val="auto"/>
              </w:rPr>
            </w:pPr>
          </w:p>
        </w:tc>
      </w:tr>
      <w:tr>
        <w:trPr>
          <w:trHeight w:val="180"/>
        </w:trPr>
        <w:tc>
          <w:tcPr>
            <w:tcW w:w="44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262626"/>
              </w:rPr>
              <w:t>stock equivalents</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440" w:type="dxa"/>
            <w:vAlign w:val="bottom"/>
            <w:tcBorders>
              <w:bottom w:val="single" w:sz="8" w:color="838383"/>
            </w:tcBorders>
            <w:vMerge w:val="continue"/>
          </w:tcPr>
          <w:p>
            <w:pPr>
              <w:spacing w:after="0"/>
              <w:rPr>
                <w:sz w:val="8"/>
                <w:szCs w:val="8"/>
                <w:color w:val="auto"/>
              </w:rPr>
            </w:pPr>
          </w:p>
        </w:tc>
        <w:tc>
          <w:tcPr>
            <w:tcW w:w="240" w:type="dxa"/>
            <w:vAlign w:val="bottom"/>
            <w:tcBorders>
              <w:bottom w:val="single" w:sz="8" w:color="838383"/>
            </w:tcBorders>
          </w:tcPr>
          <w:p>
            <w:pPr>
              <w:spacing w:after="0"/>
              <w:rPr>
                <w:sz w:val="8"/>
                <w:szCs w:val="8"/>
                <w:color w:val="auto"/>
              </w:rPr>
            </w:pPr>
          </w:p>
        </w:tc>
        <w:tc>
          <w:tcPr>
            <w:tcW w:w="520" w:type="dxa"/>
            <w:vAlign w:val="bottom"/>
            <w:tcBorders>
              <w:bottom w:val="single" w:sz="8" w:color="8F8F8F"/>
            </w:tcBorders>
          </w:tcPr>
          <w:p>
            <w:pPr>
              <w:spacing w:after="0"/>
              <w:rPr>
                <w:sz w:val="8"/>
                <w:szCs w:val="8"/>
                <w:color w:val="auto"/>
              </w:rPr>
            </w:pPr>
          </w:p>
        </w:tc>
        <w:tc>
          <w:tcPr>
            <w:tcW w:w="1380" w:type="dxa"/>
            <w:vAlign w:val="bottom"/>
            <w:tcBorders>
              <w:bottom w:val="single" w:sz="8" w:color="8F8F8F"/>
            </w:tcBorders>
          </w:tcPr>
          <w:p>
            <w:pPr>
              <w:spacing w:after="0"/>
              <w:rPr>
                <w:sz w:val="8"/>
                <w:szCs w:val="8"/>
                <w:color w:val="auto"/>
              </w:rPr>
            </w:pPr>
          </w:p>
        </w:tc>
        <w:tc>
          <w:tcPr>
            <w:tcW w:w="580" w:type="dxa"/>
            <w:vAlign w:val="bottom"/>
            <w:tcBorders>
              <w:bottom w:val="single" w:sz="8" w:color="8F8F8F"/>
            </w:tcBorders>
          </w:tcPr>
          <w:p>
            <w:pPr>
              <w:spacing w:after="0"/>
              <w:rPr>
                <w:sz w:val="8"/>
                <w:szCs w:val="8"/>
                <w:color w:val="auto"/>
              </w:rPr>
            </w:pPr>
          </w:p>
        </w:tc>
        <w:tc>
          <w:tcPr>
            <w:tcW w:w="1400" w:type="dxa"/>
            <w:vAlign w:val="bottom"/>
            <w:tcBorders>
              <w:bottom w:val="single" w:sz="8" w:color="8F8F8F"/>
            </w:tcBorders>
          </w:tcPr>
          <w:p>
            <w:pPr>
              <w:spacing w:after="0"/>
              <w:rPr>
                <w:sz w:val="8"/>
                <w:szCs w:val="8"/>
                <w:color w:val="auto"/>
              </w:rPr>
            </w:pPr>
          </w:p>
        </w:tc>
        <w:tc>
          <w:tcPr>
            <w:tcW w:w="580" w:type="dxa"/>
            <w:vAlign w:val="bottom"/>
            <w:tcBorders>
              <w:bottom w:val="single" w:sz="8" w:color="8F8F8F"/>
            </w:tcBorders>
          </w:tcPr>
          <w:p>
            <w:pPr>
              <w:spacing w:after="0"/>
              <w:rPr>
                <w:sz w:val="8"/>
                <w:szCs w:val="8"/>
                <w:color w:val="auto"/>
              </w:rPr>
            </w:pPr>
          </w:p>
        </w:tc>
        <w:tc>
          <w:tcPr>
            <w:tcW w:w="1300" w:type="dxa"/>
            <w:vAlign w:val="bottom"/>
            <w:tcBorders>
              <w:bottom w:val="single" w:sz="8" w:color="8F8F8F"/>
            </w:tcBorders>
          </w:tcPr>
          <w:p>
            <w:pPr>
              <w:spacing w:after="0"/>
              <w:rPr>
                <w:sz w:val="8"/>
                <w:szCs w:val="8"/>
                <w:color w:val="auto"/>
              </w:rPr>
            </w:pPr>
          </w:p>
        </w:tc>
        <w:tc>
          <w:tcPr>
            <w:tcW w:w="0" w:type="dxa"/>
            <w:vAlign w:val="bottom"/>
          </w:tcPr>
          <w:p>
            <w:pPr>
              <w:spacing w:after="0"/>
              <w:rPr>
                <w:sz w:val="1"/>
                <w:szCs w:val="1"/>
                <w:color w:val="auto"/>
              </w:rPr>
            </w:pPr>
          </w:p>
        </w:tc>
      </w:tr>
      <w:tr>
        <w:trPr>
          <w:trHeight w:val="335"/>
        </w:trPr>
        <w:tc>
          <w:tcPr>
            <w:tcW w:w="444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Diluted weighted average shares outstanding</w:t>
            </w:r>
          </w:p>
        </w:tc>
        <w:tc>
          <w:tcPr>
            <w:tcW w:w="240" w:type="dxa"/>
            <w:vAlign w:val="bottom"/>
            <w:tcBorders>
              <w:bottom w:val="single" w:sz="8" w:color="838383"/>
            </w:tcBorders>
          </w:tcPr>
          <w:p>
            <w:pPr>
              <w:spacing w:after="0"/>
              <w:rPr>
                <w:sz w:val="24"/>
                <w:szCs w:val="24"/>
                <w:color w:val="auto"/>
              </w:rPr>
            </w:pPr>
          </w:p>
        </w:tc>
        <w:tc>
          <w:tcPr>
            <w:tcW w:w="52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231,219,489</w:t>
            </w:r>
          </w:p>
        </w:tc>
        <w:tc>
          <w:tcPr>
            <w:tcW w:w="580" w:type="dxa"/>
            <w:vAlign w:val="bottom"/>
            <w:tcBorders>
              <w:bottom w:val="single" w:sz="8" w:color="8F8F8F"/>
            </w:tcBorders>
          </w:tcPr>
          <w:p>
            <w:pPr>
              <w:spacing w:after="0"/>
              <w:rPr>
                <w:sz w:val="24"/>
                <w:szCs w:val="24"/>
                <w:color w:val="auto"/>
              </w:rPr>
            </w:pPr>
          </w:p>
        </w:tc>
        <w:tc>
          <w:tcPr>
            <w:tcW w:w="140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236,604,014</w:t>
            </w:r>
          </w:p>
        </w:tc>
        <w:tc>
          <w:tcPr>
            <w:tcW w:w="580" w:type="dxa"/>
            <w:vAlign w:val="bottom"/>
            <w:tcBorders>
              <w:bottom w:val="single" w:sz="8" w:color="8F8F8F"/>
            </w:tcBorders>
          </w:tcPr>
          <w:p>
            <w:pPr>
              <w:spacing w:after="0"/>
              <w:rPr>
                <w:sz w:val="24"/>
                <w:szCs w:val="24"/>
                <w:color w:val="auto"/>
              </w:rPr>
            </w:pPr>
          </w:p>
        </w:tc>
        <w:tc>
          <w:tcPr>
            <w:tcW w:w="13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243,681,992</w:t>
            </w:r>
          </w:p>
        </w:tc>
        <w:tc>
          <w:tcPr>
            <w:tcW w:w="0" w:type="dxa"/>
            <w:vAlign w:val="bottom"/>
          </w:tcPr>
          <w:p>
            <w:pPr>
              <w:spacing w:after="0"/>
              <w:rPr>
                <w:sz w:val="1"/>
                <w:szCs w:val="1"/>
                <w:color w:val="auto"/>
              </w:rPr>
            </w:pPr>
          </w:p>
        </w:tc>
      </w:tr>
      <w:tr>
        <w:trPr>
          <w:trHeight w:val="357"/>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262626"/>
              </w:rPr>
              <w:t>Net income per share — Diluted</w:t>
            </w: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262626"/>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1.36</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1.50</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1.41</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right="640"/>
        <w:spacing w:after="0" w:line="437" w:lineRule="auto"/>
        <w:rPr>
          <w:sz w:val="20"/>
          <w:szCs w:val="20"/>
          <w:color w:val="auto"/>
        </w:rPr>
      </w:pPr>
      <w:r>
        <w:rPr>
          <w:rFonts w:ascii="Times New Roman" w:cs="Times New Roman" w:eastAsia="Times New Roman" w:hAnsi="Times New Roman"/>
          <w:sz w:val="18"/>
          <w:szCs w:val="18"/>
          <w:color w:val="262626"/>
        </w:rPr>
        <w:t>For the years ended December 31, 2022, 2021 and 2020, 1,842,602 shares, 200,037 shares, and 403,071 shares, respectively, related to stock option plans were not included in diluted average common shares outstanding because they were anti-dilutive.</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8F8F8F"/>
        </w:rPr>
        <w:t>Comprehensive Income (Loss)</w:t>
      </w:r>
    </w:p>
    <w:p>
      <w:pPr>
        <w:spacing w:after="0" w:line="191" w:lineRule="exact"/>
        <w:rPr>
          <w:sz w:val="20"/>
          <w:szCs w:val="20"/>
          <w:color w:val="auto"/>
        </w:rPr>
      </w:pPr>
    </w:p>
    <w:p>
      <w:pPr>
        <w:ind w:right="320"/>
        <w:spacing w:after="0" w:line="410" w:lineRule="auto"/>
        <w:rPr>
          <w:sz w:val="20"/>
          <w:szCs w:val="20"/>
          <w:color w:val="auto"/>
        </w:rPr>
      </w:pPr>
      <w:r>
        <w:rPr>
          <w:rFonts w:ascii="Times New Roman" w:cs="Times New Roman" w:eastAsia="Times New Roman" w:hAnsi="Times New Roman"/>
          <w:sz w:val="17"/>
          <w:szCs w:val="17"/>
          <w:color w:val="262626"/>
        </w:rPr>
        <w:t>Comprehensive income (loss) reflects the change in equity of a business enterprise during a period from transactions and other events and circumstances from non-owner sources. For the Company, comprehensive income represents net income adjusted for unrealized gains and losses on certain investments and foreign currency translation adjustments that are further detailed in Note 9, “Comprehensive Income”, for more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8F8F8F"/>
        </w:rPr>
        <w:t>Foreign Currency Translation</w:t>
      </w:r>
    </w:p>
    <w:p>
      <w:pPr>
        <w:spacing w:after="0" w:line="191" w:lineRule="exact"/>
        <w:rPr>
          <w:sz w:val="20"/>
          <w:szCs w:val="20"/>
          <w:color w:val="auto"/>
        </w:rPr>
      </w:pPr>
    </w:p>
    <w:p>
      <w:pPr>
        <w:ind w:right="440"/>
        <w:spacing w:after="0" w:line="389" w:lineRule="auto"/>
        <w:rPr>
          <w:sz w:val="20"/>
          <w:szCs w:val="20"/>
          <w:color w:val="auto"/>
        </w:rPr>
      </w:pPr>
      <w:r>
        <w:rPr>
          <w:rFonts w:ascii="Times New Roman" w:cs="Times New Roman" w:eastAsia="Times New Roman" w:hAnsi="Times New Roman"/>
          <w:sz w:val="17"/>
          <w:szCs w:val="17"/>
          <w:color w:val="262626"/>
        </w:rPr>
        <w:t>The 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 Gains and losses arising from re-measuring foreign currency transactions into the appropriate currency are included in the determination of net income.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8F8F8F"/>
        </w:rPr>
        <w:t>Stock-Based Compensation Plans</w:t>
      </w:r>
    </w:p>
    <w:p>
      <w:pPr>
        <w:spacing w:after="0" w:line="191" w:lineRule="exact"/>
        <w:rPr>
          <w:sz w:val="20"/>
          <w:szCs w:val="20"/>
          <w:color w:val="auto"/>
        </w:rPr>
      </w:pPr>
    </w:p>
    <w:p>
      <w:pPr>
        <w:ind w:right="440"/>
        <w:spacing w:after="0" w:line="350" w:lineRule="auto"/>
        <w:rPr>
          <w:sz w:val="20"/>
          <w:szCs w:val="20"/>
          <w:color w:val="auto"/>
        </w:rPr>
      </w:pPr>
      <w:r>
        <w:rPr>
          <w:rFonts w:ascii="Times New Roman" w:cs="Times New Roman" w:eastAsia="Times New Roman" w:hAnsi="Times New Roman"/>
          <w:sz w:val="17"/>
          <w:szCs w:val="17"/>
          <w:color w:val="262626"/>
        </w:rPr>
        <w:t>The Company accounts for stock-based compensation using the fair value recognition provisions of ASC 718, Compensation - Stock Compensation. As described more fully in Note 5, “Stock-Based Compensation Plans”, the Company provides, or has provided, compensation benefits under an omnibus incentive plan, two other stock option plans, another restricted stock plan, and two employee stock purchase plans. The Company utilizes the Black-Scholes model to estimate the value of the stock options, which requires the input of assumptions. These assumptions include estimating (a) the length of time employees will retain their vested stock options before exercising them (“expected term”),</w:t>
      </w:r>
    </w:p>
    <w:p>
      <w:pPr>
        <w:spacing w:after="0" w:line="1" w:lineRule="exact"/>
        <w:rPr>
          <w:sz w:val="20"/>
          <w:szCs w:val="20"/>
          <w:color w:val="auto"/>
        </w:rPr>
      </w:pPr>
    </w:p>
    <w:p>
      <w:pPr>
        <w:jc w:val="both"/>
        <w:ind w:right="680"/>
        <w:spacing w:after="0" w:line="367" w:lineRule="auto"/>
        <w:rPr>
          <w:sz w:val="20"/>
          <w:szCs w:val="20"/>
          <w:color w:val="auto"/>
        </w:rPr>
      </w:pPr>
      <w:r>
        <w:rPr>
          <w:rFonts w:ascii="Times New Roman" w:cs="Times New Roman" w:eastAsia="Times New Roman" w:hAnsi="Times New Roman"/>
          <w:sz w:val="18"/>
          <w:szCs w:val="18"/>
          <w:color w:val="262626"/>
        </w:rPr>
        <w:t>(b) the volatility of the Company’s common stock price over the expected term, (c) the number of options that will ultimately not complete their vesting requirements (“forfeitures”) and (d) expected dividends. Changes in the assumptions can materially affect the estimate of fair value of stock-based compensation and consequently, the related amounts recognized on the consolidated statements of operations.</w:t>
      </w: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73</w:t>
      </w:r>
    </w:p>
    <w:p>
      <w:pPr>
        <w:sectPr>
          <w:pgSz w:w="12240" w:h="15840" w:orient="portrait"/>
          <w:cols w:equalWidth="0" w:num="1">
            <w:col w:w="10760"/>
          </w:cols>
          <w:pgMar w:left="900" w:top="852" w:right="580" w:bottom="0" w:gutter="0" w:footer="0" w:header="0"/>
          <w:type w:val="continuous"/>
        </w:sectPr>
      </w:pPr>
    </w:p>
    <w:bookmarkStart w:id="73" w:name="page74"/>
    <w:bookmarkEnd w:id="73"/>
    <w:p>
      <w:pPr>
        <w:ind w:left="320"/>
        <w:spacing w:after="0"/>
        <w:rPr>
          <w:sz w:val="20"/>
          <w:szCs w:val="20"/>
          <w:color w:val="auto"/>
        </w:rPr>
      </w:pPr>
      <w:r>
        <w:rPr>
          <w:rFonts w:ascii="Arial" w:cs="Arial" w:eastAsia="Arial" w:hAnsi="Arial"/>
          <w:sz w:val="22"/>
          <w:szCs w:val="22"/>
          <w:b w:val="1"/>
          <w:bCs w:val="1"/>
          <w:color w:val="8F8F8F"/>
        </w:rPr>
        <w:t>Estimates</w:t>
      </w:r>
    </w:p>
    <w:p>
      <w:pPr>
        <w:spacing w:after="0" w:line="263" w:lineRule="exact"/>
        <w:rPr>
          <w:sz w:val="20"/>
          <w:szCs w:val="20"/>
          <w:color w:val="auto"/>
        </w:rPr>
      </w:pPr>
    </w:p>
    <w:p>
      <w:pPr>
        <w:ind w:left="320" w:right="160"/>
        <w:spacing w:after="0" w:line="362" w:lineRule="auto"/>
        <w:rPr>
          <w:sz w:val="20"/>
          <w:szCs w:val="20"/>
          <w:color w:val="auto"/>
        </w:rPr>
      </w:pPr>
      <w:r>
        <w:rPr>
          <w:rFonts w:ascii="Times New Roman" w:cs="Times New Roman" w:eastAsia="Times New Roman" w:hAnsi="Times New Roman"/>
          <w:sz w:val="18"/>
          <w:szCs w:val="18"/>
          <w:color w:val="262626"/>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838383"/>
        </w:rPr>
        <w:t>( 2 )  D E B T  A N D  F I N A N C I N G  A R R A N G E M E N T 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62626"/>
        </w:rPr>
        <w:t>On October 15, 2018, the Company entered into a Credit Agreement (“Credit Agreement”) with PNC as the administrative agent and sole lender.</w:t>
      </w:r>
    </w:p>
    <w:p>
      <w:pPr>
        <w:spacing w:after="0" w:line="229" w:lineRule="exact"/>
        <w:rPr>
          <w:sz w:val="20"/>
          <w:szCs w:val="20"/>
          <w:color w:val="auto"/>
        </w:rPr>
      </w:pPr>
    </w:p>
    <w:p>
      <w:pPr>
        <w:ind w:left="320" w:right="40"/>
        <w:spacing w:after="0" w:line="353" w:lineRule="auto"/>
        <w:rPr>
          <w:sz w:val="20"/>
          <w:szCs w:val="20"/>
          <w:color w:val="auto"/>
        </w:rPr>
      </w:pPr>
      <w:r>
        <w:rPr>
          <w:rFonts w:ascii="Times New Roman" w:cs="Times New Roman" w:eastAsia="Times New Roman" w:hAnsi="Times New Roman"/>
          <w:sz w:val="18"/>
          <w:szCs w:val="18"/>
          <w:color w:val="262626"/>
        </w:rPr>
        <w:t>Pursuant to this Credit Agreement, the Company has access to a $150 million senior revolving credit facility (“Revolver”). Under the terms of the Credit Agreement, the Company is entitled to further request an additional aggregate principal amount of up to $100 million, subject to the satisfaction of certain conditions. In addition, the Company is entitled to the benefit of Swing Loans from amounts otherwise available under the Revolver in the aggregate principal amount of up to $20 million and to request Letters of Credit from amounts otherwise available under the Revolver in the aggregate principle amount up to $20 million, both subject to certain conditions.</w:t>
      </w:r>
    </w:p>
    <w:p>
      <w:pPr>
        <w:spacing w:after="0" w:line="22" w:lineRule="exact"/>
        <w:rPr>
          <w:sz w:val="20"/>
          <w:szCs w:val="20"/>
          <w:color w:val="auto"/>
        </w:rPr>
      </w:pPr>
    </w:p>
    <w:p>
      <w:pPr>
        <w:ind w:left="320" w:right="260"/>
        <w:spacing w:after="0" w:line="408" w:lineRule="auto"/>
        <w:rPr>
          <w:sz w:val="20"/>
          <w:szCs w:val="20"/>
          <w:color w:val="auto"/>
        </w:rPr>
      </w:pPr>
      <w:r>
        <w:rPr>
          <w:rFonts w:ascii="Times New Roman" w:cs="Times New Roman" w:eastAsia="Times New Roman" w:hAnsi="Times New Roman"/>
          <w:sz w:val="18"/>
          <w:szCs w:val="18"/>
          <w:color w:val="262626"/>
        </w:rPr>
        <w:t>The obligations of the Company under the Credit Agreement are not secured, but are subject to certain covenants. As of December 31, 2022 and 2021, there were no outstanding balances on the Revolver. The Revolver expires on October 15, 2023.</w:t>
      </w:r>
    </w:p>
    <w:p>
      <w:pPr>
        <w:ind w:left="320"/>
        <w:spacing w:after="0"/>
        <w:rPr>
          <w:sz w:val="20"/>
          <w:szCs w:val="20"/>
          <w:color w:val="auto"/>
        </w:rPr>
      </w:pPr>
      <w:r>
        <w:rPr>
          <w:rFonts w:ascii="Times New Roman" w:cs="Times New Roman" w:eastAsia="Times New Roman" w:hAnsi="Times New Roman"/>
          <w:sz w:val="18"/>
          <w:szCs w:val="18"/>
          <w:color w:val="262626"/>
        </w:rPr>
        <w:t>The Credit Agreement contains customary representations and warranties and certain covenants that place certain limitations on the Company.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62626"/>
        </w:rPr>
        <w:t>As of December 31, 2022, the Company was in compliance with its covenants under the Credit Agreement.</w:t>
      </w:r>
    </w:p>
    <w:p>
      <w:pPr>
        <w:spacing w:after="0" w:line="217" w:lineRule="exact"/>
        <w:rPr>
          <w:sz w:val="20"/>
          <w:szCs w:val="20"/>
          <w:color w:val="auto"/>
        </w:rPr>
      </w:pPr>
    </w:p>
    <w:p>
      <w:pPr>
        <w:ind w:left="320" w:right="100"/>
        <w:spacing w:after="0" w:line="343" w:lineRule="auto"/>
        <w:rPr>
          <w:sz w:val="20"/>
          <w:szCs w:val="20"/>
          <w:color w:val="auto"/>
        </w:rPr>
      </w:pPr>
      <w:r>
        <w:rPr>
          <w:rFonts w:ascii="Times New Roman" w:cs="Times New Roman" w:eastAsia="Times New Roman" w:hAnsi="Times New Roman"/>
          <w:sz w:val="18"/>
          <w:szCs w:val="18"/>
          <w:color w:val="262626"/>
        </w:rPr>
        <w:t>On February 21, 2023, the Company entered into an amended and restated credit agreement (“Amended Credit Agreement”) that provided for, among other things, a three-year unsecured revolving credit facility with a borrowing capacity of up to $250.0 million (“Revolving Credit Facility”) that matures on February 21, 2026, replacing in its entirety the Company’s prior $150.0 million Revolver scheduled to mature on October 15, 2023. Included in the Revolving Credit Facility is a $20.0 million sublimit for standby letters of credit and a $35.0 million sublimit for swingline loans, each subject to certain conditions. Funds are available under the Revolving Credit Facility for working capital, capital expenditures, and other lawful corporate purposes, including, but not limited to, acquisitions and common stock repurchases, subject in each case to compliance with certain financial covenants, as defined in the Amended Credit Agreement.</w:t>
      </w:r>
    </w:p>
    <w:p>
      <w:pPr>
        <w:spacing w:after="0" w:line="23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838383"/>
        </w:rPr>
        <w:t>( 3 )  I N C O M E T A X E S</w:t>
      </w:r>
    </w:p>
    <w:p>
      <w:pPr>
        <w:spacing w:after="0" w:line="176" w:lineRule="exact"/>
        <w:rPr>
          <w:sz w:val="20"/>
          <w:szCs w:val="20"/>
          <w:color w:val="auto"/>
        </w:rPr>
      </w:pPr>
    </w:p>
    <w:p>
      <w:pPr>
        <w:ind w:left="320" w:right="80"/>
        <w:spacing w:after="0" w:line="347" w:lineRule="auto"/>
        <w:rPr>
          <w:sz w:val="20"/>
          <w:szCs w:val="20"/>
          <w:color w:val="auto"/>
        </w:rPr>
      </w:pPr>
      <w:r>
        <w:rPr>
          <w:rFonts w:ascii="Times New Roman" w:cs="Times New Roman" w:eastAsia="Times New Roman" w:hAnsi="Times New Roman"/>
          <w:sz w:val="18"/>
          <w:szCs w:val="18"/>
          <w:color w:val="262626"/>
        </w:rPr>
        <w:t>The provision for income taxes is based on the earnings reported in the accompanying consolidated financial statements. The Company recognizes deferred income tax liabilities and assets for the expected future tax consequences of events that have been included in the consolidated financial statements or tax returns. Under this method, deferred income tax liabilities and assets are determined based on the cumulative temporary differences between the financial statement and tax basis of assets and liabilities using enacted tax rates expected to be applied to taxable income in years which those temporary differences are expected to be recovered or settled. Deferred income tax expense is measured by the net change in deferred income tax assets and liabilities during the year.</w:t>
      </w:r>
    </w:p>
    <w:p>
      <w:pPr>
        <w:spacing w:after="0" w:line="29" w:lineRule="exact"/>
        <w:rPr>
          <w:sz w:val="20"/>
          <w:szCs w:val="20"/>
          <w:color w:val="auto"/>
        </w:rPr>
      </w:pPr>
    </w:p>
    <w:p>
      <w:pPr>
        <w:ind w:left="320" w:right="220"/>
        <w:spacing w:after="0" w:line="439" w:lineRule="auto"/>
        <w:rPr>
          <w:sz w:val="20"/>
          <w:szCs w:val="20"/>
          <w:color w:val="auto"/>
        </w:rPr>
      </w:pPr>
      <w:r>
        <w:rPr>
          <w:rFonts w:ascii="Times New Roman" w:cs="Times New Roman" w:eastAsia="Times New Roman" w:hAnsi="Times New Roman"/>
          <w:sz w:val="18"/>
          <w:szCs w:val="18"/>
          <w:color w:val="262626"/>
        </w:rPr>
        <w:t>The foreign components of income before the provision for income taxes were not material for the years ended December 31, 2022, 2021 and 2020. The components of the provision for income taxes are as follows:</w:t>
      </w:r>
    </w:p>
    <w:p>
      <w:pPr>
        <w:spacing w:after="0" w:line="28" w:lineRule="exact"/>
        <w:rPr>
          <w:sz w:val="20"/>
          <w:szCs w:val="20"/>
          <w:color w:val="auto"/>
        </w:rPr>
      </w:pPr>
    </w:p>
    <w:tbl>
      <w:tblPr>
        <w:tblLayout w:type="fixed"/>
        <w:tblInd w:w="320" w:type="dxa"/>
        <w:tblCellMar>
          <w:top w:w="0" w:type="dxa"/>
          <w:left w:w="0" w:type="dxa"/>
          <w:bottom w:w="0" w:type="dxa"/>
          <w:right w:w="0" w:type="dxa"/>
        </w:tblCellMar>
      </w:tblPr>
      <w:tr>
        <w:trPr>
          <w:trHeight w:val="304"/>
        </w:trPr>
        <w:tc>
          <w:tcPr>
            <w:tcW w:w="4680" w:type="dxa"/>
            <w:vAlign w:val="bottom"/>
          </w:tcPr>
          <w:p>
            <w:pPr>
              <w:spacing w:after="0"/>
              <w:rPr>
                <w:sz w:val="20"/>
                <w:szCs w:val="20"/>
                <w:color w:val="auto"/>
              </w:rPr>
            </w:pPr>
            <w:r>
              <w:rPr>
                <w:rFonts w:ascii="Arial" w:cs="Arial" w:eastAsia="Arial" w:hAnsi="Arial"/>
                <w:sz w:val="18"/>
                <w:szCs w:val="18"/>
                <w:b w:val="1"/>
                <w:bCs w:val="1"/>
                <w:color w:val="262626"/>
              </w:rPr>
              <w:t>Currently payable:</w:t>
            </w:r>
          </w:p>
        </w:tc>
        <w:tc>
          <w:tcPr>
            <w:tcW w:w="480" w:type="dxa"/>
            <w:vAlign w:val="bottom"/>
          </w:tcPr>
          <w:p>
            <w:pPr>
              <w:spacing w:after="0"/>
              <w:rPr>
                <w:sz w:val="24"/>
                <w:szCs w:val="24"/>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2022</w:t>
            </w:r>
          </w:p>
        </w:tc>
        <w:tc>
          <w:tcPr>
            <w:tcW w:w="560" w:type="dxa"/>
            <w:vAlign w:val="bottom"/>
          </w:tcPr>
          <w:p>
            <w:pPr>
              <w:spacing w:after="0"/>
              <w:rPr>
                <w:sz w:val="24"/>
                <w:szCs w:val="24"/>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2021</w:t>
            </w:r>
          </w:p>
        </w:tc>
        <w:tc>
          <w:tcPr>
            <w:tcW w:w="5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262626"/>
              </w:rPr>
              <w:t>2020</w:t>
            </w:r>
          </w:p>
        </w:tc>
      </w:tr>
      <w:tr>
        <w:trPr>
          <w:trHeight w:val="343"/>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Federal</w:t>
            </w:r>
          </w:p>
        </w:tc>
        <w:tc>
          <w:tcPr>
            <w:tcW w:w="480" w:type="dxa"/>
            <w:vAlign w:val="bottom"/>
            <w:tcBorders>
              <w:bottom w:val="single" w:sz="8" w:color="838383"/>
            </w:tcBorders>
          </w:tcPr>
          <w:p>
            <w:pPr>
              <w:jc w:val="right"/>
              <w:ind w:right="290"/>
              <w:spacing w:after="0"/>
              <w:rPr>
                <w:sz w:val="20"/>
                <w:szCs w:val="20"/>
                <w:color w:val="auto"/>
              </w:rPr>
            </w:pPr>
            <w:r>
              <w:rPr>
                <w:rFonts w:ascii="Times New Roman" w:cs="Times New Roman" w:eastAsia="Times New Roman" w:hAnsi="Times New Roman"/>
                <w:sz w:val="18"/>
                <w:szCs w:val="18"/>
                <w:color w:val="262626"/>
                <w:w w:val="88"/>
              </w:rPr>
              <w:t>$</w:t>
            </w:r>
          </w:p>
        </w:tc>
        <w:tc>
          <w:tcPr>
            <w:tcW w:w="14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62,670,986</w:t>
            </w:r>
          </w:p>
        </w:tc>
        <w:tc>
          <w:tcPr>
            <w:tcW w:w="560" w:type="dxa"/>
            <w:vAlign w:val="bottom"/>
            <w:tcBorders>
              <w:bottom w:val="single" w:sz="8" w:color="838383"/>
            </w:tcBorders>
          </w:tcPr>
          <w:p>
            <w:pPr>
              <w:jc w:val="right"/>
              <w:ind w:right="290"/>
              <w:spacing w:after="0"/>
              <w:rPr>
                <w:sz w:val="20"/>
                <w:szCs w:val="20"/>
                <w:color w:val="auto"/>
              </w:rPr>
            </w:pPr>
            <w:r>
              <w:rPr>
                <w:rFonts w:ascii="Times New Roman" w:cs="Times New Roman" w:eastAsia="Times New Roman" w:hAnsi="Times New Roman"/>
                <w:sz w:val="18"/>
                <w:szCs w:val="18"/>
                <w:color w:val="262626"/>
              </w:rPr>
              <w:t>$</w:t>
            </w:r>
          </w:p>
        </w:tc>
        <w:tc>
          <w:tcPr>
            <w:tcW w:w="14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89,507,896</w:t>
            </w:r>
          </w:p>
        </w:tc>
        <w:tc>
          <w:tcPr>
            <w:tcW w:w="560" w:type="dxa"/>
            <w:vAlign w:val="bottom"/>
            <w:tcBorders>
              <w:bottom w:val="single" w:sz="8" w:color="838383"/>
            </w:tcBorders>
          </w:tcPr>
          <w:p>
            <w:pPr>
              <w:jc w:val="right"/>
              <w:ind w:right="290"/>
              <w:spacing w:after="0"/>
              <w:rPr>
                <w:sz w:val="20"/>
                <w:szCs w:val="20"/>
                <w:color w:val="auto"/>
              </w:rPr>
            </w:pPr>
            <w:r>
              <w:rPr>
                <w:rFonts w:ascii="Times New Roman" w:cs="Times New Roman" w:eastAsia="Times New Roman" w:hAnsi="Times New Roman"/>
                <w:sz w:val="18"/>
                <w:szCs w:val="18"/>
                <w:color w:val="262626"/>
              </w:rPr>
              <w:t>$</w:t>
            </w:r>
          </w:p>
        </w:tc>
        <w:tc>
          <w:tcPr>
            <w:tcW w:w="13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67,606,617</w:t>
            </w:r>
          </w:p>
        </w:tc>
      </w:tr>
      <w:tr>
        <w:trPr>
          <w:trHeight w:val="340"/>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State</w:t>
            </w:r>
          </w:p>
        </w:tc>
        <w:tc>
          <w:tcPr>
            <w:tcW w:w="48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4,310,783</w:t>
            </w: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5,642,926</w:t>
            </w:r>
          </w:p>
        </w:tc>
        <w:tc>
          <w:tcPr>
            <w:tcW w:w="560" w:type="dxa"/>
            <w:vAlign w:val="bottom"/>
            <w:tcBorders>
              <w:bottom w:val="single" w:sz="8" w:color="838383"/>
            </w:tcBorders>
          </w:tcPr>
          <w:p>
            <w:pPr>
              <w:spacing w:after="0"/>
              <w:rPr>
                <w:sz w:val="24"/>
                <w:szCs w:val="24"/>
                <w:color w:val="auto"/>
              </w:rPr>
            </w:pPr>
          </w:p>
        </w:tc>
        <w:tc>
          <w:tcPr>
            <w:tcW w:w="13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10,180,218</w:t>
            </w:r>
          </w:p>
        </w:tc>
      </w:tr>
      <w:tr>
        <w:trPr>
          <w:trHeight w:val="355"/>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Foreign</w:t>
            </w:r>
          </w:p>
        </w:tc>
        <w:tc>
          <w:tcPr>
            <w:tcW w:w="480" w:type="dxa"/>
            <w:vAlign w:val="bottom"/>
            <w:tcBorders>
              <w:bottom w:val="single" w:sz="8" w:color="8F8F8F"/>
            </w:tcBorders>
          </w:tcPr>
          <w:p>
            <w:pPr>
              <w:spacing w:after="0"/>
              <w:rPr>
                <w:sz w:val="24"/>
                <w:szCs w:val="24"/>
                <w:color w:val="auto"/>
              </w:rPr>
            </w:pPr>
          </w:p>
        </w:tc>
        <w:tc>
          <w:tcPr>
            <w:tcW w:w="142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1,761,732</w:t>
            </w:r>
          </w:p>
        </w:tc>
        <w:tc>
          <w:tcPr>
            <w:tcW w:w="560" w:type="dxa"/>
            <w:vAlign w:val="bottom"/>
            <w:tcBorders>
              <w:bottom w:val="single" w:sz="8" w:color="8F8F8F"/>
            </w:tcBorders>
          </w:tcPr>
          <w:p>
            <w:pPr>
              <w:spacing w:after="0"/>
              <w:rPr>
                <w:sz w:val="24"/>
                <w:szCs w:val="24"/>
                <w:color w:val="auto"/>
              </w:rPr>
            </w:pPr>
          </w:p>
        </w:tc>
        <w:tc>
          <w:tcPr>
            <w:tcW w:w="142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2,098,433</w:t>
            </w:r>
          </w:p>
        </w:tc>
        <w:tc>
          <w:tcPr>
            <w:tcW w:w="560" w:type="dxa"/>
            <w:vAlign w:val="bottom"/>
            <w:tcBorders>
              <w:bottom w:val="single" w:sz="8" w:color="8F8F8F"/>
            </w:tcBorders>
          </w:tcPr>
          <w:p>
            <w:pPr>
              <w:spacing w:after="0"/>
              <w:rPr>
                <w:sz w:val="24"/>
                <w:szCs w:val="24"/>
                <w:color w:val="auto"/>
              </w:rPr>
            </w:pPr>
          </w:p>
        </w:tc>
        <w:tc>
          <w:tcPr>
            <w:tcW w:w="132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1,882,195</w:t>
            </w:r>
          </w:p>
        </w:tc>
      </w:tr>
      <w:tr>
        <w:trPr>
          <w:trHeight w:val="340"/>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Total</w:t>
            </w:r>
          </w:p>
        </w:tc>
        <w:tc>
          <w:tcPr>
            <w:tcW w:w="480" w:type="dxa"/>
            <w:vAlign w:val="bottom"/>
            <w:tcBorders>
              <w:bottom w:val="single" w:sz="8" w:color="8F8F8F"/>
            </w:tcBorders>
          </w:tcPr>
          <w:p>
            <w:pPr>
              <w:spacing w:after="0"/>
              <w:rPr>
                <w:sz w:val="24"/>
                <w:szCs w:val="24"/>
                <w:color w:val="auto"/>
              </w:rPr>
            </w:pPr>
          </w:p>
        </w:tc>
        <w:tc>
          <w:tcPr>
            <w:tcW w:w="142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68,743,501</w:t>
            </w:r>
          </w:p>
        </w:tc>
        <w:tc>
          <w:tcPr>
            <w:tcW w:w="560" w:type="dxa"/>
            <w:vAlign w:val="bottom"/>
            <w:tcBorders>
              <w:bottom w:val="single" w:sz="8" w:color="8F8F8F"/>
            </w:tcBorders>
          </w:tcPr>
          <w:p>
            <w:pPr>
              <w:spacing w:after="0"/>
              <w:rPr>
                <w:sz w:val="24"/>
                <w:szCs w:val="24"/>
                <w:color w:val="auto"/>
              </w:rPr>
            </w:pPr>
          </w:p>
        </w:tc>
        <w:tc>
          <w:tcPr>
            <w:tcW w:w="142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97,249,255</w:t>
            </w:r>
          </w:p>
        </w:tc>
        <w:tc>
          <w:tcPr>
            <w:tcW w:w="560" w:type="dxa"/>
            <w:vAlign w:val="bottom"/>
            <w:tcBorders>
              <w:bottom w:val="single" w:sz="8" w:color="8F8F8F"/>
            </w:tcBorders>
          </w:tcPr>
          <w:p>
            <w:pPr>
              <w:spacing w:after="0"/>
              <w:rPr>
                <w:sz w:val="24"/>
                <w:szCs w:val="24"/>
                <w:color w:val="auto"/>
              </w:rPr>
            </w:pPr>
          </w:p>
        </w:tc>
        <w:tc>
          <w:tcPr>
            <w:tcW w:w="132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79,669,030</w:t>
            </w:r>
          </w:p>
        </w:tc>
      </w:tr>
      <w:tr>
        <w:trPr>
          <w:trHeight w:val="325"/>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Deferred income tax benefit:</w:t>
            </w:r>
          </w:p>
        </w:tc>
        <w:tc>
          <w:tcPr>
            <w:tcW w:w="48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spacing w:after="0"/>
              <w:rPr>
                <w:sz w:val="24"/>
                <w:szCs w:val="24"/>
                <w:color w:val="auto"/>
              </w:rPr>
            </w:pPr>
          </w:p>
        </w:tc>
        <w:tc>
          <w:tcPr>
            <w:tcW w:w="56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spacing w:after="0"/>
              <w:rPr>
                <w:sz w:val="24"/>
                <w:szCs w:val="24"/>
                <w:color w:val="auto"/>
              </w:rPr>
            </w:pPr>
          </w:p>
        </w:tc>
        <w:tc>
          <w:tcPr>
            <w:tcW w:w="560" w:type="dxa"/>
            <w:vAlign w:val="bottom"/>
            <w:tcBorders>
              <w:bottom w:val="single" w:sz="8" w:color="838383"/>
            </w:tcBorders>
          </w:tcPr>
          <w:p>
            <w:pPr>
              <w:spacing w:after="0"/>
              <w:rPr>
                <w:sz w:val="24"/>
                <w:szCs w:val="24"/>
                <w:color w:val="auto"/>
              </w:rPr>
            </w:pPr>
          </w:p>
        </w:tc>
        <w:tc>
          <w:tcPr>
            <w:tcW w:w="1320" w:type="dxa"/>
            <w:vAlign w:val="bottom"/>
            <w:tcBorders>
              <w:bottom w:val="single" w:sz="8" w:color="838383"/>
            </w:tcBorders>
          </w:tcPr>
          <w:p>
            <w:pPr>
              <w:spacing w:after="0"/>
              <w:rPr>
                <w:sz w:val="24"/>
                <w:szCs w:val="24"/>
                <w:color w:val="auto"/>
              </w:rPr>
            </w:pPr>
          </w:p>
        </w:tc>
      </w:tr>
      <w:tr>
        <w:trPr>
          <w:trHeight w:val="355"/>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Primarily federal</w:t>
            </w:r>
          </w:p>
        </w:tc>
        <w:tc>
          <w:tcPr>
            <w:tcW w:w="480" w:type="dxa"/>
            <w:vAlign w:val="bottom"/>
            <w:tcBorders>
              <w:bottom w:val="single" w:sz="8" w:color="8F8F8F"/>
            </w:tcBorders>
          </w:tcPr>
          <w:p>
            <w:pPr>
              <w:spacing w:after="0"/>
              <w:rPr>
                <w:sz w:val="24"/>
                <w:szCs w:val="24"/>
                <w:color w:val="auto"/>
              </w:rPr>
            </w:pPr>
          </w:p>
        </w:tc>
        <w:tc>
          <w:tcPr>
            <w:tcW w:w="142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(17,777,777)</w:t>
            </w:r>
          </w:p>
        </w:tc>
        <w:tc>
          <w:tcPr>
            <w:tcW w:w="560" w:type="dxa"/>
            <w:vAlign w:val="bottom"/>
            <w:tcBorders>
              <w:bottom w:val="single" w:sz="8" w:color="8F8F8F"/>
            </w:tcBorders>
          </w:tcPr>
          <w:p>
            <w:pPr>
              <w:spacing w:after="0"/>
              <w:rPr>
                <w:sz w:val="24"/>
                <w:szCs w:val="24"/>
                <w:color w:val="auto"/>
              </w:rPr>
            </w:pPr>
          </w:p>
        </w:tc>
        <w:tc>
          <w:tcPr>
            <w:tcW w:w="142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(41,694,751)</w:t>
            </w:r>
          </w:p>
        </w:tc>
        <w:tc>
          <w:tcPr>
            <w:tcW w:w="560" w:type="dxa"/>
            <w:vAlign w:val="bottom"/>
            <w:tcBorders>
              <w:bottom w:val="single" w:sz="8" w:color="8F8F8F"/>
            </w:tcBorders>
          </w:tcPr>
          <w:p>
            <w:pPr>
              <w:spacing w:after="0"/>
              <w:rPr>
                <w:sz w:val="24"/>
                <w:szCs w:val="24"/>
                <w:color w:val="auto"/>
              </w:rPr>
            </w:pPr>
          </w:p>
        </w:tc>
        <w:tc>
          <w:tcPr>
            <w:tcW w:w="132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(15,419,722)</w:t>
            </w:r>
          </w:p>
        </w:tc>
      </w:tr>
      <w:tr>
        <w:trPr>
          <w:trHeight w:val="3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262626"/>
              </w:rPr>
              <w:t>Provision for income taxes</w:t>
            </w:r>
          </w:p>
        </w:tc>
        <w:tc>
          <w:tcPr>
            <w:tcW w:w="480" w:type="dxa"/>
            <w:vAlign w:val="bottom"/>
            <w:tcBorders>
              <w:bottom w:val="single" w:sz="8" w:color="8F8F8F"/>
            </w:tcBorders>
          </w:tcPr>
          <w:p>
            <w:pPr>
              <w:jc w:val="right"/>
              <w:ind w:right="290"/>
              <w:spacing w:after="0"/>
              <w:rPr>
                <w:sz w:val="20"/>
                <w:szCs w:val="20"/>
                <w:color w:val="auto"/>
              </w:rPr>
            </w:pPr>
            <w:r>
              <w:rPr>
                <w:rFonts w:ascii="Times New Roman" w:cs="Times New Roman" w:eastAsia="Times New Roman" w:hAnsi="Times New Roman"/>
                <w:sz w:val="18"/>
                <w:szCs w:val="18"/>
                <w:color w:val="262626"/>
                <w:w w:val="88"/>
              </w:rPr>
              <w:t>$</w:t>
            </w:r>
          </w:p>
        </w:tc>
        <w:tc>
          <w:tcPr>
            <w:tcW w:w="142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50,965,724</w:t>
            </w:r>
          </w:p>
        </w:tc>
        <w:tc>
          <w:tcPr>
            <w:tcW w:w="560" w:type="dxa"/>
            <w:vAlign w:val="bottom"/>
            <w:tcBorders>
              <w:bottom w:val="single" w:sz="8" w:color="8F8F8F"/>
            </w:tcBorders>
          </w:tcPr>
          <w:p>
            <w:pPr>
              <w:jc w:val="right"/>
              <w:ind w:right="290"/>
              <w:spacing w:after="0"/>
              <w:rPr>
                <w:sz w:val="20"/>
                <w:szCs w:val="20"/>
                <w:color w:val="auto"/>
              </w:rPr>
            </w:pPr>
            <w:r>
              <w:rPr>
                <w:rFonts w:ascii="Times New Roman" w:cs="Times New Roman" w:eastAsia="Times New Roman" w:hAnsi="Times New Roman"/>
                <w:sz w:val="18"/>
                <w:szCs w:val="18"/>
                <w:color w:val="262626"/>
              </w:rPr>
              <w:t>$</w:t>
            </w:r>
          </w:p>
        </w:tc>
        <w:tc>
          <w:tcPr>
            <w:tcW w:w="142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55,554,504</w:t>
            </w:r>
          </w:p>
        </w:tc>
        <w:tc>
          <w:tcPr>
            <w:tcW w:w="560" w:type="dxa"/>
            <w:vAlign w:val="bottom"/>
            <w:tcBorders>
              <w:bottom w:val="single" w:sz="8" w:color="8F8F8F"/>
            </w:tcBorders>
          </w:tcPr>
          <w:p>
            <w:pPr>
              <w:jc w:val="right"/>
              <w:ind w:right="290"/>
              <w:spacing w:after="0"/>
              <w:rPr>
                <w:sz w:val="20"/>
                <w:szCs w:val="20"/>
                <w:color w:val="auto"/>
              </w:rPr>
            </w:pPr>
            <w:r>
              <w:rPr>
                <w:rFonts w:ascii="Times New Roman" w:cs="Times New Roman" w:eastAsia="Times New Roman" w:hAnsi="Times New Roman"/>
                <w:sz w:val="18"/>
                <w:szCs w:val="18"/>
                <w:color w:val="262626"/>
              </w:rPr>
              <w:t>$</w:t>
            </w:r>
          </w:p>
        </w:tc>
        <w:tc>
          <w:tcPr>
            <w:tcW w:w="132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64,249,308</w:t>
            </w:r>
          </w:p>
        </w:tc>
      </w:tr>
      <w:tr>
        <w:trPr>
          <w:trHeight w:val="20"/>
        </w:trPr>
        <w:tc>
          <w:tcPr>
            <w:tcW w:w="4680" w:type="dxa"/>
            <w:vAlign w:val="bottom"/>
          </w:tcPr>
          <w:p>
            <w:pPr>
              <w:spacing w:after="0" w:line="20" w:lineRule="exact"/>
              <w:rPr>
                <w:sz w:val="1"/>
                <w:szCs w:val="1"/>
                <w:color w:val="auto"/>
              </w:rPr>
            </w:pPr>
          </w:p>
        </w:tc>
        <w:tc>
          <w:tcPr>
            <w:tcW w:w="480" w:type="dxa"/>
            <w:vAlign w:val="bottom"/>
            <w:tcBorders>
              <w:bottom w:val="single" w:sz="8" w:color="8F8F8F"/>
            </w:tcBorders>
          </w:tcPr>
          <w:p>
            <w:pPr>
              <w:spacing w:after="0" w:line="20" w:lineRule="exact"/>
              <w:rPr>
                <w:sz w:val="1"/>
                <w:szCs w:val="1"/>
                <w:color w:val="auto"/>
              </w:rPr>
            </w:pPr>
          </w:p>
        </w:tc>
        <w:tc>
          <w:tcPr>
            <w:tcW w:w="1420" w:type="dxa"/>
            <w:vAlign w:val="bottom"/>
            <w:tcBorders>
              <w:bottom w:val="single" w:sz="8" w:color="8F8F8F"/>
            </w:tcBorders>
          </w:tcPr>
          <w:p>
            <w:pPr>
              <w:spacing w:after="0" w:line="20" w:lineRule="exact"/>
              <w:rPr>
                <w:sz w:val="1"/>
                <w:szCs w:val="1"/>
                <w:color w:val="auto"/>
              </w:rPr>
            </w:pPr>
          </w:p>
        </w:tc>
        <w:tc>
          <w:tcPr>
            <w:tcW w:w="560" w:type="dxa"/>
            <w:vAlign w:val="bottom"/>
            <w:tcBorders>
              <w:bottom w:val="single" w:sz="8" w:color="8F8F8F"/>
            </w:tcBorders>
          </w:tcPr>
          <w:p>
            <w:pPr>
              <w:spacing w:after="0" w:line="20" w:lineRule="exact"/>
              <w:rPr>
                <w:sz w:val="1"/>
                <w:szCs w:val="1"/>
                <w:color w:val="auto"/>
              </w:rPr>
            </w:pPr>
          </w:p>
        </w:tc>
        <w:tc>
          <w:tcPr>
            <w:tcW w:w="1420" w:type="dxa"/>
            <w:vAlign w:val="bottom"/>
            <w:tcBorders>
              <w:bottom w:val="single" w:sz="8" w:color="8F8F8F"/>
            </w:tcBorders>
          </w:tcPr>
          <w:p>
            <w:pPr>
              <w:spacing w:after="0" w:line="20" w:lineRule="exact"/>
              <w:rPr>
                <w:sz w:val="1"/>
                <w:szCs w:val="1"/>
                <w:color w:val="auto"/>
              </w:rPr>
            </w:pPr>
          </w:p>
        </w:tc>
        <w:tc>
          <w:tcPr>
            <w:tcW w:w="560" w:type="dxa"/>
            <w:vAlign w:val="bottom"/>
            <w:tcBorders>
              <w:bottom w:val="single" w:sz="8" w:color="8F8F8F"/>
            </w:tcBorders>
          </w:tcPr>
          <w:p>
            <w:pPr>
              <w:spacing w:after="0" w:line="20" w:lineRule="exact"/>
              <w:rPr>
                <w:sz w:val="1"/>
                <w:szCs w:val="1"/>
                <w:color w:val="auto"/>
              </w:rPr>
            </w:pPr>
          </w:p>
        </w:tc>
        <w:tc>
          <w:tcPr>
            <w:tcW w:w="1320" w:type="dxa"/>
            <w:vAlign w:val="bottom"/>
            <w:tcBorders>
              <w:bottom w:val="single" w:sz="8" w:color="8F8F8F"/>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580" w:top="830" w:right="900" w:bottom="0" w:gutter="0" w:footer="0" w:header="0"/>
        </w:sectPr>
      </w:pPr>
    </w:p>
    <w:p>
      <w:pPr>
        <w:spacing w:after="0" w:line="169"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74</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60"/>
          </w:cols>
          <w:pgMar w:left="580" w:top="830" w:right="90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262626"/>
        </w:rPr>
        <w:t>The effective income tax rates are different from the statutory federal income tax rates for the following reasons: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500" w:type="dxa"/>
            <w:vAlign w:val="bottom"/>
          </w:tcPr>
          <w:p>
            <w:pPr>
              <w:spacing w:after="0"/>
              <w:rPr>
                <w:sz w:val="24"/>
                <w:szCs w:val="24"/>
                <w:color w:val="auto"/>
              </w:rPr>
            </w:pPr>
          </w:p>
        </w:tc>
        <w:tc>
          <w:tcPr>
            <w:tcW w:w="27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262626"/>
              </w:rPr>
              <w:t>2022</w:t>
            </w:r>
          </w:p>
        </w:tc>
        <w:tc>
          <w:tcPr>
            <w:tcW w:w="19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262626"/>
              </w:rPr>
              <w:t>2021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2020</w:t>
            </w:r>
          </w:p>
        </w:tc>
        <w:tc>
          <w:tcPr>
            <w:tcW w:w="160" w:type="dxa"/>
            <w:vAlign w:val="bottom"/>
          </w:tcPr>
          <w:p>
            <w:pPr>
              <w:spacing w:after="0"/>
              <w:rPr>
                <w:sz w:val="24"/>
                <w:szCs w:val="24"/>
                <w:color w:val="auto"/>
              </w:rPr>
            </w:pPr>
          </w:p>
        </w:tc>
      </w:tr>
      <w:tr>
        <w:trPr>
          <w:trHeight w:val="345"/>
        </w:trPr>
        <w:tc>
          <w:tcPr>
            <w:tcW w:w="45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Statutory federal income tax rate</w:t>
            </w:r>
          </w:p>
        </w:tc>
        <w:tc>
          <w:tcPr>
            <w:tcW w:w="2700" w:type="dxa"/>
            <w:vAlign w:val="bottom"/>
            <w:tcBorders>
              <w:bottom w:val="single" w:sz="8" w:color="838383"/>
            </w:tcBorders>
          </w:tcPr>
          <w:p>
            <w:pPr>
              <w:jc w:val="right"/>
              <w:ind w:right="630"/>
              <w:spacing w:after="0"/>
              <w:rPr>
                <w:sz w:val="20"/>
                <w:szCs w:val="20"/>
                <w:color w:val="auto"/>
              </w:rPr>
            </w:pPr>
            <w:r>
              <w:rPr>
                <w:rFonts w:ascii="Times New Roman" w:cs="Times New Roman" w:eastAsia="Times New Roman" w:hAnsi="Times New Roman"/>
                <w:sz w:val="18"/>
                <w:szCs w:val="18"/>
                <w:color w:val="262626"/>
              </w:rPr>
              <w:t>21.0 %</w:t>
            </w:r>
          </w:p>
        </w:tc>
        <w:tc>
          <w:tcPr>
            <w:tcW w:w="1980" w:type="dxa"/>
            <w:vAlign w:val="bottom"/>
            <w:tcBorders>
              <w:bottom w:val="single" w:sz="8" w:color="838383"/>
            </w:tcBorders>
          </w:tcPr>
          <w:p>
            <w:pPr>
              <w:jc w:val="right"/>
              <w:ind w:right="630"/>
              <w:spacing w:after="0"/>
              <w:rPr>
                <w:sz w:val="20"/>
                <w:szCs w:val="20"/>
                <w:color w:val="auto"/>
              </w:rPr>
            </w:pPr>
            <w:r>
              <w:rPr>
                <w:rFonts w:ascii="Times New Roman" w:cs="Times New Roman" w:eastAsia="Times New Roman" w:hAnsi="Times New Roman"/>
                <w:sz w:val="18"/>
                <w:szCs w:val="18"/>
                <w:color w:val="262626"/>
              </w:rPr>
              <w:t>21.0 %</w:t>
            </w:r>
          </w:p>
        </w:tc>
        <w:tc>
          <w:tcPr>
            <w:tcW w:w="126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21.0 %</w:t>
            </w:r>
          </w:p>
        </w:tc>
      </w:tr>
      <w:tr>
        <w:trPr>
          <w:trHeight w:val="340"/>
        </w:trPr>
        <w:tc>
          <w:tcPr>
            <w:tcW w:w="45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State income taxes, net of federal income tax benefit</w:t>
            </w:r>
          </w:p>
        </w:tc>
        <w:tc>
          <w:tcPr>
            <w:tcW w:w="270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0.9</w:t>
            </w:r>
          </w:p>
        </w:tc>
        <w:tc>
          <w:tcPr>
            <w:tcW w:w="19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0.7</w:t>
            </w:r>
          </w:p>
        </w:tc>
        <w:tc>
          <w:tcPr>
            <w:tcW w:w="1260" w:type="dxa"/>
            <w:vAlign w:val="bottom"/>
            <w:tcBorders>
              <w:bottom w:val="single" w:sz="8" w:color="838383"/>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262626"/>
              </w:rPr>
              <w:t>2.1</w:t>
            </w:r>
          </w:p>
        </w:tc>
      </w:tr>
      <w:tr>
        <w:trPr>
          <w:trHeight w:val="340"/>
        </w:trPr>
        <w:tc>
          <w:tcPr>
            <w:tcW w:w="45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Research tax credit</w:t>
            </w:r>
          </w:p>
        </w:tc>
        <w:tc>
          <w:tcPr>
            <w:tcW w:w="270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(1.8)</w:t>
            </w:r>
          </w:p>
        </w:tc>
        <w:tc>
          <w:tcPr>
            <w:tcW w:w="19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(1.0)</w:t>
            </w:r>
          </w:p>
        </w:tc>
        <w:tc>
          <w:tcPr>
            <w:tcW w:w="1260" w:type="dxa"/>
            <w:vAlign w:val="bottom"/>
            <w:tcBorders>
              <w:bottom w:val="single" w:sz="8" w:color="838383"/>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262626"/>
              </w:rPr>
              <w:t>(1.4)</w:t>
            </w:r>
          </w:p>
        </w:tc>
      </w:tr>
      <w:tr>
        <w:trPr>
          <w:trHeight w:val="340"/>
        </w:trPr>
        <w:tc>
          <w:tcPr>
            <w:tcW w:w="45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(Decrease) Increase in reserve for uncertain tax provisions</w:t>
            </w:r>
          </w:p>
        </w:tc>
        <w:tc>
          <w:tcPr>
            <w:tcW w:w="270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(0.2)</w:t>
            </w:r>
          </w:p>
        </w:tc>
        <w:tc>
          <w:tcPr>
            <w:tcW w:w="19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0.1</w:t>
            </w:r>
          </w:p>
        </w:tc>
        <w:tc>
          <w:tcPr>
            <w:tcW w:w="1260" w:type="dxa"/>
            <w:vAlign w:val="bottom"/>
            <w:tcBorders>
              <w:bottom w:val="single" w:sz="8" w:color="838383"/>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262626"/>
              </w:rPr>
              <w:t>(1.0)</w:t>
            </w:r>
          </w:p>
        </w:tc>
      </w:tr>
      <w:tr>
        <w:trPr>
          <w:trHeight w:val="340"/>
        </w:trPr>
        <w:tc>
          <w:tcPr>
            <w:tcW w:w="45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Non-deductible executive compensation</w:t>
            </w:r>
          </w:p>
        </w:tc>
        <w:tc>
          <w:tcPr>
            <w:tcW w:w="270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0.3</w:t>
            </w:r>
          </w:p>
        </w:tc>
        <w:tc>
          <w:tcPr>
            <w:tcW w:w="19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0.1</w:t>
            </w:r>
          </w:p>
        </w:tc>
        <w:tc>
          <w:tcPr>
            <w:tcW w:w="1260" w:type="dxa"/>
            <w:vAlign w:val="bottom"/>
            <w:tcBorders>
              <w:bottom w:val="single" w:sz="8" w:color="838383"/>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262626"/>
              </w:rPr>
              <w:t>—</w:t>
            </w:r>
          </w:p>
        </w:tc>
      </w:tr>
      <w:tr>
        <w:trPr>
          <w:trHeight w:val="340"/>
        </w:trPr>
        <w:tc>
          <w:tcPr>
            <w:tcW w:w="45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Non-deductible expenses</w:t>
            </w:r>
          </w:p>
        </w:tc>
        <w:tc>
          <w:tcPr>
            <w:tcW w:w="270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0.3</w:t>
            </w:r>
          </w:p>
        </w:tc>
        <w:tc>
          <w:tcPr>
            <w:tcW w:w="19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w:t>
            </w:r>
          </w:p>
        </w:tc>
        <w:tc>
          <w:tcPr>
            <w:tcW w:w="11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0.1</w:t>
            </w:r>
          </w:p>
        </w:tc>
        <w:tc>
          <w:tcPr>
            <w:tcW w:w="160" w:type="dxa"/>
            <w:vAlign w:val="bottom"/>
            <w:tcBorders>
              <w:bottom w:val="single" w:sz="8" w:color="838383"/>
            </w:tcBorders>
          </w:tcPr>
          <w:p>
            <w:pPr>
              <w:spacing w:after="0"/>
              <w:rPr>
                <w:sz w:val="24"/>
                <w:szCs w:val="24"/>
                <w:color w:val="auto"/>
              </w:rPr>
            </w:pPr>
          </w:p>
        </w:tc>
      </w:tr>
      <w:tr>
        <w:trPr>
          <w:trHeight w:val="340"/>
        </w:trPr>
        <w:tc>
          <w:tcPr>
            <w:tcW w:w="45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Foreign tax credit</w:t>
            </w:r>
          </w:p>
        </w:tc>
        <w:tc>
          <w:tcPr>
            <w:tcW w:w="270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(0.3)</w:t>
            </w:r>
          </w:p>
        </w:tc>
        <w:tc>
          <w:tcPr>
            <w:tcW w:w="19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(0.2)</w:t>
            </w:r>
          </w:p>
        </w:tc>
        <w:tc>
          <w:tcPr>
            <w:tcW w:w="1260" w:type="dxa"/>
            <w:vAlign w:val="bottom"/>
            <w:tcBorders>
              <w:bottom w:val="single" w:sz="8" w:color="838383"/>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262626"/>
              </w:rPr>
              <w:t>(0.1)</w:t>
            </w:r>
          </w:p>
        </w:tc>
      </w:tr>
      <w:tr>
        <w:trPr>
          <w:trHeight w:val="340"/>
        </w:trPr>
        <w:tc>
          <w:tcPr>
            <w:tcW w:w="45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Foreign derived intangible income deduction</w:t>
            </w:r>
          </w:p>
        </w:tc>
        <w:tc>
          <w:tcPr>
            <w:tcW w:w="270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(6.2)</w:t>
            </w:r>
          </w:p>
        </w:tc>
        <w:tc>
          <w:tcPr>
            <w:tcW w:w="19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(6.3)</w:t>
            </w:r>
          </w:p>
        </w:tc>
        <w:tc>
          <w:tcPr>
            <w:tcW w:w="1260" w:type="dxa"/>
            <w:vAlign w:val="bottom"/>
            <w:tcBorders>
              <w:bottom w:val="single" w:sz="8" w:color="838383"/>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262626"/>
              </w:rPr>
              <w:t>(5.2)</w:t>
            </w:r>
          </w:p>
        </w:tc>
      </w:tr>
      <w:tr>
        <w:trPr>
          <w:trHeight w:val="340"/>
        </w:trPr>
        <w:tc>
          <w:tcPr>
            <w:tcW w:w="45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Stock compensation</w:t>
            </w:r>
          </w:p>
        </w:tc>
        <w:tc>
          <w:tcPr>
            <w:tcW w:w="270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(0.6)</w:t>
            </w:r>
          </w:p>
        </w:tc>
        <w:tc>
          <w:tcPr>
            <w:tcW w:w="19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(1.3)</w:t>
            </w:r>
          </w:p>
        </w:tc>
        <w:tc>
          <w:tcPr>
            <w:tcW w:w="1260" w:type="dxa"/>
            <w:vAlign w:val="bottom"/>
            <w:tcBorders>
              <w:bottom w:val="single" w:sz="8" w:color="838383"/>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262626"/>
              </w:rPr>
              <w:t>(1.0)</w:t>
            </w:r>
          </w:p>
        </w:tc>
      </w:tr>
      <w:tr>
        <w:trPr>
          <w:trHeight w:val="355"/>
        </w:trPr>
        <w:tc>
          <w:tcPr>
            <w:tcW w:w="45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Other</w:t>
            </w:r>
          </w:p>
        </w:tc>
        <w:tc>
          <w:tcPr>
            <w:tcW w:w="2700" w:type="dxa"/>
            <w:vAlign w:val="bottom"/>
            <w:tcBorders>
              <w:bottom w:val="single" w:sz="8" w:color="8F8F8F"/>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0.4</w:t>
            </w:r>
          </w:p>
        </w:tc>
        <w:tc>
          <w:tcPr>
            <w:tcW w:w="1980" w:type="dxa"/>
            <w:vAlign w:val="bottom"/>
            <w:tcBorders>
              <w:bottom w:val="single" w:sz="8" w:color="8F8F8F"/>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0.2</w:t>
            </w:r>
          </w:p>
        </w:tc>
        <w:tc>
          <w:tcPr>
            <w:tcW w:w="11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0.2</w:t>
            </w:r>
          </w:p>
        </w:tc>
        <w:tc>
          <w:tcPr>
            <w:tcW w:w="160" w:type="dxa"/>
            <w:vAlign w:val="bottom"/>
            <w:tcBorders>
              <w:bottom w:val="single" w:sz="8" w:color="838383"/>
            </w:tcBorders>
          </w:tcPr>
          <w:p>
            <w:pPr>
              <w:spacing w:after="0"/>
              <w:rPr>
                <w:sz w:val="24"/>
                <w:szCs w:val="24"/>
                <w:color w:val="auto"/>
              </w:rPr>
            </w:pPr>
          </w:p>
        </w:tc>
      </w:tr>
      <w:tr>
        <w:trPr>
          <w:trHeight w:val="3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262626"/>
              </w:rPr>
              <w:t>Effective income tax rate</w:t>
            </w:r>
          </w:p>
        </w:tc>
        <w:tc>
          <w:tcPr>
            <w:tcW w:w="27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262626"/>
              </w:rPr>
              <w:t>13.8 %</w:t>
            </w:r>
          </w:p>
        </w:tc>
        <w:tc>
          <w:tcPr>
            <w:tcW w:w="19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262626"/>
              </w:rPr>
              <w:t>13.3 %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62626"/>
              </w:rPr>
              <w:t>15.6 %</w:t>
            </w:r>
          </w:p>
        </w:tc>
      </w:tr>
      <w:tr>
        <w:trPr>
          <w:trHeight w:val="40"/>
        </w:trPr>
        <w:tc>
          <w:tcPr>
            <w:tcW w:w="4500" w:type="dxa"/>
            <w:vAlign w:val="bottom"/>
          </w:tcPr>
          <w:p>
            <w:pPr>
              <w:spacing w:after="0"/>
              <w:rPr>
                <w:sz w:val="3"/>
                <w:szCs w:val="3"/>
                <w:color w:val="auto"/>
              </w:rPr>
            </w:pPr>
          </w:p>
        </w:tc>
        <w:tc>
          <w:tcPr>
            <w:tcW w:w="2700" w:type="dxa"/>
            <w:vAlign w:val="bottom"/>
            <w:shd w:val="clear" w:color="auto" w:fill="8F8F8F"/>
          </w:tcPr>
          <w:p>
            <w:pPr>
              <w:spacing w:after="0"/>
              <w:rPr>
                <w:sz w:val="3"/>
                <w:szCs w:val="3"/>
                <w:color w:val="auto"/>
              </w:rPr>
            </w:pPr>
          </w:p>
        </w:tc>
        <w:tc>
          <w:tcPr>
            <w:tcW w:w="1980" w:type="dxa"/>
            <w:vAlign w:val="bottom"/>
            <w:shd w:val="clear" w:color="auto" w:fill="8F8F8F"/>
          </w:tcPr>
          <w:p>
            <w:pPr>
              <w:spacing w:after="0"/>
              <w:rPr>
                <w:sz w:val="3"/>
                <w:szCs w:val="3"/>
                <w:color w:val="auto"/>
              </w:rPr>
            </w:pPr>
          </w:p>
        </w:tc>
        <w:tc>
          <w:tcPr>
            <w:tcW w:w="1100" w:type="dxa"/>
            <w:vAlign w:val="bottom"/>
            <w:tcBorders>
              <w:right w:val="single" w:sz="8" w:color="838383"/>
            </w:tcBorders>
            <w:shd w:val="clear" w:color="auto" w:fill="8F8F8F"/>
          </w:tcPr>
          <w:p>
            <w:pPr>
              <w:spacing w:after="0"/>
              <w:rPr>
                <w:sz w:val="3"/>
                <w:szCs w:val="3"/>
                <w:color w:val="auto"/>
              </w:rPr>
            </w:pPr>
          </w:p>
        </w:tc>
        <w:tc>
          <w:tcPr>
            <w:tcW w:w="160" w:type="dxa"/>
            <w:vAlign w:val="bottom"/>
            <w:shd w:val="clear" w:color="auto" w:fill="838383"/>
          </w:tcPr>
          <w:p>
            <w:pPr>
              <w:spacing w:after="0"/>
              <w:rPr>
                <w:sz w:val="3"/>
                <w:szCs w:val="3"/>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62626"/>
        </w:rPr>
        <w:t>The tax effect of temporary differences which give rise to deferred income tax assets and liabilities at December 31, 2022 and 2021,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December 31, 2022</w:t>
            </w:r>
          </w:p>
        </w:tc>
        <w:tc>
          <w:tcPr>
            <w:tcW w:w="8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December 31, 2021</w:t>
            </w:r>
          </w:p>
        </w:tc>
      </w:tr>
      <w:tr>
        <w:trPr>
          <w:trHeight w:val="276"/>
        </w:trPr>
        <w:tc>
          <w:tcPr>
            <w:tcW w:w="4680" w:type="dxa"/>
            <w:vAlign w:val="bottom"/>
          </w:tcPr>
          <w:p>
            <w:pPr>
              <w:spacing w:after="0"/>
              <w:rPr>
                <w:sz w:val="20"/>
                <w:szCs w:val="20"/>
                <w:color w:val="auto"/>
              </w:rPr>
            </w:pPr>
            <w:r>
              <w:rPr>
                <w:rFonts w:ascii="Arial" w:cs="Arial" w:eastAsia="Arial" w:hAnsi="Arial"/>
                <w:sz w:val="17"/>
                <w:szCs w:val="17"/>
                <w:b w:val="1"/>
                <w:bCs w:val="1"/>
                <w:color w:val="838383"/>
              </w:rPr>
              <w:t>ASSETS:</w:t>
            </w:r>
          </w:p>
        </w:tc>
        <w:tc>
          <w:tcPr>
            <w:tcW w:w="7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69"/>
        </w:trPr>
        <w:tc>
          <w:tcPr>
            <w:tcW w:w="4680" w:type="dxa"/>
            <w:vAlign w:val="bottom"/>
            <w:tcBorders>
              <w:bottom w:val="single" w:sz="8" w:color="838383"/>
            </w:tcBorders>
          </w:tcPr>
          <w:p>
            <w:pPr>
              <w:spacing w:after="0"/>
              <w:rPr>
                <w:sz w:val="6"/>
                <w:szCs w:val="6"/>
                <w:color w:val="auto"/>
              </w:rPr>
            </w:pPr>
          </w:p>
        </w:tc>
        <w:tc>
          <w:tcPr>
            <w:tcW w:w="740" w:type="dxa"/>
            <w:vAlign w:val="bottom"/>
            <w:tcBorders>
              <w:bottom w:val="single" w:sz="8" w:color="838383"/>
            </w:tcBorders>
          </w:tcPr>
          <w:p>
            <w:pPr>
              <w:spacing w:after="0"/>
              <w:rPr>
                <w:sz w:val="6"/>
                <w:szCs w:val="6"/>
                <w:color w:val="auto"/>
              </w:rPr>
            </w:pPr>
          </w:p>
        </w:tc>
        <w:tc>
          <w:tcPr>
            <w:tcW w:w="2140" w:type="dxa"/>
            <w:vAlign w:val="bottom"/>
            <w:tcBorders>
              <w:bottom w:val="single" w:sz="8" w:color="838383"/>
            </w:tcBorders>
          </w:tcPr>
          <w:p>
            <w:pPr>
              <w:spacing w:after="0"/>
              <w:rPr>
                <w:sz w:val="6"/>
                <w:szCs w:val="6"/>
                <w:color w:val="auto"/>
              </w:rPr>
            </w:pPr>
          </w:p>
        </w:tc>
        <w:tc>
          <w:tcPr>
            <w:tcW w:w="820" w:type="dxa"/>
            <w:vAlign w:val="bottom"/>
            <w:tcBorders>
              <w:bottom w:val="single" w:sz="8" w:color="838383"/>
            </w:tcBorders>
          </w:tcPr>
          <w:p>
            <w:pPr>
              <w:spacing w:after="0"/>
              <w:rPr>
                <w:sz w:val="6"/>
                <w:szCs w:val="6"/>
                <w:color w:val="auto"/>
              </w:rPr>
            </w:pPr>
          </w:p>
        </w:tc>
        <w:tc>
          <w:tcPr>
            <w:tcW w:w="2060" w:type="dxa"/>
            <w:vAlign w:val="bottom"/>
            <w:tcBorders>
              <w:bottom w:val="single" w:sz="8" w:color="838383"/>
            </w:tcBorders>
          </w:tcPr>
          <w:p>
            <w:pPr>
              <w:spacing w:after="0"/>
              <w:rPr>
                <w:sz w:val="6"/>
                <w:szCs w:val="6"/>
                <w:color w:val="auto"/>
              </w:rPr>
            </w:pPr>
          </w:p>
        </w:tc>
      </w:tr>
      <w:tr>
        <w:trPr>
          <w:trHeight w:val="340"/>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Accruals not currently deductible</w:t>
            </w:r>
          </w:p>
        </w:tc>
        <w:tc>
          <w:tcPr>
            <w:tcW w:w="740" w:type="dxa"/>
            <w:vAlign w:val="bottom"/>
            <w:tcBorders>
              <w:bottom w:val="single" w:sz="8" w:color="838383"/>
            </w:tcBorders>
          </w:tcPr>
          <w:p>
            <w:pPr>
              <w:jc w:val="right"/>
              <w:ind w:right="550"/>
              <w:spacing w:after="0"/>
              <w:rPr>
                <w:sz w:val="20"/>
                <w:szCs w:val="20"/>
                <w:color w:val="auto"/>
              </w:rPr>
            </w:pPr>
            <w:r>
              <w:rPr>
                <w:rFonts w:ascii="Times New Roman" w:cs="Times New Roman" w:eastAsia="Times New Roman" w:hAnsi="Times New Roman"/>
                <w:sz w:val="18"/>
                <w:szCs w:val="18"/>
                <w:color w:val="262626"/>
                <w:w w:val="88"/>
              </w:rPr>
              <w:t>$</w:t>
            </w:r>
          </w:p>
        </w:tc>
        <w:tc>
          <w:tcPr>
            <w:tcW w:w="21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9,778,184</w:t>
            </w:r>
          </w:p>
        </w:tc>
        <w:tc>
          <w:tcPr>
            <w:tcW w:w="820" w:type="dxa"/>
            <w:vAlign w:val="bottom"/>
            <w:tcBorders>
              <w:bottom w:val="single" w:sz="8" w:color="838383"/>
            </w:tcBorders>
          </w:tcPr>
          <w:p>
            <w:pPr>
              <w:jc w:val="right"/>
              <w:ind w:right="550"/>
              <w:spacing w:after="0"/>
              <w:rPr>
                <w:sz w:val="20"/>
                <w:szCs w:val="20"/>
                <w:color w:val="auto"/>
              </w:rPr>
            </w:pPr>
            <w:r>
              <w:rPr>
                <w:rFonts w:ascii="Times New Roman" w:cs="Times New Roman" w:eastAsia="Times New Roman" w:hAnsi="Times New Roman"/>
                <w:sz w:val="18"/>
                <w:szCs w:val="18"/>
                <w:color w:val="262626"/>
              </w:rPr>
              <w:t>$</w:t>
            </w: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12,823,493</w:t>
            </w:r>
          </w:p>
        </w:tc>
      </w:tr>
      <w:tr>
        <w:trPr>
          <w:trHeight w:val="340"/>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Research and development costs</w:t>
            </w:r>
          </w:p>
        </w:tc>
        <w:tc>
          <w:tcPr>
            <w:tcW w:w="740" w:type="dxa"/>
            <w:vAlign w:val="bottom"/>
            <w:tcBorders>
              <w:bottom w:val="single" w:sz="8" w:color="838383"/>
            </w:tcBorders>
          </w:tcPr>
          <w:p>
            <w:pPr>
              <w:spacing w:after="0"/>
              <w:rPr>
                <w:sz w:val="24"/>
                <w:szCs w:val="24"/>
                <w:color w:val="auto"/>
              </w:rPr>
            </w:pPr>
          </w:p>
        </w:tc>
        <w:tc>
          <w:tcPr>
            <w:tcW w:w="21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58,501,232</w:t>
            </w:r>
          </w:p>
        </w:tc>
        <w:tc>
          <w:tcPr>
            <w:tcW w:w="820" w:type="dxa"/>
            <w:vAlign w:val="bottom"/>
            <w:tcBorders>
              <w:bottom w:val="single" w:sz="8" w:color="838383"/>
            </w:tcBorders>
          </w:tcPr>
          <w:p>
            <w:pPr>
              <w:spacing w:after="0"/>
              <w:rPr>
                <w:sz w:val="24"/>
                <w:szCs w:val="24"/>
                <w:color w:val="auto"/>
              </w:rPr>
            </w:pP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49,099,538</w:t>
            </w:r>
          </w:p>
        </w:tc>
      </w:tr>
      <w:tr>
        <w:trPr>
          <w:trHeight w:val="340"/>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Stock based compensation</w:t>
            </w:r>
          </w:p>
        </w:tc>
        <w:tc>
          <w:tcPr>
            <w:tcW w:w="740" w:type="dxa"/>
            <w:vAlign w:val="bottom"/>
            <w:tcBorders>
              <w:bottom w:val="single" w:sz="8" w:color="838383"/>
            </w:tcBorders>
          </w:tcPr>
          <w:p>
            <w:pPr>
              <w:spacing w:after="0"/>
              <w:rPr>
                <w:sz w:val="24"/>
                <w:szCs w:val="24"/>
                <w:color w:val="auto"/>
              </w:rPr>
            </w:pPr>
          </w:p>
        </w:tc>
        <w:tc>
          <w:tcPr>
            <w:tcW w:w="21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14,670,250</w:t>
            </w:r>
          </w:p>
        </w:tc>
        <w:tc>
          <w:tcPr>
            <w:tcW w:w="820" w:type="dxa"/>
            <w:vAlign w:val="bottom"/>
            <w:tcBorders>
              <w:bottom w:val="single" w:sz="8" w:color="838383"/>
            </w:tcBorders>
          </w:tcPr>
          <w:p>
            <w:pPr>
              <w:spacing w:after="0"/>
              <w:rPr>
                <w:sz w:val="24"/>
                <w:szCs w:val="24"/>
                <w:color w:val="auto"/>
              </w:rPr>
            </w:pP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13,707,737</w:t>
            </w:r>
          </w:p>
        </w:tc>
      </w:tr>
      <w:tr>
        <w:trPr>
          <w:trHeight w:val="355"/>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Other</w:t>
            </w:r>
          </w:p>
        </w:tc>
        <w:tc>
          <w:tcPr>
            <w:tcW w:w="740" w:type="dxa"/>
            <w:vAlign w:val="bottom"/>
            <w:tcBorders>
              <w:bottom w:val="single" w:sz="8" w:color="8F8F8F"/>
            </w:tcBorders>
          </w:tcPr>
          <w:p>
            <w:pPr>
              <w:spacing w:after="0"/>
              <w:rPr>
                <w:sz w:val="24"/>
                <w:szCs w:val="24"/>
                <w:color w:val="auto"/>
              </w:rPr>
            </w:pPr>
          </w:p>
        </w:tc>
        <w:tc>
          <w:tcPr>
            <w:tcW w:w="21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4,722,513</w:t>
            </w:r>
          </w:p>
        </w:tc>
        <w:tc>
          <w:tcPr>
            <w:tcW w:w="820" w:type="dxa"/>
            <w:vAlign w:val="bottom"/>
            <w:tcBorders>
              <w:bottom w:val="single" w:sz="8" w:color="8F8F8F"/>
            </w:tcBorders>
          </w:tcPr>
          <w:p>
            <w:pPr>
              <w:spacing w:after="0"/>
              <w:rPr>
                <w:sz w:val="24"/>
                <w:szCs w:val="24"/>
                <w:color w:val="auto"/>
              </w:rPr>
            </w:pPr>
          </w:p>
        </w:tc>
        <w:tc>
          <w:tcPr>
            <w:tcW w:w="20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2,118,484</w:t>
            </w:r>
          </w:p>
        </w:tc>
      </w:tr>
      <w:tr>
        <w:trPr>
          <w:trHeight w:val="325"/>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Total deferred income tax assets</w:t>
            </w:r>
          </w:p>
        </w:tc>
        <w:tc>
          <w:tcPr>
            <w:tcW w:w="740" w:type="dxa"/>
            <w:vAlign w:val="bottom"/>
            <w:tcBorders>
              <w:bottom w:val="single" w:sz="8" w:color="838383"/>
            </w:tcBorders>
          </w:tcPr>
          <w:p>
            <w:pPr>
              <w:jc w:val="right"/>
              <w:ind w:right="550"/>
              <w:spacing w:after="0"/>
              <w:rPr>
                <w:sz w:val="20"/>
                <w:szCs w:val="20"/>
                <w:color w:val="auto"/>
              </w:rPr>
            </w:pPr>
            <w:r>
              <w:rPr>
                <w:rFonts w:ascii="Times New Roman" w:cs="Times New Roman" w:eastAsia="Times New Roman" w:hAnsi="Times New Roman"/>
                <w:sz w:val="18"/>
                <w:szCs w:val="18"/>
                <w:color w:val="262626"/>
                <w:w w:val="88"/>
              </w:rPr>
              <w:t>$</w:t>
            </w:r>
          </w:p>
        </w:tc>
        <w:tc>
          <w:tcPr>
            <w:tcW w:w="21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87,672,179</w:t>
            </w:r>
          </w:p>
        </w:tc>
        <w:tc>
          <w:tcPr>
            <w:tcW w:w="820" w:type="dxa"/>
            <w:vAlign w:val="bottom"/>
            <w:tcBorders>
              <w:bottom w:val="single" w:sz="8" w:color="838383"/>
            </w:tcBorders>
          </w:tcPr>
          <w:p>
            <w:pPr>
              <w:jc w:val="right"/>
              <w:ind w:right="550"/>
              <w:spacing w:after="0"/>
              <w:rPr>
                <w:sz w:val="20"/>
                <w:szCs w:val="20"/>
                <w:color w:val="auto"/>
              </w:rPr>
            </w:pPr>
            <w:r>
              <w:rPr>
                <w:rFonts w:ascii="Times New Roman" w:cs="Times New Roman" w:eastAsia="Times New Roman" w:hAnsi="Times New Roman"/>
                <w:sz w:val="18"/>
                <w:szCs w:val="18"/>
                <w:color w:val="262626"/>
              </w:rPr>
              <w:t>$</w:t>
            </w: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77,749,252</w:t>
            </w:r>
          </w:p>
        </w:tc>
      </w:tr>
      <w:tr>
        <w:trPr>
          <w:trHeight w:val="340"/>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Liabilities:</w:t>
            </w:r>
          </w:p>
        </w:tc>
        <w:tc>
          <w:tcPr>
            <w:tcW w:w="740" w:type="dxa"/>
            <w:vAlign w:val="bottom"/>
            <w:tcBorders>
              <w:bottom w:val="single" w:sz="8" w:color="838383"/>
            </w:tcBorders>
          </w:tcPr>
          <w:p>
            <w:pPr>
              <w:spacing w:after="0"/>
              <w:rPr>
                <w:sz w:val="24"/>
                <w:szCs w:val="24"/>
                <w:color w:val="auto"/>
              </w:rPr>
            </w:pPr>
          </w:p>
        </w:tc>
        <w:tc>
          <w:tcPr>
            <w:tcW w:w="2140" w:type="dxa"/>
            <w:vAlign w:val="bottom"/>
            <w:tcBorders>
              <w:bottom w:val="single" w:sz="8" w:color="838383"/>
            </w:tcBorders>
          </w:tcPr>
          <w:p>
            <w:pPr>
              <w:spacing w:after="0"/>
              <w:rPr>
                <w:sz w:val="24"/>
                <w:szCs w:val="24"/>
                <w:color w:val="auto"/>
              </w:rPr>
            </w:pPr>
          </w:p>
        </w:tc>
        <w:tc>
          <w:tcPr>
            <w:tcW w:w="820" w:type="dxa"/>
            <w:vAlign w:val="bottom"/>
            <w:tcBorders>
              <w:bottom w:val="single" w:sz="8" w:color="838383"/>
            </w:tcBorders>
          </w:tcPr>
          <w:p>
            <w:pPr>
              <w:spacing w:after="0"/>
              <w:rPr>
                <w:sz w:val="24"/>
                <w:szCs w:val="24"/>
                <w:color w:val="auto"/>
              </w:rPr>
            </w:pPr>
          </w:p>
        </w:tc>
        <w:tc>
          <w:tcPr>
            <w:tcW w:w="2060" w:type="dxa"/>
            <w:vAlign w:val="bottom"/>
            <w:tcBorders>
              <w:bottom w:val="single" w:sz="8" w:color="838383"/>
            </w:tcBorders>
          </w:tcPr>
          <w:p>
            <w:pPr>
              <w:spacing w:after="0"/>
              <w:rPr>
                <w:sz w:val="24"/>
                <w:szCs w:val="24"/>
                <w:color w:val="auto"/>
              </w:rPr>
            </w:pPr>
          </w:p>
        </w:tc>
      </w:tr>
      <w:tr>
        <w:trPr>
          <w:trHeight w:val="340"/>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Excess tax over book depreciation</w:t>
            </w:r>
          </w:p>
        </w:tc>
        <w:tc>
          <w:tcPr>
            <w:tcW w:w="740" w:type="dxa"/>
            <w:vAlign w:val="bottom"/>
            <w:tcBorders>
              <w:bottom w:val="single" w:sz="8" w:color="838383"/>
            </w:tcBorders>
          </w:tcPr>
          <w:p>
            <w:pPr>
              <w:jc w:val="right"/>
              <w:ind w:right="550"/>
              <w:spacing w:after="0"/>
              <w:rPr>
                <w:sz w:val="20"/>
                <w:szCs w:val="20"/>
                <w:color w:val="auto"/>
              </w:rPr>
            </w:pPr>
            <w:r>
              <w:rPr>
                <w:rFonts w:ascii="Times New Roman" w:cs="Times New Roman" w:eastAsia="Times New Roman" w:hAnsi="Times New Roman"/>
                <w:sz w:val="18"/>
                <w:szCs w:val="18"/>
                <w:color w:val="262626"/>
                <w:w w:val="88"/>
              </w:rPr>
              <w:t>$</w:t>
            </w:r>
          </w:p>
        </w:tc>
        <w:tc>
          <w:tcPr>
            <w:tcW w:w="21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(3,460,485)</w:t>
            </w:r>
          </w:p>
        </w:tc>
        <w:tc>
          <w:tcPr>
            <w:tcW w:w="820" w:type="dxa"/>
            <w:vAlign w:val="bottom"/>
            <w:tcBorders>
              <w:bottom w:val="single" w:sz="8" w:color="838383"/>
            </w:tcBorders>
          </w:tcPr>
          <w:p>
            <w:pPr>
              <w:jc w:val="right"/>
              <w:ind w:right="550"/>
              <w:spacing w:after="0"/>
              <w:rPr>
                <w:sz w:val="20"/>
                <w:szCs w:val="20"/>
                <w:color w:val="auto"/>
              </w:rPr>
            </w:pPr>
            <w:r>
              <w:rPr>
                <w:rFonts w:ascii="Times New Roman" w:cs="Times New Roman" w:eastAsia="Times New Roman" w:hAnsi="Times New Roman"/>
                <w:sz w:val="18"/>
                <w:szCs w:val="18"/>
                <w:color w:val="262626"/>
              </w:rPr>
              <w:t>$</w:t>
            </w: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(20,728,577)</w:t>
            </w:r>
          </w:p>
        </w:tc>
      </w:tr>
      <w:tr>
        <w:trPr>
          <w:trHeight w:val="340"/>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Goodwill</w:t>
            </w:r>
          </w:p>
        </w:tc>
        <w:tc>
          <w:tcPr>
            <w:tcW w:w="740" w:type="dxa"/>
            <w:vAlign w:val="bottom"/>
            <w:tcBorders>
              <w:bottom w:val="single" w:sz="8" w:color="838383"/>
            </w:tcBorders>
          </w:tcPr>
          <w:p>
            <w:pPr>
              <w:spacing w:after="0"/>
              <w:rPr>
                <w:sz w:val="24"/>
                <w:szCs w:val="24"/>
                <w:color w:val="auto"/>
              </w:rPr>
            </w:pPr>
          </w:p>
        </w:tc>
        <w:tc>
          <w:tcPr>
            <w:tcW w:w="21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(42,580,026)</w:t>
            </w:r>
          </w:p>
        </w:tc>
        <w:tc>
          <w:tcPr>
            <w:tcW w:w="820" w:type="dxa"/>
            <w:vAlign w:val="bottom"/>
            <w:tcBorders>
              <w:bottom w:val="single" w:sz="8" w:color="838383"/>
            </w:tcBorders>
          </w:tcPr>
          <w:p>
            <w:pPr>
              <w:spacing w:after="0"/>
              <w:rPr>
                <w:sz w:val="24"/>
                <w:szCs w:val="24"/>
                <w:color w:val="auto"/>
              </w:rPr>
            </w:pP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(37,999,022)</w:t>
            </w:r>
          </w:p>
        </w:tc>
      </w:tr>
      <w:tr>
        <w:trPr>
          <w:trHeight w:val="340"/>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Intangible assets</w:t>
            </w:r>
          </w:p>
        </w:tc>
        <w:tc>
          <w:tcPr>
            <w:tcW w:w="740" w:type="dxa"/>
            <w:vAlign w:val="bottom"/>
            <w:tcBorders>
              <w:bottom w:val="single" w:sz="8" w:color="838383"/>
            </w:tcBorders>
          </w:tcPr>
          <w:p>
            <w:pPr>
              <w:spacing w:after="0"/>
              <w:rPr>
                <w:sz w:val="24"/>
                <w:szCs w:val="24"/>
                <w:color w:val="auto"/>
              </w:rPr>
            </w:pPr>
          </w:p>
        </w:tc>
        <w:tc>
          <w:tcPr>
            <w:tcW w:w="21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(13,268,772)</w:t>
            </w:r>
          </w:p>
        </w:tc>
        <w:tc>
          <w:tcPr>
            <w:tcW w:w="820" w:type="dxa"/>
            <w:vAlign w:val="bottom"/>
            <w:tcBorders>
              <w:bottom w:val="single" w:sz="8" w:color="838383"/>
            </w:tcBorders>
          </w:tcPr>
          <w:p>
            <w:pPr>
              <w:spacing w:after="0"/>
              <w:rPr>
                <w:sz w:val="24"/>
                <w:szCs w:val="24"/>
                <w:color w:val="auto"/>
              </w:rPr>
            </w:pPr>
          </w:p>
        </w:tc>
        <w:tc>
          <w:tcPr>
            <w:tcW w:w="20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(11,718,904)</w:t>
            </w:r>
          </w:p>
        </w:tc>
      </w:tr>
      <w:tr>
        <w:trPr>
          <w:trHeight w:val="355"/>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Other</w:t>
            </w:r>
          </w:p>
        </w:tc>
        <w:tc>
          <w:tcPr>
            <w:tcW w:w="740" w:type="dxa"/>
            <w:vAlign w:val="bottom"/>
            <w:tcBorders>
              <w:bottom w:val="single" w:sz="8" w:color="8F8F8F"/>
            </w:tcBorders>
          </w:tcPr>
          <w:p>
            <w:pPr>
              <w:spacing w:after="0"/>
              <w:rPr>
                <w:sz w:val="24"/>
                <w:szCs w:val="24"/>
                <w:color w:val="auto"/>
              </w:rPr>
            </w:pPr>
          </w:p>
        </w:tc>
        <w:tc>
          <w:tcPr>
            <w:tcW w:w="21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(2,834,196)</w:t>
            </w:r>
          </w:p>
        </w:tc>
        <w:tc>
          <w:tcPr>
            <w:tcW w:w="820" w:type="dxa"/>
            <w:vAlign w:val="bottom"/>
            <w:tcBorders>
              <w:bottom w:val="single" w:sz="8" w:color="8F8F8F"/>
            </w:tcBorders>
          </w:tcPr>
          <w:p>
            <w:pPr>
              <w:spacing w:after="0"/>
              <w:rPr>
                <w:sz w:val="24"/>
                <w:szCs w:val="24"/>
                <w:color w:val="auto"/>
              </w:rPr>
            </w:pPr>
          </w:p>
        </w:tc>
        <w:tc>
          <w:tcPr>
            <w:tcW w:w="20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(2,507,071)</w:t>
            </w:r>
          </w:p>
        </w:tc>
      </w:tr>
      <w:tr>
        <w:trPr>
          <w:trHeight w:val="340"/>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Total deferred income tax liabilities</w:t>
            </w:r>
          </w:p>
        </w:tc>
        <w:tc>
          <w:tcPr>
            <w:tcW w:w="740" w:type="dxa"/>
            <w:vAlign w:val="bottom"/>
            <w:tcBorders>
              <w:bottom w:val="single" w:sz="8" w:color="8F8F8F"/>
            </w:tcBorders>
          </w:tcPr>
          <w:p>
            <w:pPr>
              <w:jc w:val="right"/>
              <w:ind w:right="550"/>
              <w:spacing w:after="0"/>
              <w:rPr>
                <w:sz w:val="20"/>
                <w:szCs w:val="20"/>
                <w:color w:val="auto"/>
              </w:rPr>
            </w:pPr>
            <w:r>
              <w:rPr>
                <w:rFonts w:ascii="Times New Roman" w:cs="Times New Roman" w:eastAsia="Times New Roman" w:hAnsi="Times New Roman"/>
                <w:sz w:val="18"/>
                <w:szCs w:val="18"/>
                <w:color w:val="262626"/>
                <w:w w:val="88"/>
              </w:rPr>
              <w:t>$</w:t>
            </w:r>
          </w:p>
        </w:tc>
        <w:tc>
          <w:tcPr>
            <w:tcW w:w="21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(62,143,479)</w:t>
            </w:r>
          </w:p>
        </w:tc>
        <w:tc>
          <w:tcPr>
            <w:tcW w:w="820" w:type="dxa"/>
            <w:vAlign w:val="bottom"/>
            <w:tcBorders>
              <w:bottom w:val="single" w:sz="8" w:color="8F8F8F"/>
            </w:tcBorders>
          </w:tcPr>
          <w:p>
            <w:pPr>
              <w:jc w:val="right"/>
              <w:ind w:right="550"/>
              <w:spacing w:after="0"/>
              <w:rPr>
                <w:sz w:val="20"/>
                <w:szCs w:val="20"/>
                <w:color w:val="auto"/>
              </w:rPr>
            </w:pPr>
            <w:r>
              <w:rPr>
                <w:rFonts w:ascii="Times New Roman" w:cs="Times New Roman" w:eastAsia="Times New Roman" w:hAnsi="Times New Roman"/>
                <w:sz w:val="18"/>
                <w:szCs w:val="18"/>
                <w:color w:val="262626"/>
              </w:rPr>
              <w:t>$</w:t>
            </w:r>
          </w:p>
        </w:tc>
        <w:tc>
          <w:tcPr>
            <w:tcW w:w="20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(72,953,574)</w:t>
            </w:r>
          </w:p>
        </w:tc>
      </w:tr>
      <w:tr>
        <w:trPr>
          <w:trHeight w:val="3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262626"/>
              </w:rPr>
              <w:t>Net deferred income taxes</w:t>
            </w:r>
          </w:p>
        </w:tc>
        <w:tc>
          <w:tcPr>
            <w:tcW w:w="740" w:type="dxa"/>
            <w:vAlign w:val="bottom"/>
            <w:tcBorders>
              <w:bottom w:val="single" w:sz="8" w:color="8F8F8F"/>
            </w:tcBorders>
          </w:tcPr>
          <w:p>
            <w:pPr>
              <w:jc w:val="right"/>
              <w:ind w:right="550"/>
              <w:spacing w:after="0"/>
              <w:rPr>
                <w:sz w:val="20"/>
                <w:szCs w:val="20"/>
                <w:color w:val="auto"/>
              </w:rPr>
            </w:pPr>
            <w:r>
              <w:rPr>
                <w:rFonts w:ascii="Times New Roman" w:cs="Times New Roman" w:eastAsia="Times New Roman" w:hAnsi="Times New Roman"/>
                <w:sz w:val="18"/>
                <w:szCs w:val="18"/>
                <w:color w:val="262626"/>
                <w:w w:val="88"/>
              </w:rPr>
              <w:t>$</w:t>
            </w:r>
          </w:p>
        </w:tc>
        <w:tc>
          <w:tcPr>
            <w:tcW w:w="21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25,528,700</w:t>
            </w:r>
          </w:p>
        </w:tc>
        <w:tc>
          <w:tcPr>
            <w:tcW w:w="820" w:type="dxa"/>
            <w:vAlign w:val="bottom"/>
            <w:tcBorders>
              <w:bottom w:val="single" w:sz="8" w:color="8F8F8F"/>
            </w:tcBorders>
          </w:tcPr>
          <w:p>
            <w:pPr>
              <w:jc w:val="right"/>
              <w:ind w:right="550"/>
              <w:spacing w:after="0"/>
              <w:rPr>
                <w:sz w:val="20"/>
                <w:szCs w:val="20"/>
                <w:color w:val="auto"/>
              </w:rPr>
            </w:pPr>
            <w:r>
              <w:rPr>
                <w:rFonts w:ascii="Times New Roman" w:cs="Times New Roman" w:eastAsia="Times New Roman" w:hAnsi="Times New Roman"/>
                <w:sz w:val="18"/>
                <w:szCs w:val="18"/>
                <w:color w:val="262626"/>
              </w:rPr>
              <w:t>$</w:t>
            </w:r>
          </w:p>
        </w:tc>
        <w:tc>
          <w:tcPr>
            <w:tcW w:w="20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4,795,678</w:t>
            </w:r>
          </w:p>
        </w:tc>
      </w:tr>
      <w:tr>
        <w:trPr>
          <w:trHeight w:val="20"/>
        </w:trPr>
        <w:tc>
          <w:tcPr>
            <w:tcW w:w="4680" w:type="dxa"/>
            <w:vAlign w:val="bottom"/>
          </w:tcPr>
          <w:p>
            <w:pPr>
              <w:spacing w:after="0" w:line="20" w:lineRule="exact"/>
              <w:rPr>
                <w:sz w:val="1"/>
                <w:szCs w:val="1"/>
                <w:color w:val="auto"/>
              </w:rPr>
            </w:pPr>
          </w:p>
        </w:tc>
        <w:tc>
          <w:tcPr>
            <w:tcW w:w="740" w:type="dxa"/>
            <w:vAlign w:val="bottom"/>
            <w:tcBorders>
              <w:bottom w:val="single" w:sz="8" w:color="8F8F8F"/>
            </w:tcBorders>
          </w:tcPr>
          <w:p>
            <w:pPr>
              <w:spacing w:after="0" w:line="20" w:lineRule="exact"/>
              <w:rPr>
                <w:sz w:val="1"/>
                <w:szCs w:val="1"/>
                <w:color w:val="auto"/>
              </w:rPr>
            </w:pPr>
          </w:p>
        </w:tc>
        <w:tc>
          <w:tcPr>
            <w:tcW w:w="2140" w:type="dxa"/>
            <w:vAlign w:val="bottom"/>
            <w:tcBorders>
              <w:bottom w:val="single" w:sz="8" w:color="8F8F8F"/>
            </w:tcBorders>
          </w:tcPr>
          <w:p>
            <w:pPr>
              <w:spacing w:after="0" w:line="20" w:lineRule="exact"/>
              <w:rPr>
                <w:sz w:val="1"/>
                <w:szCs w:val="1"/>
                <w:color w:val="auto"/>
              </w:rPr>
            </w:pPr>
          </w:p>
        </w:tc>
        <w:tc>
          <w:tcPr>
            <w:tcW w:w="820" w:type="dxa"/>
            <w:vAlign w:val="bottom"/>
            <w:tcBorders>
              <w:bottom w:val="single" w:sz="8" w:color="8F8F8F"/>
            </w:tcBorders>
          </w:tcPr>
          <w:p>
            <w:pPr>
              <w:spacing w:after="0" w:line="20" w:lineRule="exact"/>
              <w:rPr>
                <w:sz w:val="1"/>
                <w:szCs w:val="1"/>
                <w:color w:val="auto"/>
              </w:rPr>
            </w:pPr>
          </w:p>
        </w:tc>
        <w:tc>
          <w:tcPr>
            <w:tcW w:w="2060" w:type="dxa"/>
            <w:vAlign w:val="bottom"/>
            <w:tcBorders>
              <w:bottom w:val="single" w:sz="8" w:color="8F8F8F"/>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75</w:t>
      </w:r>
    </w:p>
    <w:p>
      <w:pPr>
        <w:sectPr>
          <w:pgSz w:w="12240" w:h="15840" w:orient="portrait"/>
          <w:cols w:equalWidth="0" w:num="1">
            <w:col w:w="10760"/>
          </w:cols>
          <w:pgMar w:left="900" w:top="852" w:right="580" w:bottom="0" w:gutter="0" w:footer="0" w:header="0"/>
          <w:type w:val="continuous"/>
        </w:sectPr>
      </w:pPr>
    </w:p>
    <w:bookmarkStart w:id="75" w:name="page76"/>
    <w:bookmarkEnd w:id="75"/>
    <w:p>
      <w:pPr>
        <w:ind w:left="320" w:right="140"/>
        <w:spacing w:after="0" w:line="429" w:lineRule="auto"/>
        <w:rPr>
          <w:sz w:val="20"/>
          <w:szCs w:val="20"/>
          <w:color w:val="auto"/>
        </w:rPr>
      </w:pPr>
      <w:r>
        <w:rPr>
          <w:rFonts w:ascii="Times New Roman" w:cs="Times New Roman" w:eastAsia="Times New Roman" w:hAnsi="Times New Roman"/>
          <w:sz w:val="18"/>
          <w:szCs w:val="18"/>
          <w:color w:val="262626"/>
        </w:rPr>
        <w:t>Net operating loss carryforwards with no expiration totaling $7.7 million are available to reduce future taxable earnings of certain domestic and foreign subsidiaries.</w:t>
      </w:r>
    </w:p>
    <w:p>
      <w:pPr>
        <w:ind w:left="320"/>
        <w:spacing w:after="0"/>
        <w:rPr>
          <w:sz w:val="20"/>
          <w:szCs w:val="20"/>
          <w:color w:val="auto"/>
        </w:rPr>
      </w:pPr>
      <w:r>
        <w:rPr>
          <w:rFonts w:ascii="Times New Roman" w:cs="Times New Roman" w:eastAsia="Times New Roman" w:hAnsi="Times New Roman"/>
          <w:sz w:val="18"/>
          <w:szCs w:val="18"/>
          <w:color w:val="262626"/>
        </w:rPr>
        <w:t>Income taxes paid in cash were approximately $35.2 million, $105.8 million and $61.9 million in 2022, 2021 and 2020, respectively.</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62626"/>
        </w:rPr>
        <w:t>A reconciliation of the beginning and ending amount of unrecognized tax benefits is as follows:</w:t>
      </w:r>
    </w:p>
    <w:p>
      <w:pPr>
        <w:spacing w:after="0" w:line="301" w:lineRule="exact"/>
        <w:rPr>
          <w:sz w:val="20"/>
          <w:szCs w:val="20"/>
          <w:color w:val="auto"/>
        </w:rPr>
      </w:pPr>
    </w:p>
    <w:tbl>
      <w:tblPr>
        <w:tblLayout w:type="fixed"/>
        <w:tblInd w:w="320" w:type="dxa"/>
        <w:tblCellMar>
          <w:top w:w="0" w:type="dxa"/>
          <w:left w:w="0" w:type="dxa"/>
          <w:bottom w:w="0" w:type="dxa"/>
          <w:right w:w="0" w:type="dxa"/>
        </w:tblCellMar>
      </w:tblPr>
      <w:tr>
        <w:trPr>
          <w:trHeight w:val="304"/>
        </w:trPr>
        <w:tc>
          <w:tcPr>
            <w:tcW w:w="4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2022</w:t>
            </w:r>
          </w:p>
        </w:tc>
        <w:tc>
          <w:tcPr>
            <w:tcW w:w="66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2021</w:t>
            </w:r>
          </w:p>
        </w:tc>
        <w:tc>
          <w:tcPr>
            <w:tcW w:w="6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262626"/>
              </w:rPr>
              <w:t>2020</w:t>
            </w:r>
          </w:p>
        </w:tc>
        <w:tc>
          <w:tcPr>
            <w:tcW w:w="0" w:type="dxa"/>
            <w:vAlign w:val="bottom"/>
          </w:tcPr>
          <w:p>
            <w:pPr>
              <w:spacing w:after="0"/>
              <w:rPr>
                <w:sz w:val="1"/>
                <w:szCs w:val="1"/>
                <w:color w:val="auto"/>
              </w:rPr>
            </w:pPr>
          </w:p>
        </w:tc>
      </w:tr>
      <w:tr>
        <w:trPr>
          <w:trHeight w:val="343"/>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Beginning of year</w:t>
            </w:r>
          </w:p>
        </w:tc>
        <w:tc>
          <w:tcPr>
            <w:tcW w:w="520" w:type="dxa"/>
            <w:vAlign w:val="bottom"/>
            <w:tcBorders>
              <w:bottom w:val="single" w:sz="8" w:color="838383"/>
            </w:tcBorders>
          </w:tcPr>
          <w:p>
            <w:pPr>
              <w:jc w:val="right"/>
              <w:ind w:right="330"/>
              <w:spacing w:after="0"/>
              <w:rPr>
                <w:sz w:val="20"/>
                <w:szCs w:val="20"/>
                <w:color w:val="auto"/>
              </w:rPr>
            </w:pPr>
            <w:r>
              <w:rPr>
                <w:rFonts w:ascii="Times New Roman" w:cs="Times New Roman" w:eastAsia="Times New Roman" w:hAnsi="Times New Roman"/>
                <w:sz w:val="18"/>
                <w:szCs w:val="18"/>
                <w:color w:val="262626"/>
                <w:w w:val="88"/>
              </w:rPr>
              <w:t>$</w:t>
            </w:r>
          </w:p>
        </w:tc>
        <w:tc>
          <w:tcPr>
            <w:tcW w:w="13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5,275,000</w:t>
            </w:r>
          </w:p>
        </w:tc>
        <w:tc>
          <w:tcPr>
            <w:tcW w:w="660" w:type="dxa"/>
            <w:vAlign w:val="bottom"/>
            <w:tcBorders>
              <w:bottom w:val="single" w:sz="8" w:color="838383"/>
            </w:tcBorders>
          </w:tcPr>
          <w:p>
            <w:pPr>
              <w:jc w:val="right"/>
              <w:ind w:right="390"/>
              <w:spacing w:after="0"/>
              <w:rPr>
                <w:sz w:val="20"/>
                <w:szCs w:val="20"/>
                <w:color w:val="auto"/>
              </w:rPr>
            </w:pPr>
            <w:r>
              <w:rPr>
                <w:rFonts w:ascii="Times New Roman" w:cs="Times New Roman" w:eastAsia="Times New Roman" w:hAnsi="Times New Roman"/>
                <w:sz w:val="18"/>
                <w:szCs w:val="18"/>
                <w:color w:val="262626"/>
              </w:rPr>
              <w:t>$</w:t>
            </w:r>
          </w:p>
        </w:tc>
        <w:tc>
          <w:tcPr>
            <w:tcW w:w="13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4,864,000</w:t>
            </w:r>
          </w:p>
        </w:tc>
        <w:tc>
          <w:tcPr>
            <w:tcW w:w="600" w:type="dxa"/>
            <w:vAlign w:val="bottom"/>
            <w:tcBorders>
              <w:bottom w:val="single" w:sz="8" w:color="838383"/>
            </w:tcBorders>
          </w:tcPr>
          <w:p>
            <w:pPr>
              <w:jc w:val="right"/>
              <w:ind w:right="330"/>
              <w:spacing w:after="0"/>
              <w:rPr>
                <w:sz w:val="20"/>
                <w:szCs w:val="20"/>
                <w:color w:val="auto"/>
              </w:rPr>
            </w:pPr>
            <w:r>
              <w:rPr>
                <w:rFonts w:ascii="Times New Roman" w:cs="Times New Roman" w:eastAsia="Times New Roman" w:hAnsi="Times New Roman"/>
                <w:sz w:val="18"/>
                <w:szCs w:val="18"/>
                <w:color w:val="262626"/>
              </w:rPr>
              <w:t>$</w:t>
            </w:r>
          </w:p>
        </w:tc>
        <w:tc>
          <w:tcPr>
            <w:tcW w:w="12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6,392,000</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Additions based on tax positions related to the current year</w:t>
            </w:r>
          </w:p>
        </w:tc>
        <w:tc>
          <w:tcPr>
            <w:tcW w:w="52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951,000</w:t>
            </w:r>
          </w:p>
        </w:tc>
        <w:tc>
          <w:tcPr>
            <w:tcW w:w="660" w:type="dxa"/>
            <w:vAlign w:val="bottom"/>
            <w:tcBorders>
              <w:bottom w:val="single" w:sz="8" w:color="838383"/>
            </w:tcBorders>
          </w:tcPr>
          <w:p>
            <w:pPr>
              <w:spacing w:after="0"/>
              <w:rPr>
                <w:sz w:val="24"/>
                <w:szCs w:val="24"/>
                <w:color w:val="auto"/>
              </w:rPr>
            </w:pPr>
          </w:p>
        </w:tc>
        <w:tc>
          <w:tcPr>
            <w:tcW w:w="13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1,023,000</w:t>
            </w:r>
          </w:p>
        </w:tc>
        <w:tc>
          <w:tcPr>
            <w:tcW w:w="600" w:type="dxa"/>
            <w:vAlign w:val="bottom"/>
            <w:tcBorders>
              <w:bottom w:val="single" w:sz="8" w:color="838383"/>
            </w:tcBorders>
          </w:tcPr>
          <w:p>
            <w:pPr>
              <w:spacing w:after="0"/>
              <w:rPr>
                <w:sz w:val="24"/>
                <w:szCs w:val="24"/>
                <w:color w:val="auto"/>
              </w:rPr>
            </w:pPr>
          </w:p>
        </w:tc>
        <w:tc>
          <w:tcPr>
            <w:tcW w:w="12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918,000</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Additions for tax positions in prior years</w:t>
            </w:r>
          </w:p>
        </w:tc>
        <w:tc>
          <w:tcPr>
            <w:tcW w:w="52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353,000</w:t>
            </w:r>
          </w:p>
        </w:tc>
        <w:tc>
          <w:tcPr>
            <w:tcW w:w="660" w:type="dxa"/>
            <w:vAlign w:val="bottom"/>
            <w:tcBorders>
              <w:bottom w:val="single" w:sz="8" w:color="838383"/>
            </w:tcBorders>
          </w:tcPr>
          <w:p>
            <w:pPr>
              <w:spacing w:after="0"/>
              <w:rPr>
                <w:sz w:val="24"/>
                <w:szCs w:val="24"/>
                <w:color w:val="auto"/>
              </w:rPr>
            </w:pPr>
          </w:p>
        </w:tc>
        <w:tc>
          <w:tcPr>
            <w:tcW w:w="13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364,000</w:t>
            </w:r>
          </w:p>
        </w:tc>
        <w:tc>
          <w:tcPr>
            <w:tcW w:w="600" w:type="dxa"/>
            <w:vAlign w:val="bottom"/>
            <w:tcBorders>
              <w:bottom w:val="single" w:sz="8" w:color="838383"/>
            </w:tcBorders>
          </w:tcPr>
          <w:p>
            <w:pPr>
              <w:spacing w:after="0"/>
              <w:rPr>
                <w:sz w:val="24"/>
                <w:szCs w:val="24"/>
                <w:color w:val="auto"/>
              </w:rPr>
            </w:pPr>
          </w:p>
        </w:tc>
        <w:tc>
          <w:tcPr>
            <w:tcW w:w="12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770,000</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Reductions for tax positions in prior years</w:t>
            </w:r>
          </w:p>
        </w:tc>
        <w:tc>
          <w:tcPr>
            <w:tcW w:w="52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(26,000)</w:t>
            </w:r>
          </w:p>
        </w:tc>
        <w:tc>
          <w:tcPr>
            <w:tcW w:w="660" w:type="dxa"/>
            <w:vAlign w:val="bottom"/>
            <w:tcBorders>
              <w:bottom w:val="single" w:sz="8" w:color="838383"/>
            </w:tcBorders>
          </w:tcPr>
          <w:p>
            <w:pPr>
              <w:spacing w:after="0"/>
              <w:rPr>
                <w:sz w:val="24"/>
                <w:szCs w:val="24"/>
                <w:color w:val="auto"/>
              </w:rPr>
            </w:pPr>
          </w:p>
        </w:tc>
        <w:tc>
          <w:tcPr>
            <w:tcW w:w="13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(51,000)</w:t>
            </w:r>
          </w:p>
        </w:tc>
        <w:tc>
          <w:tcPr>
            <w:tcW w:w="600" w:type="dxa"/>
            <w:vAlign w:val="bottom"/>
            <w:tcBorders>
              <w:bottom w:val="single" w:sz="8" w:color="838383"/>
            </w:tcBorders>
          </w:tcPr>
          <w:p>
            <w:pPr>
              <w:spacing w:after="0"/>
              <w:rPr>
                <w:sz w:val="24"/>
                <w:szCs w:val="24"/>
                <w:color w:val="auto"/>
              </w:rPr>
            </w:pPr>
          </w:p>
        </w:tc>
        <w:tc>
          <w:tcPr>
            <w:tcW w:w="12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(2,907,000)</w:t>
            </w:r>
          </w:p>
        </w:tc>
        <w:tc>
          <w:tcPr>
            <w:tcW w:w="0" w:type="dxa"/>
            <w:vAlign w:val="bottom"/>
          </w:tcPr>
          <w:p>
            <w:pPr>
              <w:spacing w:after="0"/>
              <w:rPr>
                <w:sz w:val="1"/>
                <w:szCs w:val="1"/>
                <w:color w:val="auto"/>
              </w:rPr>
            </w:pPr>
          </w:p>
        </w:tc>
      </w:tr>
      <w:tr>
        <w:trPr>
          <w:trHeight w:val="261"/>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262626"/>
              </w:rPr>
              <w:t>Reductions as a result of a lapse of the applicable statute of</w:t>
            </w:r>
          </w:p>
        </w:tc>
        <w:tc>
          <w:tcPr>
            <w:tcW w:w="520" w:type="dxa"/>
            <w:vAlign w:val="bottom"/>
          </w:tcPr>
          <w:p>
            <w:pPr>
              <w:spacing w:after="0"/>
              <w:rPr>
                <w:sz w:val="22"/>
                <w:szCs w:val="22"/>
                <w:color w:val="auto"/>
              </w:rPr>
            </w:pPr>
          </w:p>
        </w:tc>
        <w:tc>
          <w:tcPr>
            <w:tcW w:w="13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262626"/>
              </w:rPr>
              <w:t>(1,923,000)</w:t>
            </w:r>
          </w:p>
        </w:tc>
        <w:tc>
          <w:tcPr>
            <w:tcW w:w="660" w:type="dxa"/>
            <w:vAlign w:val="bottom"/>
          </w:tcPr>
          <w:p>
            <w:pPr>
              <w:spacing w:after="0"/>
              <w:rPr>
                <w:sz w:val="22"/>
                <w:szCs w:val="22"/>
                <w:color w:val="auto"/>
              </w:rPr>
            </w:pPr>
          </w:p>
        </w:tc>
        <w:tc>
          <w:tcPr>
            <w:tcW w:w="1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262626"/>
              </w:rPr>
              <w:t>(925,000)</w:t>
            </w:r>
          </w:p>
        </w:tc>
        <w:tc>
          <w:tcPr>
            <w:tcW w:w="600" w:type="dxa"/>
            <w:vAlign w:val="bottom"/>
          </w:tcPr>
          <w:p>
            <w:pPr>
              <w:spacing w:after="0"/>
              <w:rPr>
                <w:sz w:val="22"/>
                <w:szCs w:val="2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(309,000)</w:t>
            </w:r>
          </w:p>
        </w:tc>
        <w:tc>
          <w:tcPr>
            <w:tcW w:w="0" w:type="dxa"/>
            <w:vAlign w:val="bottom"/>
          </w:tcPr>
          <w:p>
            <w:pPr>
              <w:spacing w:after="0"/>
              <w:rPr>
                <w:sz w:val="1"/>
                <w:szCs w:val="1"/>
                <w:color w:val="auto"/>
              </w:rPr>
            </w:pPr>
          </w:p>
        </w:tc>
      </w:tr>
      <w:tr>
        <w:trPr>
          <w:trHeight w:val="18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262626"/>
              </w:rPr>
              <w:t>limitations</w:t>
            </w:r>
          </w:p>
        </w:tc>
        <w:tc>
          <w:tcPr>
            <w:tcW w:w="5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680" w:type="dxa"/>
            <w:vAlign w:val="bottom"/>
            <w:tcBorders>
              <w:bottom w:val="single" w:sz="8" w:color="838383"/>
            </w:tcBorders>
            <w:vMerge w:val="continue"/>
          </w:tcPr>
          <w:p>
            <w:pPr>
              <w:spacing w:after="0"/>
              <w:rPr>
                <w:sz w:val="8"/>
                <w:szCs w:val="8"/>
                <w:color w:val="auto"/>
              </w:rPr>
            </w:pPr>
          </w:p>
        </w:tc>
        <w:tc>
          <w:tcPr>
            <w:tcW w:w="520" w:type="dxa"/>
            <w:vAlign w:val="bottom"/>
            <w:tcBorders>
              <w:bottom w:val="single" w:sz="8" w:color="8F8F8F"/>
            </w:tcBorders>
          </w:tcPr>
          <w:p>
            <w:pPr>
              <w:spacing w:after="0"/>
              <w:rPr>
                <w:sz w:val="8"/>
                <w:szCs w:val="8"/>
                <w:color w:val="auto"/>
              </w:rPr>
            </w:pPr>
          </w:p>
        </w:tc>
        <w:tc>
          <w:tcPr>
            <w:tcW w:w="1380" w:type="dxa"/>
            <w:vAlign w:val="bottom"/>
            <w:tcBorders>
              <w:bottom w:val="single" w:sz="8" w:color="8F8F8F"/>
            </w:tcBorders>
          </w:tcPr>
          <w:p>
            <w:pPr>
              <w:spacing w:after="0"/>
              <w:rPr>
                <w:sz w:val="8"/>
                <w:szCs w:val="8"/>
                <w:color w:val="auto"/>
              </w:rPr>
            </w:pPr>
          </w:p>
        </w:tc>
        <w:tc>
          <w:tcPr>
            <w:tcW w:w="660" w:type="dxa"/>
            <w:vAlign w:val="bottom"/>
            <w:tcBorders>
              <w:bottom w:val="single" w:sz="8" w:color="8F8F8F"/>
            </w:tcBorders>
          </w:tcPr>
          <w:p>
            <w:pPr>
              <w:spacing w:after="0"/>
              <w:rPr>
                <w:sz w:val="8"/>
                <w:szCs w:val="8"/>
                <w:color w:val="auto"/>
              </w:rPr>
            </w:pPr>
          </w:p>
        </w:tc>
        <w:tc>
          <w:tcPr>
            <w:tcW w:w="1320" w:type="dxa"/>
            <w:vAlign w:val="bottom"/>
            <w:tcBorders>
              <w:bottom w:val="single" w:sz="8" w:color="8F8F8F"/>
            </w:tcBorders>
          </w:tcPr>
          <w:p>
            <w:pPr>
              <w:spacing w:after="0"/>
              <w:rPr>
                <w:sz w:val="8"/>
                <w:szCs w:val="8"/>
                <w:color w:val="auto"/>
              </w:rPr>
            </w:pPr>
          </w:p>
        </w:tc>
        <w:tc>
          <w:tcPr>
            <w:tcW w:w="600" w:type="dxa"/>
            <w:vAlign w:val="bottom"/>
            <w:tcBorders>
              <w:bottom w:val="single" w:sz="8" w:color="8F8F8F"/>
            </w:tcBorders>
          </w:tcPr>
          <w:p>
            <w:pPr>
              <w:spacing w:after="0"/>
              <w:rPr>
                <w:sz w:val="8"/>
                <w:szCs w:val="8"/>
                <w:color w:val="auto"/>
              </w:rPr>
            </w:pPr>
          </w:p>
        </w:tc>
        <w:tc>
          <w:tcPr>
            <w:tcW w:w="1280" w:type="dxa"/>
            <w:vAlign w:val="bottom"/>
            <w:tcBorders>
              <w:bottom w:val="single" w:sz="8" w:color="8F8F8F"/>
            </w:tcBorders>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262626"/>
              </w:rPr>
              <w:t>End of year</w:t>
            </w:r>
          </w:p>
        </w:tc>
        <w:tc>
          <w:tcPr>
            <w:tcW w:w="520" w:type="dxa"/>
            <w:vAlign w:val="bottom"/>
            <w:tcBorders>
              <w:bottom w:val="single" w:sz="8" w:color="8F8F8F"/>
            </w:tcBorders>
          </w:tcPr>
          <w:p>
            <w:pPr>
              <w:jc w:val="right"/>
              <w:ind w:right="330"/>
              <w:spacing w:after="0"/>
              <w:rPr>
                <w:sz w:val="20"/>
                <w:szCs w:val="20"/>
                <w:color w:val="auto"/>
              </w:rPr>
            </w:pPr>
            <w:r>
              <w:rPr>
                <w:rFonts w:ascii="Times New Roman" w:cs="Times New Roman" w:eastAsia="Times New Roman" w:hAnsi="Times New Roman"/>
                <w:sz w:val="18"/>
                <w:szCs w:val="18"/>
                <w:color w:val="262626"/>
                <w:w w:val="88"/>
              </w:rPr>
              <w:t>$</w:t>
            </w:r>
          </w:p>
        </w:tc>
        <w:tc>
          <w:tcPr>
            <w:tcW w:w="13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4,630,000</w:t>
            </w:r>
          </w:p>
        </w:tc>
        <w:tc>
          <w:tcPr>
            <w:tcW w:w="660" w:type="dxa"/>
            <w:vAlign w:val="bottom"/>
            <w:tcBorders>
              <w:bottom w:val="single" w:sz="8" w:color="8F8F8F"/>
            </w:tcBorders>
          </w:tcPr>
          <w:p>
            <w:pPr>
              <w:jc w:val="right"/>
              <w:ind w:right="390"/>
              <w:spacing w:after="0"/>
              <w:rPr>
                <w:sz w:val="20"/>
                <w:szCs w:val="20"/>
                <w:color w:val="auto"/>
              </w:rPr>
            </w:pPr>
            <w:r>
              <w:rPr>
                <w:rFonts w:ascii="Times New Roman" w:cs="Times New Roman" w:eastAsia="Times New Roman" w:hAnsi="Times New Roman"/>
                <w:sz w:val="18"/>
                <w:szCs w:val="18"/>
                <w:color w:val="262626"/>
              </w:rPr>
              <w:t>$</w:t>
            </w:r>
          </w:p>
        </w:tc>
        <w:tc>
          <w:tcPr>
            <w:tcW w:w="132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5,275,000</w:t>
            </w:r>
          </w:p>
        </w:tc>
        <w:tc>
          <w:tcPr>
            <w:tcW w:w="600" w:type="dxa"/>
            <w:vAlign w:val="bottom"/>
            <w:tcBorders>
              <w:bottom w:val="single" w:sz="8" w:color="8F8F8F"/>
            </w:tcBorders>
          </w:tcPr>
          <w:p>
            <w:pPr>
              <w:jc w:val="right"/>
              <w:ind w:right="330"/>
              <w:spacing w:after="0"/>
              <w:rPr>
                <w:sz w:val="20"/>
                <w:szCs w:val="20"/>
                <w:color w:val="auto"/>
              </w:rPr>
            </w:pPr>
            <w:r>
              <w:rPr>
                <w:rFonts w:ascii="Times New Roman" w:cs="Times New Roman" w:eastAsia="Times New Roman" w:hAnsi="Times New Roman"/>
                <w:sz w:val="18"/>
                <w:szCs w:val="18"/>
                <w:color w:val="262626"/>
              </w:rPr>
              <w:t>$</w:t>
            </w:r>
          </w:p>
        </w:tc>
        <w:tc>
          <w:tcPr>
            <w:tcW w:w="12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4,864,000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520" w:type="dxa"/>
            <w:vAlign w:val="bottom"/>
            <w:tcBorders>
              <w:bottom w:val="single" w:sz="8" w:color="8F8F8F"/>
            </w:tcBorders>
          </w:tcPr>
          <w:p>
            <w:pPr>
              <w:spacing w:after="0" w:line="20" w:lineRule="exact"/>
              <w:rPr>
                <w:sz w:val="1"/>
                <w:szCs w:val="1"/>
                <w:color w:val="auto"/>
              </w:rPr>
            </w:pPr>
          </w:p>
        </w:tc>
        <w:tc>
          <w:tcPr>
            <w:tcW w:w="1380" w:type="dxa"/>
            <w:vAlign w:val="bottom"/>
            <w:tcBorders>
              <w:bottom w:val="single" w:sz="8" w:color="8F8F8F"/>
            </w:tcBorders>
          </w:tcPr>
          <w:p>
            <w:pPr>
              <w:spacing w:after="0" w:line="20" w:lineRule="exact"/>
              <w:rPr>
                <w:sz w:val="1"/>
                <w:szCs w:val="1"/>
                <w:color w:val="auto"/>
              </w:rPr>
            </w:pPr>
          </w:p>
        </w:tc>
        <w:tc>
          <w:tcPr>
            <w:tcW w:w="660" w:type="dxa"/>
            <w:vAlign w:val="bottom"/>
            <w:tcBorders>
              <w:bottom w:val="single" w:sz="8" w:color="8F8F8F"/>
            </w:tcBorders>
          </w:tcPr>
          <w:p>
            <w:pPr>
              <w:spacing w:after="0" w:line="20" w:lineRule="exact"/>
              <w:rPr>
                <w:sz w:val="1"/>
                <w:szCs w:val="1"/>
                <w:color w:val="auto"/>
              </w:rPr>
            </w:pPr>
          </w:p>
        </w:tc>
        <w:tc>
          <w:tcPr>
            <w:tcW w:w="1320" w:type="dxa"/>
            <w:vAlign w:val="bottom"/>
            <w:tcBorders>
              <w:bottom w:val="single" w:sz="8" w:color="8F8F8F"/>
            </w:tcBorders>
          </w:tcPr>
          <w:p>
            <w:pPr>
              <w:spacing w:after="0" w:line="20" w:lineRule="exact"/>
              <w:rPr>
                <w:sz w:val="1"/>
                <w:szCs w:val="1"/>
                <w:color w:val="auto"/>
              </w:rPr>
            </w:pPr>
          </w:p>
        </w:tc>
        <w:tc>
          <w:tcPr>
            <w:tcW w:w="600" w:type="dxa"/>
            <w:vAlign w:val="bottom"/>
            <w:tcBorders>
              <w:bottom w:val="single" w:sz="8" w:color="8F8F8F"/>
            </w:tcBorders>
          </w:tcPr>
          <w:p>
            <w:pPr>
              <w:spacing w:after="0" w:line="20" w:lineRule="exact"/>
              <w:rPr>
                <w:sz w:val="1"/>
                <w:szCs w:val="1"/>
                <w:color w:val="auto"/>
              </w:rPr>
            </w:pPr>
          </w:p>
        </w:tc>
        <w:tc>
          <w:tcPr>
            <w:tcW w:w="1280" w:type="dxa"/>
            <w:vAlign w:val="bottom"/>
            <w:tcBorders>
              <w:bottom w:val="single" w:sz="8" w:color="8F8F8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62626"/>
        </w:rPr>
        <w:t>If recognized, unrecognized tax benefits would affect the effective tax rate.</w:t>
      </w:r>
    </w:p>
    <w:p>
      <w:pPr>
        <w:spacing w:after="0" w:line="253" w:lineRule="exact"/>
        <w:rPr>
          <w:sz w:val="20"/>
          <w:szCs w:val="20"/>
          <w:color w:val="auto"/>
        </w:rPr>
      </w:pPr>
    </w:p>
    <w:p>
      <w:pPr>
        <w:jc w:val="both"/>
        <w:ind w:left="320" w:right="80"/>
        <w:spacing w:after="0" w:line="381" w:lineRule="auto"/>
        <w:rPr>
          <w:sz w:val="20"/>
          <w:szCs w:val="20"/>
          <w:color w:val="auto"/>
        </w:rPr>
      </w:pPr>
      <w:r>
        <w:rPr>
          <w:rFonts w:ascii="Times New Roman" w:cs="Times New Roman" w:eastAsia="Times New Roman" w:hAnsi="Times New Roman"/>
          <w:sz w:val="18"/>
          <w:szCs w:val="18"/>
          <w:color w:val="262626"/>
        </w:rPr>
        <w:t>The Company recognizes interest and penalties related to unrecognized tax benefits through the provision for income taxes. The Company has accrued approximately $379,000, $605,000, and $577,000 for interest as of December 31, 2022, 2021, and 2020, respectively. Interest expensed during 2022, 2021 and 2020 was not considered significant.</w:t>
      </w:r>
    </w:p>
    <w:p>
      <w:pPr>
        <w:spacing w:after="0" w:line="34" w:lineRule="exact"/>
        <w:rPr>
          <w:sz w:val="20"/>
          <w:szCs w:val="20"/>
          <w:color w:val="auto"/>
        </w:rPr>
      </w:pPr>
    </w:p>
    <w:p>
      <w:pPr>
        <w:ind w:left="320" w:right="40"/>
        <w:spacing w:after="0" w:line="381" w:lineRule="auto"/>
        <w:rPr>
          <w:sz w:val="20"/>
          <w:szCs w:val="20"/>
          <w:color w:val="auto"/>
        </w:rPr>
      </w:pPr>
      <w:r>
        <w:rPr>
          <w:rFonts w:ascii="Times New Roman" w:cs="Times New Roman" w:eastAsia="Times New Roman" w:hAnsi="Times New Roman"/>
          <w:sz w:val="18"/>
          <w:szCs w:val="18"/>
          <w:color w:val="262626"/>
        </w:rPr>
        <w:t>The Company is also subject to periodic and routine audits in both domestic and foreign tax jurisdictions. It is reasonably possible that the amounts of unrecognized tax benefits could change as a result of an audit, new positions taken on income tax returns, settlement of tax positions and the closing of statute of limitations. It is not expected that any change will be material to the Company’s consolidated financial statements.</w:t>
      </w:r>
    </w:p>
    <w:p>
      <w:pPr>
        <w:spacing w:after="0" w:line="34" w:lineRule="exact"/>
        <w:rPr>
          <w:sz w:val="20"/>
          <w:szCs w:val="20"/>
          <w:color w:val="auto"/>
        </w:rPr>
      </w:pPr>
    </w:p>
    <w:p>
      <w:pPr>
        <w:ind w:left="320" w:right="360"/>
        <w:spacing w:after="0" w:line="437" w:lineRule="auto"/>
        <w:rPr>
          <w:sz w:val="20"/>
          <w:szCs w:val="20"/>
          <w:color w:val="auto"/>
        </w:rPr>
      </w:pPr>
      <w:r>
        <w:rPr>
          <w:rFonts w:ascii="Times New Roman" w:cs="Times New Roman" w:eastAsia="Times New Roman" w:hAnsi="Times New Roman"/>
          <w:sz w:val="18"/>
          <w:szCs w:val="18"/>
          <w:color w:val="262626"/>
        </w:rPr>
        <w:t>For the majority of tax jurisdictions, the Company is no longer subject to U.S. federal, state and local, or non-U.S. income tax examinations by tax authorities for years before 2018.</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838383"/>
        </w:rPr>
        <w:t>( 4 )  E M P L O Y E E  B E N E F I T  P L A N S</w:t>
      </w:r>
    </w:p>
    <w:p>
      <w:pPr>
        <w:spacing w:after="0" w:line="176" w:lineRule="exact"/>
        <w:rPr>
          <w:sz w:val="20"/>
          <w:szCs w:val="20"/>
          <w:color w:val="auto"/>
        </w:rPr>
      </w:pPr>
    </w:p>
    <w:p>
      <w:pPr>
        <w:ind w:left="320" w:right="80"/>
        <w:spacing w:after="0" w:line="352" w:lineRule="auto"/>
        <w:rPr>
          <w:sz w:val="20"/>
          <w:szCs w:val="20"/>
          <w:color w:val="auto"/>
        </w:rPr>
      </w:pPr>
      <w:r>
        <w:rPr>
          <w:rFonts w:ascii="Times New Roman" w:cs="Times New Roman" w:eastAsia="Times New Roman" w:hAnsi="Times New Roman"/>
          <w:sz w:val="18"/>
          <w:szCs w:val="18"/>
          <w:color w:val="262626"/>
        </w:rPr>
        <w:t>The Company has a 401(k) retirement savings plan in which substantially all of its employees may participate. The plan includes a provision for the Company to match a percentage of the employee’s contributions at a rate determined by the Company’s Board of Directors. In 2022, 2021 and 2020 the Company’s contributions were approximately $12.9 million, $9.0 million and $8.9 million, respectively. The increase in the Company’s matching contributions in 2022 was due to changes, approved by the Company’s Board of Directors, to the rate of Company match as well as increased participation in the plan. The increase in 2021 was due to increased employee participation in the plan.</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62626"/>
        </w:rPr>
        <w:t>The Company does not provide health care benefits to retired employees.</w:t>
      </w:r>
    </w:p>
    <w:p>
      <w:pPr>
        <w:spacing w:after="0" w:line="253" w:lineRule="exact"/>
        <w:rPr>
          <w:sz w:val="20"/>
          <w:szCs w:val="20"/>
          <w:color w:val="auto"/>
        </w:rPr>
      </w:pPr>
    </w:p>
    <w:p>
      <w:pPr>
        <w:ind w:left="320" w:right="120"/>
        <w:spacing w:after="0" w:line="339" w:lineRule="auto"/>
        <w:rPr>
          <w:sz w:val="20"/>
          <w:szCs w:val="20"/>
          <w:color w:val="auto"/>
        </w:rPr>
      </w:pPr>
      <w:r>
        <w:rPr>
          <w:rFonts w:ascii="Times New Roman" w:cs="Times New Roman" w:eastAsia="Times New Roman" w:hAnsi="Times New Roman"/>
          <w:sz w:val="18"/>
          <w:szCs w:val="18"/>
          <w:color w:val="262626"/>
        </w:rPr>
        <w:t>The Gentex Corporation Non-Qualified Deferred Compensation Plan (the “Deferred Compensation Plan”) is intended to enhance retirement savings among a select group of management or highly compensated employees who contribute significantly to the success of the Company.</w:t>
      </w:r>
    </w:p>
    <w:p>
      <w:pPr>
        <w:spacing w:after="0" w:line="2" w:lineRule="exact"/>
        <w:rPr>
          <w:sz w:val="20"/>
          <w:szCs w:val="20"/>
          <w:color w:val="auto"/>
        </w:rPr>
      </w:pPr>
    </w:p>
    <w:p>
      <w:pPr>
        <w:ind w:left="320" w:right="180"/>
        <w:spacing w:after="0" w:line="353" w:lineRule="auto"/>
        <w:rPr>
          <w:sz w:val="20"/>
          <w:szCs w:val="20"/>
          <w:color w:val="auto"/>
        </w:rPr>
      </w:pPr>
      <w:r>
        <w:rPr>
          <w:rFonts w:ascii="Times New Roman" w:cs="Times New Roman" w:eastAsia="Times New Roman" w:hAnsi="Times New Roman"/>
          <w:sz w:val="18"/>
          <w:szCs w:val="18"/>
          <w:color w:val="262626"/>
        </w:rPr>
        <w:t>It is also intended to constitute an unfunded non-qualified deferred compensation plan described in Sections 201(2), 301(a)(3), and 401(a)(1) of the Employee Retirement Income Security Act of 1974, as amended (“ERISA”). Only select management and highly compensated employees, including executive officers, are eligible to participate. The Deferred Compensation Plan is administered by a committee who shall approve designation of any participants and may also remove participants.</w:t>
      </w:r>
    </w:p>
    <w:p>
      <w:pPr>
        <w:sectPr>
          <w:pgSz w:w="12240" w:h="15840" w:orient="portrait"/>
          <w:cols w:equalWidth="0" w:num="1">
            <w:col w:w="10760"/>
          </w:cols>
          <w:pgMar w:left="580" w:top="85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76</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60"/>
          </w:cols>
          <w:pgMar w:left="580" w:top="852" w:right="900" w:bottom="0" w:gutter="0" w:footer="0" w:header="0"/>
          <w:type w:val="continuous"/>
        </w:sectPr>
      </w:pPr>
    </w:p>
    <w:bookmarkStart w:id="76" w:name="page77"/>
    <w:bookmarkEnd w:id="76"/>
    <w:p>
      <w:pPr>
        <w:ind w:right="460"/>
        <w:spacing w:after="0" w:line="370" w:lineRule="auto"/>
        <w:rPr>
          <w:sz w:val="20"/>
          <w:szCs w:val="20"/>
          <w:color w:val="auto"/>
        </w:rPr>
      </w:pPr>
      <w:r>
        <w:rPr>
          <w:rFonts w:ascii="Times New Roman" w:cs="Times New Roman" w:eastAsia="Times New Roman" w:hAnsi="Times New Roman"/>
          <w:sz w:val="17"/>
          <w:szCs w:val="17"/>
          <w:color w:val="262626"/>
        </w:rPr>
        <w:t>Participants may elect, on a pre-tax basis, to defer receipt of compensation by making an election in accordance with the terms of the Deferred Compensation Plan. Participants are immediately vested in their own deferrals and related earnings. The Company may, but is not required, to match participant deferrals. Participants are generally vested in any such matching contributions 50% after two years, but before three years, of service and 100% after three years of service. A participant’s vested credit balance under the Deferred Compensation Plan will generally be paid on the earliest to occur of: a separation from service; a fixed date or event; a change of control; or a plan termination. Subject to applicable rules, a participant can elect whether to receive his or her vested credit balance in a lump sum on the relevant payment date or in installments thereafter.</w:t>
      </w:r>
    </w:p>
    <w:p>
      <w:pPr>
        <w:spacing w:after="0" w:line="52" w:lineRule="exact"/>
        <w:rPr>
          <w:sz w:val="20"/>
          <w:szCs w:val="20"/>
          <w:color w:val="auto"/>
        </w:rPr>
      </w:pPr>
    </w:p>
    <w:p>
      <w:pPr>
        <w:ind w:right="380"/>
        <w:spacing w:after="0" w:line="343" w:lineRule="auto"/>
        <w:rPr>
          <w:sz w:val="20"/>
          <w:szCs w:val="20"/>
          <w:color w:val="auto"/>
        </w:rPr>
      </w:pPr>
      <w:r>
        <w:rPr>
          <w:rFonts w:ascii="Times New Roman" w:cs="Times New Roman" w:eastAsia="Times New Roman" w:hAnsi="Times New Roman"/>
          <w:sz w:val="18"/>
          <w:szCs w:val="18"/>
          <w:color w:val="262626"/>
        </w:rPr>
        <w:t>The deferrals are held in a separate irrevocable rabbi trust (“the Rabbi Trust”), which has been established pursuant to the Deferred Compensation Plan. The Rabbi Trust is intended to be used to hold funds, including matching contributions. The assets of the trust are subject to the claims of the Company’s creditors in the event that the Company becomes insolvent. Consequently, the Rabbi Trust qualifies as a grantor trust for income tax purposes. The Company also makes periodic payments into company-owned life insurance policies held in this Rabbi Trust to fund the expected obligations arising under this plan. At December 31, 2022, total assets held by the trustee were $5.6 million and recorded in Other Assets and an associated liability of $5.3 million and recorded in Other Non-Current Liabilities in the Company’s consolidated balance sheets. The $5.6 million of assets held by the trustee is invested in company-owned life insurance policies.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838383"/>
        </w:rPr>
        <w:t>( 5 )  S T O C K - B A S E D  C O M P E N S A T I O N  P L A N S</w:t>
      </w:r>
    </w:p>
    <w:p>
      <w:pPr>
        <w:spacing w:after="0" w:line="176" w:lineRule="exact"/>
        <w:rPr>
          <w:sz w:val="20"/>
          <w:szCs w:val="20"/>
          <w:color w:val="auto"/>
        </w:rPr>
      </w:pPr>
    </w:p>
    <w:p>
      <w:pPr>
        <w:ind w:right="320"/>
        <w:spacing w:after="0" w:line="382" w:lineRule="auto"/>
        <w:rPr>
          <w:sz w:val="20"/>
          <w:szCs w:val="20"/>
          <w:color w:val="auto"/>
        </w:rPr>
      </w:pPr>
      <w:r>
        <w:rPr>
          <w:rFonts w:ascii="Times New Roman" w:cs="Times New Roman" w:eastAsia="Times New Roman" w:hAnsi="Times New Roman"/>
          <w:sz w:val="18"/>
          <w:szCs w:val="18"/>
          <w:color w:val="262626"/>
        </w:rPr>
        <w:t>At December 31, 2022, the Company had two equity incentive plans under which awards are made, which include the Gentex Corporation 2019 Omnibus Incentive Plan (“2019 Omnibus Plan”), and an employee stock purchase plan. Those plans and any material amendments thereto have previously been approved by shareholders.</w:t>
      </w:r>
    </w:p>
    <w:p>
      <w:pPr>
        <w:spacing w:after="0" w:line="32" w:lineRule="exact"/>
        <w:rPr>
          <w:sz w:val="20"/>
          <w:szCs w:val="20"/>
          <w:color w:val="auto"/>
        </w:rPr>
      </w:pPr>
    </w:p>
    <w:p>
      <w:pPr>
        <w:ind w:right="380"/>
        <w:spacing w:after="0" w:line="347" w:lineRule="auto"/>
        <w:rPr>
          <w:sz w:val="20"/>
          <w:szCs w:val="20"/>
          <w:color w:val="auto"/>
        </w:rPr>
      </w:pPr>
      <w:r>
        <w:rPr>
          <w:rFonts w:ascii="Times New Roman" w:cs="Times New Roman" w:eastAsia="Times New Roman" w:hAnsi="Times New Roman"/>
          <w:sz w:val="18"/>
          <w:szCs w:val="18"/>
          <w:color w:val="262626"/>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8F8F8F"/>
        </w:rPr>
        <w:t>2019 Omnibus Incentive Plan</w:t>
      </w:r>
    </w:p>
    <w:p>
      <w:pPr>
        <w:spacing w:after="0" w:line="191" w:lineRule="exact"/>
        <w:rPr>
          <w:sz w:val="20"/>
          <w:szCs w:val="20"/>
          <w:color w:val="auto"/>
        </w:rPr>
      </w:pPr>
    </w:p>
    <w:p>
      <w:pPr>
        <w:ind w:right="380"/>
        <w:spacing w:after="0" w:line="363" w:lineRule="auto"/>
        <w:rPr>
          <w:sz w:val="20"/>
          <w:szCs w:val="20"/>
          <w:color w:val="auto"/>
        </w:rPr>
      </w:pPr>
      <w:r>
        <w:rPr>
          <w:rFonts w:ascii="Times New Roman" w:cs="Times New Roman" w:eastAsia="Times New Roman" w:hAnsi="Times New Roman"/>
          <w:sz w:val="18"/>
          <w:szCs w:val="18"/>
          <w:color w:val="262626"/>
        </w:rPr>
        <w:t>The 2019 Omnibus Plan covers 45,000,000 shares of common stock. The purpose of the 2019 Omnibus Plan is to attract and retain employees, officers, and directors of the Company and its subsidiaries and to motivate and provide such persons incentives and rewards for performance. As of December 31, 2022, 20,214,522 shares (net of shares from canceled/expired options) have been issued under the 2019 Omnibus Plan, which includes stock options (at a set conversion rate), restricted shares, and performance share awards.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680" w:type="dxa"/>
            <w:vAlign w:val="bottom"/>
          </w:tcPr>
          <w:p>
            <w:pPr>
              <w:spacing w:after="0"/>
              <w:rPr>
                <w:sz w:val="20"/>
                <w:szCs w:val="20"/>
                <w:color w:val="auto"/>
              </w:rPr>
            </w:pPr>
          </w:p>
        </w:tc>
        <w:tc>
          <w:tcPr>
            <w:tcW w:w="21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262626"/>
              </w:rPr>
              <w:t>Shares Granted</w:t>
            </w:r>
          </w:p>
        </w:tc>
        <w:tc>
          <w:tcPr>
            <w:tcW w:w="18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262626"/>
              </w:rPr>
              <w:t>Conversion Rate</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262626"/>
              </w:rPr>
              <w:t>Total Shares Under</w:t>
            </w:r>
          </w:p>
        </w:tc>
        <w:tc>
          <w:tcPr>
            <w:tcW w:w="0" w:type="dxa"/>
            <w:vAlign w:val="bottom"/>
          </w:tcPr>
          <w:p>
            <w:pPr>
              <w:spacing w:after="0"/>
              <w:rPr>
                <w:sz w:val="1"/>
                <w:szCs w:val="1"/>
                <w:color w:val="auto"/>
              </w:rPr>
            </w:pPr>
          </w:p>
        </w:tc>
      </w:tr>
      <w:tr>
        <w:trPr>
          <w:trHeight w:val="178"/>
        </w:trPr>
        <w:tc>
          <w:tcPr>
            <w:tcW w:w="4680" w:type="dxa"/>
            <w:vAlign w:val="bottom"/>
          </w:tcPr>
          <w:p>
            <w:pPr>
              <w:spacing w:after="0"/>
              <w:rPr>
                <w:sz w:val="15"/>
                <w:szCs w:val="15"/>
                <w:color w:val="auto"/>
              </w:rPr>
            </w:pPr>
          </w:p>
        </w:tc>
        <w:tc>
          <w:tcPr>
            <w:tcW w:w="216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2019 Omnibus Plan</w:t>
            </w:r>
          </w:p>
        </w:tc>
        <w:tc>
          <w:tcPr>
            <w:tcW w:w="0" w:type="dxa"/>
            <w:vAlign w:val="bottom"/>
          </w:tcPr>
          <w:p>
            <w:pPr>
              <w:spacing w:after="0"/>
              <w:rPr>
                <w:sz w:val="1"/>
                <w:szCs w:val="1"/>
                <w:color w:val="auto"/>
              </w:rPr>
            </w:pPr>
          </w:p>
        </w:tc>
      </w:tr>
      <w:tr>
        <w:trPr>
          <w:trHeight w:val="124"/>
        </w:trPr>
        <w:tc>
          <w:tcPr>
            <w:tcW w:w="46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Non-Qualified Stock Options</w:t>
            </w:r>
          </w:p>
        </w:tc>
        <w:tc>
          <w:tcPr>
            <w:tcW w:w="2160" w:type="dxa"/>
            <w:vAlign w:val="bottom"/>
            <w:tcBorders>
              <w:bottom w:val="single" w:sz="8" w:color="838383"/>
            </w:tcBorders>
          </w:tcPr>
          <w:p>
            <w:pPr>
              <w:jc w:val="right"/>
              <w:ind w:right="270"/>
              <w:spacing w:after="0"/>
              <w:rPr>
                <w:sz w:val="20"/>
                <w:szCs w:val="20"/>
                <w:color w:val="auto"/>
              </w:rPr>
            </w:pPr>
            <w:r>
              <w:rPr>
                <w:rFonts w:ascii="Times New Roman" w:cs="Times New Roman" w:eastAsia="Times New Roman" w:hAnsi="Times New Roman"/>
                <w:sz w:val="18"/>
                <w:szCs w:val="18"/>
                <w:color w:val="262626"/>
              </w:rPr>
              <w:t>4,355,326</w:t>
            </w:r>
          </w:p>
        </w:tc>
        <w:tc>
          <w:tcPr>
            <w:tcW w:w="186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1.00</w:t>
            </w:r>
          </w:p>
        </w:tc>
        <w:tc>
          <w:tcPr>
            <w:tcW w:w="17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4,355,326</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Restricted Stock</w:t>
            </w:r>
          </w:p>
        </w:tc>
        <w:tc>
          <w:tcPr>
            <w:tcW w:w="2160" w:type="dxa"/>
            <w:vAlign w:val="bottom"/>
            <w:tcBorders>
              <w:bottom w:val="single" w:sz="8" w:color="838383"/>
            </w:tcBorders>
          </w:tcPr>
          <w:p>
            <w:pPr>
              <w:jc w:val="right"/>
              <w:ind w:right="270"/>
              <w:spacing w:after="0"/>
              <w:rPr>
                <w:sz w:val="20"/>
                <w:szCs w:val="20"/>
                <w:color w:val="auto"/>
              </w:rPr>
            </w:pPr>
            <w:r>
              <w:rPr>
                <w:rFonts w:ascii="Times New Roman" w:cs="Times New Roman" w:eastAsia="Times New Roman" w:hAnsi="Times New Roman"/>
                <w:sz w:val="18"/>
                <w:szCs w:val="18"/>
                <w:color w:val="262626"/>
              </w:rPr>
              <w:t>3,345,868</w:t>
            </w:r>
          </w:p>
        </w:tc>
        <w:tc>
          <w:tcPr>
            <w:tcW w:w="186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4.06</w:t>
            </w:r>
          </w:p>
        </w:tc>
        <w:tc>
          <w:tcPr>
            <w:tcW w:w="17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13,584,224</w:t>
            </w:r>
          </w:p>
        </w:tc>
        <w:tc>
          <w:tcPr>
            <w:tcW w:w="0" w:type="dxa"/>
            <w:vAlign w:val="bottom"/>
          </w:tcPr>
          <w:p>
            <w:pPr>
              <w:spacing w:after="0"/>
              <w:rPr>
                <w:sz w:val="1"/>
                <w:szCs w:val="1"/>
                <w:color w:val="auto"/>
              </w:rPr>
            </w:pPr>
          </w:p>
        </w:tc>
      </w:tr>
      <w:tr>
        <w:trPr>
          <w:trHeight w:val="355"/>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Performance Shares</w:t>
            </w:r>
          </w:p>
        </w:tc>
        <w:tc>
          <w:tcPr>
            <w:tcW w:w="2160" w:type="dxa"/>
            <w:vAlign w:val="bottom"/>
            <w:tcBorders>
              <w:bottom w:val="single" w:sz="8" w:color="8F8F8F"/>
            </w:tcBorders>
          </w:tcPr>
          <w:p>
            <w:pPr>
              <w:jc w:val="right"/>
              <w:ind w:right="270"/>
              <w:spacing w:after="0"/>
              <w:rPr>
                <w:sz w:val="20"/>
                <w:szCs w:val="20"/>
                <w:color w:val="auto"/>
              </w:rPr>
            </w:pPr>
            <w:r>
              <w:rPr>
                <w:rFonts w:ascii="Times New Roman" w:cs="Times New Roman" w:eastAsia="Times New Roman" w:hAnsi="Times New Roman"/>
                <w:sz w:val="18"/>
                <w:szCs w:val="18"/>
                <w:color w:val="262626"/>
              </w:rPr>
              <w:t>560,338</w:t>
            </w:r>
          </w:p>
        </w:tc>
        <w:tc>
          <w:tcPr>
            <w:tcW w:w="1860" w:type="dxa"/>
            <w:vAlign w:val="bottom"/>
            <w:tcBorders>
              <w:bottom w:val="single" w:sz="8" w:color="8F8F8F"/>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4.06</w:t>
            </w:r>
          </w:p>
        </w:tc>
        <w:tc>
          <w:tcPr>
            <w:tcW w:w="17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2,274,972</w:t>
            </w:r>
          </w:p>
        </w:tc>
        <w:tc>
          <w:tcPr>
            <w:tcW w:w="0" w:type="dxa"/>
            <w:vAlign w:val="bottom"/>
          </w:tcPr>
          <w:p>
            <w:pPr>
              <w:spacing w:after="0"/>
              <w:rPr>
                <w:sz w:val="1"/>
                <w:szCs w:val="1"/>
                <w:color w:val="auto"/>
              </w:rPr>
            </w:pPr>
          </w:p>
        </w:tc>
      </w:tr>
      <w:tr>
        <w:trPr>
          <w:trHeight w:val="3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262626"/>
              </w:rPr>
              <w:t>Total</w:t>
            </w:r>
          </w:p>
        </w:tc>
        <w:tc>
          <w:tcPr>
            <w:tcW w:w="2160" w:type="dxa"/>
            <w:vAlign w:val="bottom"/>
            <w:tcBorders>
              <w:bottom w:val="single" w:sz="8" w:color="8F8F8F"/>
            </w:tcBorders>
          </w:tcPr>
          <w:p>
            <w:pPr>
              <w:jc w:val="right"/>
              <w:ind w:right="270"/>
              <w:spacing w:after="0"/>
              <w:rPr>
                <w:sz w:val="20"/>
                <w:szCs w:val="20"/>
                <w:color w:val="auto"/>
              </w:rPr>
            </w:pPr>
            <w:r>
              <w:rPr>
                <w:rFonts w:ascii="Times New Roman" w:cs="Times New Roman" w:eastAsia="Times New Roman" w:hAnsi="Times New Roman"/>
                <w:sz w:val="18"/>
                <w:szCs w:val="18"/>
                <w:color w:val="262626"/>
              </w:rPr>
              <w:t>8,261,532</w:t>
            </w:r>
          </w:p>
        </w:tc>
        <w:tc>
          <w:tcPr>
            <w:tcW w:w="1860" w:type="dxa"/>
            <w:vAlign w:val="bottom"/>
            <w:tcBorders>
              <w:bottom w:val="single" w:sz="8" w:color="8F8F8F"/>
            </w:tcBorders>
          </w:tcPr>
          <w:p>
            <w:pPr>
              <w:spacing w:after="0"/>
              <w:rPr>
                <w:sz w:val="24"/>
                <w:szCs w:val="24"/>
                <w:color w:val="auto"/>
              </w:rPr>
            </w:pPr>
          </w:p>
        </w:tc>
        <w:tc>
          <w:tcPr>
            <w:tcW w:w="17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20,214,522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160" w:type="dxa"/>
            <w:vAlign w:val="bottom"/>
            <w:tcBorders>
              <w:bottom w:val="single" w:sz="8" w:color="8F8F8F"/>
            </w:tcBorders>
          </w:tcPr>
          <w:p>
            <w:pPr>
              <w:spacing w:after="0" w:line="20" w:lineRule="exact"/>
              <w:rPr>
                <w:sz w:val="1"/>
                <w:szCs w:val="1"/>
                <w:color w:val="auto"/>
              </w:rPr>
            </w:pPr>
          </w:p>
        </w:tc>
        <w:tc>
          <w:tcPr>
            <w:tcW w:w="1860" w:type="dxa"/>
            <w:vAlign w:val="bottom"/>
            <w:tcBorders>
              <w:bottom w:val="single" w:sz="8" w:color="8F8F8F"/>
            </w:tcBorders>
          </w:tcPr>
          <w:p>
            <w:pPr>
              <w:spacing w:after="0" w:line="20" w:lineRule="exact"/>
              <w:rPr>
                <w:sz w:val="1"/>
                <w:szCs w:val="1"/>
                <w:color w:val="auto"/>
              </w:rPr>
            </w:pPr>
          </w:p>
        </w:tc>
        <w:tc>
          <w:tcPr>
            <w:tcW w:w="1740" w:type="dxa"/>
            <w:vAlign w:val="bottom"/>
            <w:tcBorders>
              <w:bottom w:val="single" w:sz="8" w:color="8F8F8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77</w:t>
      </w:r>
    </w:p>
    <w:p>
      <w:pPr>
        <w:sectPr>
          <w:pgSz w:w="12240" w:h="15840" w:orient="portrait"/>
          <w:cols w:equalWidth="0" w:num="1">
            <w:col w:w="10760"/>
          </w:cols>
          <w:pgMar w:left="900" w:top="852" w:right="580" w:bottom="0" w:gutter="0" w:footer="0" w:header="0"/>
          <w:type w:val="continuous"/>
        </w:sectPr>
      </w:pPr>
    </w:p>
    <w:bookmarkStart w:id="77" w:name="page78"/>
    <w:bookmarkEnd w:id="77"/>
    <w:p>
      <w:pPr>
        <w:ind w:left="320"/>
        <w:spacing w:after="0"/>
        <w:rPr>
          <w:sz w:val="20"/>
          <w:szCs w:val="20"/>
          <w:color w:val="auto"/>
        </w:rPr>
      </w:pPr>
      <w:r>
        <w:rPr>
          <w:rFonts w:ascii="Arial" w:cs="Arial" w:eastAsia="Arial" w:hAnsi="Arial"/>
          <w:sz w:val="17"/>
          <w:szCs w:val="17"/>
          <w:b w:val="1"/>
          <w:bCs w:val="1"/>
          <w:color w:val="858585"/>
        </w:rPr>
        <w:t>EMPLOYEE STOCK OPTIONS</w:t>
      </w:r>
    </w:p>
    <w:p>
      <w:pPr>
        <w:spacing w:after="0" w:line="266" w:lineRule="exact"/>
        <w:rPr>
          <w:sz w:val="20"/>
          <w:szCs w:val="20"/>
          <w:color w:val="auto"/>
        </w:rPr>
      </w:pPr>
    </w:p>
    <w:p>
      <w:pPr>
        <w:ind w:left="320" w:right="700"/>
        <w:spacing w:after="0" w:line="429" w:lineRule="auto"/>
        <w:rPr>
          <w:sz w:val="20"/>
          <w:szCs w:val="20"/>
          <w:color w:val="auto"/>
        </w:rPr>
      </w:pPr>
      <w:r>
        <w:rPr>
          <w:rFonts w:ascii="Times New Roman" w:cs="Times New Roman" w:eastAsia="Times New Roman" w:hAnsi="Times New Roman"/>
          <w:sz w:val="18"/>
          <w:szCs w:val="18"/>
          <w:color w:val="262626"/>
        </w:rPr>
        <w:t>The Employee Stock Option Plan allowed the Company to grant up to 24,000,000 shares of common stock under the plan, prior to its replacement by the 2019 Omnibus Plan.</w:t>
      </w:r>
    </w:p>
    <w:p>
      <w:pPr>
        <w:ind w:left="320" w:right="360"/>
        <w:spacing w:after="0" w:line="362" w:lineRule="auto"/>
        <w:rPr>
          <w:sz w:val="20"/>
          <w:szCs w:val="20"/>
          <w:color w:val="auto"/>
        </w:rPr>
      </w:pPr>
      <w:r>
        <w:rPr>
          <w:rFonts w:ascii="Times New Roman" w:cs="Times New Roman" w:eastAsia="Times New Roman" w:hAnsi="Times New Roman"/>
          <w:sz w:val="18"/>
          <w:szCs w:val="18"/>
          <w:color w:val="262626"/>
        </w:rPr>
        <w:t>The Company has granted options on 4,355,326 shares (net of shares from canceled/expired options) under the 2019 Omnibus Plan and 12,689,869 shares (net of shares from canceled/expired options) under the prior plan (prior to its replacement) through December 31, 2022. Under each of such plans, the option exercise price equals the stock’s market price on date of grant. The options vest after one to five years, and expire after five to ten years.</w:t>
      </w:r>
    </w:p>
    <w:p>
      <w:pPr>
        <w:spacing w:after="0" w:line="52" w:lineRule="exact"/>
        <w:rPr>
          <w:sz w:val="20"/>
          <w:szCs w:val="20"/>
          <w:color w:val="auto"/>
        </w:rPr>
      </w:pPr>
    </w:p>
    <w:p>
      <w:pPr>
        <w:ind w:left="320" w:right="680"/>
        <w:spacing w:after="0" w:line="437" w:lineRule="auto"/>
        <w:rPr>
          <w:sz w:val="20"/>
          <w:szCs w:val="20"/>
          <w:color w:val="auto"/>
        </w:rPr>
      </w:pPr>
      <w:r>
        <w:rPr>
          <w:rFonts w:ascii="Times New Roman" w:cs="Times New Roman" w:eastAsia="Times New Roman" w:hAnsi="Times New Roman"/>
          <w:sz w:val="18"/>
          <w:szCs w:val="18"/>
          <w:color w:val="262626"/>
        </w:rPr>
        <w:t>The fair value of each option grant was estimated on the date of grant using the Black-Scholes option pricing model with the following weighted-average assumptions for the indicated periods:</w:t>
      </w:r>
    </w:p>
    <w:p>
      <w:pPr>
        <w:spacing w:after="0" w:line="34"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3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262626"/>
              </w:rPr>
              <w:t>2022</w:t>
            </w:r>
          </w:p>
        </w:tc>
        <w:tc>
          <w:tcPr>
            <w:tcW w:w="760" w:type="dxa"/>
            <w:vAlign w:val="bottom"/>
          </w:tcPr>
          <w:p>
            <w:pPr>
              <w:spacing w:after="0"/>
              <w:rPr>
                <w:sz w:val="24"/>
                <w:szCs w:val="24"/>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262626"/>
              </w:rPr>
              <w:t>2021</w:t>
            </w:r>
          </w:p>
        </w:tc>
        <w:tc>
          <w:tcPr>
            <w:tcW w:w="760" w:type="dxa"/>
            <w:vAlign w:val="bottom"/>
          </w:tcPr>
          <w:p>
            <w:pPr>
              <w:spacing w:after="0"/>
              <w:rPr>
                <w:sz w:val="24"/>
                <w:szCs w:val="24"/>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262626"/>
              </w:rPr>
              <w:t>2020</w:t>
            </w:r>
          </w:p>
        </w:tc>
      </w:tr>
      <w:tr>
        <w:trPr>
          <w:trHeight w:val="345"/>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Dividend yield (1)</w:t>
            </w:r>
          </w:p>
        </w:tc>
        <w:tc>
          <w:tcPr>
            <w:tcW w:w="160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1.8 %</w:t>
            </w:r>
          </w:p>
        </w:tc>
        <w:tc>
          <w:tcPr>
            <w:tcW w:w="76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1.8 %</w:t>
            </w:r>
          </w:p>
        </w:tc>
        <w:tc>
          <w:tcPr>
            <w:tcW w:w="76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2.0 %</w:t>
            </w: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Expected volatility (2)</w:t>
            </w:r>
          </w:p>
        </w:tc>
        <w:tc>
          <w:tcPr>
            <w:tcW w:w="160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28.8 %</w:t>
            </w:r>
          </w:p>
        </w:tc>
        <w:tc>
          <w:tcPr>
            <w:tcW w:w="76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27.6 %</w:t>
            </w:r>
          </w:p>
        </w:tc>
        <w:tc>
          <w:tcPr>
            <w:tcW w:w="76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27.5 %</w:t>
            </w: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Risk-free interest rate (3)</w:t>
            </w:r>
          </w:p>
        </w:tc>
        <w:tc>
          <w:tcPr>
            <w:tcW w:w="160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3.4 %</w:t>
            </w:r>
          </w:p>
        </w:tc>
        <w:tc>
          <w:tcPr>
            <w:tcW w:w="76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1.3 %</w:t>
            </w:r>
          </w:p>
        </w:tc>
        <w:tc>
          <w:tcPr>
            <w:tcW w:w="76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0.3 %</w:t>
            </w: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Expected term of options (in years) (4)</w:t>
            </w:r>
          </w:p>
        </w:tc>
        <w:tc>
          <w:tcPr>
            <w:tcW w:w="160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4.2</w:t>
            </w:r>
          </w:p>
        </w:tc>
        <w:tc>
          <w:tcPr>
            <w:tcW w:w="76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4.1</w:t>
            </w:r>
          </w:p>
        </w:tc>
        <w:tc>
          <w:tcPr>
            <w:tcW w:w="76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4.2</w:t>
            </w: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262626"/>
              </w:rPr>
              <w:t>Weighted-average grant-date fair value</w:t>
            </w:r>
          </w:p>
        </w:tc>
        <w:tc>
          <w:tcPr>
            <w:tcW w:w="16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262626"/>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262626"/>
              </w:rPr>
              <w:t>6.42</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262626"/>
                <w:w w:val="88"/>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262626"/>
              </w:rPr>
              <w:t>6.59</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262626"/>
                <w:w w:val="88"/>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262626"/>
              </w:rPr>
              <w:t>4.83</w:t>
            </w:r>
          </w:p>
        </w:tc>
      </w:tr>
    </w:tbl>
    <w:p>
      <w:pPr>
        <w:spacing w:after="0" w:line="127" w:lineRule="exact"/>
        <w:rPr>
          <w:sz w:val="20"/>
          <w:szCs w:val="20"/>
          <w:color w:val="auto"/>
        </w:rPr>
      </w:pPr>
    </w:p>
    <w:p>
      <w:pPr>
        <w:ind w:left="500" w:hanging="180"/>
        <w:spacing w:after="0"/>
        <w:tabs>
          <w:tab w:leader="none" w:pos="500" w:val="left"/>
        </w:tabs>
        <w:numPr>
          <w:ilvl w:val="0"/>
          <w:numId w:val="21"/>
        </w:numPr>
        <w:rPr>
          <w:rFonts w:ascii="Times New Roman" w:cs="Times New Roman" w:eastAsia="Times New Roman" w:hAnsi="Times New Roman"/>
          <w:sz w:val="16"/>
          <w:szCs w:val="16"/>
          <w:color w:val="838383"/>
          <w:vertAlign w:val="superscript"/>
        </w:rPr>
      </w:pPr>
      <w:r>
        <w:rPr>
          <w:rFonts w:ascii="Times New Roman" w:cs="Times New Roman" w:eastAsia="Times New Roman" w:hAnsi="Times New Roman"/>
          <w:sz w:val="14"/>
          <w:szCs w:val="14"/>
          <w:color w:val="838383"/>
        </w:rPr>
        <w:t>Represents the Company’s estimated cash dividend yield over the expected term of option grant.</w:t>
      </w:r>
    </w:p>
    <w:p>
      <w:pPr>
        <w:spacing w:after="0" w:line="86" w:lineRule="exact"/>
        <w:rPr>
          <w:rFonts w:ascii="Times New Roman" w:cs="Times New Roman" w:eastAsia="Times New Roman" w:hAnsi="Times New Roman"/>
          <w:sz w:val="16"/>
          <w:szCs w:val="16"/>
          <w:color w:val="838383"/>
          <w:vertAlign w:val="superscript"/>
        </w:rPr>
      </w:pPr>
    </w:p>
    <w:p>
      <w:pPr>
        <w:ind w:left="500" w:right="200" w:hanging="180"/>
        <w:spacing w:after="0" w:line="313" w:lineRule="auto"/>
        <w:tabs>
          <w:tab w:leader="none" w:pos="500" w:val="left"/>
        </w:tabs>
        <w:numPr>
          <w:ilvl w:val="0"/>
          <w:numId w:val="21"/>
        </w:numPr>
        <w:rPr>
          <w:rFonts w:ascii="Times New Roman" w:cs="Times New Roman" w:eastAsia="Times New Roman" w:hAnsi="Times New Roman"/>
          <w:sz w:val="16"/>
          <w:szCs w:val="16"/>
          <w:color w:val="838383"/>
          <w:vertAlign w:val="superscript"/>
        </w:rPr>
      </w:pPr>
      <w:r>
        <w:rPr>
          <w:rFonts w:ascii="Times New Roman" w:cs="Times New Roman" w:eastAsia="Times New Roman" w:hAnsi="Times New Roman"/>
          <w:sz w:val="14"/>
          <w:szCs w:val="14"/>
          <w:color w:val="838383"/>
        </w:rPr>
        <w:t>Amount is determined based on analysis of historical price volatility of the Company’s common stock. The expected volatility is based on the daily percentage change in the price of the stock over a period equal to the expected term of the option grant.</w:t>
      </w:r>
    </w:p>
    <w:p>
      <w:pPr>
        <w:ind w:left="500" w:hanging="180"/>
        <w:spacing w:after="0"/>
        <w:tabs>
          <w:tab w:leader="none" w:pos="500" w:val="left"/>
        </w:tabs>
        <w:numPr>
          <w:ilvl w:val="0"/>
          <w:numId w:val="21"/>
        </w:numPr>
        <w:rPr>
          <w:rFonts w:ascii="Times New Roman" w:cs="Times New Roman" w:eastAsia="Times New Roman" w:hAnsi="Times New Roman"/>
          <w:sz w:val="16"/>
          <w:szCs w:val="16"/>
          <w:color w:val="838383"/>
          <w:vertAlign w:val="superscript"/>
        </w:rPr>
      </w:pPr>
      <w:r>
        <w:rPr>
          <w:rFonts w:ascii="Times New Roman" w:cs="Times New Roman" w:eastAsia="Times New Roman" w:hAnsi="Times New Roman"/>
          <w:sz w:val="14"/>
          <w:szCs w:val="14"/>
          <w:color w:val="838383"/>
        </w:rPr>
        <w:t>Represents the U.S. Treasury yield over the expected term of the option grant.</w:t>
      </w:r>
    </w:p>
    <w:p>
      <w:pPr>
        <w:spacing w:after="0" w:line="86" w:lineRule="exact"/>
        <w:rPr>
          <w:rFonts w:ascii="Times New Roman" w:cs="Times New Roman" w:eastAsia="Times New Roman" w:hAnsi="Times New Roman"/>
          <w:sz w:val="16"/>
          <w:szCs w:val="16"/>
          <w:color w:val="838383"/>
          <w:vertAlign w:val="superscript"/>
        </w:rPr>
      </w:pPr>
    </w:p>
    <w:p>
      <w:pPr>
        <w:ind w:left="500" w:right="480" w:hanging="180"/>
        <w:spacing w:after="0" w:line="343" w:lineRule="auto"/>
        <w:tabs>
          <w:tab w:leader="none" w:pos="500" w:val="left"/>
        </w:tabs>
        <w:numPr>
          <w:ilvl w:val="0"/>
          <w:numId w:val="21"/>
        </w:numPr>
        <w:rPr>
          <w:rFonts w:ascii="Times New Roman" w:cs="Times New Roman" w:eastAsia="Times New Roman" w:hAnsi="Times New Roman"/>
          <w:sz w:val="16"/>
          <w:szCs w:val="16"/>
          <w:color w:val="838383"/>
          <w:vertAlign w:val="superscript"/>
        </w:rPr>
      </w:pPr>
      <w:r>
        <w:rPr>
          <w:rFonts w:ascii="Times New Roman" w:cs="Times New Roman" w:eastAsia="Times New Roman" w:hAnsi="Times New Roman"/>
          <w:sz w:val="14"/>
          <w:szCs w:val="14"/>
          <w:color w:val="838383"/>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105" w:lineRule="exact"/>
        <w:rPr>
          <w:sz w:val="20"/>
          <w:szCs w:val="20"/>
          <w:color w:val="auto"/>
        </w:rPr>
      </w:pPr>
    </w:p>
    <w:p>
      <w:pPr>
        <w:ind w:left="320" w:right="220"/>
        <w:spacing w:after="0" w:line="381" w:lineRule="auto"/>
        <w:rPr>
          <w:sz w:val="20"/>
          <w:szCs w:val="20"/>
          <w:color w:val="auto"/>
        </w:rPr>
      </w:pPr>
      <w:r>
        <w:rPr>
          <w:rFonts w:ascii="Times New Roman" w:cs="Times New Roman" w:eastAsia="Times New Roman" w:hAnsi="Times New Roman"/>
          <w:sz w:val="18"/>
          <w:szCs w:val="18"/>
          <w:color w:val="262626"/>
        </w:rPr>
        <w:t>As of December 31, 2022, there was $9,148,306 of unrecognized compensation cost related to stock option awards which is expected to be recognized over the remaining vesting periods, with a weighted-average period of 2.03 years. Stock option expense for the years ended December 31, 2022, 2021 and 2020 was $6,302,581, $5,780,959, and $4,935,527 respectively.</w:t>
      </w:r>
    </w:p>
    <w:p>
      <w:pPr>
        <w:spacing w:after="0" w:line="34" w:lineRule="exact"/>
        <w:rPr>
          <w:sz w:val="20"/>
          <w:szCs w:val="20"/>
          <w:color w:val="auto"/>
        </w:rPr>
      </w:pPr>
    </w:p>
    <w:p>
      <w:pPr>
        <w:ind w:left="320" w:right="160"/>
        <w:spacing w:after="0" w:line="433" w:lineRule="auto"/>
        <w:rPr>
          <w:sz w:val="20"/>
          <w:szCs w:val="20"/>
          <w:color w:val="auto"/>
        </w:rPr>
      </w:pPr>
      <w:r>
        <w:rPr>
          <w:rFonts w:ascii="Times New Roman" w:cs="Times New Roman" w:eastAsia="Times New Roman" w:hAnsi="Times New Roman"/>
          <w:sz w:val="18"/>
          <w:szCs w:val="18"/>
          <w:color w:val="262626"/>
        </w:rPr>
        <w:t>A summary of the status of the Company’s stock option plans at December 31, 2022, 2021 and 2020, and changes during the same periods are presented in the tables below.</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3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gridSpan w:val="3"/>
          </w:tcPr>
          <w:p>
            <w:pPr>
              <w:jc w:val="right"/>
              <w:ind w:right="1530"/>
              <w:spacing w:after="0"/>
              <w:rPr>
                <w:sz w:val="20"/>
                <w:szCs w:val="20"/>
                <w:color w:val="auto"/>
              </w:rPr>
            </w:pPr>
            <w:r>
              <w:rPr>
                <w:rFonts w:ascii="Arial" w:cs="Arial" w:eastAsia="Arial" w:hAnsi="Arial"/>
                <w:sz w:val="18"/>
                <w:szCs w:val="18"/>
                <w:b w:val="1"/>
                <w:bCs w:val="1"/>
                <w:color w:val="262626"/>
              </w:rPr>
              <w:t>2022</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3360" w:type="dxa"/>
            <w:vAlign w:val="bottom"/>
          </w:tcPr>
          <w:p>
            <w:pPr>
              <w:spacing w:after="0"/>
              <w:rPr>
                <w:sz w:val="24"/>
                <w:szCs w:val="24"/>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262626"/>
              </w:rPr>
              <w:t>Shares (000)</w:t>
            </w:r>
          </w:p>
        </w:tc>
        <w:tc>
          <w:tcPr>
            <w:tcW w:w="200" w:type="dxa"/>
            <w:vAlign w:val="bottom"/>
          </w:tcPr>
          <w:p>
            <w:pPr>
              <w:spacing w:after="0"/>
              <w:rPr>
                <w:sz w:val="24"/>
                <w:szCs w:val="24"/>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262626"/>
                <w:w w:val="91"/>
              </w:rPr>
              <w:t>Wtd. Avg. Ex. Price</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262626"/>
                <w:w w:val="94"/>
              </w:rPr>
              <w:t>Wtd. Avg. Remaining</w:t>
            </w: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262626"/>
                <w:w w:val="91"/>
              </w:rPr>
              <w:t>Aggregate Intrinsic</w:t>
            </w:r>
          </w:p>
        </w:tc>
        <w:tc>
          <w:tcPr>
            <w:tcW w:w="0" w:type="dxa"/>
            <w:vAlign w:val="bottom"/>
          </w:tcPr>
          <w:p>
            <w:pPr>
              <w:spacing w:after="0"/>
              <w:rPr>
                <w:sz w:val="1"/>
                <w:szCs w:val="1"/>
                <w:color w:val="auto"/>
              </w:rPr>
            </w:pPr>
          </w:p>
        </w:tc>
      </w:tr>
      <w:tr>
        <w:trPr>
          <w:trHeight w:val="267"/>
        </w:trPr>
        <w:tc>
          <w:tcPr>
            <w:tcW w:w="33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262626"/>
              </w:rPr>
              <w:t>Contract Life</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262626"/>
              </w:rPr>
              <w:t>Value (000)</w:t>
            </w:r>
          </w:p>
        </w:tc>
        <w:tc>
          <w:tcPr>
            <w:tcW w:w="0" w:type="dxa"/>
            <w:vAlign w:val="bottom"/>
          </w:tcPr>
          <w:p>
            <w:pPr>
              <w:spacing w:after="0"/>
              <w:rPr>
                <w:sz w:val="1"/>
                <w:szCs w:val="1"/>
                <w:color w:val="auto"/>
              </w:rPr>
            </w:pPr>
          </w:p>
        </w:tc>
      </w:tr>
      <w:tr>
        <w:trPr>
          <w:trHeight w:val="292"/>
        </w:trPr>
        <w:tc>
          <w:tcPr>
            <w:tcW w:w="33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Outstanding at Beginning of Year</w:t>
            </w:r>
          </w:p>
        </w:tc>
        <w:tc>
          <w:tcPr>
            <w:tcW w:w="17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4,535</w:t>
            </w:r>
          </w:p>
        </w:tc>
        <w:tc>
          <w:tcPr>
            <w:tcW w:w="2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5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27</w:t>
            </w:r>
          </w:p>
        </w:tc>
        <w:tc>
          <w:tcPr>
            <w:tcW w:w="100" w:type="dxa"/>
            <w:vAlign w:val="bottom"/>
            <w:tcBorders>
              <w:bottom w:val="single" w:sz="8" w:color="838383"/>
            </w:tcBorders>
          </w:tcPr>
          <w:p>
            <w:pPr>
              <w:spacing w:after="0"/>
              <w:rPr>
                <w:sz w:val="24"/>
                <w:szCs w:val="24"/>
                <w:color w:val="auto"/>
              </w:rPr>
            </w:pPr>
          </w:p>
        </w:tc>
        <w:tc>
          <w:tcPr>
            <w:tcW w:w="1800" w:type="dxa"/>
            <w:vAlign w:val="bottom"/>
            <w:tcBorders>
              <w:bottom w:val="single" w:sz="8" w:color="838383"/>
            </w:tcBorders>
          </w:tcPr>
          <w:p>
            <w:pPr>
              <w:spacing w:after="0"/>
              <w:rPr>
                <w:sz w:val="24"/>
                <w:szCs w:val="24"/>
                <w:color w:val="auto"/>
              </w:rPr>
            </w:pPr>
          </w:p>
        </w:tc>
        <w:tc>
          <w:tcPr>
            <w:tcW w:w="220" w:type="dxa"/>
            <w:vAlign w:val="bottom"/>
            <w:tcBorders>
              <w:bottom w:val="single" w:sz="8" w:color="838383"/>
            </w:tcBorders>
          </w:tcPr>
          <w:p>
            <w:pPr>
              <w:spacing w:after="0"/>
              <w:rPr>
                <w:sz w:val="24"/>
                <w:szCs w:val="24"/>
                <w:color w:val="auto"/>
              </w:rPr>
            </w:pPr>
          </w:p>
        </w:tc>
        <w:tc>
          <w:tcPr>
            <w:tcW w:w="1520" w:type="dxa"/>
            <w:vAlign w:val="bottom"/>
            <w:tcBorders>
              <w:bottom w:val="single" w:sz="8" w:color="838383"/>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3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Granted</w:t>
            </w:r>
          </w:p>
        </w:tc>
        <w:tc>
          <w:tcPr>
            <w:tcW w:w="17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1,219</w:t>
            </w:r>
          </w:p>
        </w:tc>
        <w:tc>
          <w:tcPr>
            <w:tcW w:w="200" w:type="dxa"/>
            <w:vAlign w:val="bottom"/>
            <w:tcBorders>
              <w:bottom w:val="single" w:sz="8" w:color="838383"/>
            </w:tcBorders>
          </w:tcPr>
          <w:p>
            <w:pPr>
              <w:spacing w:after="0"/>
              <w:rPr>
                <w:sz w:val="24"/>
                <w:szCs w:val="24"/>
                <w:color w:val="auto"/>
              </w:rPr>
            </w:pPr>
          </w:p>
        </w:tc>
        <w:tc>
          <w:tcPr>
            <w:tcW w:w="15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27</w:t>
            </w:r>
          </w:p>
        </w:tc>
        <w:tc>
          <w:tcPr>
            <w:tcW w:w="100" w:type="dxa"/>
            <w:vAlign w:val="bottom"/>
            <w:tcBorders>
              <w:bottom w:val="single" w:sz="8" w:color="838383"/>
            </w:tcBorders>
          </w:tcPr>
          <w:p>
            <w:pPr>
              <w:spacing w:after="0"/>
              <w:rPr>
                <w:sz w:val="24"/>
                <w:szCs w:val="24"/>
                <w:color w:val="auto"/>
              </w:rPr>
            </w:pPr>
          </w:p>
        </w:tc>
        <w:tc>
          <w:tcPr>
            <w:tcW w:w="1800" w:type="dxa"/>
            <w:vAlign w:val="bottom"/>
            <w:tcBorders>
              <w:bottom w:val="single" w:sz="8" w:color="838383"/>
            </w:tcBorders>
          </w:tcPr>
          <w:p>
            <w:pPr>
              <w:spacing w:after="0"/>
              <w:rPr>
                <w:sz w:val="24"/>
                <w:szCs w:val="24"/>
                <w:color w:val="auto"/>
              </w:rPr>
            </w:pPr>
          </w:p>
        </w:tc>
        <w:tc>
          <w:tcPr>
            <w:tcW w:w="220" w:type="dxa"/>
            <w:vAlign w:val="bottom"/>
            <w:tcBorders>
              <w:bottom w:val="single" w:sz="8" w:color="838383"/>
            </w:tcBorders>
          </w:tcPr>
          <w:p>
            <w:pPr>
              <w:spacing w:after="0"/>
              <w:rPr>
                <w:sz w:val="24"/>
                <w:szCs w:val="24"/>
                <w:color w:val="auto"/>
              </w:rPr>
            </w:pPr>
          </w:p>
        </w:tc>
        <w:tc>
          <w:tcPr>
            <w:tcW w:w="1520" w:type="dxa"/>
            <w:vAlign w:val="bottom"/>
            <w:tcBorders>
              <w:bottom w:val="single" w:sz="8" w:color="838383"/>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3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Exercised</w:t>
            </w:r>
          </w:p>
        </w:tc>
        <w:tc>
          <w:tcPr>
            <w:tcW w:w="17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(530)</w:t>
            </w:r>
          </w:p>
        </w:tc>
        <w:tc>
          <w:tcPr>
            <w:tcW w:w="200" w:type="dxa"/>
            <w:vAlign w:val="bottom"/>
            <w:tcBorders>
              <w:bottom w:val="single" w:sz="8" w:color="838383"/>
            </w:tcBorders>
          </w:tcPr>
          <w:p>
            <w:pPr>
              <w:spacing w:after="0"/>
              <w:rPr>
                <w:sz w:val="24"/>
                <w:szCs w:val="24"/>
                <w:color w:val="auto"/>
              </w:rPr>
            </w:pPr>
          </w:p>
        </w:tc>
        <w:tc>
          <w:tcPr>
            <w:tcW w:w="15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21</w:t>
            </w:r>
          </w:p>
        </w:tc>
        <w:tc>
          <w:tcPr>
            <w:tcW w:w="100" w:type="dxa"/>
            <w:vAlign w:val="bottom"/>
            <w:tcBorders>
              <w:bottom w:val="single" w:sz="8" w:color="838383"/>
            </w:tcBorders>
          </w:tcPr>
          <w:p>
            <w:pPr>
              <w:spacing w:after="0"/>
              <w:rPr>
                <w:sz w:val="24"/>
                <w:szCs w:val="24"/>
                <w:color w:val="auto"/>
              </w:rPr>
            </w:pPr>
          </w:p>
        </w:tc>
        <w:tc>
          <w:tcPr>
            <w:tcW w:w="1800" w:type="dxa"/>
            <w:vAlign w:val="bottom"/>
            <w:tcBorders>
              <w:bottom w:val="single" w:sz="8" w:color="838383"/>
            </w:tcBorders>
          </w:tcPr>
          <w:p>
            <w:pPr>
              <w:spacing w:after="0"/>
              <w:rPr>
                <w:sz w:val="24"/>
                <w:szCs w:val="24"/>
                <w:color w:val="auto"/>
              </w:rPr>
            </w:pPr>
          </w:p>
        </w:tc>
        <w:tc>
          <w:tcPr>
            <w:tcW w:w="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5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4,065</w:t>
            </w:r>
          </w:p>
        </w:tc>
        <w:tc>
          <w:tcPr>
            <w:tcW w:w="0" w:type="dxa"/>
            <w:vAlign w:val="bottom"/>
          </w:tcPr>
          <w:p>
            <w:pPr>
              <w:spacing w:after="0"/>
              <w:rPr>
                <w:sz w:val="1"/>
                <w:szCs w:val="1"/>
                <w:color w:val="auto"/>
              </w:rPr>
            </w:pPr>
          </w:p>
        </w:tc>
      </w:tr>
      <w:tr>
        <w:trPr>
          <w:trHeight w:val="335"/>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262626"/>
              </w:rPr>
              <w:t>Forfeited</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(352)</w:t>
            </w:r>
          </w:p>
        </w:tc>
        <w:tc>
          <w:tcPr>
            <w:tcW w:w="200" w:type="dxa"/>
            <w:vAlign w:val="bottom"/>
          </w:tcPr>
          <w:p>
            <w:pPr>
              <w:spacing w:after="0"/>
              <w:rPr>
                <w:sz w:val="24"/>
                <w:szCs w:val="24"/>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62626"/>
              </w:rPr>
              <w:t>28</w:t>
            </w: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838383"/>
            </w:tcBorders>
            <w:vMerge w:val="restart"/>
          </w:tcPr>
          <w:p>
            <w:pPr>
              <w:spacing w:after="0"/>
              <w:rPr>
                <w:sz w:val="20"/>
                <w:szCs w:val="20"/>
                <w:color w:val="auto"/>
              </w:rPr>
            </w:pPr>
            <w:r>
              <w:rPr>
                <w:rFonts w:ascii="Times New Roman" w:cs="Times New Roman" w:eastAsia="Times New Roman" w:hAnsi="Times New Roman"/>
                <w:sz w:val="18"/>
                <w:szCs w:val="18"/>
                <w:color w:val="262626"/>
              </w:rPr>
              <w:t>Outstanding at End of Year</w:t>
            </w:r>
          </w:p>
        </w:tc>
        <w:tc>
          <w:tcPr>
            <w:tcW w:w="1720" w:type="dxa"/>
            <w:vAlign w:val="bottom"/>
            <w:tcBorders>
              <w:top w:val="single" w:sz="8" w:color="8F8F8F"/>
            </w:tcBorders>
            <w:shd w:val="clear" w:color="auto" w:fill="8F8F8F"/>
          </w:tcPr>
          <w:p>
            <w:pPr>
              <w:spacing w:after="0" w:line="20" w:lineRule="exact"/>
              <w:rPr>
                <w:sz w:val="1"/>
                <w:szCs w:val="1"/>
                <w:color w:val="auto"/>
              </w:rPr>
            </w:pPr>
          </w:p>
        </w:tc>
        <w:tc>
          <w:tcPr>
            <w:tcW w:w="200" w:type="dxa"/>
            <w:vAlign w:val="bottom"/>
            <w:tcBorders>
              <w:top w:val="single" w:sz="8" w:color="8F8F8F"/>
            </w:tcBorders>
            <w:shd w:val="clear" w:color="auto" w:fill="8F8F8F"/>
          </w:tcPr>
          <w:p>
            <w:pPr>
              <w:spacing w:after="0" w:line="20" w:lineRule="exact"/>
              <w:rPr>
                <w:sz w:val="1"/>
                <w:szCs w:val="1"/>
                <w:color w:val="auto"/>
              </w:rPr>
            </w:pPr>
          </w:p>
        </w:tc>
        <w:tc>
          <w:tcPr>
            <w:tcW w:w="1520" w:type="dxa"/>
            <w:vAlign w:val="bottom"/>
            <w:tcBorders>
              <w:top w:val="single" w:sz="8" w:color="8F8F8F"/>
            </w:tcBorders>
            <w:shd w:val="clear" w:color="auto" w:fill="8F8F8F"/>
          </w:tcPr>
          <w:p>
            <w:pPr>
              <w:spacing w:after="0" w:line="20" w:lineRule="exact"/>
              <w:rPr>
                <w:sz w:val="1"/>
                <w:szCs w:val="1"/>
                <w:color w:val="auto"/>
              </w:rPr>
            </w:pPr>
          </w:p>
        </w:tc>
        <w:tc>
          <w:tcPr>
            <w:tcW w:w="100" w:type="dxa"/>
            <w:vAlign w:val="bottom"/>
            <w:tcBorders>
              <w:top w:val="single" w:sz="8" w:color="838383"/>
            </w:tcBorders>
          </w:tcPr>
          <w:p>
            <w:pPr>
              <w:spacing w:after="0" w:line="20" w:lineRule="exact"/>
              <w:rPr>
                <w:sz w:val="1"/>
                <w:szCs w:val="1"/>
                <w:color w:val="auto"/>
              </w:rPr>
            </w:pPr>
          </w:p>
        </w:tc>
        <w:tc>
          <w:tcPr>
            <w:tcW w:w="1800" w:type="dxa"/>
            <w:vAlign w:val="bottom"/>
            <w:tcBorders>
              <w:top w:val="single" w:sz="8" w:color="838383"/>
            </w:tcBorders>
            <w:vMerge w:val="restart"/>
          </w:tcPr>
          <w:p>
            <w:pPr>
              <w:jc w:val="right"/>
              <w:spacing w:after="0"/>
              <w:rPr>
                <w:sz w:val="20"/>
                <w:szCs w:val="20"/>
                <w:color w:val="auto"/>
              </w:rPr>
            </w:pPr>
            <w:r>
              <w:rPr>
                <w:rFonts w:ascii="Times New Roman" w:cs="Times New Roman" w:eastAsia="Times New Roman" w:hAnsi="Times New Roman"/>
                <w:sz w:val="18"/>
                <w:szCs w:val="18"/>
                <w:color w:val="262626"/>
              </w:rPr>
              <w:t>3.1 years</w:t>
            </w:r>
          </w:p>
        </w:tc>
        <w:tc>
          <w:tcPr>
            <w:tcW w:w="220" w:type="dxa"/>
            <w:vAlign w:val="bottom"/>
            <w:tcBorders>
              <w:top w:val="single" w:sz="8" w:color="838383"/>
            </w:tcBorders>
            <w:vMerge w:val="restart"/>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520" w:type="dxa"/>
            <w:vAlign w:val="bottom"/>
            <w:tcBorders>
              <w:top w:val="single" w:sz="8" w:color="838383"/>
            </w:tcBorders>
            <w:vMerge w:val="restart"/>
          </w:tcPr>
          <w:p>
            <w:pPr>
              <w:jc w:val="right"/>
              <w:spacing w:after="0"/>
              <w:rPr>
                <w:sz w:val="20"/>
                <w:szCs w:val="20"/>
                <w:color w:val="auto"/>
              </w:rPr>
            </w:pPr>
            <w:r>
              <w:rPr>
                <w:rFonts w:ascii="Times New Roman" w:cs="Times New Roman" w:eastAsia="Times New Roman" w:hAnsi="Times New Roman"/>
                <w:sz w:val="18"/>
                <w:szCs w:val="18"/>
                <w:color w:val="262626"/>
              </w:rPr>
              <w:t>8,928</w:t>
            </w:r>
          </w:p>
        </w:tc>
        <w:tc>
          <w:tcPr>
            <w:tcW w:w="0" w:type="dxa"/>
            <w:vAlign w:val="bottom"/>
          </w:tcPr>
          <w:p>
            <w:pPr>
              <w:spacing w:after="0" w:line="20" w:lineRule="exact"/>
              <w:rPr>
                <w:sz w:val="1"/>
                <w:szCs w:val="1"/>
                <w:color w:val="auto"/>
              </w:rPr>
            </w:pPr>
          </w:p>
        </w:tc>
      </w:tr>
      <w:tr>
        <w:trPr>
          <w:trHeight w:val="325"/>
        </w:trPr>
        <w:tc>
          <w:tcPr>
            <w:tcW w:w="3360" w:type="dxa"/>
            <w:vAlign w:val="bottom"/>
            <w:tcBorders>
              <w:bottom w:val="single" w:sz="8" w:color="838383"/>
            </w:tcBorders>
            <w:vMerge w:val="continue"/>
          </w:tcPr>
          <w:p>
            <w:pPr>
              <w:spacing w:after="0"/>
              <w:rPr>
                <w:sz w:val="24"/>
                <w:szCs w:val="24"/>
                <w:color w:val="auto"/>
              </w:rPr>
            </w:pPr>
          </w:p>
        </w:tc>
        <w:tc>
          <w:tcPr>
            <w:tcW w:w="17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4,872</w:t>
            </w:r>
          </w:p>
        </w:tc>
        <w:tc>
          <w:tcPr>
            <w:tcW w:w="200" w:type="dxa"/>
            <w:vAlign w:val="bottom"/>
            <w:tcBorders>
              <w:bottom w:val="single" w:sz="8" w:color="838383"/>
            </w:tcBorders>
          </w:tcPr>
          <w:p>
            <w:pPr>
              <w:spacing w:after="0"/>
              <w:rPr>
                <w:sz w:val="24"/>
                <w:szCs w:val="24"/>
                <w:color w:val="auto"/>
              </w:rPr>
            </w:pPr>
          </w:p>
        </w:tc>
        <w:tc>
          <w:tcPr>
            <w:tcW w:w="1620" w:type="dxa"/>
            <w:vAlign w:val="bottom"/>
            <w:tcBorders>
              <w:bottom w:val="single" w:sz="8" w:color="838383"/>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262626"/>
              </w:rPr>
              <w:t>28</w:t>
            </w:r>
          </w:p>
        </w:tc>
        <w:tc>
          <w:tcPr>
            <w:tcW w:w="1800" w:type="dxa"/>
            <w:vAlign w:val="bottom"/>
            <w:tcBorders>
              <w:bottom w:val="single" w:sz="8" w:color="838383"/>
            </w:tcBorders>
            <w:vMerge w:val="continue"/>
          </w:tcPr>
          <w:p>
            <w:pPr>
              <w:spacing w:after="0"/>
              <w:rPr>
                <w:sz w:val="24"/>
                <w:szCs w:val="24"/>
                <w:color w:val="auto"/>
              </w:rPr>
            </w:pPr>
          </w:p>
        </w:tc>
        <w:tc>
          <w:tcPr>
            <w:tcW w:w="220" w:type="dxa"/>
            <w:vAlign w:val="bottom"/>
            <w:tcBorders>
              <w:bottom w:val="single" w:sz="8" w:color="838383"/>
            </w:tcBorders>
            <w:vMerge w:val="continue"/>
          </w:tcPr>
          <w:p>
            <w:pPr>
              <w:spacing w:after="0"/>
              <w:rPr>
                <w:sz w:val="24"/>
                <w:szCs w:val="24"/>
                <w:color w:val="auto"/>
              </w:rPr>
            </w:pPr>
          </w:p>
        </w:tc>
        <w:tc>
          <w:tcPr>
            <w:tcW w:w="1520" w:type="dxa"/>
            <w:vAlign w:val="bottom"/>
            <w:tcBorders>
              <w:bottom w:val="single" w:sz="8" w:color="838383"/>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262626"/>
              </w:rPr>
              <w:t>Exercisable at End of Year</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1,960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26</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2.4 years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5,864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580" w:top="84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78</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60"/>
          </w:cols>
          <w:pgMar w:left="580" w:top="846" w:right="900" w:bottom="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302"/>
        </w:trPr>
        <w:tc>
          <w:tcPr>
            <w:tcW w:w="3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gridSpan w:val="2"/>
          </w:tcPr>
          <w:p>
            <w:pPr>
              <w:jc w:val="right"/>
              <w:ind w:right="1530"/>
              <w:spacing w:after="0"/>
              <w:rPr>
                <w:sz w:val="20"/>
                <w:szCs w:val="20"/>
                <w:color w:val="auto"/>
              </w:rPr>
            </w:pPr>
            <w:r>
              <w:rPr>
                <w:rFonts w:ascii="Arial" w:cs="Arial" w:eastAsia="Arial" w:hAnsi="Arial"/>
                <w:sz w:val="18"/>
                <w:szCs w:val="18"/>
                <w:b w:val="1"/>
                <w:bCs w:val="1"/>
                <w:color w:val="262626"/>
              </w:rPr>
              <w:t>2021</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26"/>
        </w:trPr>
        <w:tc>
          <w:tcPr>
            <w:tcW w:w="326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b w:val="1"/>
                <w:bCs w:val="1"/>
                <w:color w:val="262626"/>
              </w:rPr>
              <w:t>Shares (000)</w:t>
            </w: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262626"/>
                <w:w w:val="91"/>
              </w:rPr>
              <w:t>Wtd. Avg. Ex. Price</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262626"/>
                <w:w w:val="99"/>
              </w:rPr>
              <w:t>Wtd. Avg. Remaining</w:t>
            </w: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262626"/>
                <w:w w:val="90"/>
              </w:rPr>
              <w:t>Aggregate Intrinsic</w:t>
            </w:r>
          </w:p>
        </w:tc>
      </w:tr>
      <w:tr>
        <w:trPr>
          <w:trHeight w:val="267"/>
        </w:trPr>
        <w:tc>
          <w:tcPr>
            <w:tcW w:w="32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262626"/>
              </w:rPr>
              <w:t>Contract Life</w:t>
            </w:r>
          </w:p>
        </w:tc>
        <w:tc>
          <w:tcPr>
            <w:tcW w:w="2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262626"/>
              </w:rPr>
              <w:t>Value (000)</w:t>
            </w:r>
          </w:p>
        </w:tc>
      </w:tr>
      <w:tr>
        <w:trPr>
          <w:trHeight w:val="292"/>
        </w:trPr>
        <w:tc>
          <w:tcPr>
            <w:tcW w:w="32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Outstanding at Beginning of Year</w:t>
            </w:r>
          </w:p>
        </w:tc>
        <w:tc>
          <w:tcPr>
            <w:tcW w:w="18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4,533</w:t>
            </w:r>
          </w:p>
        </w:tc>
        <w:tc>
          <w:tcPr>
            <w:tcW w:w="2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5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23</w:t>
            </w:r>
          </w:p>
        </w:tc>
        <w:tc>
          <w:tcPr>
            <w:tcW w:w="1900" w:type="dxa"/>
            <w:vAlign w:val="bottom"/>
            <w:tcBorders>
              <w:bottom w:val="single" w:sz="8" w:color="838383"/>
            </w:tcBorders>
          </w:tcPr>
          <w:p>
            <w:pPr>
              <w:spacing w:after="0"/>
              <w:rPr>
                <w:sz w:val="24"/>
                <w:szCs w:val="24"/>
                <w:color w:val="auto"/>
              </w:rPr>
            </w:pPr>
          </w:p>
        </w:tc>
        <w:tc>
          <w:tcPr>
            <w:tcW w:w="240" w:type="dxa"/>
            <w:vAlign w:val="bottom"/>
            <w:tcBorders>
              <w:bottom w:val="single" w:sz="8" w:color="838383"/>
            </w:tcBorders>
          </w:tcPr>
          <w:p>
            <w:pPr>
              <w:spacing w:after="0"/>
              <w:rPr>
                <w:sz w:val="24"/>
                <w:szCs w:val="24"/>
                <w:color w:val="auto"/>
              </w:rPr>
            </w:pPr>
          </w:p>
        </w:tc>
        <w:tc>
          <w:tcPr>
            <w:tcW w:w="1500" w:type="dxa"/>
            <w:vAlign w:val="bottom"/>
            <w:tcBorders>
              <w:bottom w:val="single" w:sz="8" w:color="838383"/>
            </w:tcBorders>
          </w:tcPr>
          <w:p>
            <w:pPr>
              <w:spacing w:after="0"/>
              <w:rPr>
                <w:sz w:val="24"/>
                <w:szCs w:val="24"/>
                <w:color w:val="auto"/>
              </w:rPr>
            </w:pPr>
          </w:p>
        </w:tc>
      </w:tr>
      <w:tr>
        <w:trPr>
          <w:trHeight w:val="340"/>
        </w:trPr>
        <w:tc>
          <w:tcPr>
            <w:tcW w:w="32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Granted</w:t>
            </w:r>
          </w:p>
        </w:tc>
        <w:tc>
          <w:tcPr>
            <w:tcW w:w="18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1,434</w:t>
            </w:r>
          </w:p>
        </w:tc>
        <w:tc>
          <w:tcPr>
            <w:tcW w:w="200" w:type="dxa"/>
            <w:vAlign w:val="bottom"/>
            <w:tcBorders>
              <w:bottom w:val="single" w:sz="8" w:color="838383"/>
            </w:tcBorders>
          </w:tcPr>
          <w:p>
            <w:pPr>
              <w:spacing w:after="0"/>
              <w:rPr>
                <w:sz w:val="24"/>
                <w:szCs w:val="24"/>
                <w:color w:val="auto"/>
              </w:rPr>
            </w:pPr>
          </w:p>
        </w:tc>
        <w:tc>
          <w:tcPr>
            <w:tcW w:w="15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34</w:t>
            </w:r>
          </w:p>
        </w:tc>
        <w:tc>
          <w:tcPr>
            <w:tcW w:w="1900" w:type="dxa"/>
            <w:vAlign w:val="bottom"/>
            <w:tcBorders>
              <w:bottom w:val="single" w:sz="8" w:color="838383"/>
            </w:tcBorders>
          </w:tcPr>
          <w:p>
            <w:pPr>
              <w:spacing w:after="0"/>
              <w:rPr>
                <w:sz w:val="24"/>
                <w:szCs w:val="24"/>
                <w:color w:val="auto"/>
              </w:rPr>
            </w:pPr>
          </w:p>
        </w:tc>
        <w:tc>
          <w:tcPr>
            <w:tcW w:w="240" w:type="dxa"/>
            <w:vAlign w:val="bottom"/>
            <w:tcBorders>
              <w:bottom w:val="single" w:sz="8" w:color="838383"/>
            </w:tcBorders>
          </w:tcPr>
          <w:p>
            <w:pPr>
              <w:spacing w:after="0"/>
              <w:rPr>
                <w:sz w:val="24"/>
                <w:szCs w:val="24"/>
                <w:color w:val="auto"/>
              </w:rPr>
            </w:pPr>
          </w:p>
        </w:tc>
        <w:tc>
          <w:tcPr>
            <w:tcW w:w="1500" w:type="dxa"/>
            <w:vAlign w:val="bottom"/>
            <w:tcBorders>
              <w:bottom w:val="single" w:sz="8" w:color="838383"/>
            </w:tcBorders>
          </w:tcPr>
          <w:p>
            <w:pPr>
              <w:spacing w:after="0"/>
              <w:rPr>
                <w:sz w:val="24"/>
                <w:szCs w:val="24"/>
                <w:color w:val="auto"/>
              </w:rPr>
            </w:pPr>
          </w:p>
        </w:tc>
      </w:tr>
      <w:tr>
        <w:trPr>
          <w:trHeight w:val="340"/>
        </w:trPr>
        <w:tc>
          <w:tcPr>
            <w:tcW w:w="32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Exercised</w:t>
            </w:r>
          </w:p>
        </w:tc>
        <w:tc>
          <w:tcPr>
            <w:tcW w:w="18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(1,184)</w:t>
            </w:r>
          </w:p>
        </w:tc>
        <w:tc>
          <w:tcPr>
            <w:tcW w:w="200" w:type="dxa"/>
            <w:vAlign w:val="bottom"/>
            <w:tcBorders>
              <w:bottom w:val="single" w:sz="8" w:color="838383"/>
            </w:tcBorders>
          </w:tcPr>
          <w:p>
            <w:pPr>
              <w:spacing w:after="0"/>
              <w:rPr>
                <w:sz w:val="24"/>
                <w:szCs w:val="24"/>
                <w:color w:val="auto"/>
              </w:rPr>
            </w:pPr>
          </w:p>
        </w:tc>
        <w:tc>
          <w:tcPr>
            <w:tcW w:w="15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20</w:t>
            </w:r>
          </w:p>
        </w:tc>
        <w:tc>
          <w:tcPr>
            <w:tcW w:w="1900" w:type="dxa"/>
            <w:vAlign w:val="bottom"/>
            <w:tcBorders>
              <w:bottom w:val="single" w:sz="8" w:color="838383"/>
            </w:tcBorders>
          </w:tcPr>
          <w:p>
            <w:pPr>
              <w:spacing w:after="0"/>
              <w:rPr>
                <w:sz w:val="24"/>
                <w:szCs w:val="24"/>
                <w:color w:val="auto"/>
              </w:rPr>
            </w:pPr>
          </w:p>
        </w:tc>
        <w:tc>
          <w:tcPr>
            <w:tcW w:w="2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17,289</w:t>
            </w:r>
          </w:p>
        </w:tc>
      </w:tr>
      <w:tr>
        <w:trPr>
          <w:trHeight w:val="355"/>
        </w:trPr>
        <w:tc>
          <w:tcPr>
            <w:tcW w:w="3260" w:type="dxa"/>
            <w:vAlign w:val="bottom"/>
            <w:tcBorders>
              <w:bottom w:val="single" w:sz="8" w:color="8F8F8F"/>
            </w:tcBorders>
          </w:tcPr>
          <w:p>
            <w:pPr>
              <w:spacing w:after="0"/>
              <w:rPr>
                <w:sz w:val="20"/>
                <w:szCs w:val="20"/>
                <w:color w:val="auto"/>
              </w:rPr>
            </w:pPr>
            <w:r>
              <w:rPr>
                <w:rFonts w:ascii="Times New Roman" w:cs="Times New Roman" w:eastAsia="Times New Roman" w:hAnsi="Times New Roman"/>
                <w:sz w:val="18"/>
                <w:szCs w:val="18"/>
                <w:color w:val="262626"/>
              </w:rPr>
              <w:t>Forfeited</w:t>
            </w:r>
          </w:p>
        </w:tc>
        <w:tc>
          <w:tcPr>
            <w:tcW w:w="182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(248)</w:t>
            </w:r>
          </w:p>
        </w:tc>
        <w:tc>
          <w:tcPr>
            <w:tcW w:w="200" w:type="dxa"/>
            <w:vAlign w:val="bottom"/>
            <w:tcBorders>
              <w:bottom w:val="single" w:sz="8" w:color="8F8F8F"/>
            </w:tcBorders>
          </w:tcPr>
          <w:p>
            <w:pPr>
              <w:spacing w:after="0"/>
              <w:rPr>
                <w:sz w:val="24"/>
                <w:szCs w:val="24"/>
                <w:color w:val="auto"/>
              </w:rPr>
            </w:pPr>
          </w:p>
        </w:tc>
        <w:tc>
          <w:tcPr>
            <w:tcW w:w="152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27</w:t>
            </w:r>
          </w:p>
        </w:tc>
        <w:tc>
          <w:tcPr>
            <w:tcW w:w="1900" w:type="dxa"/>
            <w:vAlign w:val="bottom"/>
            <w:tcBorders>
              <w:bottom w:val="single" w:sz="8" w:color="838383"/>
            </w:tcBorders>
          </w:tcPr>
          <w:p>
            <w:pPr>
              <w:spacing w:after="0"/>
              <w:rPr>
                <w:sz w:val="24"/>
                <w:szCs w:val="24"/>
                <w:color w:val="auto"/>
              </w:rPr>
            </w:pPr>
          </w:p>
        </w:tc>
        <w:tc>
          <w:tcPr>
            <w:tcW w:w="240" w:type="dxa"/>
            <w:vAlign w:val="bottom"/>
            <w:tcBorders>
              <w:bottom w:val="single" w:sz="8" w:color="838383"/>
            </w:tcBorders>
          </w:tcPr>
          <w:p>
            <w:pPr>
              <w:spacing w:after="0"/>
              <w:rPr>
                <w:sz w:val="24"/>
                <w:szCs w:val="24"/>
                <w:color w:val="auto"/>
              </w:rPr>
            </w:pPr>
          </w:p>
        </w:tc>
        <w:tc>
          <w:tcPr>
            <w:tcW w:w="1500" w:type="dxa"/>
            <w:vAlign w:val="bottom"/>
            <w:tcBorders>
              <w:bottom w:val="single" w:sz="8" w:color="838383"/>
            </w:tcBorders>
          </w:tcPr>
          <w:p>
            <w:pPr>
              <w:spacing w:after="0"/>
              <w:rPr>
                <w:sz w:val="24"/>
                <w:szCs w:val="24"/>
                <w:color w:val="auto"/>
              </w:rPr>
            </w:pPr>
          </w:p>
        </w:tc>
      </w:tr>
      <w:tr>
        <w:trPr>
          <w:trHeight w:val="325"/>
        </w:trPr>
        <w:tc>
          <w:tcPr>
            <w:tcW w:w="32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Outstanding at End of Year</w:t>
            </w:r>
          </w:p>
        </w:tc>
        <w:tc>
          <w:tcPr>
            <w:tcW w:w="18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4,535</w:t>
            </w:r>
          </w:p>
        </w:tc>
        <w:tc>
          <w:tcPr>
            <w:tcW w:w="200" w:type="dxa"/>
            <w:vAlign w:val="bottom"/>
            <w:tcBorders>
              <w:bottom w:val="single" w:sz="8" w:color="838383"/>
            </w:tcBorders>
          </w:tcPr>
          <w:p>
            <w:pPr>
              <w:spacing w:after="0"/>
              <w:rPr>
                <w:sz w:val="24"/>
                <w:szCs w:val="24"/>
                <w:color w:val="auto"/>
              </w:rPr>
            </w:pPr>
          </w:p>
        </w:tc>
        <w:tc>
          <w:tcPr>
            <w:tcW w:w="15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27</w:t>
            </w:r>
          </w:p>
        </w:tc>
        <w:tc>
          <w:tcPr>
            <w:tcW w:w="19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3.4 years</w:t>
            </w:r>
          </w:p>
        </w:tc>
        <w:tc>
          <w:tcPr>
            <w:tcW w:w="2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35,283</w:t>
            </w:r>
          </w:p>
        </w:tc>
      </w:tr>
      <w:tr>
        <w:trPr>
          <w:trHeight w:val="36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262626"/>
              </w:rPr>
              <w:t>Exercisable at End of Year</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1,380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23</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2.5 years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16,433</w:t>
            </w:r>
          </w:p>
        </w:tc>
      </w:tr>
    </w:tbl>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gridSpan w:val="2"/>
          </w:tcPr>
          <w:p>
            <w:pPr>
              <w:jc w:val="right"/>
              <w:ind w:right="1530"/>
              <w:spacing w:after="0"/>
              <w:rPr>
                <w:sz w:val="20"/>
                <w:szCs w:val="20"/>
                <w:color w:val="auto"/>
              </w:rPr>
            </w:pPr>
            <w:r>
              <w:rPr>
                <w:rFonts w:ascii="Arial" w:cs="Arial" w:eastAsia="Arial" w:hAnsi="Arial"/>
                <w:sz w:val="18"/>
                <w:szCs w:val="18"/>
                <w:b w:val="1"/>
                <w:bCs w:val="1"/>
                <w:color w:val="262626"/>
              </w:rPr>
              <w:t>2020</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24"/>
        </w:trPr>
        <w:tc>
          <w:tcPr>
            <w:tcW w:w="326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b w:val="1"/>
                <w:bCs w:val="1"/>
                <w:color w:val="262626"/>
              </w:rPr>
              <w:t>Shares (000)</w:t>
            </w: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262626"/>
                <w:w w:val="91"/>
              </w:rPr>
              <w:t>Wtd. Avg. Ex. Price</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262626"/>
                <w:w w:val="99"/>
              </w:rPr>
              <w:t>Wtd. Avg. Remaining</w:t>
            </w: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262626"/>
                <w:w w:val="90"/>
              </w:rPr>
              <w:t>Aggregate Intrinsic</w:t>
            </w:r>
          </w:p>
        </w:tc>
      </w:tr>
      <w:tr>
        <w:trPr>
          <w:trHeight w:val="267"/>
        </w:trPr>
        <w:tc>
          <w:tcPr>
            <w:tcW w:w="32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262626"/>
              </w:rPr>
              <w:t>Contract Life</w:t>
            </w:r>
          </w:p>
        </w:tc>
        <w:tc>
          <w:tcPr>
            <w:tcW w:w="2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262626"/>
              </w:rPr>
              <w:t>Value (000)</w:t>
            </w:r>
          </w:p>
        </w:tc>
      </w:tr>
      <w:tr>
        <w:trPr>
          <w:trHeight w:val="292"/>
        </w:trPr>
        <w:tc>
          <w:tcPr>
            <w:tcW w:w="32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Outstanding at Beginning of Year</w:t>
            </w:r>
          </w:p>
        </w:tc>
        <w:tc>
          <w:tcPr>
            <w:tcW w:w="18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5,435</w:t>
            </w:r>
          </w:p>
        </w:tc>
        <w:tc>
          <w:tcPr>
            <w:tcW w:w="2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5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20</w:t>
            </w:r>
          </w:p>
        </w:tc>
        <w:tc>
          <w:tcPr>
            <w:tcW w:w="1900" w:type="dxa"/>
            <w:vAlign w:val="bottom"/>
            <w:tcBorders>
              <w:bottom w:val="single" w:sz="8" w:color="838383"/>
            </w:tcBorders>
          </w:tcPr>
          <w:p>
            <w:pPr>
              <w:spacing w:after="0"/>
              <w:rPr>
                <w:sz w:val="24"/>
                <w:szCs w:val="24"/>
                <w:color w:val="auto"/>
              </w:rPr>
            </w:pPr>
          </w:p>
        </w:tc>
        <w:tc>
          <w:tcPr>
            <w:tcW w:w="240" w:type="dxa"/>
            <w:vAlign w:val="bottom"/>
            <w:tcBorders>
              <w:bottom w:val="single" w:sz="8" w:color="838383"/>
            </w:tcBorders>
          </w:tcPr>
          <w:p>
            <w:pPr>
              <w:spacing w:after="0"/>
              <w:rPr>
                <w:sz w:val="24"/>
                <w:szCs w:val="24"/>
                <w:color w:val="auto"/>
              </w:rPr>
            </w:pPr>
          </w:p>
        </w:tc>
        <w:tc>
          <w:tcPr>
            <w:tcW w:w="1500" w:type="dxa"/>
            <w:vAlign w:val="bottom"/>
            <w:tcBorders>
              <w:bottom w:val="single" w:sz="8" w:color="838383"/>
            </w:tcBorders>
          </w:tcPr>
          <w:p>
            <w:pPr>
              <w:spacing w:after="0"/>
              <w:rPr>
                <w:sz w:val="24"/>
                <w:szCs w:val="24"/>
                <w:color w:val="auto"/>
              </w:rPr>
            </w:pPr>
          </w:p>
        </w:tc>
      </w:tr>
      <w:tr>
        <w:trPr>
          <w:trHeight w:val="340"/>
        </w:trPr>
        <w:tc>
          <w:tcPr>
            <w:tcW w:w="32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Granted</w:t>
            </w:r>
          </w:p>
        </w:tc>
        <w:tc>
          <w:tcPr>
            <w:tcW w:w="18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1,571</w:t>
            </w:r>
          </w:p>
        </w:tc>
        <w:tc>
          <w:tcPr>
            <w:tcW w:w="200" w:type="dxa"/>
            <w:vAlign w:val="bottom"/>
            <w:tcBorders>
              <w:bottom w:val="single" w:sz="8" w:color="838383"/>
            </w:tcBorders>
          </w:tcPr>
          <w:p>
            <w:pPr>
              <w:spacing w:after="0"/>
              <w:rPr>
                <w:sz w:val="24"/>
                <w:szCs w:val="24"/>
                <w:color w:val="auto"/>
              </w:rPr>
            </w:pPr>
          </w:p>
        </w:tc>
        <w:tc>
          <w:tcPr>
            <w:tcW w:w="15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26</w:t>
            </w:r>
          </w:p>
        </w:tc>
        <w:tc>
          <w:tcPr>
            <w:tcW w:w="1900" w:type="dxa"/>
            <w:vAlign w:val="bottom"/>
            <w:tcBorders>
              <w:bottom w:val="single" w:sz="8" w:color="838383"/>
            </w:tcBorders>
          </w:tcPr>
          <w:p>
            <w:pPr>
              <w:spacing w:after="0"/>
              <w:rPr>
                <w:sz w:val="24"/>
                <w:szCs w:val="24"/>
                <w:color w:val="auto"/>
              </w:rPr>
            </w:pPr>
          </w:p>
        </w:tc>
        <w:tc>
          <w:tcPr>
            <w:tcW w:w="240" w:type="dxa"/>
            <w:vAlign w:val="bottom"/>
            <w:tcBorders>
              <w:bottom w:val="single" w:sz="8" w:color="838383"/>
            </w:tcBorders>
          </w:tcPr>
          <w:p>
            <w:pPr>
              <w:spacing w:after="0"/>
              <w:rPr>
                <w:sz w:val="24"/>
                <w:szCs w:val="24"/>
                <w:color w:val="auto"/>
              </w:rPr>
            </w:pPr>
          </w:p>
        </w:tc>
        <w:tc>
          <w:tcPr>
            <w:tcW w:w="1500" w:type="dxa"/>
            <w:vAlign w:val="bottom"/>
            <w:tcBorders>
              <w:bottom w:val="single" w:sz="8" w:color="838383"/>
            </w:tcBorders>
          </w:tcPr>
          <w:p>
            <w:pPr>
              <w:spacing w:after="0"/>
              <w:rPr>
                <w:sz w:val="24"/>
                <w:szCs w:val="24"/>
                <w:color w:val="auto"/>
              </w:rPr>
            </w:pPr>
          </w:p>
        </w:tc>
      </w:tr>
      <w:tr>
        <w:trPr>
          <w:trHeight w:val="340"/>
        </w:trPr>
        <w:tc>
          <w:tcPr>
            <w:tcW w:w="32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Exercised</w:t>
            </w:r>
          </w:p>
        </w:tc>
        <w:tc>
          <w:tcPr>
            <w:tcW w:w="18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(2,077)</w:t>
            </w:r>
          </w:p>
        </w:tc>
        <w:tc>
          <w:tcPr>
            <w:tcW w:w="200" w:type="dxa"/>
            <w:vAlign w:val="bottom"/>
            <w:tcBorders>
              <w:bottom w:val="single" w:sz="8" w:color="838383"/>
            </w:tcBorders>
          </w:tcPr>
          <w:p>
            <w:pPr>
              <w:spacing w:after="0"/>
              <w:rPr>
                <w:sz w:val="24"/>
                <w:szCs w:val="24"/>
                <w:color w:val="auto"/>
              </w:rPr>
            </w:pPr>
          </w:p>
        </w:tc>
        <w:tc>
          <w:tcPr>
            <w:tcW w:w="15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18</w:t>
            </w:r>
          </w:p>
        </w:tc>
        <w:tc>
          <w:tcPr>
            <w:tcW w:w="1900" w:type="dxa"/>
            <w:vAlign w:val="bottom"/>
            <w:tcBorders>
              <w:bottom w:val="single" w:sz="8" w:color="838383"/>
            </w:tcBorders>
          </w:tcPr>
          <w:p>
            <w:pPr>
              <w:spacing w:after="0"/>
              <w:rPr>
                <w:sz w:val="24"/>
                <w:szCs w:val="24"/>
                <w:color w:val="auto"/>
              </w:rPr>
            </w:pPr>
          </w:p>
        </w:tc>
        <w:tc>
          <w:tcPr>
            <w:tcW w:w="2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23,861</w:t>
            </w:r>
          </w:p>
        </w:tc>
      </w:tr>
      <w:tr>
        <w:trPr>
          <w:trHeight w:val="355"/>
        </w:trPr>
        <w:tc>
          <w:tcPr>
            <w:tcW w:w="3260" w:type="dxa"/>
            <w:vAlign w:val="bottom"/>
            <w:tcBorders>
              <w:bottom w:val="single" w:sz="8" w:color="8F8F8F"/>
            </w:tcBorders>
          </w:tcPr>
          <w:p>
            <w:pPr>
              <w:spacing w:after="0"/>
              <w:rPr>
                <w:sz w:val="20"/>
                <w:szCs w:val="20"/>
                <w:color w:val="auto"/>
              </w:rPr>
            </w:pPr>
            <w:r>
              <w:rPr>
                <w:rFonts w:ascii="Times New Roman" w:cs="Times New Roman" w:eastAsia="Times New Roman" w:hAnsi="Times New Roman"/>
                <w:sz w:val="18"/>
                <w:szCs w:val="18"/>
                <w:color w:val="262626"/>
              </w:rPr>
              <w:t>Forfeited</w:t>
            </w:r>
          </w:p>
        </w:tc>
        <w:tc>
          <w:tcPr>
            <w:tcW w:w="182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(396)</w:t>
            </w:r>
          </w:p>
        </w:tc>
        <w:tc>
          <w:tcPr>
            <w:tcW w:w="200" w:type="dxa"/>
            <w:vAlign w:val="bottom"/>
            <w:tcBorders>
              <w:bottom w:val="single" w:sz="8" w:color="8F8F8F"/>
            </w:tcBorders>
          </w:tcPr>
          <w:p>
            <w:pPr>
              <w:spacing w:after="0"/>
              <w:rPr>
                <w:sz w:val="24"/>
                <w:szCs w:val="24"/>
                <w:color w:val="auto"/>
              </w:rPr>
            </w:pPr>
          </w:p>
        </w:tc>
        <w:tc>
          <w:tcPr>
            <w:tcW w:w="152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22</w:t>
            </w:r>
          </w:p>
        </w:tc>
        <w:tc>
          <w:tcPr>
            <w:tcW w:w="1900" w:type="dxa"/>
            <w:vAlign w:val="bottom"/>
            <w:tcBorders>
              <w:bottom w:val="single" w:sz="8" w:color="838383"/>
            </w:tcBorders>
          </w:tcPr>
          <w:p>
            <w:pPr>
              <w:spacing w:after="0"/>
              <w:rPr>
                <w:sz w:val="24"/>
                <w:szCs w:val="24"/>
                <w:color w:val="auto"/>
              </w:rPr>
            </w:pPr>
          </w:p>
        </w:tc>
        <w:tc>
          <w:tcPr>
            <w:tcW w:w="240" w:type="dxa"/>
            <w:vAlign w:val="bottom"/>
            <w:tcBorders>
              <w:bottom w:val="single" w:sz="8" w:color="838383"/>
            </w:tcBorders>
          </w:tcPr>
          <w:p>
            <w:pPr>
              <w:spacing w:after="0"/>
              <w:rPr>
                <w:sz w:val="24"/>
                <w:szCs w:val="24"/>
                <w:color w:val="auto"/>
              </w:rPr>
            </w:pPr>
          </w:p>
        </w:tc>
        <w:tc>
          <w:tcPr>
            <w:tcW w:w="1500" w:type="dxa"/>
            <w:vAlign w:val="bottom"/>
            <w:tcBorders>
              <w:bottom w:val="single" w:sz="8" w:color="838383"/>
            </w:tcBorders>
          </w:tcPr>
          <w:p>
            <w:pPr>
              <w:spacing w:after="0"/>
              <w:rPr>
                <w:sz w:val="24"/>
                <w:szCs w:val="24"/>
                <w:color w:val="auto"/>
              </w:rPr>
            </w:pPr>
          </w:p>
        </w:tc>
      </w:tr>
      <w:tr>
        <w:trPr>
          <w:trHeight w:val="325"/>
        </w:trPr>
        <w:tc>
          <w:tcPr>
            <w:tcW w:w="32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Outstanding at End of Year</w:t>
            </w:r>
          </w:p>
        </w:tc>
        <w:tc>
          <w:tcPr>
            <w:tcW w:w="18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4,533</w:t>
            </w:r>
          </w:p>
        </w:tc>
        <w:tc>
          <w:tcPr>
            <w:tcW w:w="200" w:type="dxa"/>
            <w:vAlign w:val="bottom"/>
            <w:tcBorders>
              <w:bottom w:val="single" w:sz="8" w:color="838383"/>
            </w:tcBorders>
          </w:tcPr>
          <w:p>
            <w:pPr>
              <w:spacing w:after="0"/>
              <w:rPr>
                <w:sz w:val="24"/>
                <w:szCs w:val="24"/>
                <w:color w:val="auto"/>
              </w:rPr>
            </w:pPr>
          </w:p>
        </w:tc>
        <w:tc>
          <w:tcPr>
            <w:tcW w:w="15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23</w:t>
            </w:r>
          </w:p>
        </w:tc>
        <w:tc>
          <w:tcPr>
            <w:tcW w:w="19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3.4 years</w:t>
            </w:r>
          </w:p>
        </w:tc>
        <w:tc>
          <w:tcPr>
            <w:tcW w:w="2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5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48,501</w:t>
            </w:r>
          </w:p>
        </w:tc>
      </w:tr>
      <w:tr>
        <w:trPr>
          <w:trHeight w:val="36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262626"/>
              </w:rPr>
              <w:t>Exercisable at End of Year</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1,358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20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2.3 years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18,334</w:t>
            </w:r>
          </w:p>
        </w:tc>
      </w:tr>
    </w:tbl>
    <w:p>
      <w:pPr>
        <w:spacing w:after="0" w:line="305" w:lineRule="exact"/>
        <w:rPr>
          <w:sz w:val="20"/>
          <w:szCs w:val="20"/>
          <w:color w:val="auto"/>
        </w:rPr>
      </w:pPr>
    </w:p>
    <w:p>
      <w:pPr>
        <w:ind w:right="440"/>
        <w:spacing w:after="0" w:line="437" w:lineRule="auto"/>
        <w:rPr>
          <w:sz w:val="20"/>
          <w:szCs w:val="20"/>
          <w:color w:val="auto"/>
        </w:rPr>
      </w:pPr>
      <w:r>
        <w:rPr>
          <w:rFonts w:ascii="Times New Roman" w:cs="Times New Roman" w:eastAsia="Times New Roman" w:hAnsi="Times New Roman"/>
          <w:sz w:val="18"/>
          <w:szCs w:val="18"/>
          <w:color w:val="262626"/>
        </w:rPr>
        <w:t>A summary of the status of the Company’s non-vested employee stock option activity for the years ended December 31, 2022, 2021, and 2020, are presented in the table below:</w:t>
      </w:r>
    </w:p>
    <w:p>
      <w:pPr>
        <w:sectPr>
          <w:pgSz w:w="12240" w:h="15840" w:orient="portrait"/>
          <w:cols w:equalWidth="0" w:num="1">
            <w:col w:w="10760"/>
          </w:cols>
          <w:pgMar w:left="900" w:top="967" w:right="580" w:bottom="0" w:gutter="0" w:footer="0" w:header="0"/>
        </w:sectPr>
      </w:pP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2600" w:type="dxa"/>
            <w:vAlign w:val="bottom"/>
          </w:tcPr>
          <w:p>
            <w:pPr>
              <w:spacing w:after="0"/>
              <w:rPr>
                <w:sz w:val="24"/>
                <w:szCs w:val="24"/>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262626"/>
              </w:rPr>
              <w:t>2022</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Wtd. Avg</w:t>
            </w:r>
          </w:p>
        </w:tc>
        <w:tc>
          <w:tcPr>
            <w:tcW w:w="0" w:type="dxa"/>
            <w:vAlign w:val="bottom"/>
          </w:tcPr>
          <w:p>
            <w:pPr>
              <w:spacing w:after="0"/>
              <w:rPr>
                <w:sz w:val="1"/>
                <w:szCs w:val="1"/>
                <w:color w:val="auto"/>
              </w:rPr>
            </w:pPr>
          </w:p>
        </w:tc>
      </w:tr>
      <w:tr>
        <w:trPr>
          <w:trHeight w:val="236"/>
        </w:trPr>
        <w:tc>
          <w:tcPr>
            <w:tcW w:w="260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Shares (000)</w:t>
            </w:r>
          </w:p>
        </w:tc>
        <w:tc>
          <w:tcPr>
            <w:tcW w:w="2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6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262626"/>
              </w:rPr>
              <w:t>Grant Date</w:t>
            </w:r>
          </w:p>
        </w:tc>
        <w:tc>
          <w:tcPr>
            <w:tcW w:w="0" w:type="dxa"/>
            <w:vAlign w:val="bottom"/>
          </w:tcPr>
          <w:p>
            <w:pPr>
              <w:spacing w:after="0"/>
              <w:rPr>
                <w:sz w:val="1"/>
                <w:szCs w:val="1"/>
                <w:color w:val="auto"/>
              </w:rPr>
            </w:pPr>
          </w:p>
        </w:tc>
      </w:tr>
      <w:tr>
        <w:trPr>
          <w:trHeight w:val="302"/>
        </w:trPr>
        <w:tc>
          <w:tcPr>
            <w:tcW w:w="2600" w:type="dxa"/>
            <w:vAlign w:val="bottom"/>
            <w:vMerge w:val="restart"/>
          </w:tcPr>
          <w:p>
            <w:pPr>
              <w:spacing w:after="0"/>
              <w:rPr>
                <w:sz w:val="20"/>
                <w:szCs w:val="20"/>
                <w:color w:val="auto"/>
              </w:rPr>
            </w:pPr>
            <w:r>
              <w:rPr>
                <w:rFonts w:ascii="Times New Roman" w:cs="Times New Roman" w:eastAsia="Times New Roman" w:hAnsi="Times New Roman"/>
                <w:sz w:val="18"/>
                <w:szCs w:val="18"/>
                <w:color w:val="262626"/>
              </w:rPr>
              <w:t>Nonvested Stock Options</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262626"/>
              </w:rPr>
              <w:t>Fair Value</w:t>
            </w:r>
          </w:p>
        </w:tc>
        <w:tc>
          <w:tcPr>
            <w:tcW w:w="0" w:type="dxa"/>
            <w:vAlign w:val="bottom"/>
          </w:tcPr>
          <w:p>
            <w:pPr>
              <w:spacing w:after="0"/>
              <w:rPr>
                <w:sz w:val="1"/>
                <w:szCs w:val="1"/>
                <w:color w:val="auto"/>
              </w:rPr>
            </w:pPr>
          </w:p>
        </w:tc>
      </w:tr>
      <w:tr>
        <w:trPr>
          <w:trHeight w:val="203"/>
        </w:trPr>
        <w:tc>
          <w:tcPr>
            <w:tcW w:w="2600" w:type="dxa"/>
            <w:vAlign w:val="bottom"/>
            <w:vMerge w:val="continue"/>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3,156</w:t>
            </w:r>
          </w:p>
        </w:tc>
        <w:tc>
          <w:tcPr>
            <w:tcW w:w="2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5</w:t>
            </w:r>
          </w:p>
        </w:tc>
        <w:tc>
          <w:tcPr>
            <w:tcW w:w="0" w:type="dxa"/>
            <w:vAlign w:val="bottom"/>
          </w:tcPr>
          <w:p>
            <w:pPr>
              <w:spacing w:after="0"/>
              <w:rPr>
                <w:sz w:val="1"/>
                <w:szCs w:val="1"/>
                <w:color w:val="auto"/>
              </w:rPr>
            </w:pPr>
          </w:p>
        </w:tc>
      </w:tr>
      <w:tr>
        <w:trPr>
          <w:trHeight w:val="180"/>
        </w:trPr>
        <w:tc>
          <w:tcPr>
            <w:tcW w:w="2600" w:type="dxa"/>
            <w:vAlign w:val="bottom"/>
            <w:vMerge w:val="restart"/>
          </w:tcPr>
          <w:p>
            <w:pPr>
              <w:spacing w:after="0"/>
              <w:rPr>
                <w:sz w:val="20"/>
                <w:szCs w:val="20"/>
                <w:color w:val="auto"/>
              </w:rPr>
            </w:pPr>
            <w:r>
              <w:rPr>
                <w:rFonts w:ascii="Times New Roman" w:cs="Times New Roman" w:eastAsia="Times New Roman" w:hAnsi="Times New Roman"/>
                <w:sz w:val="18"/>
                <w:szCs w:val="18"/>
                <w:color w:val="262626"/>
              </w:rPr>
              <w:t>at Beginning of Year</w:t>
            </w:r>
          </w:p>
        </w:tc>
        <w:tc>
          <w:tcPr>
            <w:tcW w:w="12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600" w:type="dxa"/>
            <w:vAlign w:val="bottom"/>
            <w:tcBorders>
              <w:bottom w:val="single" w:sz="8" w:color="838383"/>
            </w:tcBorders>
            <w:vMerge w:val="continue"/>
          </w:tcPr>
          <w:p>
            <w:pPr>
              <w:spacing w:after="0"/>
              <w:rPr>
                <w:sz w:val="7"/>
                <w:szCs w:val="7"/>
                <w:color w:val="auto"/>
              </w:rPr>
            </w:pPr>
          </w:p>
        </w:tc>
        <w:tc>
          <w:tcPr>
            <w:tcW w:w="1240" w:type="dxa"/>
            <w:vAlign w:val="bottom"/>
            <w:tcBorders>
              <w:bottom w:val="single" w:sz="8" w:color="838383"/>
            </w:tcBorders>
          </w:tcPr>
          <w:p>
            <w:pPr>
              <w:spacing w:after="0"/>
              <w:rPr>
                <w:sz w:val="7"/>
                <w:szCs w:val="7"/>
                <w:color w:val="auto"/>
              </w:rPr>
            </w:pPr>
          </w:p>
        </w:tc>
        <w:tc>
          <w:tcPr>
            <w:tcW w:w="280" w:type="dxa"/>
            <w:vAlign w:val="bottom"/>
            <w:tcBorders>
              <w:bottom w:val="single" w:sz="8" w:color="838383"/>
            </w:tcBorders>
          </w:tcPr>
          <w:p>
            <w:pPr>
              <w:spacing w:after="0"/>
              <w:rPr>
                <w:sz w:val="7"/>
                <w:szCs w:val="7"/>
                <w:color w:val="auto"/>
              </w:rPr>
            </w:pPr>
          </w:p>
        </w:tc>
        <w:tc>
          <w:tcPr>
            <w:tcW w:w="960" w:type="dxa"/>
            <w:vAlign w:val="bottom"/>
            <w:tcBorders>
              <w:bottom w:val="single" w:sz="8" w:color="838383"/>
            </w:tcBorders>
          </w:tcPr>
          <w:p>
            <w:pPr>
              <w:spacing w:after="0"/>
              <w:rPr>
                <w:sz w:val="7"/>
                <w:szCs w:val="7"/>
                <w:color w:val="auto"/>
              </w:rPr>
            </w:pPr>
          </w:p>
        </w:tc>
        <w:tc>
          <w:tcPr>
            <w:tcW w:w="0" w:type="dxa"/>
            <w:vAlign w:val="bottom"/>
          </w:tcPr>
          <w:p>
            <w:pPr>
              <w:spacing w:after="0"/>
              <w:rPr>
                <w:sz w:val="1"/>
                <w:szCs w:val="1"/>
                <w:color w:val="auto"/>
              </w:rPr>
            </w:pPr>
          </w:p>
        </w:tc>
      </w:tr>
      <w:tr>
        <w:trPr>
          <w:trHeight w:val="340"/>
        </w:trPr>
        <w:tc>
          <w:tcPr>
            <w:tcW w:w="26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Granted</w:t>
            </w:r>
          </w:p>
        </w:tc>
        <w:tc>
          <w:tcPr>
            <w:tcW w:w="12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1,219</w:t>
            </w:r>
          </w:p>
        </w:tc>
        <w:tc>
          <w:tcPr>
            <w:tcW w:w="280" w:type="dxa"/>
            <w:vAlign w:val="bottom"/>
            <w:tcBorders>
              <w:bottom w:val="single" w:sz="8" w:color="838383"/>
            </w:tcBorders>
          </w:tcPr>
          <w:p>
            <w:pPr>
              <w:spacing w:after="0"/>
              <w:rPr>
                <w:sz w:val="24"/>
                <w:szCs w:val="24"/>
                <w:color w:val="auto"/>
              </w:rPr>
            </w:pPr>
          </w:p>
        </w:tc>
        <w:tc>
          <w:tcPr>
            <w:tcW w:w="9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6</w:t>
            </w:r>
          </w:p>
        </w:tc>
        <w:tc>
          <w:tcPr>
            <w:tcW w:w="0" w:type="dxa"/>
            <w:vAlign w:val="bottom"/>
          </w:tcPr>
          <w:p>
            <w:pPr>
              <w:spacing w:after="0"/>
              <w:rPr>
                <w:sz w:val="1"/>
                <w:szCs w:val="1"/>
                <w:color w:val="auto"/>
              </w:rPr>
            </w:pPr>
          </w:p>
        </w:tc>
      </w:tr>
      <w:tr>
        <w:trPr>
          <w:trHeight w:val="340"/>
        </w:trPr>
        <w:tc>
          <w:tcPr>
            <w:tcW w:w="26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Vested</w:t>
            </w:r>
          </w:p>
        </w:tc>
        <w:tc>
          <w:tcPr>
            <w:tcW w:w="12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(1,153)</w:t>
            </w:r>
          </w:p>
        </w:tc>
        <w:tc>
          <w:tcPr>
            <w:tcW w:w="280" w:type="dxa"/>
            <w:vAlign w:val="bottom"/>
            <w:tcBorders>
              <w:bottom w:val="single" w:sz="8" w:color="838383"/>
            </w:tcBorders>
          </w:tcPr>
          <w:p>
            <w:pPr>
              <w:spacing w:after="0"/>
              <w:rPr>
                <w:sz w:val="24"/>
                <w:szCs w:val="24"/>
                <w:color w:val="auto"/>
              </w:rPr>
            </w:pPr>
          </w:p>
        </w:tc>
        <w:tc>
          <w:tcPr>
            <w:tcW w:w="9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w:t>
            </w:r>
          </w:p>
        </w:tc>
        <w:tc>
          <w:tcPr>
            <w:tcW w:w="0" w:type="dxa"/>
            <w:vAlign w:val="bottom"/>
          </w:tcPr>
          <w:p>
            <w:pPr>
              <w:spacing w:after="0"/>
              <w:rPr>
                <w:sz w:val="1"/>
                <w:szCs w:val="1"/>
                <w:color w:val="auto"/>
              </w:rPr>
            </w:pPr>
          </w:p>
        </w:tc>
      </w:tr>
      <w:tr>
        <w:trPr>
          <w:trHeight w:val="355"/>
        </w:trPr>
        <w:tc>
          <w:tcPr>
            <w:tcW w:w="260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Forfeited</w:t>
            </w:r>
          </w:p>
        </w:tc>
        <w:tc>
          <w:tcPr>
            <w:tcW w:w="12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(309)</w:t>
            </w:r>
          </w:p>
        </w:tc>
        <w:tc>
          <w:tcPr>
            <w:tcW w:w="280" w:type="dxa"/>
            <w:vAlign w:val="bottom"/>
            <w:tcBorders>
              <w:bottom w:val="single" w:sz="8" w:color="8F8F8F"/>
            </w:tcBorders>
          </w:tcPr>
          <w:p>
            <w:pPr>
              <w:spacing w:after="0"/>
              <w:rPr>
                <w:sz w:val="24"/>
                <w:szCs w:val="24"/>
                <w:color w:val="auto"/>
              </w:rPr>
            </w:pPr>
          </w:p>
        </w:tc>
        <w:tc>
          <w:tcPr>
            <w:tcW w:w="9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6</w:t>
            </w:r>
          </w:p>
        </w:tc>
        <w:tc>
          <w:tcPr>
            <w:tcW w:w="0" w:type="dxa"/>
            <w:vAlign w:val="bottom"/>
          </w:tcPr>
          <w:p>
            <w:pPr>
              <w:spacing w:after="0"/>
              <w:rPr>
                <w:sz w:val="1"/>
                <w:szCs w:val="1"/>
                <w:color w:val="auto"/>
              </w:rPr>
            </w:pPr>
          </w:p>
        </w:tc>
      </w:tr>
      <w:tr>
        <w:trPr>
          <w:trHeight w:val="24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262626"/>
              </w:rPr>
              <w:t>Nonvested Stock Options</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2,913</w:t>
            </w:r>
          </w:p>
        </w:tc>
        <w:tc>
          <w:tcPr>
            <w:tcW w:w="2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6</w:t>
            </w:r>
          </w:p>
        </w:tc>
        <w:tc>
          <w:tcPr>
            <w:tcW w:w="0" w:type="dxa"/>
            <w:vAlign w:val="bottom"/>
          </w:tcPr>
          <w:p>
            <w:pPr>
              <w:spacing w:after="0"/>
              <w:rPr>
                <w:sz w:val="1"/>
                <w:szCs w:val="1"/>
                <w:color w:val="auto"/>
              </w:rPr>
            </w:pPr>
          </w:p>
        </w:tc>
      </w:tr>
      <w:tr>
        <w:trPr>
          <w:trHeight w:val="180"/>
        </w:trPr>
        <w:tc>
          <w:tcPr>
            <w:tcW w:w="2600" w:type="dxa"/>
            <w:vAlign w:val="bottom"/>
            <w:vMerge w:val="restart"/>
          </w:tcPr>
          <w:p>
            <w:pPr>
              <w:spacing w:after="0"/>
              <w:rPr>
                <w:sz w:val="20"/>
                <w:szCs w:val="20"/>
                <w:color w:val="auto"/>
              </w:rPr>
            </w:pPr>
            <w:r>
              <w:rPr>
                <w:rFonts w:ascii="Times New Roman" w:cs="Times New Roman" w:eastAsia="Times New Roman" w:hAnsi="Times New Roman"/>
                <w:sz w:val="18"/>
                <w:szCs w:val="18"/>
                <w:color w:val="262626"/>
              </w:rPr>
              <w:t>at End of Year</w:t>
            </w:r>
          </w:p>
        </w:tc>
        <w:tc>
          <w:tcPr>
            <w:tcW w:w="12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60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4"/>
        </w:trPr>
        <w:tc>
          <w:tcPr>
            <w:tcW w:w="1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262626"/>
              </w:rPr>
              <w:t>2021</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Wtd. Avg</w:t>
            </w:r>
          </w:p>
        </w:tc>
        <w:tc>
          <w:tcPr>
            <w:tcW w:w="0" w:type="dxa"/>
            <w:vAlign w:val="bottom"/>
          </w:tcPr>
          <w:p>
            <w:pPr>
              <w:spacing w:after="0"/>
              <w:rPr>
                <w:sz w:val="1"/>
                <w:szCs w:val="1"/>
                <w:color w:val="auto"/>
              </w:rPr>
            </w:pPr>
          </w:p>
        </w:tc>
      </w:tr>
      <w:tr>
        <w:trPr>
          <w:trHeight w:val="236"/>
        </w:trPr>
        <w:tc>
          <w:tcPr>
            <w:tcW w:w="12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262626"/>
              </w:rPr>
              <w:t>Shares (000)</w:t>
            </w:r>
          </w:p>
        </w:tc>
        <w:tc>
          <w:tcPr>
            <w:tcW w:w="2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262626"/>
              </w:rPr>
              <w:t>Grant Date</w:t>
            </w:r>
          </w:p>
        </w:tc>
        <w:tc>
          <w:tcPr>
            <w:tcW w:w="0" w:type="dxa"/>
            <w:vAlign w:val="bottom"/>
          </w:tcPr>
          <w:p>
            <w:pPr>
              <w:spacing w:after="0"/>
              <w:rPr>
                <w:sz w:val="1"/>
                <w:szCs w:val="1"/>
                <w:color w:val="auto"/>
              </w:rPr>
            </w:pPr>
          </w:p>
        </w:tc>
      </w:tr>
      <w:tr>
        <w:trPr>
          <w:trHeight w:val="302"/>
        </w:trPr>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262626"/>
              </w:rPr>
              <w:t>Fair Value</w:t>
            </w:r>
          </w:p>
        </w:tc>
        <w:tc>
          <w:tcPr>
            <w:tcW w:w="0" w:type="dxa"/>
            <w:vAlign w:val="bottom"/>
          </w:tcPr>
          <w:p>
            <w:pPr>
              <w:spacing w:after="0"/>
              <w:rPr>
                <w:sz w:val="1"/>
                <w:szCs w:val="1"/>
                <w:color w:val="auto"/>
              </w:rPr>
            </w:pPr>
          </w:p>
        </w:tc>
      </w:tr>
      <w:tr>
        <w:trPr>
          <w:trHeight w:val="388"/>
        </w:trPr>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3,175</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5</w:t>
            </w:r>
          </w:p>
        </w:tc>
        <w:tc>
          <w:tcPr>
            <w:tcW w:w="0" w:type="dxa"/>
            <w:vAlign w:val="bottom"/>
          </w:tcPr>
          <w:p>
            <w:pPr>
              <w:spacing w:after="0"/>
              <w:rPr>
                <w:sz w:val="1"/>
                <w:szCs w:val="1"/>
                <w:color w:val="auto"/>
              </w:rPr>
            </w:pPr>
          </w:p>
        </w:tc>
      </w:tr>
      <w:tr>
        <w:trPr>
          <w:trHeight w:val="77"/>
        </w:trPr>
        <w:tc>
          <w:tcPr>
            <w:tcW w:w="1260" w:type="dxa"/>
            <w:vAlign w:val="bottom"/>
            <w:tcBorders>
              <w:bottom w:val="single" w:sz="8" w:color="838383"/>
            </w:tcBorders>
          </w:tcPr>
          <w:p>
            <w:pPr>
              <w:spacing w:after="0"/>
              <w:rPr>
                <w:sz w:val="6"/>
                <w:szCs w:val="6"/>
                <w:color w:val="auto"/>
              </w:rPr>
            </w:pPr>
          </w:p>
        </w:tc>
        <w:tc>
          <w:tcPr>
            <w:tcW w:w="280" w:type="dxa"/>
            <w:vAlign w:val="bottom"/>
            <w:tcBorders>
              <w:bottom w:val="single" w:sz="8" w:color="838383"/>
            </w:tcBorders>
          </w:tcPr>
          <w:p>
            <w:pPr>
              <w:spacing w:after="0"/>
              <w:rPr>
                <w:sz w:val="6"/>
                <w:szCs w:val="6"/>
                <w:color w:val="auto"/>
              </w:rPr>
            </w:pPr>
          </w:p>
        </w:tc>
        <w:tc>
          <w:tcPr>
            <w:tcW w:w="960" w:type="dxa"/>
            <w:vAlign w:val="bottom"/>
            <w:tcBorders>
              <w:bottom w:val="single" w:sz="8" w:color="838383"/>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12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1,434</w:t>
            </w:r>
          </w:p>
        </w:tc>
        <w:tc>
          <w:tcPr>
            <w:tcW w:w="280" w:type="dxa"/>
            <w:vAlign w:val="bottom"/>
            <w:tcBorders>
              <w:bottom w:val="single" w:sz="8" w:color="838383"/>
            </w:tcBorders>
          </w:tcPr>
          <w:p>
            <w:pPr>
              <w:spacing w:after="0"/>
              <w:rPr>
                <w:sz w:val="24"/>
                <w:szCs w:val="24"/>
                <w:color w:val="auto"/>
              </w:rPr>
            </w:pPr>
          </w:p>
        </w:tc>
        <w:tc>
          <w:tcPr>
            <w:tcW w:w="9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7</w:t>
            </w:r>
          </w:p>
        </w:tc>
        <w:tc>
          <w:tcPr>
            <w:tcW w:w="0" w:type="dxa"/>
            <w:vAlign w:val="bottom"/>
          </w:tcPr>
          <w:p>
            <w:pPr>
              <w:spacing w:after="0"/>
              <w:rPr>
                <w:sz w:val="1"/>
                <w:szCs w:val="1"/>
                <w:color w:val="auto"/>
              </w:rPr>
            </w:pPr>
          </w:p>
        </w:tc>
      </w:tr>
      <w:tr>
        <w:trPr>
          <w:trHeight w:val="340"/>
        </w:trPr>
        <w:tc>
          <w:tcPr>
            <w:tcW w:w="12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(1,212)</w:t>
            </w:r>
          </w:p>
        </w:tc>
        <w:tc>
          <w:tcPr>
            <w:tcW w:w="280" w:type="dxa"/>
            <w:vAlign w:val="bottom"/>
            <w:tcBorders>
              <w:bottom w:val="single" w:sz="8" w:color="838383"/>
            </w:tcBorders>
          </w:tcPr>
          <w:p>
            <w:pPr>
              <w:spacing w:after="0"/>
              <w:rPr>
                <w:sz w:val="24"/>
                <w:szCs w:val="24"/>
                <w:color w:val="auto"/>
              </w:rPr>
            </w:pPr>
          </w:p>
        </w:tc>
        <w:tc>
          <w:tcPr>
            <w:tcW w:w="9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420" w:hanging="1643"/>
        <w:spacing w:after="0"/>
        <w:tabs>
          <w:tab w:leader="none" w:pos="2420" w:val="left"/>
        </w:tabs>
        <w:numPr>
          <w:ilvl w:val="0"/>
          <w:numId w:val="22"/>
        </w:numPr>
        <w:rPr>
          <w:rFonts w:ascii="Times New Roman" w:cs="Times New Roman" w:eastAsia="Times New Roman" w:hAnsi="Times New Roman"/>
          <w:sz w:val="16"/>
          <w:szCs w:val="16"/>
          <w:color w:val="262626"/>
        </w:rPr>
      </w:pPr>
      <w:r>
        <w:rPr>
          <w:rFonts w:ascii="Times New Roman" w:cs="Times New Roman" w:eastAsia="Times New Roman" w:hAnsi="Times New Roman"/>
          <w:sz w:val="16"/>
          <w:szCs w:val="16"/>
          <w:color w:val="262626"/>
        </w:rPr>
        <w:t>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71120</wp:posOffset>
                </wp:positionV>
                <wp:extent cx="158496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4960" cy="4763"/>
                        </a:xfrm>
                        <a:prstGeom prst="line">
                          <a:avLst/>
                        </a:prstGeom>
                        <a:solidFill>
                          <a:srgbClr val="FFFFFF"/>
                        </a:solidFill>
                        <a:ln w="12700">
                          <a:solidFill>
                            <a:srgbClr val="8F8F8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5.6pt" to="125.15pt,5.6pt" o:allowincell="f" strokecolor="#8F8F8F" strokeweight="1pt"/>
            </w:pict>
          </mc:Fallback>
        </mc:AlternateContent>
      </w:r>
    </w:p>
    <w:p>
      <w:pPr>
        <w:spacing w:after="0" w:line="254" w:lineRule="exact"/>
        <w:rPr>
          <w:sz w:val="20"/>
          <w:szCs w:val="20"/>
          <w:color w:val="auto"/>
        </w:rPr>
      </w:pPr>
    </w:p>
    <w:p>
      <w:pPr>
        <w:ind w:left="760"/>
        <w:spacing w:after="0"/>
        <w:tabs>
          <w:tab w:leader="none" w:pos="1320" w:val="left"/>
          <w:tab w:leader="none" w:pos="2400" w:val="left"/>
        </w:tabs>
        <w:rPr>
          <w:sz w:val="20"/>
          <w:szCs w:val="20"/>
          <w:color w:val="auto"/>
        </w:rPr>
      </w:pPr>
      <w:r>
        <w:rPr>
          <w:rFonts w:ascii="Times New Roman" w:cs="Times New Roman" w:eastAsia="Times New Roman" w:hAnsi="Times New Roman"/>
          <w:sz w:val="18"/>
          <w:szCs w:val="18"/>
          <w:color w:val="262626"/>
        </w:rPr>
        <w:t>3,156</w:t>
        <w:tab/>
        <w:t>$</w:t>
      </w:r>
      <w:r>
        <w:rPr>
          <w:sz w:val="20"/>
          <w:szCs w:val="20"/>
          <w:color w:val="auto"/>
        </w:rPr>
        <w:tab/>
      </w:r>
      <w:r>
        <w:rPr>
          <w:rFonts w:ascii="Times New Roman" w:cs="Times New Roman" w:eastAsia="Times New Roman" w:hAnsi="Times New Roman"/>
          <w:sz w:val="16"/>
          <w:szCs w:val="16"/>
          <w:color w:val="262626"/>
        </w:rPr>
        <w:t>5</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4"/>
        </w:trPr>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262626"/>
              </w:rPr>
              <w:t>2020</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Wtd. Avg</w:t>
            </w:r>
          </w:p>
        </w:tc>
        <w:tc>
          <w:tcPr>
            <w:tcW w:w="0" w:type="dxa"/>
            <w:vAlign w:val="bottom"/>
          </w:tcPr>
          <w:p>
            <w:pPr>
              <w:spacing w:after="0"/>
              <w:rPr>
                <w:sz w:val="1"/>
                <w:szCs w:val="1"/>
                <w:color w:val="auto"/>
              </w:rPr>
            </w:pPr>
          </w:p>
        </w:tc>
      </w:tr>
      <w:tr>
        <w:trPr>
          <w:trHeight w:val="236"/>
        </w:trPr>
        <w:tc>
          <w:tcPr>
            <w:tcW w:w="12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262626"/>
              </w:rPr>
              <w:t>Shares (000)</w:t>
            </w:r>
          </w:p>
        </w:tc>
        <w:tc>
          <w:tcPr>
            <w:tcW w:w="2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262626"/>
              </w:rPr>
              <w:t>Grant Date</w:t>
            </w:r>
          </w:p>
        </w:tc>
        <w:tc>
          <w:tcPr>
            <w:tcW w:w="0" w:type="dxa"/>
            <w:vAlign w:val="bottom"/>
          </w:tcPr>
          <w:p>
            <w:pPr>
              <w:spacing w:after="0"/>
              <w:rPr>
                <w:sz w:val="1"/>
                <w:szCs w:val="1"/>
                <w:color w:val="auto"/>
              </w:rPr>
            </w:pPr>
          </w:p>
        </w:tc>
      </w:tr>
      <w:tr>
        <w:trPr>
          <w:trHeight w:val="302"/>
        </w:trPr>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262626"/>
              </w:rPr>
              <w:t>Fair Value</w:t>
            </w:r>
          </w:p>
        </w:tc>
        <w:tc>
          <w:tcPr>
            <w:tcW w:w="0" w:type="dxa"/>
            <w:vAlign w:val="bottom"/>
          </w:tcPr>
          <w:p>
            <w:pPr>
              <w:spacing w:after="0"/>
              <w:rPr>
                <w:sz w:val="1"/>
                <w:szCs w:val="1"/>
                <w:color w:val="auto"/>
              </w:rPr>
            </w:pPr>
          </w:p>
        </w:tc>
      </w:tr>
      <w:tr>
        <w:trPr>
          <w:trHeight w:val="388"/>
        </w:trPr>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3,575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4</w:t>
            </w:r>
          </w:p>
        </w:tc>
        <w:tc>
          <w:tcPr>
            <w:tcW w:w="0" w:type="dxa"/>
            <w:vAlign w:val="bottom"/>
          </w:tcPr>
          <w:p>
            <w:pPr>
              <w:spacing w:after="0"/>
              <w:rPr>
                <w:sz w:val="1"/>
                <w:szCs w:val="1"/>
                <w:color w:val="auto"/>
              </w:rPr>
            </w:pPr>
          </w:p>
        </w:tc>
      </w:tr>
      <w:tr>
        <w:trPr>
          <w:trHeight w:val="77"/>
        </w:trPr>
        <w:tc>
          <w:tcPr>
            <w:tcW w:w="1260" w:type="dxa"/>
            <w:vAlign w:val="bottom"/>
            <w:tcBorders>
              <w:bottom w:val="single" w:sz="8" w:color="838383"/>
            </w:tcBorders>
          </w:tcPr>
          <w:p>
            <w:pPr>
              <w:spacing w:after="0"/>
              <w:rPr>
                <w:sz w:val="6"/>
                <w:szCs w:val="6"/>
                <w:color w:val="auto"/>
              </w:rPr>
            </w:pPr>
          </w:p>
        </w:tc>
        <w:tc>
          <w:tcPr>
            <w:tcW w:w="260" w:type="dxa"/>
            <w:vAlign w:val="bottom"/>
            <w:tcBorders>
              <w:bottom w:val="single" w:sz="8" w:color="838383"/>
            </w:tcBorders>
          </w:tcPr>
          <w:p>
            <w:pPr>
              <w:spacing w:after="0"/>
              <w:rPr>
                <w:sz w:val="6"/>
                <w:szCs w:val="6"/>
                <w:color w:val="auto"/>
              </w:rPr>
            </w:pPr>
          </w:p>
        </w:tc>
        <w:tc>
          <w:tcPr>
            <w:tcW w:w="980" w:type="dxa"/>
            <w:vAlign w:val="bottom"/>
            <w:tcBorders>
              <w:bottom w:val="single" w:sz="8" w:color="838383"/>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12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1,571</w:t>
            </w:r>
          </w:p>
        </w:tc>
        <w:tc>
          <w:tcPr>
            <w:tcW w:w="260" w:type="dxa"/>
            <w:vAlign w:val="bottom"/>
            <w:tcBorders>
              <w:bottom w:val="single" w:sz="8" w:color="838383"/>
            </w:tcBorders>
          </w:tcPr>
          <w:p>
            <w:pPr>
              <w:spacing w:after="0"/>
              <w:rPr>
                <w:sz w:val="24"/>
                <w:szCs w:val="24"/>
                <w:color w:val="auto"/>
              </w:rPr>
            </w:pPr>
          </w:p>
        </w:tc>
        <w:tc>
          <w:tcPr>
            <w:tcW w:w="9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w:t>
            </w:r>
          </w:p>
        </w:tc>
        <w:tc>
          <w:tcPr>
            <w:tcW w:w="0" w:type="dxa"/>
            <w:vAlign w:val="bottom"/>
          </w:tcPr>
          <w:p>
            <w:pPr>
              <w:spacing w:after="0"/>
              <w:rPr>
                <w:sz w:val="1"/>
                <w:szCs w:val="1"/>
                <w:color w:val="auto"/>
              </w:rPr>
            </w:pPr>
          </w:p>
        </w:tc>
      </w:tr>
      <w:tr>
        <w:trPr>
          <w:trHeight w:val="340"/>
        </w:trPr>
        <w:tc>
          <w:tcPr>
            <w:tcW w:w="12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(1,585)</w:t>
            </w:r>
          </w:p>
        </w:tc>
        <w:tc>
          <w:tcPr>
            <w:tcW w:w="260" w:type="dxa"/>
            <w:vAlign w:val="bottom"/>
            <w:tcBorders>
              <w:bottom w:val="single" w:sz="8" w:color="838383"/>
            </w:tcBorders>
          </w:tcPr>
          <w:p>
            <w:pPr>
              <w:spacing w:after="0"/>
              <w:rPr>
                <w:sz w:val="24"/>
                <w:szCs w:val="24"/>
                <w:color w:val="auto"/>
              </w:rPr>
            </w:pPr>
          </w:p>
        </w:tc>
        <w:tc>
          <w:tcPr>
            <w:tcW w:w="9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420" w:hanging="1647"/>
        <w:spacing w:after="0"/>
        <w:tabs>
          <w:tab w:leader="none" w:pos="2420" w:val="left"/>
        </w:tabs>
        <w:numPr>
          <w:ilvl w:val="0"/>
          <w:numId w:val="23"/>
        </w:numPr>
        <w:rPr>
          <w:rFonts w:ascii="Times New Roman" w:cs="Times New Roman" w:eastAsia="Times New Roman" w:hAnsi="Times New Roman"/>
          <w:sz w:val="16"/>
          <w:szCs w:val="16"/>
          <w:color w:val="262626"/>
        </w:rPr>
      </w:pPr>
      <w:r>
        <w:rPr>
          <w:rFonts w:ascii="Times New Roman" w:cs="Times New Roman" w:eastAsia="Times New Roman" w:hAnsi="Times New Roman"/>
          <w:sz w:val="16"/>
          <w:szCs w:val="16"/>
          <w:color w:val="262626"/>
        </w:rPr>
        <w:t>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71120</wp:posOffset>
                </wp:positionV>
                <wp:extent cx="158496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4960" cy="4763"/>
                        </a:xfrm>
                        <a:prstGeom prst="line">
                          <a:avLst/>
                        </a:prstGeom>
                        <a:solidFill>
                          <a:srgbClr val="FFFFFF"/>
                        </a:solidFill>
                        <a:ln w="12700">
                          <a:solidFill>
                            <a:srgbClr val="8F8F8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5.6pt" to="124.95pt,5.6pt" o:allowincell="f" strokecolor="#8F8F8F" strokeweight="1pt"/>
            </w:pict>
          </mc:Fallback>
        </mc:AlternateContent>
      </w:r>
    </w:p>
    <w:p>
      <w:pPr>
        <w:spacing w:after="0" w:line="254" w:lineRule="exact"/>
        <w:rPr>
          <w:sz w:val="20"/>
          <w:szCs w:val="20"/>
          <w:color w:val="auto"/>
        </w:rPr>
      </w:pPr>
    </w:p>
    <w:p>
      <w:pPr>
        <w:ind w:left="760"/>
        <w:spacing w:after="0"/>
        <w:tabs>
          <w:tab w:leader="none" w:pos="1320" w:val="left"/>
          <w:tab w:leader="none" w:pos="2380" w:val="left"/>
        </w:tabs>
        <w:rPr>
          <w:sz w:val="20"/>
          <w:szCs w:val="20"/>
          <w:color w:val="auto"/>
        </w:rPr>
      </w:pPr>
      <w:r>
        <w:rPr>
          <w:rFonts w:ascii="Times New Roman" w:cs="Times New Roman" w:eastAsia="Times New Roman" w:hAnsi="Times New Roman"/>
          <w:sz w:val="18"/>
          <w:szCs w:val="18"/>
          <w:color w:val="262626"/>
        </w:rPr>
        <w:t>3,175</w:t>
        <w:tab/>
        <w:t>$</w:t>
      </w:r>
      <w:r>
        <w:rPr>
          <w:sz w:val="20"/>
          <w:szCs w:val="20"/>
          <w:color w:val="auto"/>
        </w:rPr>
        <w:tab/>
      </w:r>
      <w:r>
        <w:rPr>
          <w:rFonts w:ascii="Times New Roman" w:cs="Times New Roman" w:eastAsia="Times New Roman" w:hAnsi="Times New Roman"/>
          <w:sz w:val="18"/>
          <w:szCs w:val="18"/>
          <w:color w:val="262626"/>
        </w:rPr>
        <w:t>5</w:t>
      </w:r>
    </w:p>
    <w:p>
      <w:pPr>
        <w:spacing w:after="0" w:line="416" w:lineRule="exact"/>
        <w:rPr>
          <w:sz w:val="20"/>
          <w:szCs w:val="20"/>
          <w:color w:val="auto"/>
        </w:rPr>
      </w:pPr>
    </w:p>
    <w:p>
      <w:pPr>
        <w:sectPr>
          <w:pgSz w:w="12240" w:h="15840" w:orient="portrait"/>
          <w:cols w:equalWidth="0" w:num="3">
            <w:col w:w="5080" w:space="180"/>
            <w:col w:w="2500" w:space="180"/>
            <w:col w:w="2820"/>
          </w:cols>
          <w:pgMar w:left="900" w:top="967" w:right="5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79</w:t>
      </w:r>
    </w:p>
    <w:p>
      <w:pPr>
        <w:sectPr>
          <w:pgSz w:w="12240" w:h="15840" w:orient="portrait"/>
          <w:cols w:equalWidth="0" w:num="1">
            <w:col w:w="10760"/>
          </w:cols>
          <w:pgMar w:left="900" w:top="967" w:right="580" w:bottom="0" w:gutter="0" w:footer="0" w:header="0"/>
          <w:type w:val="continuous"/>
        </w:sectPr>
      </w:pPr>
    </w:p>
    <w:bookmarkStart w:id="79" w:name="page80"/>
    <w:bookmarkEnd w:id="79"/>
    <w:p>
      <w:pPr>
        <w:ind w:left="320"/>
        <w:spacing w:after="0"/>
        <w:rPr>
          <w:sz w:val="20"/>
          <w:szCs w:val="20"/>
          <w:color w:val="auto"/>
        </w:rPr>
      </w:pPr>
      <w:r>
        <w:rPr>
          <w:rFonts w:ascii="Arial" w:cs="Arial" w:eastAsia="Arial" w:hAnsi="Arial"/>
          <w:sz w:val="22"/>
          <w:szCs w:val="22"/>
          <w:b w:val="1"/>
          <w:bCs w:val="1"/>
          <w:color w:val="8F8F8F"/>
        </w:rPr>
        <w:t>Restricted Shares</w:t>
      </w:r>
    </w:p>
    <w:p>
      <w:pPr>
        <w:spacing w:after="0" w:line="191" w:lineRule="exact"/>
        <w:rPr>
          <w:sz w:val="20"/>
          <w:szCs w:val="20"/>
          <w:color w:val="auto"/>
        </w:rPr>
      </w:pPr>
    </w:p>
    <w:p>
      <w:pPr>
        <w:ind w:left="320" w:right="340"/>
        <w:spacing w:after="0" w:line="429" w:lineRule="auto"/>
        <w:rPr>
          <w:sz w:val="20"/>
          <w:szCs w:val="20"/>
          <w:color w:val="auto"/>
        </w:rPr>
      </w:pPr>
      <w:r>
        <w:rPr>
          <w:rFonts w:ascii="Times New Roman" w:cs="Times New Roman" w:eastAsia="Times New Roman" w:hAnsi="Times New Roman"/>
          <w:sz w:val="18"/>
          <w:szCs w:val="18"/>
          <w:color w:val="262626"/>
        </w:rPr>
        <w:t>The Company’s Second Restricted Stock Plan provided for a maximum number of shares that may be subject to awards of 9,000,000 shares, prior to its replacement by the 2019 Omnibus Plan.</w:t>
      </w:r>
    </w:p>
    <w:p>
      <w:pPr>
        <w:ind w:left="320" w:right="260"/>
        <w:spacing w:after="0" w:line="352" w:lineRule="auto"/>
        <w:rPr>
          <w:sz w:val="20"/>
          <w:szCs w:val="20"/>
          <w:color w:val="auto"/>
        </w:rPr>
      </w:pPr>
      <w:r>
        <w:rPr>
          <w:rFonts w:ascii="Times New Roman" w:cs="Times New Roman" w:eastAsia="Times New Roman" w:hAnsi="Times New Roman"/>
          <w:sz w:val="18"/>
          <w:szCs w:val="18"/>
          <w:color w:val="262626"/>
        </w:rPr>
        <w:t>Restricted shares awarded under either that plan or the 2019 Omnibus Plan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The Company has issued 3,345,868 shares under the 2019 Omnibus Plan and 5,630,019 shares under the prior plan (prior to its replacement) as of December 31, 2022, and has 3,774,093 shares outstanding under such plans.</w:t>
      </w:r>
    </w:p>
    <w:p>
      <w:pPr>
        <w:spacing w:after="0" w:line="110" w:lineRule="exact"/>
        <w:rPr>
          <w:sz w:val="20"/>
          <w:szCs w:val="20"/>
          <w:color w:val="auto"/>
        </w:rPr>
      </w:pPr>
    </w:p>
    <w:tbl>
      <w:tblPr>
        <w:tblLayout w:type="fixed"/>
        <w:tblInd w:w="320" w:type="dxa"/>
        <w:tblCellMar>
          <w:top w:w="0" w:type="dxa"/>
          <w:left w:w="0" w:type="dxa"/>
          <w:bottom w:w="0" w:type="dxa"/>
          <w:right w:w="0" w:type="dxa"/>
        </w:tblCellMar>
      </w:tblPr>
      <w:tr>
        <w:trPr>
          <w:trHeight w:val="304"/>
        </w:trPr>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262626"/>
              </w:rPr>
              <w:t>2022</w:t>
            </w:r>
          </w:p>
        </w:tc>
        <w:tc>
          <w:tcPr>
            <w:tcW w:w="130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262626"/>
              </w:rPr>
              <w:t>2021</w:t>
            </w:r>
          </w:p>
        </w:tc>
        <w:tc>
          <w:tcPr>
            <w:tcW w:w="130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262626"/>
              </w:rPr>
              <w:t>2020</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262626"/>
              </w:rPr>
              <w:t>Vesting Period(1)</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262626"/>
                <w:w w:val="92"/>
              </w:rPr>
              <w:t>Shares Granted</w:t>
            </w:r>
          </w:p>
        </w:tc>
        <w:tc>
          <w:tcPr>
            <w:tcW w:w="18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262626"/>
                <w:w w:val="90"/>
              </w:rPr>
              <w:t>Market Price at</w:t>
            </w:r>
          </w:p>
        </w:tc>
        <w:tc>
          <w:tcPr>
            <w:tcW w:w="1400" w:type="dxa"/>
            <w:vAlign w:val="bottom"/>
            <w:vMerge w:val="restart"/>
          </w:tcPr>
          <w:p>
            <w:pPr>
              <w:jc w:val="right"/>
              <w:spacing w:after="0"/>
              <w:rPr>
                <w:sz w:val="20"/>
                <w:szCs w:val="20"/>
                <w:color w:val="auto"/>
              </w:rPr>
            </w:pPr>
            <w:r>
              <w:rPr>
                <w:rFonts w:ascii="Arial" w:cs="Arial" w:eastAsia="Arial" w:hAnsi="Arial"/>
                <w:sz w:val="18"/>
                <w:szCs w:val="18"/>
                <w:b w:val="1"/>
                <w:bCs w:val="1"/>
                <w:color w:val="262626"/>
                <w:w w:val="96"/>
              </w:rPr>
              <w:t>Shares Granted</w:t>
            </w:r>
          </w:p>
        </w:tc>
        <w:tc>
          <w:tcPr>
            <w:tcW w:w="18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262626"/>
                <w:w w:val="90"/>
              </w:rPr>
              <w:t>Market Price at</w:t>
            </w:r>
          </w:p>
        </w:tc>
        <w:tc>
          <w:tcPr>
            <w:tcW w:w="1400" w:type="dxa"/>
            <w:vAlign w:val="bottom"/>
            <w:vMerge w:val="restart"/>
          </w:tcPr>
          <w:p>
            <w:pPr>
              <w:jc w:val="right"/>
              <w:spacing w:after="0"/>
              <w:rPr>
                <w:sz w:val="20"/>
                <w:szCs w:val="20"/>
                <w:color w:val="auto"/>
              </w:rPr>
            </w:pPr>
            <w:r>
              <w:rPr>
                <w:rFonts w:ascii="Arial" w:cs="Arial" w:eastAsia="Arial" w:hAnsi="Arial"/>
                <w:sz w:val="18"/>
                <w:szCs w:val="18"/>
                <w:b w:val="1"/>
                <w:bCs w:val="1"/>
                <w:color w:val="262626"/>
                <w:w w:val="96"/>
              </w:rPr>
              <w:t>Shares Granted</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262626"/>
                <w:w w:val="90"/>
              </w:rPr>
              <w:t>Market Price at</w:t>
            </w:r>
          </w:p>
        </w:tc>
        <w:tc>
          <w:tcPr>
            <w:tcW w:w="0" w:type="dxa"/>
            <w:vAlign w:val="bottom"/>
          </w:tcPr>
          <w:p>
            <w:pPr>
              <w:spacing w:after="0"/>
              <w:rPr>
                <w:sz w:val="1"/>
                <w:szCs w:val="1"/>
                <w:color w:val="auto"/>
              </w:rPr>
            </w:pPr>
          </w:p>
        </w:tc>
      </w:tr>
      <w:tr>
        <w:trPr>
          <w:trHeight w:val="179"/>
        </w:trPr>
        <w:tc>
          <w:tcPr>
            <w:tcW w:w="2000" w:type="dxa"/>
            <w:vAlign w:val="bottom"/>
            <w:gridSpan w:val="2"/>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262626"/>
              </w:rPr>
              <w:t>Grant Date</w:t>
            </w:r>
          </w:p>
        </w:tc>
        <w:tc>
          <w:tcPr>
            <w:tcW w:w="1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262626"/>
              </w:rPr>
              <w:t>Grant Date</w:t>
            </w:r>
          </w:p>
        </w:tc>
        <w:tc>
          <w:tcPr>
            <w:tcW w:w="1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Grant Date</w:t>
            </w:r>
          </w:p>
        </w:tc>
        <w:tc>
          <w:tcPr>
            <w:tcW w:w="0" w:type="dxa"/>
            <w:vAlign w:val="bottom"/>
          </w:tcPr>
          <w:p>
            <w:pPr>
              <w:spacing w:after="0"/>
              <w:rPr>
                <w:sz w:val="1"/>
                <w:szCs w:val="1"/>
                <w:color w:val="auto"/>
              </w:rPr>
            </w:pPr>
          </w:p>
        </w:tc>
      </w:tr>
      <w:tr>
        <w:trPr>
          <w:trHeight w:val="82"/>
        </w:trPr>
        <w:tc>
          <w:tcPr>
            <w:tcW w:w="120" w:type="dxa"/>
            <w:vAlign w:val="bottom"/>
            <w:tcBorders>
              <w:bottom w:val="single" w:sz="8" w:color="838383"/>
            </w:tcBorders>
          </w:tcPr>
          <w:p>
            <w:pPr>
              <w:spacing w:after="0"/>
              <w:rPr>
                <w:sz w:val="7"/>
                <w:szCs w:val="7"/>
                <w:color w:val="auto"/>
              </w:rPr>
            </w:pPr>
          </w:p>
        </w:tc>
        <w:tc>
          <w:tcPr>
            <w:tcW w:w="1880" w:type="dxa"/>
            <w:vAlign w:val="bottom"/>
            <w:tcBorders>
              <w:bottom w:val="single" w:sz="8" w:color="838383"/>
            </w:tcBorders>
          </w:tcPr>
          <w:p>
            <w:pPr>
              <w:spacing w:after="0"/>
              <w:rPr>
                <w:sz w:val="7"/>
                <w:szCs w:val="7"/>
                <w:color w:val="auto"/>
              </w:rPr>
            </w:pPr>
          </w:p>
        </w:tc>
        <w:tc>
          <w:tcPr>
            <w:tcW w:w="1340" w:type="dxa"/>
            <w:vAlign w:val="bottom"/>
            <w:tcBorders>
              <w:bottom w:val="single" w:sz="8" w:color="838383"/>
            </w:tcBorders>
          </w:tcPr>
          <w:p>
            <w:pPr>
              <w:spacing w:after="0"/>
              <w:rPr>
                <w:sz w:val="7"/>
                <w:szCs w:val="7"/>
                <w:color w:val="auto"/>
              </w:rPr>
            </w:pPr>
          </w:p>
        </w:tc>
        <w:tc>
          <w:tcPr>
            <w:tcW w:w="180" w:type="dxa"/>
            <w:vAlign w:val="bottom"/>
            <w:tcBorders>
              <w:bottom w:val="single" w:sz="8" w:color="838383"/>
            </w:tcBorders>
          </w:tcPr>
          <w:p>
            <w:pPr>
              <w:spacing w:after="0"/>
              <w:rPr>
                <w:sz w:val="7"/>
                <w:szCs w:val="7"/>
                <w:color w:val="auto"/>
              </w:rPr>
            </w:pPr>
          </w:p>
        </w:tc>
        <w:tc>
          <w:tcPr>
            <w:tcW w:w="1300" w:type="dxa"/>
            <w:vAlign w:val="bottom"/>
            <w:tcBorders>
              <w:bottom w:val="single" w:sz="8" w:color="838383"/>
            </w:tcBorders>
            <w:vMerge w:val="continue"/>
          </w:tcPr>
          <w:p>
            <w:pPr>
              <w:spacing w:after="0"/>
              <w:rPr>
                <w:sz w:val="7"/>
                <w:szCs w:val="7"/>
                <w:color w:val="auto"/>
              </w:rPr>
            </w:pPr>
          </w:p>
        </w:tc>
        <w:tc>
          <w:tcPr>
            <w:tcW w:w="1400" w:type="dxa"/>
            <w:vAlign w:val="bottom"/>
            <w:tcBorders>
              <w:bottom w:val="single" w:sz="8" w:color="838383"/>
            </w:tcBorders>
          </w:tcPr>
          <w:p>
            <w:pPr>
              <w:spacing w:after="0"/>
              <w:rPr>
                <w:sz w:val="7"/>
                <w:szCs w:val="7"/>
                <w:color w:val="auto"/>
              </w:rPr>
            </w:pPr>
          </w:p>
        </w:tc>
        <w:tc>
          <w:tcPr>
            <w:tcW w:w="180" w:type="dxa"/>
            <w:vAlign w:val="bottom"/>
            <w:tcBorders>
              <w:bottom w:val="single" w:sz="8" w:color="838383"/>
            </w:tcBorders>
          </w:tcPr>
          <w:p>
            <w:pPr>
              <w:spacing w:after="0"/>
              <w:rPr>
                <w:sz w:val="7"/>
                <w:szCs w:val="7"/>
                <w:color w:val="auto"/>
              </w:rPr>
            </w:pPr>
          </w:p>
        </w:tc>
        <w:tc>
          <w:tcPr>
            <w:tcW w:w="1300" w:type="dxa"/>
            <w:vAlign w:val="bottom"/>
            <w:tcBorders>
              <w:bottom w:val="single" w:sz="8" w:color="838383"/>
            </w:tcBorders>
            <w:vMerge w:val="continue"/>
          </w:tcPr>
          <w:p>
            <w:pPr>
              <w:spacing w:after="0"/>
              <w:rPr>
                <w:sz w:val="7"/>
                <w:szCs w:val="7"/>
                <w:color w:val="auto"/>
              </w:rPr>
            </w:pPr>
          </w:p>
        </w:tc>
        <w:tc>
          <w:tcPr>
            <w:tcW w:w="1400" w:type="dxa"/>
            <w:vAlign w:val="bottom"/>
            <w:tcBorders>
              <w:bottom w:val="single" w:sz="8" w:color="838383"/>
            </w:tcBorders>
          </w:tcPr>
          <w:p>
            <w:pPr>
              <w:spacing w:after="0"/>
              <w:rPr>
                <w:sz w:val="7"/>
                <w:szCs w:val="7"/>
                <w:color w:val="auto"/>
              </w:rPr>
            </w:pPr>
          </w:p>
        </w:tc>
        <w:tc>
          <w:tcPr>
            <w:tcW w:w="180" w:type="dxa"/>
            <w:vAlign w:val="bottom"/>
            <w:tcBorders>
              <w:bottom w:val="single" w:sz="8" w:color="838383"/>
            </w:tcBorders>
          </w:tcPr>
          <w:p>
            <w:pPr>
              <w:spacing w:after="0"/>
              <w:rPr>
                <w:sz w:val="7"/>
                <w:szCs w:val="7"/>
                <w:color w:val="auto"/>
              </w:rPr>
            </w:pPr>
          </w:p>
        </w:tc>
        <w:tc>
          <w:tcPr>
            <w:tcW w:w="1180" w:type="dxa"/>
            <w:vAlign w:val="bottom"/>
            <w:tcBorders>
              <w:bottom w:val="single" w:sz="8" w:color="838383"/>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0"/>
        </w:trPr>
        <w:tc>
          <w:tcPr>
            <w:tcW w:w="1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1</w:t>
            </w:r>
          </w:p>
        </w:tc>
        <w:tc>
          <w:tcPr>
            <w:tcW w:w="1880" w:type="dxa"/>
            <w:vAlign w:val="bottom"/>
            <w:tcBorders>
              <w:bottom w:val="single" w:sz="8" w:color="838383"/>
            </w:tcBorders>
          </w:tcPr>
          <w:p>
            <w:pPr>
              <w:ind w:left="20"/>
              <w:spacing w:after="0"/>
              <w:rPr>
                <w:sz w:val="20"/>
                <w:szCs w:val="20"/>
                <w:color w:val="auto"/>
              </w:rPr>
            </w:pPr>
            <w:r>
              <w:rPr>
                <w:rFonts w:ascii="Times New Roman" w:cs="Times New Roman" w:eastAsia="Times New Roman" w:hAnsi="Times New Roman"/>
                <w:sz w:val="18"/>
                <w:szCs w:val="18"/>
                <w:color w:val="262626"/>
              </w:rPr>
              <w:t>Year</w:t>
            </w:r>
          </w:p>
        </w:tc>
        <w:tc>
          <w:tcPr>
            <w:tcW w:w="13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119,849</w:t>
            </w:r>
          </w:p>
        </w:tc>
        <w:tc>
          <w:tcPr>
            <w:tcW w:w="1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23.84 - 29.89</w:t>
            </w:r>
          </w:p>
        </w:tc>
        <w:tc>
          <w:tcPr>
            <w:tcW w:w="14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24,634</w:t>
            </w:r>
          </w:p>
        </w:tc>
        <w:tc>
          <w:tcPr>
            <w:tcW w:w="1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32.98 - 34.37</w:t>
            </w:r>
          </w:p>
        </w:tc>
        <w:tc>
          <w:tcPr>
            <w:tcW w:w="14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42,074</w:t>
            </w:r>
          </w:p>
        </w:tc>
        <w:tc>
          <w:tcPr>
            <w:tcW w:w="180" w:type="dxa"/>
            <w:vAlign w:val="bottom"/>
            <w:tcBorders>
              <w:bottom w:val="single" w:sz="8" w:color="838383"/>
            </w:tcBorders>
          </w:tcPr>
          <w:p>
            <w:pPr>
              <w:spacing w:after="0"/>
              <w:rPr>
                <w:sz w:val="24"/>
                <w:szCs w:val="24"/>
                <w:color w:val="auto"/>
              </w:rPr>
            </w:pPr>
          </w:p>
        </w:tc>
        <w:tc>
          <w:tcPr>
            <w:tcW w:w="11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22.16 - 26.94</w:t>
            </w:r>
          </w:p>
        </w:tc>
        <w:tc>
          <w:tcPr>
            <w:tcW w:w="0" w:type="dxa"/>
            <w:vAlign w:val="bottom"/>
          </w:tcPr>
          <w:p>
            <w:pPr>
              <w:spacing w:after="0"/>
              <w:rPr>
                <w:sz w:val="1"/>
                <w:szCs w:val="1"/>
                <w:color w:val="auto"/>
              </w:rPr>
            </w:pPr>
          </w:p>
        </w:tc>
      </w:tr>
      <w:tr>
        <w:trPr>
          <w:trHeight w:val="340"/>
        </w:trPr>
        <w:tc>
          <w:tcPr>
            <w:tcW w:w="1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2</w:t>
            </w:r>
          </w:p>
        </w:tc>
        <w:tc>
          <w:tcPr>
            <w:tcW w:w="1880" w:type="dxa"/>
            <w:vAlign w:val="bottom"/>
            <w:tcBorders>
              <w:bottom w:val="single" w:sz="8" w:color="838383"/>
            </w:tcBorders>
          </w:tcPr>
          <w:p>
            <w:pPr>
              <w:ind w:left="20"/>
              <w:spacing w:after="0"/>
              <w:rPr>
                <w:sz w:val="20"/>
                <w:szCs w:val="20"/>
                <w:color w:val="auto"/>
              </w:rPr>
            </w:pPr>
            <w:r>
              <w:rPr>
                <w:rFonts w:ascii="Times New Roman" w:cs="Times New Roman" w:eastAsia="Times New Roman" w:hAnsi="Times New Roman"/>
                <w:sz w:val="18"/>
                <w:szCs w:val="18"/>
                <w:color w:val="262626"/>
              </w:rPr>
              <w:t>Year</w:t>
            </w:r>
          </w:p>
        </w:tc>
        <w:tc>
          <w:tcPr>
            <w:tcW w:w="13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82,538</w:t>
            </w:r>
          </w:p>
        </w:tc>
        <w:tc>
          <w:tcPr>
            <w:tcW w:w="1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23.84 - 29.17</w:t>
            </w:r>
          </w:p>
        </w:tc>
        <w:tc>
          <w:tcPr>
            <w:tcW w:w="14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w:t>
            </w:r>
          </w:p>
        </w:tc>
        <w:tc>
          <w:tcPr>
            <w:tcW w:w="14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21,669</w:t>
            </w:r>
          </w:p>
        </w:tc>
        <w:tc>
          <w:tcPr>
            <w:tcW w:w="180" w:type="dxa"/>
            <w:vAlign w:val="bottom"/>
            <w:tcBorders>
              <w:bottom w:val="single" w:sz="8" w:color="838383"/>
            </w:tcBorders>
          </w:tcPr>
          <w:p>
            <w:pPr>
              <w:spacing w:after="0"/>
              <w:rPr>
                <w:sz w:val="24"/>
                <w:szCs w:val="24"/>
                <w:color w:val="auto"/>
              </w:rPr>
            </w:pPr>
          </w:p>
        </w:tc>
        <w:tc>
          <w:tcPr>
            <w:tcW w:w="11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23.88 - 26.94</w:t>
            </w:r>
          </w:p>
        </w:tc>
        <w:tc>
          <w:tcPr>
            <w:tcW w:w="0" w:type="dxa"/>
            <w:vAlign w:val="bottom"/>
          </w:tcPr>
          <w:p>
            <w:pPr>
              <w:spacing w:after="0"/>
              <w:rPr>
                <w:sz w:val="1"/>
                <w:szCs w:val="1"/>
                <w:color w:val="auto"/>
              </w:rPr>
            </w:pPr>
          </w:p>
        </w:tc>
      </w:tr>
      <w:tr>
        <w:trPr>
          <w:trHeight w:val="340"/>
        </w:trPr>
        <w:tc>
          <w:tcPr>
            <w:tcW w:w="1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3</w:t>
            </w:r>
          </w:p>
        </w:tc>
        <w:tc>
          <w:tcPr>
            <w:tcW w:w="1880" w:type="dxa"/>
            <w:vAlign w:val="bottom"/>
            <w:tcBorders>
              <w:bottom w:val="single" w:sz="8" w:color="838383"/>
            </w:tcBorders>
          </w:tcPr>
          <w:p>
            <w:pPr>
              <w:ind w:left="20"/>
              <w:spacing w:after="0"/>
              <w:rPr>
                <w:sz w:val="20"/>
                <w:szCs w:val="20"/>
                <w:color w:val="auto"/>
              </w:rPr>
            </w:pPr>
            <w:r>
              <w:rPr>
                <w:rFonts w:ascii="Times New Roman" w:cs="Times New Roman" w:eastAsia="Times New Roman" w:hAnsi="Times New Roman"/>
                <w:sz w:val="18"/>
                <w:szCs w:val="18"/>
                <w:color w:val="262626"/>
              </w:rPr>
              <w:t>Years</w:t>
            </w:r>
          </w:p>
        </w:tc>
        <w:tc>
          <w:tcPr>
            <w:tcW w:w="13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261,493</w:t>
            </w:r>
          </w:p>
        </w:tc>
        <w:tc>
          <w:tcPr>
            <w:tcW w:w="1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23.84 - 30.85</w:t>
            </w:r>
          </w:p>
        </w:tc>
        <w:tc>
          <w:tcPr>
            <w:tcW w:w="14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606,853</w:t>
            </w:r>
          </w:p>
        </w:tc>
        <w:tc>
          <w:tcPr>
            <w:tcW w:w="1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32.98 - 35.67</w:t>
            </w:r>
          </w:p>
        </w:tc>
        <w:tc>
          <w:tcPr>
            <w:tcW w:w="14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119,504</w:t>
            </w:r>
          </w:p>
        </w:tc>
        <w:tc>
          <w:tcPr>
            <w:tcW w:w="180" w:type="dxa"/>
            <w:vAlign w:val="bottom"/>
            <w:tcBorders>
              <w:bottom w:val="single" w:sz="8" w:color="838383"/>
            </w:tcBorders>
          </w:tcPr>
          <w:p>
            <w:pPr>
              <w:spacing w:after="0"/>
              <w:rPr>
                <w:sz w:val="24"/>
                <w:szCs w:val="24"/>
                <w:color w:val="auto"/>
              </w:rPr>
            </w:pPr>
          </w:p>
        </w:tc>
        <w:tc>
          <w:tcPr>
            <w:tcW w:w="11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23.88 - 31.08</w:t>
            </w:r>
          </w:p>
        </w:tc>
        <w:tc>
          <w:tcPr>
            <w:tcW w:w="0" w:type="dxa"/>
            <w:vAlign w:val="bottom"/>
          </w:tcPr>
          <w:p>
            <w:pPr>
              <w:spacing w:after="0"/>
              <w:rPr>
                <w:sz w:val="1"/>
                <w:szCs w:val="1"/>
                <w:color w:val="auto"/>
              </w:rPr>
            </w:pPr>
          </w:p>
        </w:tc>
      </w:tr>
      <w:tr>
        <w:trPr>
          <w:trHeight w:val="340"/>
        </w:trPr>
        <w:tc>
          <w:tcPr>
            <w:tcW w:w="1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4</w:t>
            </w:r>
          </w:p>
        </w:tc>
        <w:tc>
          <w:tcPr>
            <w:tcW w:w="1880" w:type="dxa"/>
            <w:vAlign w:val="bottom"/>
            <w:tcBorders>
              <w:bottom w:val="single" w:sz="8" w:color="838383"/>
            </w:tcBorders>
          </w:tcPr>
          <w:p>
            <w:pPr>
              <w:ind w:left="20"/>
              <w:spacing w:after="0"/>
              <w:rPr>
                <w:sz w:val="20"/>
                <w:szCs w:val="20"/>
                <w:color w:val="auto"/>
              </w:rPr>
            </w:pPr>
            <w:r>
              <w:rPr>
                <w:rFonts w:ascii="Times New Roman" w:cs="Times New Roman" w:eastAsia="Times New Roman" w:hAnsi="Times New Roman"/>
                <w:sz w:val="18"/>
                <w:szCs w:val="18"/>
                <w:color w:val="262626"/>
              </w:rPr>
              <w:t>Years</w:t>
            </w:r>
          </w:p>
        </w:tc>
        <w:tc>
          <w:tcPr>
            <w:tcW w:w="134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260,149</w:t>
            </w:r>
          </w:p>
        </w:tc>
        <w:tc>
          <w:tcPr>
            <w:tcW w:w="1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23.84 - 29.17</w:t>
            </w:r>
          </w:p>
        </w:tc>
        <w:tc>
          <w:tcPr>
            <w:tcW w:w="14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309,955</w:t>
            </w:r>
          </w:p>
        </w:tc>
        <w:tc>
          <w:tcPr>
            <w:tcW w:w="1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32.98 - 35.67</w:t>
            </w:r>
          </w:p>
        </w:tc>
        <w:tc>
          <w:tcPr>
            <w:tcW w:w="14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479,346</w:t>
            </w:r>
          </w:p>
        </w:tc>
        <w:tc>
          <w:tcPr>
            <w:tcW w:w="180" w:type="dxa"/>
            <w:vAlign w:val="bottom"/>
            <w:tcBorders>
              <w:bottom w:val="single" w:sz="8" w:color="838383"/>
            </w:tcBorders>
          </w:tcPr>
          <w:p>
            <w:pPr>
              <w:spacing w:after="0"/>
              <w:rPr>
                <w:sz w:val="24"/>
                <w:szCs w:val="24"/>
                <w:color w:val="auto"/>
              </w:rPr>
            </w:pPr>
          </w:p>
        </w:tc>
        <w:tc>
          <w:tcPr>
            <w:tcW w:w="11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20.68 - 28.98</w:t>
            </w:r>
          </w:p>
        </w:tc>
        <w:tc>
          <w:tcPr>
            <w:tcW w:w="0" w:type="dxa"/>
            <w:vAlign w:val="bottom"/>
          </w:tcPr>
          <w:p>
            <w:pPr>
              <w:spacing w:after="0"/>
              <w:rPr>
                <w:sz w:val="1"/>
                <w:szCs w:val="1"/>
                <w:color w:val="auto"/>
              </w:rPr>
            </w:pPr>
          </w:p>
        </w:tc>
      </w:tr>
      <w:tr>
        <w:trPr>
          <w:trHeight w:val="335"/>
        </w:trPr>
        <w:tc>
          <w:tcPr>
            <w:tcW w:w="1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5</w:t>
            </w:r>
          </w:p>
        </w:tc>
        <w:tc>
          <w:tcPr>
            <w:tcW w:w="1880" w:type="dxa"/>
            <w:vAlign w:val="bottom"/>
            <w:tcBorders>
              <w:bottom w:val="single" w:sz="8" w:color="838383"/>
            </w:tcBorders>
          </w:tcPr>
          <w:p>
            <w:pPr>
              <w:ind w:left="20"/>
              <w:spacing w:after="0"/>
              <w:rPr>
                <w:sz w:val="20"/>
                <w:szCs w:val="20"/>
                <w:color w:val="auto"/>
              </w:rPr>
            </w:pPr>
            <w:r>
              <w:rPr>
                <w:rFonts w:ascii="Times New Roman" w:cs="Times New Roman" w:eastAsia="Times New Roman" w:hAnsi="Times New Roman"/>
                <w:sz w:val="18"/>
                <w:szCs w:val="18"/>
                <w:color w:val="262626"/>
              </w:rPr>
              <w:t>Years</w:t>
            </w:r>
          </w:p>
        </w:tc>
        <w:tc>
          <w:tcPr>
            <w:tcW w:w="13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225,060</w:t>
            </w:r>
          </w:p>
        </w:tc>
        <w:tc>
          <w:tcPr>
            <w:tcW w:w="180" w:type="dxa"/>
            <w:vAlign w:val="bottom"/>
            <w:tcBorders>
              <w:bottom w:val="single" w:sz="8" w:color="8F8F8F"/>
            </w:tcBorders>
          </w:tcPr>
          <w:p>
            <w:pPr>
              <w:spacing w:after="0"/>
              <w:rPr>
                <w:sz w:val="24"/>
                <w:szCs w:val="24"/>
                <w:color w:val="auto"/>
              </w:rPr>
            </w:pPr>
          </w:p>
        </w:tc>
        <w:tc>
          <w:tcPr>
            <w:tcW w:w="1300" w:type="dxa"/>
            <w:vAlign w:val="bottom"/>
            <w:tcBorders>
              <w:bottom w:val="single" w:sz="8" w:color="8F8F8F"/>
            </w:tcBorders>
          </w:tcPr>
          <w:p>
            <w:pPr>
              <w:jc w:val="right"/>
              <w:ind w:right="30"/>
              <w:spacing w:after="0"/>
              <w:rPr>
                <w:sz w:val="20"/>
                <w:szCs w:val="20"/>
                <w:color w:val="auto"/>
              </w:rPr>
            </w:pPr>
            <w:r>
              <w:rPr>
                <w:rFonts w:ascii="Times New Roman" w:cs="Times New Roman" w:eastAsia="Times New Roman" w:hAnsi="Times New Roman"/>
                <w:sz w:val="18"/>
                <w:szCs w:val="18"/>
                <w:color w:val="262626"/>
              </w:rPr>
              <w:t>23.84 - 29.17</w:t>
            </w:r>
          </w:p>
        </w:tc>
        <w:tc>
          <w:tcPr>
            <w:tcW w:w="14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157,169</w:t>
            </w:r>
          </w:p>
        </w:tc>
        <w:tc>
          <w:tcPr>
            <w:tcW w:w="180" w:type="dxa"/>
            <w:vAlign w:val="bottom"/>
            <w:tcBorders>
              <w:bottom w:val="single" w:sz="8" w:color="8F8F8F"/>
            </w:tcBorders>
          </w:tcPr>
          <w:p>
            <w:pPr>
              <w:spacing w:after="0"/>
              <w:rPr>
                <w:sz w:val="24"/>
                <w:szCs w:val="24"/>
                <w:color w:val="auto"/>
              </w:rPr>
            </w:pPr>
          </w:p>
        </w:tc>
        <w:tc>
          <w:tcPr>
            <w:tcW w:w="1300" w:type="dxa"/>
            <w:vAlign w:val="bottom"/>
            <w:tcBorders>
              <w:bottom w:val="single" w:sz="8" w:color="8F8F8F"/>
            </w:tcBorders>
          </w:tcPr>
          <w:p>
            <w:pPr>
              <w:jc w:val="right"/>
              <w:ind w:right="30"/>
              <w:spacing w:after="0"/>
              <w:rPr>
                <w:sz w:val="20"/>
                <w:szCs w:val="20"/>
                <w:color w:val="auto"/>
              </w:rPr>
            </w:pPr>
            <w:r>
              <w:rPr>
                <w:rFonts w:ascii="Times New Roman" w:cs="Times New Roman" w:eastAsia="Times New Roman" w:hAnsi="Times New Roman"/>
                <w:sz w:val="18"/>
                <w:szCs w:val="18"/>
                <w:color w:val="262626"/>
              </w:rPr>
              <w:t>32.98 - 35.67</w:t>
            </w:r>
          </w:p>
        </w:tc>
        <w:tc>
          <w:tcPr>
            <w:tcW w:w="14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170,355</w:t>
            </w:r>
          </w:p>
        </w:tc>
        <w:tc>
          <w:tcPr>
            <w:tcW w:w="180" w:type="dxa"/>
            <w:vAlign w:val="bottom"/>
            <w:tcBorders>
              <w:bottom w:val="single" w:sz="8" w:color="8F8F8F"/>
            </w:tcBorders>
          </w:tcPr>
          <w:p>
            <w:pPr>
              <w:spacing w:after="0"/>
              <w:rPr>
                <w:sz w:val="24"/>
                <w:szCs w:val="24"/>
                <w:color w:val="auto"/>
              </w:rPr>
            </w:pPr>
          </w:p>
        </w:tc>
        <w:tc>
          <w:tcPr>
            <w:tcW w:w="11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20.68 - 28.98</w:t>
            </w:r>
          </w:p>
        </w:tc>
        <w:tc>
          <w:tcPr>
            <w:tcW w:w="0" w:type="dxa"/>
            <w:vAlign w:val="bottom"/>
          </w:tcPr>
          <w:p>
            <w:pPr>
              <w:spacing w:after="0"/>
              <w:rPr>
                <w:sz w:val="1"/>
                <w:szCs w:val="1"/>
                <w:color w:val="auto"/>
              </w:rPr>
            </w:pPr>
          </w:p>
        </w:tc>
      </w:tr>
      <w:tr>
        <w:trPr>
          <w:trHeight w:val="367"/>
        </w:trPr>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949,089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62626"/>
              </w:rPr>
              <w:t>23.84 - 30.85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1,098,611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62626"/>
              </w:rPr>
              <w:t>32.98 - 35.67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832,948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20.68 - 31.08</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500" w:hanging="180"/>
        <w:spacing w:after="0"/>
        <w:tabs>
          <w:tab w:leader="none" w:pos="500" w:val="left"/>
        </w:tabs>
        <w:numPr>
          <w:ilvl w:val="0"/>
          <w:numId w:val="24"/>
        </w:numPr>
        <w:rPr>
          <w:rFonts w:ascii="Times New Roman" w:cs="Times New Roman" w:eastAsia="Times New Roman" w:hAnsi="Times New Roman"/>
          <w:sz w:val="16"/>
          <w:szCs w:val="16"/>
          <w:color w:val="838383"/>
          <w:vertAlign w:val="superscript"/>
        </w:rPr>
      </w:pPr>
      <w:r>
        <w:rPr>
          <w:rFonts w:ascii="Times New Roman" w:cs="Times New Roman" w:eastAsia="Times New Roman" w:hAnsi="Times New Roman"/>
          <w:sz w:val="14"/>
          <w:szCs w:val="14"/>
          <w:color w:val="838383"/>
        </w:rPr>
        <w:t>Each of these awards cliff vest after the restriction period with no additional restrictions.</w:t>
      </w:r>
    </w:p>
    <w:p>
      <w:pPr>
        <w:spacing w:after="0" w:line="144" w:lineRule="exact"/>
        <w:rPr>
          <w:sz w:val="20"/>
          <w:szCs w:val="20"/>
          <w:color w:val="auto"/>
        </w:rPr>
      </w:pPr>
    </w:p>
    <w:p>
      <w:pPr>
        <w:ind w:left="320" w:right="80"/>
        <w:spacing w:after="0" w:line="437" w:lineRule="auto"/>
        <w:rPr>
          <w:sz w:val="20"/>
          <w:szCs w:val="20"/>
          <w:color w:val="auto"/>
        </w:rPr>
      </w:pPr>
      <w:r>
        <w:rPr>
          <w:rFonts w:ascii="Times New Roman" w:cs="Times New Roman" w:eastAsia="Times New Roman" w:hAnsi="Times New Roman"/>
          <w:sz w:val="18"/>
          <w:szCs w:val="18"/>
          <w:color w:val="262626"/>
        </w:rPr>
        <w:t>A summary of restricted share award activity, including award grants, vesting, and forfeitures for the years ended December 31, 2022, 2021, and 2020, are presented in the table below:</w:t>
      </w:r>
    </w:p>
    <w:p>
      <w:pPr>
        <w:spacing w:after="0" w:line="34"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4680" w:type="dxa"/>
            <w:vAlign w:val="bottom"/>
          </w:tcPr>
          <w:p>
            <w:pPr>
              <w:spacing w:after="0"/>
              <w:rPr>
                <w:sz w:val="24"/>
                <w:szCs w:val="24"/>
                <w:color w:val="auto"/>
              </w:rPr>
            </w:pPr>
          </w:p>
        </w:tc>
        <w:tc>
          <w:tcPr>
            <w:tcW w:w="2320" w:type="dxa"/>
            <w:vAlign w:val="bottom"/>
          </w:tcPr>
          <w:p>
            <w:pPr>
              <w:jc w:val="right"/>
              <w:ind w:right="430"/>
              <w:spacing w:after="0"/>
              <w:rPr>
                <w:sz w:val="20"/>
                <w:szCs w:val="20"/>
                <w:color w:val="auto"/>
              </w:rPr>
            </w:pPr>
            <w:r>
              <w:rPr>
                <w:rFonts w:ascii="Arial" w:cs="Arial" w:eastAsia="Arial" w:hAnsi="Arial"/>
                <w:sz w:val="18"/>
                <w:szCs w:val="18"/>
                <w:b w:val="1"/>
                <w:bCs w:val="1"/>
                <w:color w:val="262626"/>
              </w:rPr>
              <w:t>2022</w:t>
            </w:r>
          </w:p>
        </w:tc>
        <w:tc>
          <w:tcPr>
            <w:tcW w:w="1980" w:type="dxa"/>
            <w:vAlign w:val="bottom"/>
          </w:tcPr>
          <w:p>
            <w:pPr>
              <w:jc w:val="right"/>
              <w:ind w:right="430"/>
              <w:spacing w:after="0"/>
              <w:rPr>
                <w:sz w:val="20"/>
                <w:szCs w:val="20"/>
                <w:color w:val="auto"/>
              </w:rPr>
            </w:pPr>
            <w:r>
              <w:rPr>
                <w:rFonts w:ascii="Arial" w:cs="Arial" w:eastAsia="Arial" w:hAnsi="Arial"/>
                <w:sz w:val="18"/>
                <w:szCs w:val="18"/>
                <w:b w:val="1"/>
                <w:bCs w:val="1"/>
                <w:color w:val="262626"/>
              </w:rPr>
              <w:t>2021</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262626"/>
              </w:rPr>
              <w:t>2020</w:t>
            </w:r>
          </w:p>
        </w:tc>
      </w:tr>
      <w:tr>
        <w:trPr>
          <w:trHeight w:val="360"/>
        </w:trPr>
        <w:tc>
          <w:tcPr>
            <w:tcW w:w="4680" w:type="dxa"/>
            <w:vAlign w:val="bottom"/>
          </w:tcPr>
          <w:p>
            <w:pPr>
              <w:spacing w:after="0"/>
              <w:rPr>
                <w:sz w:val="24"/>
                <w:szCs w:val="24"/>
                <w:color w:val="auto"/>
              </w:rPr>
            </w:pPr>
          </w:p>
        </w:tc>
        <w:tc>
          <w:tcPr>
            <w:tcW w:w="2320" w:type="dxa"/>
            <w:vAlign w:val="bottom"/>
          </w:tcPr>
          <w:p>
            <w:pPr>
              <w:jc w:val="right"/>
              <w:ind w:right="430"/>
              <w:spacing w:after="0"/>
              <w:rPr>
                <w:sz w:val="20"/>
                <w:szCs w:val="20"/>
                <w:color w:val="auto"/>
              </w:rPr>
            </w:pPr>
            <w:r>
              <w:rPr>
                <w:rFonts w:ascii="Arial" w:cs="Arial" w:eastAsia="Arial" w:hAnsi="Arial"/>
                <w:sz w:val="18"/>
                <w:szCs w:val="18"/>
                <w:b w:val="1"/>
                <w:bCs w:val="1"/>
                <w:color w:val="262626"/>
              </w:rPr>
              <w:t>Shares (000)</w:t>
            </w:r>
          </w:p>
        </w:tc>
        <w:tc>
          <w:tcPr>
            <w:tcW w:w="1980" w:type="dxa"/>
            <w:vAlign w:val="bottom"/>
          </w:tcPr>
          <w:p>
            <w:pPr>
              <w:jc w:val="right"/>
              <w:ind w:right="430"/>
              <w:spacing w:after="0"/>
              <w:rPr>
                <w:sz w:val="20"/>
                <w:szCs w:val="20"/>
                <w:color w:val="auto"/>
              </w:rPr>
            </w:pPr>
            <w:r>
              <w:rPr>
                <w:rFonts w:ascii="Arial" w:cs="Arial" w:eastAsia="Arial" w:hAnsi="Arial"/>
                <w:sz w:val="18"/>
                <w:szCs w:val="18"/>
                <w:b w:val="1"/>
                <w:bCs w:val="1"/>
                <w:color w:val="262626"/>
              </w:rPr>
              <w:t>Shares (000)</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262626"/>
              </w:rPr>
              <w:t>Shares (000)</w:t>
            </w:r>
          </w:p>
        </w:tc>
      </w:tr>
      <w:tr>
        <w:trPr>
          <w:trHeight w:val="345"/>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Nonvested, Beginning of Year</w:t>
            </w:r>
          </w:p>
        </w:tc>
        <w:tc>
          <w:tcPr>
            <w:tcW w:w="2320" w:type="dxa"/>
            <w:vAlign w:val="bottom"/>
            <w:tcBorders>
              <w:bottom w:val="single" w:sz="8" w:color="838383"/>
            </w:tcBorders>
          </w:tcPr>
          <w:p>
            <w:pPr>
              <w:jc w:val="right"/>
              <w:ind w:right="430"/>
              <w:spacing w:after="0"/>
              <w:rPr>
                <w:sz w:val="20"/>
                <w:szCs w:val="20"/>
                <w:color w:val="auto"/>
              </w:rPr>
            </w:pPr>
            <w:r>
              <w:rPr>
                <w:rFonts w:ascii="Times New Roman" w:cs="Times New Roman" w:eastAsia="Times New Roman" w:hAnsi="Times New Roman"/>
                <w:sz w:val="18"/>
                <w:szCs w:val="18"/>
                <w:color w:val="262626"/>
              </w:rPr>
              <w:t>3,760</w:t>
            </w:r>
          </w:p>
        </w:tc>
        <w:tc>
          <w:tcPr>
            <w:tcW w:w="1980" w:type="dxa"/>
            <w:vAlign w:val="bottom"/>
            <w:tcBorders>
              <w:bottom w:val="single" w:sz="8" w:color="838383"/>
            </w:tcBorders>
          </w:tcPr>
          <w:p>
            <w:pPr>
              <w:jc w:val="right"/>
              <w:ind w:right="430"/>
              <w:spacing w:after="0"/>
              <w:rPr>
                <w:sz w:val="20"/>
                <w:szCs w:val="20"/>
                <w:color w:val="auto"/>
              </w:rPr>
            </w:pPr>
            <w:r>
              <w:rPr>
                <w:rFonts w:ascii="Times New Roman" w:cs="Times New Roman" w:eastAsia="Times New Roman" w:hAnsi="Times New Roman"/>
                <w:sz w:val="18"/>
                <w:szCs w:val="18"/>
                <w:color w:val="262626"/>
              </w:rPr>
              <w:t>3,599</w:t>
            </w:r>
          </w:p>
        </w:tc>
        <w:tc>
          <w:tcPr>
            <w:tcW w:w="14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3,315</w:t>
            </w:r>
          </w:p>
        </w:tc>
      </w:tr>
      <w:tr>
        <w:trPr>
          <w:trHeight w:val="340"/>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Granted</w:t>
            </w:r>
          </w:p>
        </w:tc>
        <w:tc>
          <w:tcPr>
            <w:tcW w:w="2320" w:type="dxa"/>
            <w:vAlign w:val="bottom"/>
            <w:tcBorders>
              <w:bottom w:val="single" w:sz="8" w:color="838383"/>
            </w:tcBorders>
          </w:tcPr>
          <w:p>
            <w:pPr>
              <w:jc w:val="right"/>
              <w:ind w:right="430"/>
              <w:spacing w:after="0"/>
              <w:rPr>
                <w:sz w:val="20"/>
                <w:szCs w:val="20"/>
                <w:color w:val="auto"/>
              </w:rPr>
            </w:pPr>
            <w:r>
              <w:rPr>
                <w:rFonts w:ascii="Times New Roman" w:cs="Times New Roman" w:eastAsia="Times New Roman" w:hAnsi="Times New Roman"/>
                <w:sz w:val="18"/>
                <w:szCs w:val="18"/>
                <w:color w:val="262626"/>
              </w:rPr>
              <w:t>949</w:t>
            </w:r>
          </w:p>
        </w:tc>
        <w:tc>
          <w:tcPr>
            <w:tcW w:w="1980" w:type="dxa"/>
            <w:vAlign w:val="bottom"/>
            <w:tcBorders>
              <w:bottom w:val="single" w:sz="8" w:color="838383"/>
            </w:tcBorders>
          </w:tcPr>
          <w:p>
            <w:pPr>
              <w:jc w:val="right"/>
              <w:ind w:right="430"/>
              <w:spacing w:after="0"/>
              <w:rPr>
                <w:sz w:val="20"/>
                <w:szCs w:val="20"/>
                <w:color w:val="auto"/>
              </w:rPr>
            </w:pPr>
            <w:r>
              <w:rPr>
                <w:rFonts w:ascii="Times New Roman" w:cs="Times New Roman" w:eastAsia="Times New Roman" w:hAnsi="Times New Roman"/>
                <w:sz w:val="18"/>
                <w:szCs w:val="18"/>
                <w:color w:val="262626"/>
              </w:rPr>
              <w:t>1,099</w:t>
            </w:r>
          </w:p>
        </w:tc>
        <w:tc>
          <w:tcPr>
            <w:tcW w:w="14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833</w:t>
            </w:r>
          </w:p>
        </w:tc>
      </w:tr>
      <w:tr>
        <w:trPr>
          <w:trHeight w:val="340"/>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Vested</w:t>
            </w:r>
          </w:p>
        </w:tc>
        <w:tc>
          <w:tcPr>
            <w:tcW w:w="2320" w:type="dxa"/>
            <w:vAlign w:val="bottom"/>
            <w:tcBorders>
              <w:bottom w:val="single" w:sz="8" w:color="838383"/>
            </w:tcBorders>
          </w:tcPr>
          <w:p>
            <w:pPr>
              <w:jc w:val="right"/>
              <w:ind w:right="430"/>
              <w:spacing w:after="0"/>
              <w:rPr>
                <w:sz w:val="20"/>
                <w:szCs w:val="20"/>
                <w:color w:val="auto"/>
              </w:rPr>
            </w:pPr>
            <w:r>
              <w:rPr>
                <w:rFonts w:ascii="Times New Roman" w:cs="Times New Roman" w:eastAsia="Times New Roman" w:hAnsi="Times New Roman"/>
                <w:sz w:val="18"/>
                <w:szCs w:val="18"/>
                <w:color w:val="262626"/>
              </w:rPr>
              <w:t>(935)</w:t>
            </w:r>
          </w:p>
        </w:tc>
        <w:tc>
          <w:tcPr>
            <w:tcW w:w="1980" w:type="dxa"/>
            <w:vAlign w:val="bottom"/>
            <w:tcBorders>
              <w:bottom w:val="single" w:sz="8" w:color="838383"/>
            </w:tcBorders>
          </w:tcPr>
          <w:p>
            <w:pPr>
              <w:jc w:val="right"/>
              <w:ind w:right="430"/>
              <w:spacing w:after="0"/>
              <w:rPr>
                <w:sz w:val="20"/>
                <w:szCs w:val="20"/>
                <w:color w:val="auto"/>
              </w:rPr>
            </w:pPr>
            <w:r>
              <w:rPr>
                <w:rFonts w:ascii="Times New Roman" w:cs="Times New Roman" w:eastAsia="Times New Roman" w:hAnsi="Times New Roman"/>
                <w:sz w:val="18"/>
                <w:szCs w:val="18"/>
                <w:color w:val="262626"/>
              </w:rPr>
              <w:t>(759)</w:t>
            </w:r>
          </w:p>
        </w:tc>
        <w:tc>
          <w:tcPr>
            <w:tcW w:w="14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(303)</w:t>
            </w:r>
          </w:p>
        </w:tc>
      </w:tr>
      <w:tr>
        <w:trPr>
          <w:trHeight w:val="355"/>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Forfeited</w:t>
            </w:r>
          </w:p>
        </w:tc>
        <w:tc>
          <w:tcPr>
            <w:tcW w:w="2320" w:type="dxa"/>
            <w:vAlign w:val="bottom"/>
            <w:tcBorders>
              <w:bottom w:val="single" w:sz="8" w:color="8F8F8F"/>
            </w:tcBorders>
          </w:tcPr>
          <w:p>
            <w:pPr>
              <w:jc w:val="right"/>
              <w:ind w:right="430"/>
              <w:spacing w:after="0"/>
              <w:rPr>
                <w:sz w:val="20"/>
                <w:szCs w:val="20"/>
                <w:color w:val="auto"/>
              </w:rPr>
            </w:pPr>
            <w:r>
              <w:rPr>
                <w:rFonts w:ascii="Times New Roman" w:cs="Times New Roman" w:eastAsia="Times New Roman" w:hAnsi="Times New Roman"/>
                <w:sz w:val="18"/>
                <w:szCs w:val="18"/>
                <w:color w:val="262626"/>
              </w:rPr>
              <w:t>(221)</w:t>
            </w:r>
          </w:p>
        </w:tc>
        <w:tc>
          <w:tcPr>
            <w:tcW w:w="1980" w:type="dxa"/>
            <w:vAlign w:val="bottom"/>
            <w:tcBorders>
              <w:bottom w:val="single" w:sz="8" w:color="8F8F8F"/>
            </w:tcBorders>
          </w:tcPr>
          <w:p>
            <w:pPr>
              <w:jc w:val="right"/>
              <w:ind w:right="430"/>
              <w:spacing w:after="0"/>
              <w:rPr>
                <w:sz w:val="20"/>
                <w:szCs w:val="20"/>
                <w:color w:val="auto"/>
              </w:rPr>
            </w:pPr>
            <w:r>
              <w:rPr>
                <w:rFonts w:ascii="Times New Roman" w:cs="Times New Roman" w:eastAsia="Times New Roman" w:hAnsi="Times New Roman"/>
                <w:sz w:val="18"/>
                <w:szCs w:val="18"/>
                <w:color w:val="262626"/>
              </w:rPr>
              <w:t>(179)</w:t>
            </w:r>
          </w:p>
        </w:tc>
        <w:tc>
          <w:tcPr>
            <w:tcW w:w="14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(246)</w:t>
            </w:r>
          </w:p>
        </w:tc>
      </w:tr>
      <w:tr>
        <w:trPr>
          <w:trHeight w:val="34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262626"/>
              </w:rPr>
              <w:t>Nonvested, End of Year</w:t>
            </w:r>
          </w:p>
        </w:tc>
        <w:tc>
          <w:tcPr>
            <w:tcW w:w="23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262626"/>
              </w:rPr>
              <w:t>3,553</w:t>
            </w:r>
          </w:p>
        </w:tc>
        <w:tc>
          <w:tcPr>
            <w:tcW w:w="19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262626"/>
              </w:rPr>
              <w:t>3,760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3,599</w:t>
            </w:r>
          </w:p>
        </w:tc>
      </w:tr>
    </w:tbl>
    <w:p>
      <w:pPr>
        <w:spacing w:after="0" w:line="183" w:lineRule="exact"/>
        <w:rPr>
          <w:sz w:val="20"/>
          <w:szCs w:val="20"/>
          <w:color w:val="auto"/>
        </w:rPr>
      </w:pPr>
    </w:p>
    <w:p>
      <w:pPr>
        <w:ind w:left="320" w:right="200"/>
        <w:spacing w:after="0" w:line="363" w:lineRule="auto"/>
        <w:rPr>
          <w:sz w:val="20"/>
          <w:szCs w:val="20"/>
          <w:color w:val="auto"/>
        </w:rPr>
      </w:pPr>
      <w:r>
        <w:rPr>
          <w:rFonts w:ascii="Times New Roman" w:cs="Times New Roman" w:eastAsia="Times New Roman" w:hAnsi="Times New Roman"/>
          <w:sz w:val="18"/>
          <w:szCs w:val="18"/>
          <w:color w:val="262626"/>
        </w:rPr>
        <w:t>As of December 31, 2022, there was unearned stock-based compensation of $43,947,853 associated with these restricted stock grants. The unearned stock-based compensation related to these grants is being amortized to compensation expense over the applicable restriction periods. Compensation expense related to restricted stock for the years ended December 31, 2022, 2021 and 2020 was $21,773,179, $19,304,013, and $20,675,447 respectively.</w:t>
      </w:r>
    </w:p>
    <w:p>
      <w:pPr>
        <w:sectPr>
          <w:pgSz w:w="12240" w:h="15840" w:orient="portrait"/>
          <w:cols w:equalWidth="0" w:num="1">
            <w:col w:w="10780"/>
          </w:cols>
          <w:pgMar w:left="580" w:top="83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80</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80"/>
          </w:cols>
          <w:pgMar w:left="580" w:top="830" w:right="880" w:bottom="0" w:gutter="0" w:footer="0" w:header="0"/>
          <w:type w:val="continuous"/>
        </w:sectPr>
      </w:pPr>
    </w:p>
    <w:bookmarkStart w:id="80" w:name="page81"/>
    <w:bookmarkEnd w:id="80"/>
    <w:p>
      <w:pPr>
        <w:spacing w:after="0"/>
        <w:rPr>
          <w:sz w:val="20"/>
          <w:szCs w:val="20"/>
          <w:color w:val="auto"/>
        </w:rPr>
      </w:pPr>
      <w:r>
        <w:rPr>
          <w:rFonts w:ascii="Arial" w:cs="Arial" w:eastAsia="Arial" w:hAnsi="Arial"/>
          <w:sz w:val="22"/>
          <w:szCs w:val="22"/>
          <w:b w:val="1"/>
          <w:bCs w:val="1"/>
          <w:color w:val="8F8F8F"/>
        </w:rPr>
        <w:t>Performance Shares</w:t>
      </w:r>
    </w:p>
    <w:p>
      <w:pPr>
        <w:spacing w:after="0" w:line="191" w:lineRule="exact"/>
        <w:rPr>
          <w:sz w:val="20"/>
          <w:szCs w:val="20"/>
          <w:color w:val="auto"/>
        </w:rPr>
      </w:pPr>
    </w:p>
    <w:p>
      <w:pPr>
        <w:ind w:right="340"/>
        <w:spacing w:after="0" w:line="363" w:lineRule="auto"/>
        <w:rPr>
          <w:sz w:val="20"/>
          <w:szCs w:val="20"/>
          <w:color w:val="auto"/>
        </w:rPr>
      </w:pPr>
      <w:r>
        <w:rPr>
          <w:rFonts w:ascii="Times New Roman" w:cs="Times New Roman" w:eastAsia="Times New Roman" w:hAnsi="Times New Roman"/>
          <w:sz w:val="17"/>
          <w:szCs w:val="17"/>
          <w:color w:val="262626"/>
        </w:rPr>
        <w:t>Performance shares awarded under the 2019 Omnibus Plan are considered performance condition awards as attainment is based on the Company’s performance relative to pre-established metrics. The fair value of such performance share awards was determined using the Company’s closing stock price on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 As of December 31, 2022, the Company had unearned stock-based compensation of $5,113,300 associated with these performance share grants. The unearned stock-based compensation related to these grants is being amortized to compensation expense over the applicable performance periods. Compensation expense related to performance share grants for the years ended December 31, 2022, 2021, and 2020 was $1,246,369, $1,573,831, and $4,424,678,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8F8F8F"/>
        </w:rPr>
        <w:t>Employee Stock Purchase Plan</w:t>
      </w:r>
    </w:p>
    <w:p>
      <w:pPr>
        <w:spacing w:after="0" w:line="191" w:lineRule="exact"/>
        <w:rPr>
          <w:sz w:val="20"/>
          <w:szCs w:val="20"/>
          <w:color w:val="auto"/>
        </w:rPr>
      </w:pPr>
    </w:p>
    <w:p>
      <w:pPr>
        <w:ind w:right="540"/>
        <w:spacing w:after="0" w:line="352" w:lineRule="auto"/>
        <w:rPr>
          <w:sz w:val="20"/>
          <w:szCs w:val="20"/>
          <w:color w:val="auto"/>
        </w:rPr>
      </w:pPr>
      <w:r>
        <w:rPr>
          <w:rFonts w:ascii="Times New Roman" w:cs="Times New Roman" w:eastAsia="Times New Roman" w:hAnsi="Times New Roman"/>
          <w:sz w:val="18"/>
          <w:szCs w:val="18"/>
          <w:color w:val="262626"/>
        </w:rPr>
        <w:t>Prior to July 1, 2022, the Company had in place an employee stock purchase plan covering 2,000,000 shares of common stock, which was approved by shareholders including amendments thereto. In May 2022, the 2022 Gentex Corporation Employee Stock Purchase Plan covering 2,000,000 shares of common stock was approved by shareholders, replacing the above referenced prior plan effective July 1, 2022. Under such plans, the Company sold or sells shares at 85% of the stock’s market price at the date of purchase. In accordance with ASC 718, the 15% discounted value is recognized as compensation expense.</w:t>
      </w:r>
    </w:p>
    <w:p>
      <w:pPr>
        <w:spacing w:after="0" w:line="63" w:lineRule="exact"/>
        <w:rPr>
          <w:sz w:val="20"/>
          <w:szCs w:val="20"/>
          <w:color w:val="auto"/>
        </w:rPr>
      </w:pPr>
    </w:p>
    <w:p>
      <w:pPr>
        <w:ind w:right="660"/>
        <w:spacing w:after="0" w:line="381" w:lineRule="auto"/>
        <w:rPr>
          <w:sz w:val="20"/>
          <w:szCs w:val="20"/>
          <w:color w:val="auto"/>
        </w:rPr>
      </w:pPr>
      <w:r>
        <w:rPr>
          <w:rFonts w:ascii="Times New Roman" w:cs="Times New Roman" w:eastAsia="Times New Roman" w:hAnsi="Times New Roman"/>
          <w:sz w:val="18"/>
          <w:szCs w:val="18"/>
          <w:color w:val="262626"/>
        </w:rPr>
        <w:t>Compensation expense related to the employee stock purchase plans for the years ended December 31, 2022, 2021, and 2020 was $906,478, $713,912, and $810,605, respectively. The following table summarizes shares sold to employees under the 2022 and prior plan in the years ended December 31, 2022, 2021 and 2020:</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80" w:type="dxa"/>
            <w:vAlign w:val="bottom"/>
          </w:tcPr>
          <w:p>
            <w:pPr>
              <w:spacing w:after="0"/>
              <w:rPr>
                <w:sz w:val="20"/>
                <w:szCs w:val="20"/>
                <w:color w:val="auto"/>
              </w:rPr>
            </w:pPr>
            <w:r>
              <w:rPr>
                <w:rFonts w:ascii="Arial" w:cs="Arial" w:eastAsia="Arial" w:hAnsi="Arial"/>
                <w:sz w:val="18"/>
                <w:szCs w:val="18"/>
                <w:b w:val="1"/>
                <w:bCs w:val="1"/>
                <w:color w:val="262626"/>
              </w:rPr>
              <w:t>Plan</w:t>
            </w: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262626"/>
              </w:rPr>
              <w:t>2022</w:t>
            </w: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262626"/>
              </w:rPr>
              <w:t>2021</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2020</w:t>
            </w: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262626"/>
                <w:w w:val="92"/>
              </w:rPr>
              <w:t>Cumulative Shares</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262626"/>
                <w:w w:val="94"/>
              </w:rPr>
              <w:t>Weighted Average</w:t>
            </w:r>
          </w:p>
        </w:tc>
      </w:tr>
      <w:tr>
        <w:trPr>
          <w:trHeight w:val="286"/>
        </w:trPr>
        <w:tc>
          <w:tcPr>
            <w:tcW w:w="3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262626"/>
              </w:rPr>
              <w:t>Issued</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262626"/>
                <w:w w:val="93"/>
              </w:rPr>
              <w:t>Fair Value 2022</w:t>
            </w:r>
          </w:p>
        </w:tc>
      </w:tr>
      <w:tr>
        <w:trPr>
          <w:trHeight w:val="292"/>
        </w:trPr>
        <w:tc>
          <w:tcPr>
            <w:tcW w:w="38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2022 Employee Stock Purchase Plan</w:t>
            </w:r>
          </w:p>
        </w:tc>
        <w:tc>
          <w:tcPr>
            <w:tcW w:w="1280" w:type="dxa"/>
            <w:vAlign w:val="bottom"/>
            <w:tcBorders>
              <w:bottom w:val="single" w:sz="8" w:color="8F8F8F"/>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94,111</w:t>
            </w:r>
          </w:p>
        </w:tc>
        <w:tc>
          <w:tcPr>
            <w:tcW w:w="1160" w:type="dxa"/>
            <w:vAlign w:val="bottom"/>
            <w:tcBorders>
              <w:bottom w:val="single" w:sz="8" w:color="8F8F8F"/>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w:t>
            </w:r>
          </w:p>
        </w:tc>
        <w:tc>
          <w:tcPr>
            <w:tcW w:w="98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1640" w:type="dxa"/>
            <w:vAlign w:val="bottom"/>
            <w:tcBorders>
              <w:bottom w:val="single" w:sz="8" w:color="8F8F8F"/>
            </w:tcBorders>
          </w:tcPr>
          <w:p>
            <w:pPr>
              <w:jc w:val="right"/>
              <w:ind w:right="30"/>
              <w:spacing w:after="0"/>
              <w:rPr>
                <w:sz w:val="20"/>
                <w:szCs w:val="20"/>
                <w:color w:val="auto"/>
              </w:rPr>
            </w:pPr>
            <w:r>
              <w:rPr>
                <w:rFonts w:ascii="Times New Roman" w:cs="Times New Roman" w:eastAsia="Times New Roman" w:hAnsi="Times New Roman"/>
                <w:sz w:val="18"/>
                <w:szCs w:val="18"/>
                <w:color w:val="262626"/>
              </w:rPr>
              <w:t>94,111</w:t>
            </w:r>
          </w:p>
        </w:tc>
        <w:tc>
          <w:tcPr>
            <w:tcW w:w="2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24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25.55</w:t>
            </w:r>
          </w:p>
        </w:tc>
      </w:tr>
      <w:tr>
        <w:trPr>
          <w:trHeight w:val="37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262626"/>
              </w:rPr>
              <w:t>Prior Employee Stock Purchase Plan</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262626"/>
              </w:rPr>
              <w:t>126,101</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262626"/>
              </w:rPr>
              <w:t>143,892</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208,273</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62626"/>
              </w:rPr>
              <w:t>1,624,122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28.71</w:t>
            </w: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838383"/>
        </w:rPr>
        <w:t>( 6 )  C O N T I N G E N C I E S</w:t>
      </w:r>
    </w:p>
    <w:p>
      <w:pPr>
        <w:spacing w:after="0" w:line="176" w:lineRule="exact"/>
        <w:rPr>
          <w:sz w:val="20"/>
          <w:szCs w:val="20"/>
          <w:color w:val="auto"/>
        </w:rPr>
      </w:pPr>
    </w:p>
    <w:p>
      <w:pPr>
        <w:ind w:right="420"/>
        <w:spacing w:after="0" w:line="352" w:lineRule="auto"/>
        <w:rPr>
          <w:sz w:val="20"/>
          <w:szCs w:val="20"/>
          <w:color w:val="auto"/>
        </w:rPr>
      </w:pPr>
      <w:r>
        <w:rPr>
          <w:rFonts w:ascii="Times New Roman" w:cs="Times New Roman" w:eastAsia="Times New Roman" w:hAnsi="Times New Roman"/>
          <w:sz w:val="18"/>
          <w:szCs w:val="18"/>
          <w:color w:val="262626"/>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matters that constitute material pending legal proceedings that will have a material adverse effect on the financial position, future results of operations, or cash flows of the Company.</w:t>
      </w:r>
    </w:p>
    <w:p>
      <w:pPr>
        <w:spacing w:after="0" w:line="63" w:lineRule="exact"/>
        <w:rPr>
          <w:sz w:val="20"/>
          <w:szCs w:val="20"/>
          <w:color w:val="auto"/>
        </w:rPr>
      </w:pPr>
    </w:p>
    <w:p>
      <w:pPr>
        <w:ind w:right="340"/>
        <w:spacing w:after="0" w:line="347" w:lineRule="auto"/>
        <w:rPr>
          <w:sz w:val="20"/>
          <w:szCs w:val="20"/>
          <w:color w:val="auto"/>
        </w:rPr>
      </w:pPr>
      <w:r>
        <w:rPr>
          <w:rFonts w:ascii="Times New Roman" w:cs="Times New Roman" w:eastAsia="Times New Roman" w:hAnsi="Times New Roman"/>
          <w:sz w:val="18"/>
          <w:szCs w:val="18"/>
          <w:color w:val="262626"/>
        </w:rPr>
        <w:t>On February 7, 2023, the SEC announced that it has accepted an Offer of Settlement submitted by the Company and its current Chief Financial Officer Kevin Nash. Under the settlement, without admitting or denying the SEC’s findings in this matter, the Company and Nash have consented to the entry of an administrative civil cease-and-desist order by the SEC (the “Order”) with respect to certain violations of the federal securities laws in the third quarter of 2015 through the second quarter of 2018 (the “Relevant Period”). The Company agreed to pay a civil monetary penalty of $4.0 million, which was fully accrued by the Company in the second and third quarters of 2022. Nash agreed to pay a civil monetary penalty of $75,000.</w:t>
      </w:r>
    </w:p>
    <w:p>
      <w:pPr>
        <w:spacing w:after="0" w:line="65" w:lineRule="exact"/>
        <w:rPr>
          <w:sz w:val="20"/>
          <w:szCs w:val="20"/>
          <w:color w:val="auto"/>
        </w:rPr>
      </w:pPr>
    </w:p>
    <w:p>
      <w:pPr>
        <w:ind w:right="360"/>
        <w:spacing w:after="0" w:line="439" w:lineRule="auto"/>
        <w:rPr>
          <w:sz w:val="20"/>
          <w:szCs w:val="20"/>
          <w:color w:val="auto"/>
        </w:rPr>
      </w:pPr>
      <w:r>
        <w:rPr>
          <w:rFonts w:ascii="Times New Roman" w:cs="Times New Roman" w:eastAsia="Times New Roman" w:hAnsi="Times New Roman"/>
          <w:sz w:val="18"/>
          <w:szCs w:val="18"/>
          <w:color w:val="262626"/>
        </w:rPr>
        <w:t>The Company had $4.0 million of restricted cash as of December 31, 2022 in escrow, pending the finalization of the settlement agreement with the SEC, which occurred on February 7, 2023.</w:t>
      </w:r>
    </w:p>
    <w:p>
      <w:pPr>
        <w:sectPr>
          <w:pgSz w:w="12240" w:h="15840" w:orient="portrait"/>
          <w:cols w:equalWidth="0" w:num="1">
            <w:col w:w="10760"/>
          </w:cols>
          <w:pgMar w:left="900" w:top="83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81</w:t>
      </w:r>
    </w:p>
    <w:p>
      <w:pPr>
        <w:sectPr>
          <w:pgSz w:w="12240" w:h="15840" w:orient="portrait"/>
          <w:cols w:equalWidth="0" w:num="1">
            <w:col w:w="10760"/>
          </w:cols>
          <w:pgMar w:left="900" w:top="830" w:right="580" w:bottom="0" w:gutter="0" w:footer="0" w:header="0"/>
          <w:type w:val="continuous"/>
        </w:sectPr>
      </w:pPr>
    </w:p>
    <w:bookmarkStart w:id="81" w:name="page82"/>
    <w:bookmarkEnd w:id="81"/>
    <w:p>
      <w:pPr>
        <w:ind w:left="320"/>
        <w:spacing w:after="0"/>
        <w:rPr>
          <w:sz w:val="20"/>
          <w:szCs w:val="20"/>
          <w:color w:val="auto"/>
        </w:rPr>
      </w:pPr>
      <w:r>
        <w:rPr>
          <w:rFonts w:ascii="Arial" w:cs="Arial" w:eastAsia="Arial" w:hAnsi="Arial"/>
          <w:sz w:val="18"/>
          <w:szCs w:val="18"/>
          <w:b w:val="1"/>
          <w:bCs w:val="1"/>
          <w:color w:val="838383"/>
        </w:rPr>
        <w:t>( 7 )  S E G M E N T  R E P O R T I N G</w:t>
      </w:r>
    </w:p>
    <w:p>
      <w:pPr>
        <w:spacing w:after="0" w:line="176" w:lineRule="exact"/>
        <w:rPr>
          <w:sz w:val="20"/>
          <w:szCs w:val="20"/>
          <w:color w:val="auto"/>
        </w:rPr>
      </w:pPr>
    </w:p>
    <w:p>
      <w:pPr>
        <w:ind w:left="320" w:right="200"/>
        <w:spacing w:after="0" w:line="362" w:lineRule="auto"/>
        <w:rPr>
          <w:sz w:val="20"/>
          <w:szCs w:val="20"/>
          <w:color w:val="auto"/>
        </w:rPr>
      </w:pPr>
      <w:r>
        <w:rPr>
          <w:rFonts w:ascii="Times New Roman" w:cs="Times New Roman" w:eastAsia="Times New Roman" w:hAnsi="Times New Roman"/>
          <w:sz w:val="18"/>
          <w:szCs w:val="18"/>
          <w:color w:val="262626"/>
        </w:rPr>
        <w:t>ASC 280, Segment Reporting, requires that a public enterprise report financial and descriptive information about its reportable operating segments subject to certain aggregation criteria and quantitative thresholds. Operating segments are defined by ASC 280 as components of an enterprise about which separate financial information is available that is evaluated regularly by the chief operating decision-makers in deciding how to allocate resources and in assessing performance.</w:t>
      </w:r>
    </w:p>
    <w:p>
      <w:pPr>
        <w:spacing w:after="0" w:line="99"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4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2022</w:t>
            </w:r>
          </w:p>
        </w:tc>
        <w:tc>
          <w:tcPr>
            <w:tcW w:w="5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2021</w:t>
            </w:r>
          </w:p>
        </w:tc>
        <w:tc>
          <w:tcPr>
            <w:tcW w:w="5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262626"/>
              </w:rPr>
              <w:t>2020</w:t>
            </w:r>
          </w:p>
        </w:tc>
      </w:tr>
      <w:tr>
        <w:trPr>
          <w:trHeight w:val="276"/>
        </w:trPr>
        <w:tc>
          <w:tcPr>
            <w:tcW w:w="4680" w:type="dxa"/>
            <w:vAlign w:val="bottom"/>
          </w:tcPr>
          <w:p>
            <w:pPr>
              <w:spacing w:after="0"/>
              <w:rPr>
                <w:sz w:val="20"/>
                <w:szCs w:val="20"/>
                <w:color w:val="auto"/>
              </w:rPr>
            </w:pPr>
            <w:r>
              <w:rPr>
                <w:rFonts w:ascii="Arial" w:cs="Arial" w:eastAsia="Arial" w:hAnsi="Arial"/>
                <w:sz w:val="17"/>
                <w:szCs w:val="17"/>
                <w:b w:val="1"/>
                <w:bCs w:val="1"/>
                <w:color w:val="838383"/>
              </w:rPr>
              <w:t>REVENUE:</w:t>
            </w: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69"/>
        </w:trPr>
        <w:tc>
          <w:tcPr>
            <w:tcW w:w="4680" w:type="dxa"/>
            <w:vAlign w:val="bottom"/>
            <w:tcBorders>
              <w:bottom w:val="single" w:sz="8" w:color="838383"/>
            </w:tcBorders>
          </w:tcPr>
          <w:p>
            <w:pPr>
              <w:spacing w:after="0"/>
              <w:rPr>
                <w:sz w:val="6"/>
                <w:szCs w:val="6"/>
                <w:color w:val="auto"/>
              </w:rPr>
            </w:pPr>
          </w:p>
        </w:tc>
        <w:tc>
          <w:tcPr>
            <w:tcW w:w="440" w:type="dxa"/>
            <w:vAlign w:val="bottom"/>
            <w:tcBorders>
              <w:bottom w:val="single" w:sz="8" w:color="838383"/>
            </w:tcBorders>
          </w:tcPr>
          <w:p>
            <w:pPr>
              <w:spacing w:after="0"/>
              <w:rPr>
                <w:sz w:val="6"/>
                <w:szCs w:val="6"/>
                <w:color w:val="auto"/>
              </w:rPr>
            </w:pPr>
          </w:p>
        </w:tc>
        <w:tc>
          <w:tcPr>
            <w:tcW w:w="1460" w:type="dxa"/>
            <w:vAlign w:val="bottom"/>
            <w:tcBorders>
              <w:bottom w:val="single" w:sz="8" w:color="838383"/>
            </w:tcBorders>
          </w:tcPr>
          <w:p>
            <w:pPr>
              <w:spacing w:after="0"/>
              <w:rPr>
                <w:sz w:val="6"/>
                <w:szCs w:val="6"/>
                <w:color w:val="auto"/>
              </w:rPr>
            </w:pPr>
          </w:p>
        </w:tc>
        <w:tc>
          <w:tcPr>
            <w:tcW w:w="520" w:type="dxa"/>
            <w:vAlign w:val="bottom"/>
            <w:tcBorders>
              <w:bottom w:val="single" w:sz="8" w:color="838383"/>
            </w:tcBorders>
          </w:tcPr>
          <w:p>
            <w:pPr>
              <w:spacing w:after="0"/>
              <w:rPr>
                <w:sz w:val="6"/>
                <w:szCs w:val="6"/>
                <w:color w:val="auto"/>
              </w:rPr>
            </w:pPr>
          </w:p>
        </w:tc>
        <w:tc>
          <w:tcPr>
            <w:tcW w:w="1460" w:type="dxa"/>
            <w:vAlign w:val="bottom"/>
            <w:tcBorders>
              <w:bottom w:val="single" w:sz="8" w:color="838383"/>
            </w:tcBorders>
          </w:tcPr>
          <w:p>
            <w:pPr>
              <w:spacing w:after="0"/>
              <w:rPr>
                <w:sz w:val="6"/>
                <w:szCs w:val="6"/>
                <w:color w:val="auto"/>
              </w:rPr>
            </w:pPr>
          </w:p>
        </w:tc>
        <w:tc>
          <w:tcPr>
            <w:tcW w:w="520" w:type="dxa"/>
            <w:vAlign w:val="bottom"/>
            <w:tcBorders>
              <w:bottom w:val="single" w:sz="8" w:color="838383"/>
            </w:tcBorders>
          </w:tcPr>
          <w:p>
            <w:pPr>
              <w:spacing w:after="0"/>
              <w:rPr>
                <w:sz w:val="6"/>
                <w:szCs w:val="6"/>
                <w:color w:val="auto"/>
              </w:rPr>
            </w:pPr>
          </w:p>
        </w:tc>
        <w:tc>
          <w:tcPr>
            <w:tcW w:w="1360" w:type="dxa"/>
            <w:vAlign w:val="bottom"/>
            <w:tcBorders>
              <w:bottom w:val="single" w:sz="8" w:color="838383"/>
            </w:tcBorders>
          </w:tcPr>
          <w:p>
            <w:pPr>
              <w:spacing w:after="0"/>
              <w:rPr>
                <w:sz w:val="6"/>
                <w:szCs w:val="6"/>
                <w:color w:val="auto"/>
              </w:rPr>
            </w:pPr>
          </w:p>
        </w:tc>
      </w:tr>
      <w:tr>
        <w:trPr>
          <w:trHeight w:val="340"/>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Automotive Products</w:t>
            </w:r>
          </w:p>
        </w:tc>
        <w:tc>
          <w:tcPr>
            <w:tcW w:w="44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spacing w:after="0"/>
              <w:rPr>
                <w:sz w:val="24"/>
                <w:szCs w:val="24"/>
                <w:color w:val="auto"/>
              </w:rPr>
            </w:pPr>
          </w:p>
        </w:tc>
        <w:tc>
          <w:tcPr>
            <w:tcW w:w="52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spacing w:after="0"/>
              <w:rPr>
                <w:sz w:val="24"/>
                <w:szCs w:val="24"/>
                <w:color w:val="auto"/>
              </w:rPr>
            </w:pPr>
          </w:p>
        </w:tc>
        <w:tc>
          <w:tcPr>
            <w:tcW w:w="520" w:type="dxa"/>
            <w:vAlign w:val="bottom"/>
            <w:tcBorders>
              <w:bottom w:val="single" w:sz="8" w:color="838383"/>
            </w:tcBorders>
          </w:tcPr>
          <w:p>
            <w:pPr>
              <w:spacing w:after="0"/>
              <w:rPr>
                <w:sz w:val="24"/>
                <w:szCs w:val="24"/>
                <w:color w:val="auto"/>
              </w:rPr>
            </w:pPr>
          </w:p>
        </w:tc>
        <w:tc>
          <w:tcPr>
            <w:tcW w:w="1360" w:type="dxa"/>
            <w:vAlign w:val="bottom"/>
            <w:tcBorders>
              <w:bottom w:val="single" w:sz="8" w:color="838383"/>
            </w:tcBorders>
          </w:tcPr>
          <w:p>
            <w:pPr>
              <w:spacing w:after="0"/>
              <w:rPr>
                <w:sz w:val="24"/>
                <w:szCs w:val="24"/>
                <w:color w:val="auto"/>
              </w:rPr>
            </w:pPr>
          </w:p>
        </w:tc>
      </w:tr>
      <w:tr>
        <w:trPr>
          <w:trHeight w:val="340"/>
        </w:trPr>
        <w:tc>
          <w:tcPr>
            <w:tcW w:w="4680" w:type="dxa"/>
            <w:vAlign w:val="bottom"/>
            <w:tcBorders>
              <w:bottom w:val="single" w:sz="8" w:color="838383"/>
            </w:tcBorders>
          </w:tcPr>
          <w:p>
            <w:pPr>
              <w:ind w:left="720"/>
              <w:spacing w:after="0"/>
              <w:rPr>
                <w:sz w:val="20"/>
                <w:szCs w:val="20"/>
                <w:color w:val="auto"/>
              </w:rPr>
            </w:pPr>
            <w:r>
              <w:rPr>
                <w:rFonts w:ascii="Times New Roman" w:cs="Times New Roman" w:eastAsia="Times New Roman" w:hAnsi="Times New Roman"/>
                <w:sz w:val="18"/>
                <w:szCs w:val="18"/>
                <w:color w:val="262626"/>
              </w:rPr>
              <w:t>United States</w:t>
            </w:r>
          </w:p>
        </w:tc>
        <w:tc>
          <w:tcPr>
            <w:tcW w:w="44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w w:val="88"/>
              </w:rPr>
              <w:t>$</w:t>
            </w: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579,531,611</w:t>
            </w:r>
          </w:p>
        </w:tc>
        <w:tc>
          <w:tcPr>
            <w:tcW w:w="52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542,690,346</w:t>
            </w:r>
          </w:p>
        </w:tc>
        <w:tc>
          <w:tcPr>
            <w:tcW w:w="52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519,337,271</w:t>
            </w:r>
          </w:p>
        </w:tc>
      </w:tr>
      <w:tr>
        <w:trPr>
          <w:trHeight w:val="340"/>
        </w:trPr>
        <w:tc>
          <w:tcPr>
            <w:tcW w:w="4680" w:type="dxa"/>
            <w:vAlign w:val="bottom"/>
            <w:tcBorders>
              <w:bottom w:val="single" w:sz="8" w:color="838383"/>
            </w:tcBorders>
          </w:tcPr>
          <w:p>
            <w:pPr>
              <w:ind w:left="720"/>
              <w:spacing w:after="0"/>
              <w:rPr>
                <w:sz w:val="20"/>
                <w:szCs w:val="20"/>
                <w:color w:val="auto"/>
              </w:rPr>
            </w:pPr>
            <w:r>
              <w:rPr>
                <w:rFonts w:ascii="Times New Roman" w:cs="Times New Roman" w:eastAsia="Times New Roman" w:hAnsi="Times New Roman"/>
                <w:sz w:val="18"/>
                <w:szCs w:val="18"/>
                <w:color w:val="262626"/>
              </w:rPr>
              <w:t>Germany</w:t>
            </w:r>
          </w:p>
        </w:tc>
        <w:tc>
          <w:tcPr>
            <w:tcW w:w="44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266,498,398</w:t>
            </w:r>
          </w:p>
        </w:tc>
        <w:tc>
          <w:tcPr>
            <w:tcW w:w="52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234,994,551</w:t>
            </w:r>
          </w:p>
        </w:tc>
        <w:tc>
          <w:tcPr>
            <w:tcW w:w="520" w:type="dxa"/>
            <w:vAlign w:val="bottom"/>
            <w:tcBorders>
              <w:bottom w:val="single" w:sz="8" w:color="838383"/>
            </w:tcBorders>
          </w:tcPr>
          <w:p>
            <w:pPr>
              <w:spacing w:after="0"/>
              <w:rPr>
                <w:sz w:val="24"/>
                <w:szCs w:val="24"/>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228,652,827</w:t>
            </w:r>
          </w:p>
        </w:tc>
      </w:tr>
      <w:tr>
        <w:trPr>
          <w:trHeight w:val="340"/>
        </w:trPr>
        <w:tc>
          <w:tcPr>
            <w:tcW w:w="4680" w:type="dxa"/>
            <w:vAlign w:val="bottom"/>
            <w:tcBorders>
              <w:bottom w:val="single" w:sz="8" w:color="838383"/>
            </w:tcBorders>
          </w:tcPr>
          <w:p>
            <w:pPr>
              <w:ind w:left="720"/>
              <w:spacing w:after="0"/>
              <w:rPr>
                <w:sz w:val="20"/>
                <w:szCs w:val="20"/>
                <w:color w:val="auto"/>
              </w:rPr>
            </w:pPr>
            <w:r>
              <w:rPr>
                <w:rFonts w:ascii="Times New Roman" w:cs="Times New Roman" w:eastAsia="Times New Roman" w:hAnsi="Times New Roman"/>
                <w:sz w:val="18"/>
                <w:szCs w:val="18"/>
                <w:color w:val="262626"/>
              </w:rPr>
              <w:t>Japan</w:t>
            </w:r>
          </w:p>
        </w:tc>
        <w:tc>
          <w:tcPr>
            <w:tcW w:w="44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234,888,653</w:t>
            </w:r>
          </w:p>
        </w:tc>
        <w:tc>
          <w:tcPr>
            <w:tcW w:w="52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211,417,475</w:t>
            </w:r>
          </w:p>
        </w:tc>
        <w:tc>
          <w:tcPr>
            <w:tcW w:w="520" w:type="dxa"/>
            <w:vAlign w:val="bottom"/>
            <w:tcBorders>
              <w:bottom w:val="single" w:sz="8" w:color="838383"/>
            </w:tcBorders>
          </w:tcPr>
          <w:p>
            <w:pPr>
              <w:spacing w:after="0"/>
              <w:rPr>
                <w:sz w:val="24"/>
                <w:szCs w:val="24"/>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216,100,530</w:t>
            </w:r>
          </w:p>
        </w:tc>
      </w:tr>
      <w:tr>
        <w:trPr>
          <w:trHeight w:val="340"/>
        </w:trPr>
        <w:tc>
          <w:tcPr>
            <w:tcW w:w="4680" w:type="dxa"/>
            <w:vAlign w:val="bottom"/>
            <w:tcBorders>
              <w:bottom w:val="single" w:sz="8" w:color="838383"/>
            </w:tcBorders>
          </w:tcPr>
          <w:p>
            <w:pPr>
              <w:ind w:left="720"/>
              <w:spacing w:after="0"/>
              <w:rPr>
                <w:sz w:val="20"/>
                <w:szCs w:val="20"/>
                <w:color w:val="auto"/>
              </w:rPr>
            </w:pPr>
            <w:r>
              <w:rPr>
                <w:rFonts w:ascii="Times New Roman" w:cs="Times New Roman" w:eastAsia="Times New Roman" w:hAnsi="Times New Roman"/>
                <w:sz w:val="18"/>
                <w:szCs w:val="18"/>
                <w:color w:val="262626"/>
              </w:rPr>
              <w:t>Mexico</w:t>
            </w:r>
          </w:p>
        </w:tc>
        <w:tc>
          <w:tcPr>
            <w:tcW w:w="44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121,553,711</w:t>
            </w:r>
          </w:p>
        </w:tc>
        <w:tc>
          <w:tcPr>
            <w:tcW w:w="52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111,761,245</w:t>
            </w:r>
          </w:p>
        </w:tc>
        <w:tc>
          <w:tcPr>
            <w:tcW w:w="520" w:type="dxa"/>
            <w:vAlign w:val="bottom"/>
            <w:tcBorders>
              <w:bottom w:val="single" w:sz="8" w:color="838383"/>
            </w:tcBorders>
          </w:tcPr>
          <w:p>
            <w:pPr>
              <w:spacing w:after="0"/>
              <w:rPr>
                <w:sz w:val="24"/>
                <w:szCs w:val="24"/>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127,157,684</w:t>
            </w:r>
          </w:p>
        </w:tc>
      </w:tr>
      <w:tr>
        <w:trPr>
          <w:trHeight w:val="340"/>
        </w:trPr>
        <w:tc>
          <w:tcPr>
            <w:tcW w:w="4680" w:type="dxa"/>
            <w:vAlign w:val="bottom"/>
            <w:tcBorders>
              <w:bottom w:val="single" w:sz="8" w:color="838383"/>
            </w:tcBorders>
          </w:tcPr>
          <w:p>
            <w:pPr>
              <w:ind w:left="720"/>
              <w:spacing w:after="0"/>
              <w:rPr>
                <w:sz w:val="20"/>
                <w:szCs w:val="20"/>
                <w:color w:val="auto"/>
              </w:rPr>
            </w:pPr>
            <w:r>
              <w:rPr>
                <w:rFonts w:ascii="Times New Roman" w:cs="Times New Roman" w:eastAsia="Times New Roman" w:hAnsi="Times New Roman"/>
                <w:sz w:val="18"/>
                <w:szCs w:val="18"/>
                <w:color w:val="262626"/>
              </w:rPr>
              <w:t>Other Countries</w:t>
            </w:r>
          </w:p>
        </w:tc>
        <w:tc>
          <w:tcPr>
            <w:tcW w:w="44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672,270,085</w:t>
            </w:r>
          </w:p>
        </w:tc>
        <w:tc>
          <w:tcPr>
            <w:tcW w:w="52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596,324,417</w:t>
            </w:r>
          </w:p>
        </w:tc>
        <w:tc>
          <w:tcPr>
            <w:tcW w:w="520" w:type="dxa"/>
            <w:vAlign w:val="bottom"/>
            <w:tcBorders>
              <w:bottom w:val="single" w:sz="8" w:color="838383"/>
            </w:tcBorders>
          </w:tcPr>
          <w:p>
            <w:pPr>
              <w:spacing w:after="0"/>
              <w:rPr>
                <w:sz w:val="24"/>
                <w:szCs w:val="24"/>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556,949,831</w:t>
            </w:r>
          </w:p>
        </w:tc>
      </w:tr>
      <w:tr>
        <w:trPr>
          <w:trHeight w:val="355"/>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Other</w:t>
            </w:r>
          </w:p>
        </w:tc>
        <w:tc>
          <w:tcPr>
            <w:tcW w:w="440" w:type="dxa"/>
            <w:vAlign w:val="bottom"/>
            <w:tcBorders>
              <w:bottom w:val="single" w:sz="8" w:color="8F8F8F"/>
            </w:tcBorders>
          </w:tcPr>
          <w:p>
            <w:pPr>
              <w:spacing w:after="0"/>
              <w:rPr>
                <w:sz w:val="24"/>
                <w:szCs w:val="24"/>
                <w:color w:val="auto"/>
              </w:rPr>
            </w:pP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44,215,585</w:t>
            </w:r>
          </w:p>
        </w:tc>
        <w:tc>
          <w:tcPr>
            <w:tcW w:w="520" w:type="dxa"/>
            <w:vAlign w:val="bottom"/>
            <w:tcBorders>
              <w:bottom w:val="single" w:sz="8" w:color="8F8F8F"/>
            </w:tcBorders>
          </w:tcPr>
          <w:p>
            <w:pPr>
              <w:spacing w:after="0"/>
              <w:rPr>
                <w:sz w:val="24"/>
                <w:szCs w:val="24"/>
                <w:color w:val="auto"/>
              </w:rPr>
            </w:pP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33,981,895</w:t>
            </w:r>
          </w:p>
        </w:tc>
        <w:tc>
          <w:tcPr>
            <w:tcW w:w="520" w:type="dxa"/>
            <w:vAlign w:val="bottom"/>
            <w:tcBorders>
              <w:bottom w:val="single" w:sz="8" w:color="8F8F8F"/>
            </w:tcBorders>
          </w:tcPr>
          <w:p>
            <w:pPr>
              <w:spacing w:after="0"/>
              <w:rPr>
                <w:sz w:val="24"/>
                <w:szCs w:val="24"/>
                <w:color w:val="auto"/>
              </w:rPr>
            </w:pPr>
          </w:p>
        </w:tc>
        <w:tc>
          <w:tcPr>
            <w:tcW w:w="13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39,991,262</w:t>
            </w:r>
          </w:p>
        </w:tc>
      </w:tr>
      <w:tr>
        <w:trPr>
          <w:trHeight w:val="335"/>
        </w:trPr>
        <w:tc>
          <w:tcPr>
            <w:tcW w:w="4680" w:type="dxa"/>
            <w:vAlign w:val="bottom"/>
            <w:tcBorders>
              <w:bottom w:val="single" w:sz="8" w:color="838383"/>
            </w:tcBorders>
          </w:tcPr>
          <w:p>
            <w:pPr>
              <w:ind w:left="720"/>
              <w:spacing w:after="0"/>
              <w:rPr>
                <w:sz w:val="20"/>
                <w:szCs w:val="20"/>
                <w:color w:val="auto"/>
              </w:rPr>
            </w:pPr>
            <w:r>
              <w:rPr>
                <w:rFonts w:ascii="Times New Roman" w:cs="Times New Roman" w:eastAsia="Times New Roman" w:hAnsi="Times New Roman"/>
                <w:sz w:val="18"/>
                <w:szCs w:val="18"/>
                <w:color w:val="262626"/>
              </w:rPr>
              <w:t>Total</w:t>
            </w:r>
          </w:p>
        </w:tc>
        <w:tc>
          <w:tcPr>
            <w:tcW w:w="440" w:type="dxa"/>
            <w:vAlign w:val="bottom"/>
            <w:tcBorders>
              <w:bottom w:val="single" w:sz="8" w:color="8F8F8F"/>
            </w:tcBorders>
          </w:tcPr>
          <w:p>
            <w:pPr>
              <w:jc w:val="right"/>
              <w:ind w:right="250"/>
              <w:spacing w:after="0"/>
              <w:rPr>
                <w:sz w:val="20"/>
                <w:szCs w:val="20"/>
                <w:color w:val="auto"/>
              </w:rPr>
            </w:pPr>
            <w:r>
              <w:rPr>
                <w:rFonts w:ascii="Times New Roman" w:cs="Times New Roman" w:eastAsia="Times New Roman" w:hAnsi="Times New Roman"/>
                <w:sz w:val="18"/>
                <w:szCs w:val="18"/>
                <w:color w:val="262626"/>
                <w:w w:val="88"/>
              </w:rPr>
              <w:t>$</w:t>
            </w: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1,918,958,043</w:t>
            </w:r>
          </w:p>
        </w:tc>
        <w:tc>
          <w:tcPr>
            <w:tcW w:w="520" w:type="dxa"/>
            <w:vAlign w:val="bottom"/>
            <w:tcBorders>
              <w:bottom w:val="single" w:sz="8" w:color="8F8F8F"/>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1,731,169,929</w:t>
            </w:r>
          </w:p>
        </w:tc>
        <w:tc>
          <w:tcPr>
            <w:tcW w:w="520" w:type="dxa"/>
            <w:vAlign w:val="bottom"/>
            <w:tcBorders>
              <w:bottom w:val="single" w:sz="8" w:color="8F8F8F"/>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3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1,688,189,405</w:t>
            </w:r>
          </w:p>
        </w:tc>
      </w:tr>
      <w:tr>
        <w:trPr>
          <w:trHeight w:val="263"/>
        </w:trPr>
        <w:tc>
          <w:tcPr>
            <w:tcW w:w="4680" w:type="dxa"/>
            <w:vAlign w:val="bottom"/>
          </w:tcPr>
          <w:p>
            <w:pPr>
              <w:spacing w:after="0"/>
              <w:rPr>
                <w:sz w:val="20"/>
                <w:szCs w:val="20"/>
                <w:color w:val="auto"/>
              </w:rPr>
            </w:pPr>
            <w:r>
              <w:rPr>
                <w:rFonts w:ascii="Arial" w:cs="Arial" w:eastAsia="Arial" w:hAnsi="Arial"/>
                <w:sz w:val="17"/>
                <w:szCs w:val="17"/>
                <w:b w:val="1"/>
                <w:bCs w:val="1"/>
                <w:color w:val="838383"/>
              </w:rPr>
              <w:t>INCOME (LOSS) FROM OPERATIONS:</w:t>
            </w: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67"/>
        </w:trPr>
        <w:tc>
          <w:tcPr>
            <w:tcW w:w="4680" w:type="dxa"/>
            <w:vAlign w:val="bottom"/>
            <w:tcBorders>
              <w:bottom w:val="single" w:sz="8" w:color="838383"/>
            </w:tcBorders>
          </w:tcPr>
          <w:p>
            <w:pPr>
              <w:spacing w:after="0"/>
              <w:rPr>
                <w:sz w:val="5"/>
                <w:szCs w:val="5"/>
                <w:color w:val="auto"/>
              </w:rPr>
            </w:pPr>
          </w:p>
        </w:tc>
        <w:tc>
          <w:tcPr>
            <w:tcW w:w="440" w:type="dxa"/>
            <w:vAlign w:val="bottom"/>
            <w:tcBorders>
              <w:bottom w:val="single" w:sz="8" w:color="838383"/>
            </w:tcBorders>
          </w:tcPr>
          <w:p>
            <w:pPr>
              <w:spacing w:after="0"/>
              <w:rPr>
                <w:sz w:val="5"/>
                <w:szCs w:val="5"/>
                <w:color w:val="auto"/>
              </w:rPr>
            </w:pPr>
          </w:p>
        </w:tc>
        <w:tc>
          <w:tcPr>
            <w:tcW w:w="1460" w:type="dxa"/>
            <w:vAlign w:val="bottom"/>
            <w:tcBorders>
              <w:bottom w:val="single" w:sz="8" w:color="838383"/>
            </w:tcBorders>
          </w:tcPr>
          <w:p>
            <w:pPr>
              <w:spacing w:after="0"/>
              <w:rPr>
                <w:sz w:val="5"/>
                <w:szCs w:val="5"/>
                <w:color w:val="auto"/>
              </w:rPr>
            </w:pPr>
          </w:p>
        </w:tc>
        <w:tc>
          <w:tcPr>
            <w:tcW w:w="520" w:type="dxa"/>
            <w:vAlign w:val="bottom"/>
            <w:tcBorders>
              <w:bottom w:val="single" w:sz="8" w:color="838383"/>
            </w:tcBorders>
          </w:tcPr>
          <w:p>
            <w:pPr>
              <w:spacing w:after="0"/>
              <w:rPr>
                <w:sz w:val="5"/>
                <w:szCs w:val="5"/>
                <w:color w:val="auto"/>
              </w:rPr>
            </w:pPr>
          </w:p>
        </w:tc>
        <w:tc>
          <w:tcPr>
            <w:tcW w:w="1460" w:type="dxa"/>
            <w:vAlign w:val="bottom"/>
            <w:tcBorders>
              <w:bottom w:val="single" w:sz="8" w:color="838383"/>
            </w:tcBorders>
          </w:tcPr>
          <w:p>
            <w:pPr>
              <w:spacing w:after="0"/>
              <w:rPr>
                <w:sz w:val="5"/>
                <w:szCs w:val="5"/>
                <w:color w:val="auto"/>
              </w:rPr>
            </w:pPr>
          </w:p>
        </w:tc>
        <w:tc>
          <w:tcPr>
            <w:tcW w:w="520" w:type="dxa"/>
            <w:vAlign w:val="bottom"/>
            <w:tcBorders>
              <w:bottom w:val="single" w:sz="8" w:color="838383"/>
            </w:tcBorders>
          </w:tcPr>
          <w:p>
            <w:pPr>
              <w:spacing w:after="0"/>
              <w:rPr>
                <w:sz w:val="5"/>
                <w:szCs w:val="5"/>
                <w:color w:val="auto"/>
              </w:rPr>
            </w:pPr>
          </w:p>
        </w:tc>
        <w:tc>
          <w:tcPr>
            <w:tcW w:w="1360" w:type="dxa"/>
            <w:vAlign w:val="bottom"/>
            <w:tcBorders>
              <w:bottom w:val="single" w:sz="8" w:color="838383"/>
            </w:tcBorders>
          </w:tcPr>
          <w:p>
            <w:pPr>
              <w:spacing w:after="0"/>
              <w:rPr>
                <w:sz w:val="5"/>
                <w:szCs w:val="5"/>
                <w:color w:val="auto"/>
              </w:rPr>
            </w:pPr>
          </w:p>
        </w:tc>
      </w:tr>
      <w:tr>
        <w:trPr>
          <w:trHeight w:val="340"/>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Automotive Products</w:t>
            </w:r>
          </w:p>
        </w:tc>
        <w:tc>
          <w:tcPr>
            <w:tcW w:w="44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w w:val="88"/>
              </w:rPr>
              <w:t>$</w:t>
            </w: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372,490,748</w:t>
            </w:r>
          </w:p>
        </w:tc>
        <w:tc>
          <w:tcPr>
            <w:tcW w:w="52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414,185,075</w:t>
            </w:r>
          </w:p>
        </w:tc>
        <w:tc>
          <w:tcPr>
            <w:tcW w:w="52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393,979,860</w:t>
            </w:r>
          </w:p>
        </w:tc>
      </w:tr>
      <w:tr>
        <w:trPr>
          <w:trHeight w:val="355"/>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Other</w:t>
            </w:r>
          </w:p>
        </w:tc>
        <w:tc>
          <w:tcPr>
            <w:tcW w:w="440" w:type="dxa"/>
            <w:vAlign w:val="bottom"/>
            <w:tcBorders>
              <w:bottom w:val="single" w:sz="8" w:color="8F8F8F"/>
            </w:tcBorders>
          </w:tcPr>
          <w:p>
            <w:pPr>
              <w:spacing w:after="0"/>
              <w:rPr>
                <w:sz w:val="24"/>
                <w:szCs w:val="24"/>
                <w:color w:val="auto"/>
              </w:rPr>
            </w:pP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(2,484,622)</w:t>
            </w:r>
          </w:p>
        </w:tc>
        <w:tc>
          <w:tcPr>
            <w:tcW w:w="520" w:type="dxa"/>
            <w:vAlign w:val="bottom"/>
            <w:tcBorders>
              <w:bottom w:val="single" w:sz="8" w:color="8F8F8F"/>
            </w:tcBorders>
          </w:tcPr>
          <w:p>
            <w:pPr>
              <w:spacing w:after="0"/>
              <w:rPr>
                <w:sz w:val="24"/>
                <w:szCs w:val="24"/>
                <w:color w:val="auto"/>
              </w:rPr>
            </w:pP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(4,403,097)</w:t>
            </w:r>
          </w:p>
        </w:tc>
        <w:tc>
          <w:tcPr>
            <w:tcW w:w="520" w:type="dxa"/>
            <w:vAlign w:val="bottom"/>
            <w:tcBorders>
              <w:bottom w:val="single" w:sz="8" w:color="8F8F8F"/>
            </w:tcBorders>
          </w:tcPr>
          <w:p>
            <w:pPr>
              <w:spacing w:after="0"/>
              <w:rPr>
                <w:sz w:val="24"/>
                <w:szCs w:val="24"/>
                <w:color w:val="auto"/>
              </w:rPr>
            </w:pPr>
          </w:p>
        </w:tc>
        <w:tc>
          <w:tcPr>
            <w:tcW w:w="13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5,576,232</w:t>
            </w:r>
          </w:p>
        </w:tc>
      </w:tr>
      <w:tr>
        <w:trPr>
          <w:trHeight w:val="335"/>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Total</w:t>
            </w:r>
          </w:p>
        </w:tc>
        <w:tc>
          <w:tcPr>
            <w:tcW w:w="440" w:type="dxa"/>
            <w:vAlign w:val="bottom"/>
            <w:tcBorders>
              <w:bottom w:val="single" w:sz="8" w:color="8F8F8F"/>
            </w:tcBorders>
          </w:tcPr>
          <w:p>
            <w:pPr>
              <w:jc w:val="right"/>
              <w:ind w:right="250"/>
              <w:spacing w:after="0"/>
              <w:rPr>
                <w:sz w:val="20"/>
                <w:szCs w:val="20"/>
                <w:color w:val="auto"/>
              </w:rPr>
            </w:pPr>
            <w:r>
              <w:rPr>
                <w:rFonts w:ascii="Times New Roman" w:cs="Times New Roman" w:eastAsia="Times New Roman" w:hAnsi="Times New Roman"/>
                <w:sz w:val="18"/>
                <w:szCs w:val="18"/>
                <w:color w:val="262626"/>
                <w:w w:val="88"/>
              </w:rPr>
              <w:t>$</w:t>
            </w: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370,006,126</w:t>
            </w:r>
          </w:p>
        </w:tc>
        <w:tc>
          <w:tcPr>
            <w:tcW w:w="520" w:type="dxa"/>
            <w:vAlign w:val="bottom"/>
            <w:tcBorders>
              <w:bottom w:val="single" w:sz="8" w:color="8F8F8F"/>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409,781,978</w:t>
            </w:r>
          </w:p>
        </w:tc>
        <w:tc>
          <w:tcPr>
            <w:tcW w:w="520" w:type="dxa"/>
            <w:vAlign w:val="bottom"/>
            <w:tcBorders>
              <w:bottom w:val="single" w:sz="8" w:color="8F8F8F"/>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3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399,556,092</w:t>
            </w:r>
          </w:p>
        </w:tc>
      </w:tr>
      <w:tr>
        <w:trPr>
          <w:trHeight w:val="263"/>
        </w:trPr>
        <w:tc>
          <w:tcPr>
            <w:tcW w:w="4680" w:type="dxa"/>
            <w:vAlign w:val="bottom"/>
          </w:tcPr>
          <w:p>
            <w:pPr>
              <w:spacing w:after="0"/>
              <w:rPr>
                <w:sz w:val="20"/>
                <w:szCs w:val="20"/>
                <w:color w:val="auto"/>
              </w:rPr>
            </w:pPr>
            <w:r>
              <w:rPr>
                <w:rFonts w:ascii="Arial" w:cs="Arial" w:eastAsia="Arial" w:hAnsi="Arial"/>
                <w:sz w:val="17"/>
                <w:szCs w:val="17"/>
                <w:b w:val="1"/>
                <w:bCs w:val="1"/>
                <w:color w:val="838383"/>
              </w:rPr>
              <w:t>ASSETS:</w:t>
            </w: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67"/>
        </w:trPr>
        <w:tc>
          <w:tcPr>
            <w:tcW w:w="4680" w:type="dxa"/>
            <w:vAlign w:val="bottom"/>
            <w:tcBorders>
              <w:bottom w:val="single" w:sz="8" w:color="838383"/>
            </w:tcBorders>
          </w:tcPr>
          <w:p>
            <w:pPr>
              <w:spacing w:after="0"/>
              <w:rPr>
                <w:sz w:val="5"/>
                <w:szCs w:val="5"/>
                <w:color w:val="auto"/>
              </w:rPr>
            </w:pPr>
          </w:p>
        </w:tc>
        <w:tc>
          <w:tcPr>
            <w:tcW w:w="440" w:type="dxa"/>
            <w:vAlign w:val="bottom"/>
            <w:tcBorders>
              <w:bottom w:val="single" w:sz="8" w:color="838383"/>
            </w:tcBorders>
          </w:tcPr>
          <w:p>
            <w:pPr>
              <w:spacing w:after="0"/>
              <w:rPr>
                <w:sz w:val="5"/>
                <w:szCs w:val="5"/>
                <w:color w:val="auto"/>
              </w:rPr>
            </w:pPr>
          </w:p>
        </w:tc>
        <w:tc>
          <w:tcPr>
            <w:tcW w:w="1460" w:type="dxa"/>
            <w:vAlign w:val="bottom"/>
            <w:tcBorders>
              <w:bottom w:val="single" w:sz="8" w:color="838383"/>
            </w:tcBorders>
          </w:tcPr>
          <w:p>
            <w:pPr>
              <w:spacing w:after="0"/>
              <w:rPr>
                <w:sz w:val="5"/>
                <w:szCs w:val="5"/>
                <w:color w:val="auto"/>
              </w:rPr>
            </w:pPr>
          </w:p>
        </w:tc>
        <w:tc>
          <w:tcPr>
            <w:tcW w:w="520" w:type="dxa"/>
            <w:vAlign w:val="bottom"/>
            <w:tcBorders>
              <w:bottom w:val="single" w:sz="8" w:color="838383"/>
            </w:tcBorders>
          </w:tcPr>
          <w:p>
            <w:pPr>
              <w:spacing w:after="0"/>
              <w:rPr>
                <w:sz w:val="5"/>
                <w:szCs w:val="5"/>
                <w:color w:val="auto"/>
              </w:rPr>
            </w:pPr>
          </w:p>
        </w:tc>
        <w:tc>
          <w:tcPr>
            <w:tcW w:w="1460" w:type="dxa"/>
            <w:vAlign w:val="bottom"/>
            <w:tcBorders>
              <w:bottom w:val="single" w:sz="8" w:color="838383"/>
            </w:tcBorders>
          </w:tcPr>
          <w:p>
            <w:pPr>
              <w:spacing w:after="0"/>
              <w:rPr>
                <w:sz w:val="5"/>
                <w:szCs w:val="5"/>
                <w:color w:val="auto"/>
              </w:rPr>
            </w:pPr>
          </w:p>
        </w:tc>
        <w:tc>
          <w:tcPr>
            <w:tcW w:w="520" w:type="dxa"/>
            <w:vAlign w:val="bottom"/>
            <w:tcBorders>
              <w:bottom w:val="single" w:sz="8" w:color="838383"/>
            </w:tcBorders>
          </w:tcPr>
          <w:p>
            <w:pPr>
              <w:spacing w:after="0"/>
              <w:rPr>
                <w:sz w:val="5"/>
                <w:szCs w:val="5"/>
                <w:color w:val="auto"/>
              </w:rPr>
            </w:pPr>
          </w:p>
        </w:tc>
        <w:tc>
          <w:tcPr>
            <w:tcW w:w="1360" w:type="dxa"/>
            <w:vAlign w:val="bottom"/>
            <w:tcBorders>
              <w:bottom w:val="single" w:sz="8" w:color="838383"/>
            </w:tcBorders>
          </w:tcPr>
          <w:p>
            <w:pPr>
              <w:spacing w:after="0"/>
              <w:rPr>
                <w:sz w:val="5"/>
                <w:szCs w:val="5"/>
                <w:color w:val="auto"/>
              </w:rPr>
            </w:pPr>
          </w:p>
        </w:tc>
      </w:tr>
      <w:tr>
        <w:trPr>
          <w:trHeight w:val="340"/>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Automotive Products</w:t>
            </w:r>
          </w:p>
        </w:tc>
        <w:tc>
          <w:tcPr>
            <w:tcW w:w="44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w w:val="88"/>
              </w:rPr>
              <w:t>$</w:t>
            </w: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1,670,634,277</w:t>
            </w:r>
          </w:p>
        </w:tc>
        <w:tc>
          <w:tcPr>
            <w:tcW w:w="52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1,495,298,453</w:t>
            </w:r>
          </w:p>
        </w:tc>
        <w:tc>
          <w:tcPr>
            <w:tcW w:w="52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1,436,374,596</w:t>
            </w:r>
          </w:p>
        </w:tc>
      </w:tr>
      <w:tr>
        <w:trPr>
          <w:trHeight w:val="340"/>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Other</w:t>
            </w:r>
          </w:p>
        </w:tc>
        <w:tc>
          <w:tcPr>
            <w:tcW w:w="44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43,025,905</w:t>
            </w:r>
          </w:p>
        </w:tc>
        <w:tc>
          <w:tcPr>
            <w:tcW w:w="52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34,760,744</w:t>
            </w:r>
          </w:p>
        </w:tc>
        <w:tc>
          <w:tcPr>
            <w:tcW w:w="520" w:type="dxa"/>
            <w:vAlign w:val="bottom"/>
            <w:tcBorders>
              <w:bottom w:val="single" w:sz="8" w:color="838383"/>
            </w:tcBorders>
          </w:tcPr>
          <w:p>
            <w:pPr>
              <w:spacing w:after="0"/>
              <w:rPr>
                <w:sz w:val="24"/>
                <w:szCs w:val="24"/>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33,317,668</w:t>
            </w:r>
          </w:p>
        </w:tc>
      </w:tr>
      <w:tr>
        <w:trPr>
          <w:trHeight w:val="355"/>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Corporate</w:t>
            </w:r>
          </w:p>
        </w:tc>
        <w:tc>
          <w:tcPr>
            <w:tcW w:w="440" w:type="dxa"/>
            <w:vAlign w:val="bottom"/>
            <w:tcBorders>
              <w:bottom w:val="single" w:sz="8" w:color="8F8F8F"/>
            </w:tcBorders>
          </w:tcPr>
          <w:p>
            <w:pPr>
              <w:spacing w:after="0"/>
              <w:rPr>
                <w:sz w:val="24"/>
                <w:szCs w:val="24"/>
                <w:color w:val="auto"/>
              </w:rPr>
            </w:pP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613,569,742</w:t>
            </w:r>
          </w:p>
        </w:tc>
        <w:tc>
          <w:tcPr>
            <w:tcW w:w="520" w:type="dxa"/>
            <w:vAlign w:val="bottom"/>
            <w:tcBorders>
              <w:bottom w:val="single" w:sz="8" w:color="8F8F8F"/>
            </w:tcBorders>
          </w:tcPr>
          <w:p>
            <w:pPr>
              <w:spacing w:after="0"/>
              <w:rPr>
                <w:sz w:val="24"/>
                <w:szCs w:val="24"/>
                <w:color w:val="auto"/>
              </w:rPr>
            </w:pP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601,331,969</w:t>
            </w:r>
          </w:p>
        </w:tc>
        <w:tc>
          <w:tcPr>
            <w:tcW w:w="520" w:type="dxa"/>
            <w:vAlign w:val="bottom"/>
            <w:tcBorders>
              <w:bottom w:val="single" w:sz="8" w:color="8F8F8F"/>
            </w:tcBorders>
          </w:tcPr>
          <w:p>
            <w:pPr>
              <w:spacing w:after="0"/>
              <w:rPr>
                <w:sz w:val="24"/>
                <w:szCs w:val="24"/>
                <w:color w:val="auto"/>
              </w:rPr>
            </w:pPr>
          </w:p>
        </w:tc>
        <w:tc>
          <w:tcPr>
            <w:tcW w:w="13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728,248,906</w:t>
            </w:r>
          </w:p>
        </w:tc>
      </w:tr>
      <w:tr>
        <w:trPr>
          <w:trHeight w:val="335"/>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Total</w:t>
            </w:r>
          </w:p>
        </w:tc>
        <w:tc>
          <w:tcPr>
            <w:tcW w:w="440" w:type="dxa"/>
            <w:vAlign w:val="bottom"/>
            <w:tcBorders>
              <w:bottom w:val="single" w:sz="8" w:color="8F8F8F"/>
            </w:tcBorders>
          </w:tcPr>
          <w:p>
            <w:pPr>
              <w:jc w:val="right"/>
              <w:ind w:right="250"/>
              <w:spacing w:after="0"/>
              <w:rPr>
                <w:sz w:val="20"/>
                <w:szCs w:val="20"/>
                <w:color w:val="auto"/>
              </w:rPr>
            </w:pPr>
            <w:r>
              <w:rPr>
                <w:rFonts w:ascii="Times New Roman" w:cs="Times New Roman" w:eastAsia="Times New Roman" w:hAnsi="Times New Roman"/>
                <w:sz w:val="18"/>
                <w:szCs w:val="18"/>
                <w:color w:val="262626"/>
                <w:w w:val="88"/>
              </w:rPr>
              <w:t>$</w:t>
            </w: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2,327,229,924</w:t>
            </w:r>
          </w:p>
        </w:tc>
        <w:tc>
          <w:tcPr>
            <w:tcW w:w="520" w:type="dxa"/>
            <w:vAlign w:val="bottom"/>
            <w:tcBorders>
              <w:bottom w:val="single" w:sz="8" w:color="8F8F8F"/>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2,131,391,166</w:t>
            </w:r>
          </w:p>
        </w:tc>
        <w:tc>
          <w:tcPr>
            <w:tcW w:w="520" w:type="dxa"/>
            <w:vAlign w:val="bottom"/>
            <w:tcBorders>
              <w:bottom w:val="single" w:sz="8" w:color="8F8F8F"/>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3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2,197,941,170</w:t>
            </w:r>
          </w:p>
        </w:tc>
      </w:tr>
      <w:tr>
        <w:trPr>
          <w:trHeight w:val="263"/>
        </w:trPr>
        <w:tc>
          <w:tcPr>
            <w:tcW w:w="4680" w:type="dxa"/>
            <w:vAlign w:val="bottom"/>
          </w:tcPr>
          <w:p>
            <w:pPr>
              <w:spacing w:after="0"/>
              <w:rPr>
                <w:sz w:val="20"/>
                <w:szCs w:val="20"/>
                <w:color w:val="auto"/>
              </w:rPr>
            </w:pPr>
            <w:r>
              <w:rPr>
                <w:rFonts w:ascii="Arial" w:cs="Arial" w:eastAsia="Arial" w:hAnsi="Arial"/>
                <w:sz w:val="17"/>
                <w:szCs w:val="17"/>
                <w:b w:val="1"/>
                <w:bCs w:val="1"/>
                <w:color w:val="838383"/>
              </w:rPr>
              <w:t>DEPRECIATION &amp; AMORTIZATION:</w:t>
            </w: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67"/>
        </w:trPr>
        <w:tc>
          <w:tcPr>
            <w:tcW w:w="4680" w:type="dxa"/>
            <w:vAlign w:val="bottom"/>
            <w:tcBorders>
              <w:bottom w:val="single" w:sz="8" w:color="838383"/>
            </w:tcBorders>
          </w:tcPr>
          <w:p>
            <w:pPr>
              <w:spacing w:after="0"/>
              <w:rPr>
                <w:sz w:val="5"/>
                <w:szCs w:val="5"/>
                <w:color w:val="auto"/>
              </w:rPr>
            </w:pPr>
          </w:p>
        </w:tc>
        <w:tc>
          <w:tcPr>
            <w:tcW w:w="440" w:type="dxa"/>
            <w:vAlign w:val="bottom"/>
            <w:tcBorders>
              <w:bottom w:val="single" w:sz="8" w:color="838383"/>
            </w:tcBorders>
          </w:tcPr>
          <w:p>
            <w:pPr>
              <w:spacing w:after="0"/>
              <w:rPr>
                <w:sz w:val="5"/>
                <w:szCs w:val="5"/>
                <w:color w:val="auto"/>
              </w:rPr>
            </w:pPr>
          </w:p>
        </w:tc>
        <w:tc>
          <w:tcPr>
            <w:tcW w:w="1460" w:type="dxa"/>
            <w:vAlign w:val="bottom"/>
            <w:tcBorders>
              <w:bottom w:val="single" w:sz="8" w:color="838383"/>
            </w:tcBorders>
          </w:tcPr>
          <w:p>
            <w:pPr>
              <w:spacing w:after="0"/>
              <w:rPr>
                <w:sz w:val="5"/>
                <w:szCs w:val="5"/>
                <w:color w:val="auto"/>
              </w:rPr>
            </w:pPr>
          </w:p>
        </w:tc>
        <w:tc>
          <w:tcPr>
            <w:tcW w:w="520" w:type="dxa"/>
            <w:vAlign w:val="bottom"/>
            <w:tcBorders>
              <w:bottom w:val="single" w:sz="8" w:color="838383"/>
            </w:tcBorders>
          </w:tcPr>
          <w:p>
            <w:pPr>
              <w:spacing w:after="0"/>
              <w:rPr>
                <w:sz w:val="5"/>
                <w:szCs w:val="5"/>
                <w:color w:val="auto"/>
              </w:rPr>
            </w:pPr>
          </w:p>
        </w:tc>
        <w:tc>
          <w:tcPr>
            <w:tcW w:w="1460" w:type="dxa"/>
            <w:vAlign w:val="bottom"/>
            <w:tcBorders>
              <w:bottom w:val="single" w:sz="8" w:color="838383"/>
            </w:tcBorders>
          </w:tcPr>
          <w:p>
            <w:pPr>
              <w:spacing w:after="0"/>
              <w:rPr>
                <w:sz w:val="5"/>
                <w:szCs w:val="5"/>
                <w:color w:val="auto"/>
              </w:rPr>
            </w:pPr>
          </w:p>
        </w:tc>
        <w:tc>
          <w:tcPr>
            <w:tcW w:w="520" w:type="dxa"/>
            <w:vAlign w:val="bottom"/>
            <w:tcBorders>
              <w:bottom w:val="single" w:sz="8" w:color="838383"/>
            </w:tcBorders>
          </w:tcPr>
          <w:p>
            <w:pPr>
              <w:spacing w:after="0"/>
              <w:rPr>
                <w:sz w:val="5"/>
                <w:szCs w:val="5"/>
                <w:color w:val="auto"/>
              </w:rPr>
            </w:pPr>
          </w:p>
        </w:tc>
        <w:tc>
          <w:tcPr>
            <w:tcW w:w="1360" w:type="dxa"/>
            <w:vAlign w:val="bottom"/>
            <w:tcBorders>
              <w:bottom w:val="single" w:sz="8" w:color="838383"/>
            </w:tcBorders>
          </w:tcPr>
          <w:p>
            <w:pPr>
              <w:spacing w:after="0"/>
              <w:rPr>
                <w:sz w:val="5"/>
                <w:szCs w:val="5"/>
                <w:color w:val="auto"/>
              </w:rPr>
            </w:pPr>
          </w:p>
        </w:tc>
      </w:tr>
      <w:tr>
        <w:trPr>
          <w:trHeight w:val="340"/>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Automotive Products</w:t>
            </w:r>
          </w:p>
        </w:tc>
        <w:tc>
          <w:tcPr>
            <w:tcW w:w="44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w w:val="88"/>
              </w:rPr>
              <w:t>$</w:t>
            </w: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90,030,087</w:t>
            </w:r>
          </w:p>
        </w:tc>
        <w:tc>
          <w:tcPr>
            <w:tcW w:w="52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92,516,347</w:t>
            </w:r>
          </w:p>
        </w:tc>
        <w:tc>
          <w:tcPr>
            <w:tcW w:w="52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97,530,191</w:t>
            </w:r>
          </w:p>
        </w:tc>
      </w:tr>
      <w:tr>
        <w:trPr>
          <w:trHeight w:val="340"/>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Other</w:t>
            </w:r>
          </w:p>
        </w:tc>
        <w:tc>
          <w:tcPr>
            <w:tcW w:w="44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1,056,510</w:t>
            </w:r>
          </w:p>
        </w:tc>
        <w:tc>
          <w:tcPr>
            <w:tcW w:w="52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913,451</w:t>
            </w:r>
          </w:p>
        </w:tc>
        <w:tc>
          <w:tcPr>
            <w:tcW w:w="520" w:type="dxa"/>
            <w:vAlign w:val="bottom"/>
            <w:tcBorders>
              <w:bottom w:val="single" w:sz="8" w:color="838383"/>
            </w:tcBorders>
          </w:tcPr>
          <w:p>
            <w:pPr>
              <w:spacing w:after="0"/>
              <w:rPr>
                <w:sz w:val="24"/>
                <w:szCs w:val="24"/>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689,894</w:t>
            </w:r>
          </w:p>
        </w:tc>
      </w:tr>
      <w:tr>
        <w:trPr>
          <w:trHeight w:val="355"/>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Corporate</w:t>
            </w:r>
          </w:p>
        </w:tc>
        <w:tc>
          <w:tcPr>
            <w:tcW w:w="440" w:type="dxa"/>
            <w:vAlign w:val="bottom"/>
            <w:tcBorders>
              <w:bottom w:val="single" w:sz="8" w:color="8F8F8F"/>
            </w:tcBorders>
          </w:tcPr>
          <w:p>
            <w:pPr>
              <w:spacing w:after="0"/>
              <w:rPr>
                <w:sz w:val="24"/>
                <w:szCs w:val="24"/>
                <w:color w:val="auto"/>
              </w:rPr>
            </w:pP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5,481,846</w:t>
            </w:r>
          </w:p>
        </w:tc>
        <w:tc>
          <w:tcPr>
            <w:tcW w:w="520" w:type="dxa"/>
            <w:vAlign w:val="bottom"/>
            <w:tcBorders>
              <w:bottom w:val="single" w:sz="8" w:color="8F8F8F"/>
            </w:tcBorders>
          </w:tcPr>
          <w:p>
            <w:pPr>
              <w:spacing w:after="0"/>
              <w:rPr>
                <w:sz w:val="24"/>
                <w:szCs w:val="24"/>
                <w:color w:val="auto"/>
              </w:rPr>
            </w:pP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5,682,221</w:t>
            </w:r>
          </w:p>
        </w:tc>
        <w:tc>
          <w:tcPr>
            <w:tcW w:w="520" w:type="dxa"/>
            <w:vAlign w:val="bottom"/>
            <w:tcBorders>
              <w:bottom w:val="single" w:sz="8" w:color="8F8F8F"/>
            </w:tcBorders>
          </w:tcPr>
          <w:p>
            <w:pPr>
              <w:spacing w:after="0"/>
              <w:rPr>
                <w:sz w:val="24"/>
                <w:szCs w:val="24"/>
                <w:color w:val="auto"/>
              </w:rPr>
            </w:pPr>
          </w:p>
        </w:tc>
        <w:tc>
          <w:tcPr>
            <w:tcW w:w="13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6,519,815</w:t>
            </w:r>
          </w:p>
        </w:tc>
      </w:tr>
      <w:tr>
        <w:trPr>
          <w:trHeight w:val="335"/>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Total</w:t>
            </w:r>
          </w:p>
        </w:tc>
        <w:tc>
          <w:tcPr>
            <w:tcW w:w="440" w:type="dxa"/>
            <w:vAlign w:val="bottom"/>
            <w:tcBorders>
              <w:bottom w:val="single" w:sz="8" w:color="8F8F8F"/>
            </w:tcBorders>
          </w:tcPr>
          <w:p>
            <w:pPr>
              <w:jc w:val="right"/>
              <w:ind w:right="250"/>
              <w:spacing w:after="0"/>
              <w:rPr>
                <w:sz w:val="20"/>
                <w:szCs w:val="20"/>
                <w:color w:val="auto"/>
              </w:rPr>
            </w:pPr>
            <w:r>
              <w:rPr>
                <w:rFonts w:ascii="Times New Roman" w:cs="Times New Roman" w:eastAsia="Times New Roman" w:hAnsi="Times New Roman"/>
                <w:sz w:val="18"/>
                <w:szCs w:val="18"/>
                <w:color w:val="262626"/>
                <w:w w:val="88"/>
              </w:rPr>
              <w:t>$</w:t>
            </w: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96,568,443</w:t>
            </w:r>
          </w:p>
        </w:tc>
        <w:tc>
          <w:tcPr>
            <w:tcW w:w="520" w:type="dxa"/>
            <w:vAlign w:val="bottom"/>
            <w:tcBorders>
              <w:bottom w:val="single" w:sz="8" w:color="8F8F8F"/>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99,112,019</w:t>
            </w:r>
          </w:p>
        </w:tc>
        <w:tc>
          <w:tcPr>
            <w:tcW w:w="520" w:type="dxa"/>
            <w:vAlign w:val="bottom"/>
            <w:tcBorders>
              <w:bottom w:val="single" w:sz="8" w:color="8F8F8F"/>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3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104,739,900</w:t>
            </w:r>
          </w:p>
        </w:tc>
      </w:tr>
      <w:tr>
        <w:trPr>
          <w:trHeight w:val="263"/>
        </w:trPr>
        <w:tc>
          <w:tcPr>
            <w:tcW w:w="4680" w:type="dxa"/>
            <w:vAlign w:val="bottom"/>
          </w:tcPr>
          <w:p>
            <w:pPr>
              <w:spacing w:after="0"/>
              <w:rPr>
                <w:sz w:val="20"/>
                <w:szCs w:val="20"/>
                <w:color w:val="auto"/>
              </w:rPr>
            </w:pPr>
            <w:r>
              <w:rPr>
                <w:rFonts w:ascii="Arial" w:cs="Arial" w:eastAsia="Arial" w:hAnsi="Arial"/>
                <w:sz w:val="17"/>
                <w:szCs w:val="17"/>
                <w:b w:val="1"/>
                <w:bCs w:val="1"/>
                <w:color w:val="838383"/>
              </w:rPr>
              <w:t>CAPITAL EXPENDITURES:</w:t>
            </w: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67"/>
        </w:trPr>
        <w:tc>
          <w:tcPr>
            <w:tcW w:w="4680" w:type="dxa"/>
            <w:vAlign w:val="bottom"/>
            <w:tcBorders>
              <w:bottom w:val="single" w:sz="8" w:color="838383"/>
            </w:tcBorders>
          </w:tcPr>
          <w:p>
            <w:pPr>
              <w:spacing w:after="0"/>
              <w:rPr>
                <w:sz w:val="5"/>
                <w:szCs w:val="5"/>
                <w:color w:val="auto"/>
              </w:rPr>
            </w:pPr>
          </w:p>
        </w:tc>
        <w:tc>
          <w:tcPr>
            <w:tcW w:w="440" w:type="dxa"/>
            <w:vAlign w:val="bottom"/>
            <w:tcBorders>
              <w:bottom w:val="single" w:sz="8" w:color="838383"/>
            </w:tcBorders>
          </w:tcPr>
          <w:p>
            <w:pPr>
              <w:spacing w:after="0"/>
              <w:rPr>
                <w:sz w:val="5"/>
                <w:szCs w:val="5"/>
                <w:color w:val="auto"/>
              </w:rPr>
            </w:pPr>
          </w:p>
        </w:tc>
        <w:tc>
          <w:tcPr>
            <w:tcW w:w="1460" w:type="dxa"/>
            <w:vAlign w:val="bottom"/>
            <w:tcBorders>
              <w:bottom w:val="single" w:sz="8" w:color="838383"/>
            </w:tcBorders>
          </w:tcPr>
          <w:p>
            <w:pPr>
              <w:spacing w:after="0"/>
              <w:rPr>
                <w:sz w:val="5"/>
                <w:szCs w:val="5"/>
                <w:color w:val="auto"/>
              </w:rPr>
            </w:pPr>
          </w:p>
        </w:tc>
        <w:tc>
          <w:tcPr>
            <w:tcW w:w="520" w:type="dxa"/>
            <w:vAlign w:val="bottom"/>
            <w:tcBorders>
              <w:bottom w:val="single" w:sz="8" w:color="838383"/>
            </w:tcBorders>
          </w:tcPr>
          <w:p>
            <w:pPr>
              <w:spacing w:after="0"/>
              <w:rPr>
                <w:sz w:val="5"/>
                <w:szCs w:val="5"/>
                <w:color w:val="auto"/>
              </w:rPr>
            </w:pPr>
          </w:p>
        </w:tc>
        <w:tc>
          <w:tcPr>
            <w:tcW w:w="1460" w:type="dxa"/>
            <w:vAlign w:val="bottom"/>
            <w:tcBorders>
              <w:bottom w:val="single" w:sz="8" w:color="838383"/>
            </w:tcBorders>
          </w:tcPr>
          <w:p>
            <w:pPr>
              <w:spacing w:after="0"/>
              <w:rPr>
                <w:sz w:val="5"/>
                <w:szCs w:val="5"/>
                <w:color w:val="auto"/>
              </w:rPr>
            </w:pPr>
          </w:p>
        </w:tc>
        <w:tc>
          <w:tcPr>
            <w:tcW w:w="520" w:type="dxa"/>
            <w:vAlign w:val="bottom"/>
            <w:tcBorders>
              <w:bottom w:val="single" w:sz="8" w:color="838383"/>
            </w:tcBorders>
          </w:tcPr>
          <w:p>
            <w:pPr>
              <w:spacing w:after="0"/>
              <w:rPr>
                <w:sz w:val="5"/>
                <w:szCs w:val="5"/>
                <w:color w:val="auto"/>
              </w:rPr>
            </w:pPr>
          </w:p>
        </w:tc>
        <w:tc>
          <w:tcPr>
            <w:tcW w:w="1360" w:type="dxa"/>
            <w:vAlign w:val="bottom"/>
            <w:tcBorders>
              <w:bottom w:val="single" w:sz="8" w:color="838383"/>
            </w:tcBorders>
          </w:tcPr>
          <w:p>
            <w:pPr>
              <w:spacing w:after="0"/>
              <w:rPr>
                <w:sz w:val="5"/>
                <w:szCs w:val="5"/>
                <w:color w:val="auto"/>
              </w:rPr>
            </w:pPr>
          </w:p>
        </w:tc>
      </w:tr>
      <w:tr>
        <w:trPr>
          <w:trHeight w:val="340"/>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Automotive Products</w:t>
            </w:r>
          </w:p>
        </w:tc>
        <w:tc>
          <w:tcPr>
            <w:tcW w:w="44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w w:val="88"/>
              </w:rPr>
              <w:t>$</w:t>
            </w: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141,166,506</w:t>
            </w:r>
          </w:p>
        </w:tc>
        <w:tc>
          <w:tcPr>
            <w:tcW w:w="52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58,415,887</w:t>
            </w:r>
          </w:p>
        </w:tc>
        <w:tc>
          <w:tcPr>
            <w:tcW w:w="52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34,926,686</w:t>
            </w:r>
          </w:p>
        </w:tc>
      </w:tr>
      <w:tr>
        <w:trPr>
          <w:trHeight w:val="340"/>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Other</w:t>
            </w:r>
          </w:p>
        </w:tc>
        <w:tc>
          <w:tcPr>
            <w:tcW w:w="44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2,356,910</w:t>
            </w:r>
          </w:p>
        </w:tc>
        <w:tc>
          <w:tcPr>
            <w:tcW w:w="52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1,467,962</w:t>
            </w:r>
          </w:p>
        </w:tc>
        <w:tc>
          <w:tcPr>
            <w:tcW w:w="520" w:type="dxa"/>
            <w:vAlign w:val="bottom"/>
            <w:tcBorders>
              <w:bottom w:val="single" w:sz="8" w:color="838383"/>
            </w:tcBorders>
          </w:tcPr>
          <w:p>
            <w:pPr>
              <w:spacing w:after="0"/>
              <w:rPr>
                <w:sz w:val="24"/>
                <w:szCs w:val="24"/>
                <w:color w:val="auto"/>
              </w:rPr>
            </w:pP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1,470,705</w:t>
            </w:r>
          </w:p>
        </w:tc>
      </w:tr>
      <w:tr>
        <w:trPr>
          <w:trHeight w:val="355"/>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Corporate</w:t>
            </w:r>
          </w:p>
        </w:tc>
        <w:tc>
          <w:tcPr>
            <w:tcW w:w="440" w:type="dxa"/>
            <w:vAlign w:val="bottom"/>
            <w:tcBorders>
              <w:bottom w:val="single" w:sz="8" w:color="8F8F8F"/>
            </w:tcBorders>
          </w:tcPr>
          <w:p>
            <w:pPr>
              <w:spacing w:after="0"/>
              <w:rPr>
                <w:sz w:val="24"/>
                <w:szCs w:val="24"/>
                <w:color w:val="auto"/>
              </w:rPr>
            </w:pP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2,909,707</w:t>
            </w:r>
          </w:p>
        </w:tc>
        <w:tc>
          <w:tcPr>
            <w:tcW w:w="520" w:type="dxa"/>
            <w:vAlign w:val="bottom"/>
            <w:tcBorders>
              <w:bottom w:val="single" w:sz="8" w:color="8F8F8F"/>
            </w:tcBorders>
          </w:tcPr>
          <w:p>
            <w:pPr>
              <w:spacing w:after="0"/>
              <w:rPr>
                <w:sz w:val="24"/>
                <w:szCs w:val="24"/>
                <w:color w:val="auto"/>
              </w:rPr>
            </w:pP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8,951,198</w:t>
            </w:r>
          </w:p>
        </w:tc>
        <w:tc>
          <w:tcPr>
            <w:tcW w:w="520" w:type="dxa"/>
            <w:vAlign w:val="bottom"/>
            <w:tcBorders>
              <w:bottom w:val="single" w:sz="8" w:color="8F8F8F"/>
            </w:tcBorders>
          </w:tcPr>
          <w:p>
            <w:pPr>
              <w:spacing w:after="0"/>
              <w:rPr>
                <w:sz w:val="24"/>
                <w:szCs w:val="24"/>
                <w:color w:val="auto"/>
              </w:rPr>
            </w:pPr>
          </w:p>
        </w:tc>
        <w:tc>
          <w:tcPr>
            <w:tcW w:w="13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15,309,150</w:t>
            </w:r>
          </w:p>
        </w:tc>
      </w:tr>
      <w:tr>
        <w:trPr>
          <w:trHeight w:val="310"/>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262626"/>
              </w:rPr>
              <w:t>Total</w:t>
            </w:r>
          </w:p>
        </w:tc>
        <w:tc>
          <w:tcPr>
            <w:tcW w:w="440" w:type="dxa"/>
            <w:vAlign w:val="bottom"/>
            <w:tcBorders>
              <w:bottom w:val="single" w:sz="8" w:color="8F8F8F"/>
            </w:tcBorders>
          </w:tcPr>
          <w:p>
            <w:pPr>
              <w:jc w:val="right"/>
              <w:ind w:right="250"/>
              <w:spacing w:after="0"/>
              <w:rPr>
                <w:sz w:val="20"/>
                <w:szCs w:val="20"/>
                <w:color w:val="auto"/>
              </w:rPr>
            </w:pPr>
            <w:r>
              <w:rPr>
                <w:rFonts w:ascii="Times New Roman" w:cs="Times New Roman" w:eastAsia="Times New Roman" w:hAnsi="Times New Roman"/>
                <w:sz w:val="18"/>
                <w:szCs w:val="18"/>
                <w:color w:val="262626"/>
                <w:w w:val="88"/>
              </w:rPr>
              <w:t>$</w:t>
            </w: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146,433,123</w:t>
            </w:r>
          </w:p>
        </w:tc>
        <w:tc>
          <w:tcPr>
            <w:tcW w:w="520" w:type="dxa"/>
            <w:vAlign w:val="bottom"/>
            <w:tcBorders>
              <w:bottom w:val="single" w:sz="8" w:color="8F8F8F"/>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68,835,047</w:t>
            </w:r>
          </w:p>
        </w:tc>
        <w:tc>
          <w:tcPr>
            <w:tcW w:w="520" w:type="dxa"/>
            <w:vAlign w:val="bottom"/>
            <w:tcBorders>
              <w:bottom w:val="single" w:sz="8" w:color="8F8F8F"/>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3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51,706,541</w:t>
            </w:r>
          </w:p>
        </w:tc>
      </w:tr>
      <w:tr>
        <w:trPr>
          <w:trHeight w:val="20"/>
        </w:trPr>
        <w:tc>
          <w:tcPr>
            <w:tcW w:w="4680" w:type="dxa"/>
            <w:vAlign w:val="bottom"/>
          </w:tcPr>
          <w:p>
            <w:pPr>
              <w:spacing w:after="0" w:line="20" w:lineRule="exact"/>
              <w:rPr>
                <w:sz w:val="1"/>
                <w:szCs w:val="1"/>
                <w:color w:val="auto"/>
              </w:rPr>
            </w:pPr>
          </w:p>
        </w:tc>
        <w:tc>
          <w:tcPr>
            <w:tcW w:w="440" w:type="dxa"/>
            <w:vAlign w:val="bottom"/>
            <w:tcBorders>
              <w:bottom w:val="single" w:sz="8" w:color="8F8F8F"/>
            </w:tcBorders>
          </w:tcPr>
          <w:p>
            <w:pPr>
              <w:spacing w:after="0" w:line="20" w:lineRule="exact"/>
              <w:rPr>
                <w:sz w:val="1"/>
                <w:szCs w:val="1"/>
                <w:color w:val="auto"/>
              </w:rPr>
            </w:pPr>
          </w:p>
        </w:tc>
        <w:tc>
          <w:tcPr>
            <w:tcW w:w="1460" w:type="dxa"/>
            <w:vAlign w:val="bottom"/>
            <w:tcBorders>
              <w:bottom w:val="single" w:sz="8" w:color="8F8F8F"/>
            </w:tcBorders>
          </w:tcPr>
          <w:p>
            <w:pPr>
              <w:spacing w:after="0" w:line="20" w:lineRule="exact"/>
              <w:rPr>
                <w:sz w:val="1"/>
                <w:szCs w:val="1"/>
                <w:color w:val="auto"/>
              </w:rPr>
            </w:pPr>
          </w:p>
        </w:tc>
        <w:tc>
          <w:tcPr>
            <w:tcW w:w="520" w:type="dxa"/>
            <w:vAlign w:val="bottom"/>
            <w:tcBorders>
              <w:bottom w:val="single" w:sz="8" w:color="8F8F8F"/>
            </w:tcBorders>
          </w:tcPr>
          <w:p>
            <w:pPr>
              <w:spacing w:after="0" w:line="20" w:lineRule="exact"/>
              <w:rPr>
                <w:sz w:val="1"/>
                <w:szCs w:val="1"/>
                <w:color w:val="auto"/>
              </w:rPr>
            </w:pPr>
          </w:p>
        </w:tc>
        <w:tc>
          <w:tcPr>
            <w:tcW w:w="1460" w:type="dxa"/>
            <w:vAlign w:val="bottom"/>
            <w:tcBorders>
              <w:bottom w:val="single" w:sz="8" w:color="8F8F8F"/>
            </w:tcBorders>
          </w:tcPr>
          <w:p>
            <w:pPr>
              <w:spacing w:after="0" w:line="20" w:lineRule="exact"/>
              <w:rPr>
                <w:sz w:val="1"/>
                <w:szCs w:val="1"/>
                <w:color w:val="auto"/>
              </w:rPr>
            </w:pPr>
          </w:p>
        </w:tc>
        <w:tc>
          <w:tcPr>
            <w:tcW w:w="520" w:type="dxa"/>
            <w:vAlign w:val="bottom"/>
            <w:tcBorders>
              <w:bottom w:val="single" w:sz="8" w:color="8F8F8F"/>
            </w:tcBorders>
          </w:tcPr>
          <w:p>
            <w:pPr>
              <w:spacing w:after="0" w:line="20" w:lineRule="exact"/>
              <w:rPr>
                <w:sz w:val="1"/>
                <w:szCs w:val="1"/>
                <w:color w:val="auto"/>
              </w:rPr>
            </w:pPr>
          </w:p>
        </w:tc>
        <w:tc>
          <w:tcPr>
            <w:tcW w:w="1360" w:type="dxa"/>
            <w:vAlign w:val="bottom"/>
            <w:tcBorders>
              <w:bottom w:val="single" w:sz="8" w:color="8F8F8F"/>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580" w:top="84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82</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60"/>
          </w:cols>
          <w:pgMar w:left="580" w:top="843" w:right="90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262626"/>
        </w:rPr>
        <w:t>Other includes Dimmable Aircraft Windows, Fire Protection Products, and Nanofiber. Major product line revenues included within the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Automotive Products segment are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2022</w:t>
            </w:r>
          </w:p>
        </w:tc>
        <w:tc>
          <w:tcPr>
            <w:tcW w:w="540" w:type="dxa"/>
            <w:vAlign w:val="bottom"/>
          </w:tcPr>
          <w:p>
            <w:pPr>
              <w:spacing w:after="0"/>
              <w:rPr>
                <w:sz w:val="24"/>
                <w:szCs w:val="24"/>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2021</w:t>
            </w:r>
          </w:p>
        </w:tc>
        <w:tc>
          <w:tcPr>
            <w:tcW w:w="5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262626"/>
              </w:rPr>
              <w:t>2020</w:t>
            </w:r>
          </w:p>
        </w:tc>
        <w:tc>
          <w:tcPr>
            <w:tcW w:w="0" w:type="dxa"/>
            <w:vAlign w:val="bottom"/>
          </w:tcPr>
          <w:p>
            <w:pPr>
              <w:spacing w:after="0"/>
              <w:rPr>
                <w:sz w:val="1"/>
                <w:szCs w:val="1"/>
                <w:color w:val="auto"/>
              </w:rPr>
            </w:pPr>
          </w:p>
        </w:tc>
      </w:tr>
      <w:tr>
        <w:trPr>
          <w:trHeight w:val="276"/>
        </w:trPr>
        <w:tc>
          <w:tcPr>
            <w:tcW w:w="4680" w:type="dxa"/>
            <w:vAlign w:val="bottom"/>
          </w:tcPr>
          <w:p>
            <w:pPr>
              <w:spacing w:after="0"/>
              <w:rPr>
                <w:sz w:val="20"/>
                <w:szCs w:val="20"/>
                <w:color w:val="auto"/>
              </w:rPr>
            </w:pPr>
            <w:r>
              <w:rPr>
                <w:rFonts w:ascii="Arial" w:cs="Arial" w:eastAsia="Arial" w:hAnsi="Arial"/>
                <w:sz w:val="17"/>
                <w:szCs w:val="17"/>
                <w:b w:val="1"/>
                <w:bCs w:val="1"/>
                <w:color w:val="838383"/>
              </w:rPr>
              <w:t>AUTOMOTIVE PRODUCTS</w:t>
            </w: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4680" w:type="dxa"/>
            <w:vAlign w:val="bottom"/>
            <w:tcBorders>
              <w:bottom w:val="single" w:sz="8" w:color="838383"/>
            </w:tcBorders>
          </w:tcPr>
          <w:p>
            <w:pPr>
              <w:spacing w:after="0"/>
              <w:rPr>
                <w:sz w:val="6"/>
                <w:szCs w:val="6"/>
                <w:color w:val="auto"/>
              </w:rPr>
            </w:pPr>
          </w:p>
        </w:tc>
        <w:tc>
          <w:tcPr>
            <w:tcW w:w="20" w:type="dxa"/>
            <w:vAlign w:val="bottom"/>
            <w:tcBorders>
              <w:bottom w:val="single" w:sz="8" w:color="838383"/>
            </w:tcBorders>
          </w:tcPr>
          <w:p>
            <w:pPr>
              <w:spacing w:after="0"/>
              <w:rPr>
                <w:sz w:val="6"/>
                <w:szCs w:val="6"/>
                <w:color w:val="auto"/>
              </w:rPr>
            </w:pPr>
          </w:p>
        </w:tc>
        <w:tc>
          <w:tcPr>
            <w:tcW w:w="420" w:type="dxa"/>
            <w:vAlign w:val="bottom"/>
            <w:tcBorders>
              <w:bottom w:val="single" w:sz="8" w:color="838383"/>
            </w:tcBorders>
          </w:tcPr>
          <w:p>
            <w:pPr>
              <w:spacing w:after="0"/>
              <w:rPr>
                <w:sz w:val="6"/>
                <w:szCs w:val="6"/>
                <w:color w:val="auto"/>
              </w:rPr>
            </w:pPr>
          </w:p>
        </w:tc>
        <w:tc>
          <w:tcPr>
            <w:tcW w:w="1460" w:type="dxa"/>
            <w:vAlign w:val="bottom"/>
            <w:tcBorders>
              <w:bottom w:val="single" w:sz="8" w:color="838383"/>
            </w:tcBorders>
          </w:tcPr>
          <w:p>
            <w:pPr>
              <w:spacing w:after="0"/>
              <w:rPr>
                <w:sz w:val="6"/>
                <w:szCs w:val="6"/>
                <w:color w:val="auto"/>
              </w:rPr>
            </w:pPr>
          </w:p>
        </w:tc>
        <w:tc>
          <w:tcPr>
            <w:tcW w:w="540" w:type="dxa"/>
            <w:vAlign w:val="bottom"/>
            <w:tcBorders>
              <w:bottom w:val="single" w:sz="8" w:color="838383"/>
            </w:tcBorders>
          </w:tcPr>
          <w:p>
            <w:pPr>
              <w:spacing w:after="0"/>
              <w:rPr>
                <w:sz w:val="6"/>
                <w:szCs w:val="6"/>
                <w:color w:val="auto"/>
              </w:rPr>
            </w:pPr>
          </w:p>
        </w:tc>
        <w:tc>
          <w:tcPr>
            <w:tcW w:w="1440" w:type="dxa"/>
            <w:vAlign w:val="bottom"/>
            <w:tcBorders>
              <w:bottom w:val="single" w:sz="8" w:color="838383"/>
            </w:tcBorders>
          </w:tcPr>
          <w:p>
            <w:pPr>
              <w:spacing w:after="0"/>
              <w:rPr>
                <w:sz w:val="6"/>
                <w:szCs w:val="6"/>
                <w:color w:val="auto"/>
              </w:rPr>
            </w:pPr>
          </w:p>
        </w:tc>
        <w:tc>
          <w:tcPr>
            <w:tcW w:w="520" w:type="dxa"/>
            <w:vAlign w:val="bottom"/>
            <w:tcBorders>
              <w:bottom w:val="single" w:sz="8" w:color="838383"/>
            </w:tcBorders>
          </w:tcPr>
          <w:p>
            <w:pPr>
              <w:spacing w:after="0"/>
              <w:rPr>
                <w:sz w:val="6"/>
                <w:szCs w:val="6"/>
                <w:color w:val="auto"/>
              </w:rPr>
            </w:pPr>
          </w:p>
        </w:tc>
        <w:tc>
          <w:tcPr>
            <w:tcW w:w="1360" w:type="dxa"/>
            <w:vAlign w:val="bottom"/>
            <w:tcBorders>
              <w:bottom w:val="single" w:sz="8" w:color="838383"/>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Automotive Mirrors</w:t>
            </w:r>
          </w:p>
        </w:tc>
        <w:tc>
          <w:tcPr>
            <w:tcW w:w="440" w:type="dxa"/>
            <w:vAlign w:val="bottom"/>
            <w:tcBorders>
              <w:bottom w:val="single" w:sz="8" w:color="838383"/>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262626"/>
                <w:w w:val="88"/>
              </w:rPr>
              <w:t>$</w:t>
            </w: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1,742,196,401</w:t>
            </w:r>
          </w:p>
        </w:tc>
        <w:tc>
          <w:tcPr>
            <w:tcW w:w="540" w:type="dxa"/>
            <w:vAlign w:val="bottom"/>
            <w:tcBorders>
              <w:bottom w:val="single" w:sz="8" w:color="838383"/>
            </w:tcBorders>
          </w:tcPr>
          <w:p>
            <w:pPr>
              <w:jc w:val="right"/>
              <w:ind w:right="270"/>
              <w:spacing w:after="0"/>
              <w:rPr>
                <w:sz w:val="20"/>
                <w:szCs w:val="20"/>
                <w:color w:val="auto"/>
              </w:rPr>
            </w:pPr>
            <w:r>
              <w:rPr>
                <w:rFonts w:ascii="Times New Roman" w:cs="Times New Roman" w:eastAsia="Times New Roman" w:hAnsi="Times New Roman"/>
                <w:sz w:val="18"/>
                <w:szCs w:val="18"/>
                <w:color w:val="262626"/>
              </w:rPr>
              <w:t>$</w:t>
            </w:r>
          </w:p>
        </w:tc>
        <w:tc>
          <w:tcPr>
            <w:tcW w:w="14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1,563,424,443</w:t>
            </w:r>
          </w:p>
        </w:tc>
        <w:tc>
          <w:tcPr>
            <w:tcW w:w="52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3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1,520,628,604</w:t>
            </w:r>
          </w:p>
        </w:tc>
        <w:tc>
          <w:tcPr>
            <w:tcW w:w="0" w:type="dxa"/>
            <w:vAlign w:val="bottom"/>
          </w:tcPr>
          <w:p>
            <w:pPr>
              <w:spacing w:after="0"/>
              <w:rPr>
                <w:sz w:val="1"/>
                <w:szCs w:val="1"/>
                <w:color w:val="auto"/>
              </w:rPr>
            </w:pPr>
          </w:p>
        </w:tc>
      </w:tr>
      <w:tr>
        <w:trPr>
          <w:trHeight w:val="355"/>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HomeLink® Modules*</w:t>
            </w:r>
          </w:p>
        </w:tc>
        <w:tc>
          <w:tcPr>
            <w:tcW w:w="20" w:type="dxa"/>
            <w:vAlign w:val="bottom"/>
            <w:tcBorders>
              <w:bottom w:val="single" w:sz="8" w:color="838383"/>
            </w:tcBorders>
          </w:tcPr>
          <w:p>
            <w:pPr>
              <w:spacing w:after="0"/>
              <w:rPr>
                <w:sz w:val="24"/>
                <w:szCs w:val="24"/>
                <w:color w:val="auto"/>
              </w:rPr>
            </w:pPr>
          </w:p>
        </w:tc>
        <w:tc>
          <w:tcPr>
            <w:tcW w:w="420" w:type="dxa"/>
            <w:vAlign w:val="bottom"/>
            <w:tcBorders>
              <w:bottom w:val="single" w:sz="8" w:color="8F8F8F"/>
            </w:tcBorders>
          </w:tcPr>
          <w:p>
            <w:pPr>
              <w:spacing w:after="0"/>
              <w:rPr>
                <w:sz w:val="24"/>
                <w:szCs w:val="24"/>
                <w:color w:val="auto"/>
              </w:rPr>
            </w:pP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132,546,057</w:t>
            </w:r>
          </w:p>
        </w:tc>
        <w:tc>
          <w:tcPr>
            <w:tcW w:w="540" w:type="dxa"/>
            <w:vAlign w:val="bottom"/>
            <w:tcBorders>
              <w:bottom w:val="single" w:sz="8" w:color="8F8F8F"/>
            </w:tcBorders>
          </w:tcPr>
          <w:p>
            <w:pPr>
              <w:spacing w:after="0"/>
              <w:rPr>
                <w:sz w:val="24"/>
                <w:szCs w:val="24"/>
                <w:color w:val="auto"/>
              </w:rPr>
            </w:pPr>
          </w:p>
        </w:tc>
        <w:tc>
          <w:tcPr>
            <w:tcW w:w="144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133,763,591</w:t>
            </w:r>
          </w:p>
        </w:tc>
        <w:tc>
          <w:tcPr>
            <w:tcW w:w="520" w:type="dxa"/>
            <w:vAlign w:val="bottom"/>
            <w:tcBorders>
              <w:bottom w:val="single" w:sz="8" w:color="8F8F8F"/>
            </w:tcBorders>
          </w:tcPr>
          <w:p>
            <w:pPr>
              <w:spacing w:after="0"/>
              <w:rPr>
                <w:sz w:val="24"/>
                <w:szCs w:val="24"/>
                <w:color w:val="auto"/>
              </w:rPr>
            </w:pPr>
          </w:p>
        </w:tc>
        <w:tc>
          <w:tcPr>
            <w:tcW w:w="13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127,569,539</w:t>
            </w:r>
          </w:p>
        </w:tc>
        <w:tc>
          <w:tcPr>
            <w:tcW w:w="0" w:type="dxa"/>
            <w:vAlign w:val="bottom"/>
          </w:tcPr>
          <w:p>
            <w:pPr>
              <w:spacing w:after="0"/>
              <w:rPr>
                <w:sz w:val="1"/>
                <w:szCs w:val="1"/>
                <w:color w:val="auto"/>
              </w:rPr>
            </w:pPr>
          </w:p>
        </w:tc>
      </w:tr>
      <w:tr>
        <w:trPr>
          <w:trHeight w:val="320"/>
        </w:trPr>
        <w:tc>
          <w:tcPr>
            <w:tcW w:w="4680" w:type="dxa"/>
            <w:vAlign w:val="bottom"/>
          </w:tcPr>
          <w:p>
            <w:pPr>
              <w:spacing w:after="0"/>
              <w:rPr>
                <w:sz w:val="20"/>
                <w:szCs w:val="20"/>
                <w:color w:val="auto"/>
              </w:rPr>
            </w:pPr>
            <w:r>
              <w:rPr>
                <w:rFonts w:ascii="Arial" w:cs="Arial" w:eastAsia="Arial" w:hAnsi="Arial"/>
                <w:sz w:val="17"/>
                <w:szCs w:val="17"/>
                <w:b w:val="1"/>
                <w:bCs w:val="1"/>
                <w:color w:val="838383"/>
              </w:rPr>
              <w:t>TOTAL AUTOMOTIVE PRODUCTS</w:t>
            </w:r>
          </w:p>
        </w:tc>
        <w:tc>
          <w:tcPr>
            <w:tcW w:w="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262626"/>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1,874,742,458</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262626"/>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1,697,188,034</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1,648,198,143</w:t>
            </w:r>
          </w:p>
        </w:tc>
        <w:tc>
          <w:tcPr>
            <w:tcW w:w="0" w:type="dxa"/>
            <w:vAlign w:val="bottom"/>
          </w:tcPr>
          <w:p>
            <w:pPr>
              <w:spacing w:after="0"/>
              <w:rPr>
                <w:sz w:val="1"/>
                <w:szCs w:val="1"/>
                <w:color w:val="auto"/>
              </w:rPr>
            </w:pPr>
          </w:p>
        </w:tc>
      </w:tr>
      <w:tr>
        <w:trPr>
          <w:trHeight w:val="20"/>
        </w:trPr>
        <w:tc>
          <w:tcPr>
            <w:tcW w:w="4680" w:type="dxa"/>
            <w:vAlign w:val="bottom"/>
            <w:tcBorders>
              <w:top w:val="single" w:sz="8" w:color="838383"/>
            </w:tcBorders>
            <w:vMerge w:val="restart"/>
          </w:tcPr>
          <w:p>
            <w:pPr>
              <w:spacing w:after="0"/>
              <w:rPr>
                <w:sz w:val="20"/>
                <w:szCs w:val="20"/>
                <w:color w:val="auto"/>
              </w:rPr>
            </w:pPr>
            <w:r>
              <w:rPr>
                <w:rFonts w:ascii="Arial" w:cs="Arial" w:eastAsia="Arial" w:hAnsi="Arial"/>
                <w:sz w:val="17"/>
                <w:szCs w:val="17"/>
                <w:b w:val="1"/>
                <w:bCs w:val="1"/>
                <w:color w:val="838383"/>
              </w:rPr>
              <w:t>OTHER PRODUCTS REVENUE</w:t>
            </w:r>
          </w:p>
        </w:tc>
        <w:tc>
          <w:tcPr>
            <w:tcW w:w="20" w:type="dxa"/>
            <w:vAlign w:val="bottom"/>
          </w:tcPr>
          <w:p>
            <w:pPr>
              <w:spacing w:after="0" w:line="20" w:lineRule="exact"/>
              <w:rPr>
                <w:sz w:val="1"/>
                <w:szCs w:val="1"/>
                <w:color w:val="auto"/>
              </w:rPr>
            </w:pPr>
          </w:p>
        </w:tc>
        <w:tc>
          <w:tcPr>
            <w:tcW w:w="420" w:type="dxa"/>
            <w:vAlign w:val="bottom"/>
            <w:tcBorders>
              <w:top w:val="single" w:sz="8" w:color="8F8F8F"/>
            </w:tcBorders>
            <w:shd w:val="clear" w:color="auto" w:fill="8F8F8F"/>
          </w:tcPr>
          <w:p>
            <w:pPr>
              <w:spacing w:after="0" w:line="20" w:lineRule="exact"/>
              <w:rPr>
                <w:sz w:val="1"/>
                <w:szCs w:val="1"/>
                <w:color w:val="auto"/>
              </w:rPr>
            </w:pPr>
          </w:p>
        </w:tc>
        <w:tc>
          <w:tcPr>
            <w:tcW w:w="1460" w:type="dxa"/>
            <w:vAlign w:val="bottom"/>
            <w:tcBorders>
              <w:top w:val="single" w:sz="8" w:color="8F8F8F"/>
            </w:tcBorders>
            <w:shd w:val="clear" w:color="auto" w:fill="8F8F8F"/>
          </w:tcPr>
          <w:p>
            <w:pPr>
              <w:spacing w:after="0" w:line="20" w:lineRule="exact"/>
              <w:rPr>
                <w:sz w:val="1"/>
                <w:szCs w:val="1"/>
                <w:color w:val="auto"/>
              </w:rPr>
            </w:pPr>
          </w:p>
        </w:tc>
        <w:tc>
          <w:tcPr>
            <w:tcW w:w="540" w:type="dxa"/>
            <w:vAlign w:val="bottom"/>
            <w:tcBorders>
              <w:top w:val="single" w:sz="8" w:color="8F8F8F"/>
            </w:tcBorders>
            <w:shd w:val="clear" w:color="auto" w:fill="8F8F8F"/>
          </w:tcPr>
          <w:p>
            <w:pPr>
              <w:spacing w:after="0" w:line="20" w:lineRule="exact"/>
              <w:rPr>
                <w:sz w:val="1"/>
                <w:szCs w:val="1"/>
                <w:color w:val="auto"/>
              </w:rPr>
            </w:pPr>
          </w:p>
        </w:tc>
        <w:tc>
          <w:tcPr>
            <w:tcW w:w="1440" w:type="dxa"/>
            <w:vAlign w:val="bottom"/>
            <w:tcBorders>
              <w:top w:val="single" w:sz="8" w:color="8F8F8F"/>
            </w:tcBorders>
            <w:shd w:val="clear" w:color="auto" w:fill="8F8F8F"/>
          </w:tcPr>
          <w:p>
            <w:pPr>
              <w:spacing w:after="0" w:line="20" w:lineRule="exact"/>
              <w:rPr>
                <w:sz w:val="1"/>
                <w:szCs w:val="1"/>
                <w:color w:val="auto"/>
              </w:rPr>
            </w:pPr>
          </w:p>
        </w:tc>
        <w:tc>
          <w:tcPr>
            <w:tcW w:w="520" w:type="dxa"/>
            <w:vAlign w:val="bottom"/>
            <w:tcBorders>
              <w:top w:val="single" w:sz="8" w:color="8F8F8F"/>
            </w:tcBorders>
            <w:shd w:val="clear" w:color="auto" w:fill="8F8F8F"/>
          </w:tcPr>
          <w:p>
            <w:pPr>
              <w:spacing w:after="0" w:line="20" w:lineRule="exact"/>
              <w:rPr>
                <w:sz w:val="1"/>
                <w:szCs w:val="1"/>
                <w:color w:val="auto"/>
              </w:rPr>
            </w:pPr>
          </w:p>
        </w:tc>
        <w:tc>
          <w:tcPr>
            <w:tcW w:w="1360" w:type="dxa"/>
            <w:vAlign w:val="bottom"/>
            <w:tcBorders>
              <w:top w:val="single" w:sz="8" w:color="8F8F8F"/>
            </w:tcBorders>
            <w:shd w:val="clear" w:color="auto" w:fill="8F8F8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680" w:type="dxa"/>
            <w:vAlign w:val="bottom"/>
            <w:vMerge w:val="continue"/>
          </w:tcPr>
          <w:p>
            <w:pPr>
              <w:spacing w:after="0"/>
              <w:rPr>
                <w:sz w:val="24"/>
                <w:szCs w:val="24"/>
                <w:color w:val="auto"/>
              </w:rPr>
            </w:pPr>
          </w:p>
        </w:tc>
        <w:tc>
          <w:tcPr>
            <w:tcW w:w="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262626"/>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44,215,585</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262626"/>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33,981,895</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39,991,262</w:t>
            </w:r>
          </w:p>
        </w:tc>
        <w:tc>
          <w:tcPr>
            <w:tcW w:w="0" w:type="dxa"/>
            <w:vAlign w:val="bottom"/>
          </w:tcPr>
          <w:p>
            <w:pPr>
              <w:spacing w:after="0"/>
              <w:rPr>
                <w:sz w:val="1"/>
                <w:szCs w:val="1"/>
                <w:color w:val="auto"/>
              </w:rPr>
            </w:pPr>
          </w:p>
        </w:tc>
      </w:tr>
      <w:tr>
        <w:trPr>
          <w:trHeight w:val="20"/>
        </w:trPr>
        <w:tc>
          <w:tcPr>
            <w:tcW w:w="4680" w:type="dxa"/>
            <w:vAlign w:val="bottom"/>
            <w:tcBorders>
              <w:top w:val="single" w:sz="8" w:color="838383"/>
            </w:tcBorders>
            <w:vMerge w:val="restart"/>
          </w:tcPr>
          <w:p>
            <w:pPr>
              <w:spacing w:after="0"/>
              <w:rPr>
                <w:sz w:val="20"/>
                <w:szCs w:val="20"/>
                <w:color w:val="auto"/>
              </w:rPr>
            </w:pPr>
            <w:r>
              <w:rPr>
                <w:rFonts w:ascii="Times New Roman" w:cs="Times New Roman" w:eastAsia="Times New Roman" w:hAnsi="Times New Roman"/>
                <w:sz w:val="18"/>
                <w:szCs w:val="18"/>
                <w:color w:val="262626"/>
              </w:rPr>
              <w:t>Total Revenue</w:t>
            </w:r>
          </w:p>
        </w:tc>
        <w:tc>
          <w:tcPr>
            <w:tcW w:w="20" w:type="dxa"/>
            <w:vAlign w:val="bottom"/>
          </w:tcPr>
          <w:p>
            <w:pPr>
              <w:spacing w:after="0" w:line="20" w:lineRule="exact"/>
              <w:rPr>
                <w:sz w:val="1"/>
                <w:szCs w:val="1"/>
                <w:color w:val="auto"/>
              </w:rPr>
            </w:pPr>
          </w:p>
        </w:tc>
        <w:tc>
          <w:tcPr>
            <w:tcW w:w="420" w:type="dxa"/>
            <w:vAlign w:val="bottom"/>
            <w:tcBorders>
              <w:top w:val="single" w:sz="8" w:color="8F8F8F"/>
            </w:tcBorders>
            <w:shd w:val="clear" w:color="auto" w:fill="8F8F8F"/>
          </w:tcPr>
          <w:p>
            <w:pPr>
              <w:spacing w:after="0" w:line="20" w:lineRule="exact"/>
              <w:rPr>
                <w:sz w:val="1"/>
                <w:szCs w:val="1"/>
                <w:color w:val="auto"/>
              </w:rPr>
            </w:pPr>
          </w:p>
        </w:tc>
        <w:tc>
          <w:tcPr>
            <w:tcW w:w="1460" w:type="dxa"/>
            <w:vAlign w:val="bottom"/>
            <w:tcBorders>
              <w:top w:val="single" w:sz="8" w:color="8F8F8F"/>
            </w:tcBorders>
            <w:shd w:val="clear" w:color="auto" w:fill="8F8F8F"/>
          </w:tcPr>
          <w:p>
            <w:pPr>
              <w:spacing w:after="0" w:line="20" w:lineRule="exact"/>
              <w:rPr>
                <w:sz w:val="1"/>
                <w:szCs w:val="1"/>
                <w:color w:val="auto"/>
              </w:rPr>
            </w:pPr>
          </w:p>
        </w:tc>
        <w:tc>
          <w:tcPr>
            <w:tcW w:w="540" w:type="dxa"/>
            <w:vAlign w:val="bottom"/>
            <w:tcBorders>
              <w:top w:val="single" w:sz="8" w:color="8F8F8F"/>
            </w:tcBorders>
            <w:shd w:val="clear" w:color="auto" w:fill="8F8F8F"/>
          </w:tcPr>
          <w:p>
            <w:pPr>
              <w:spacing w:after="0" w:line="20" w:lineRule="exact"/>
              <w:rPr>
                <w:sz w:val="1"/>
                <w:szCs w:val="1"/>
                <w:color w:val="auto"/>
              </w:rPr>
            </w:pPr>
          </w:p>
        </w:tc>
        <w:tc>
          <w:tcPr>
            <w:tcW w:w="1440" w:type="dxa"/>
            <w:vAlign w:val="bottom"/>
            <w:tcBorders>
              <w:top w:val="single" w:sz="8" w:color="8F8F8F"/>
            </w:tcBorders>
            <w:shd w:val="clear" w:color="auto" w:fill="8F8F8F"/>
          </w:tcPr>
          <w:p>
            <w:pPr>
              <w:spacing w:after="0" w:line="20" w:lineRule="exact"/>
              <w:rPr>
                <w:sz w:val="1"/>
                <w:szCs w:val="1"/>
                <w:color w:val="auto"/>
              </w:rPr>
            </w:pPr>
          </w:p>
        </w:tc>
        <w:tc>
          <w:tcPr>
            <w:tcW w:w="520" w:type="dxa"/>
            <w:vAlign w:val="bottom"/>
            <w:tcBorders>
              <w:top w:val="single" w:sz="8" w:color="8F8F8F"/>
            </w:tcBorders>
            <w:shd w:val="clear" w:color="auto" w:fill="8F8F8F"/>
          </w:tcPr>
          <w:p>
            <w:pPr>
              <w:spacing w:after="0" w:line="20" w:lineRule="exact"/>
              <w:rPr>
                <w:sz w:val="1"/>
                <w:szCs w:val="1"/>
                <w:color w:val="auto"/>
              </w:rPr>
            </w:pPr>
          </w:p>
        </w:tc>
        <w:tc>
          <w:tcPr>
            <w:tcW w:w="1360" w:type="dxa"/>
            <w:vAlign w:val="bottom"/>
            <w:tcBorders>
              <w:top w:val="single" w:sz="8" w:color="8F8F8F"/>
            </w:tcBorders>
            <w:shd w:val="clear" w:color="auto" w:fill="8F8F8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4680" w:type="dxa"/>
            <w:vAlign w:val="bottom"/>
            <w:vMerge w:val="continue"/>
          </w:tcPr>
          <w:p>
            <w:pPr>
              <w:spacing w:after="0"/>
              <w:rPr>
                <w:sz w:val="24"/>
                <w:szCs w:val="24"/>
                <w:color w:val="auto"/>
              </w:rPr>
            </w:pPr>
          </w:p>
        </w:tc>
        <w:tc>
          <w:tcPr>
            <w:tcW w:w="440" w:type="dxa"/>
            <w:vAlign w:val="bottom"/>
            <w:tcBorders>
              <w:bottom w:val="single" w:sz="8" w:color="8F8F8F"/>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262626"/>
                <w:w w:val="88"/>
              </w:rPr>
              <w:t>$</w:t>
            </w: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1,918,958,043</w:t>
            </w:r>
          </w:p>
        </w:tc>
        <w:tc>
          <w:tcPr>
            <w:tcW w:w="540" w:type="dxa"/>
            <w:vAlign w:val="bottom"/>
            <w:tcBorders>
              <w:bottom w:val="single" w:sz="8" w:color="8F8F8F"/>
            </w:tcBorders>
          </w:tcPr>
          <w:p>
            <w:pPr>
              <w:jc w:val="right"/>
              <w:ind w:right="270"/>
              <w:spacing w:after="0"/>
              <w:rPr>
                <w:sz w:val="20"/>
                <w:szCs w:val="20"/>
                <w:color w:val="auto"/>
              </w:rPr>
            </w:pPr>
            <w:r>
              <w:rPr>
                <w:rFonts w:ascii="Times New Roman" w:cs="Times New Roman" w:eastAsia="Times New Roman" w:hAnsi="Times New Roman"/>
                <w:sz w:val="18"/>
                <w:szCs w:val="18"/>
                <w:color w:val="262626"/>
              </w:rPr>
              <w:t>$</w:t>
            </w:r>
          </w:p>
        </w:tc>
        <w:tc>
          <w:tcPr>
            <w:tcW w:w="144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1,731,169,929</w:t>
            </w:r>
          </w:p>
        </w:tc>
        <w:tc>
          <w:tcPr>
            <w:tcW w:w="520" w:type="dxa"/>
            <w:vAlign w:val="bottom"/>
            <w:tcBorders>
              <w:bottom w:val="single" w:sz="8" w:color="8F8F8F"/>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3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1,688,189,405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8F8F8F"/>
            </w:tcBorders>
          </w:tcPr>
          <w:p>
            <w:pPr>
              <w:spacing w:after="0" w:line="20" w:lineRule="exact"/>
              <w:rPr>
                <w:sz w:val="1"/>
                <w:szCs w:val="1"/>
                <w:color w:val="auto"/>
              </w:rPr>
            </w:pPr>
          </w:p>
        </w:tc>
        <w:tc>
          <w:tcPr>
            <w:tcW w:w="1460" w:type="dxa"/>
            <w:vAlign w:val="bottom"/>
            <w:tcBorders>
              <w:bottom w:val="single" w:sz="8" w:color="8F8F8F"/>
            </w:tcBorders>
          </w:tcPr>
          <w:p>
            <w:pPr>
              <w:spacing w:after="0" w:line="20" w:lineRule="exact"/>
              <w:rPr>
                <w:sz w:val="1"/>
                <w:szCs w:val="1"/>
                <w:color w:val="auto"/>
              </w:rPr>
            </w:pPr>
          </w:p>
        </w:tc>
        <w:tc>
          <w:tcPr>
            <w:tcW w:w="540" w:type="dxa"/>
            <w:vAlign w:val="bottom"/>
            <w:tcBorders>
              <w:bottom w:val="single" w:sz="8" w:color="8F8F8F"/>
            </w:tcBorders>
          </w:tcPr>
          <w:p>
            <w:pPr>
              <w:spacing w:after="0" w:line="20" w:lineRule="exact"/>
              <w:rPr>
                <w:sz w:val="1"/>
                <w:szCs w:val="1"/>
                <w:color w:val="auto"/>
              </w:rPr>
            </w:pPr>
          </w:p>
        </w:tc>
        <w:tc>
          <w:tcPr>
            <w:tcW w:w="1440" w:type="dxa"/>
            <w:vAlign w:val="bottom"/>
            <w:tcBorders>
              <w:bottom w:val="single" w:sz="8" w:color="8F8F8F"/>
            </w:tcBorders>
          </w:tcPr>
          <w:p>
            <w:pPr>
              <w:spacing w:after="0" w:line="20" w:lineRule="exact"/>
              <w:rPr>
                <w:sz w:val="1"/>
                <w:szCs w:val="1"/>
                <w:color w:val="auto"/>
              </w:rPr>
            </w:pPr>
          </w:p>
        </w:tc>
        <w:tc>
          <w:tcPr>
            <w:tcW w:w="520" w:type="dxa"/>
            <w:vAlign w:val="bottom"/>
            <w:tcBorders>
              <w:bottom w:val="single" w:sz="8" w:color="8F8F8F"/>
            </w:tcBorders>
          </w:tcPr>
          <w:p>
            <w:pPr>
              <w:spacing w:after="0" w:line="20" w:lineRule="exact"/>
              <w:rPr>
                <w:sz w:val="1"/>
                <w:szCs w:val="1"/>
                <w:color w:val="auto"/>
              </w:rPr>
            </w:pPr>
          </w:p>
        </w:tc>
        <w:tc>
          <w:tcPr>
            <w:tcW w:w="1360" w:type="dxa"/>
            <w:vAlign w:val="bottom"/>
            <w:tcBorders>
              <w:bottom w:val="single" w:sz="8" w:color="8F8F8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tabs>
          <w:tab w:leader="none" w:pos="160" w:val="left"/>
        </w:tabs>
        <w:rPr>
          <w:sz w:val="20"/>
          <w:szCs w:val="20"/>
          <w:color w:val="auto"/>
        </w:rPr>
      </w:pPr>
      <w:r>
        <w:rPr>
          <w:rFonts w:ascii="Times New Roman" w:cs="Times New Roman" w:eastAsia="Times New Roman" w:hAnsi="Times New Roman"/>
          <w:sz w:val="14"/>
          <w:szCs w:val="14"/>
          <w:color w:val="838383"/>
        </w:rPr>
        <w:t>*</w:t>
        <w:tab/>
        <w:t>Excludes HomeLink® revenue integrated into automotive mirrors.</w:t>
      </w:r>
    </w:p>
    <w:p>
      <w:pPr>
        <w:spacing w:after="0" w:line="167" w:lineRule="exact"/>
        <w:rPr>
          <w:sz w:val="20"/>
          <w:szCs w:val="20"/>
          <w:color w:val="auto"/>
        </w:rPr>
      </w:pPr>
    </w:p>
    <w:p>
      <w:pPr>
        <w:ind w:right="620"/>
        <w:spacing w:after="0" w:line="382" w:lineRule="auto"/>
        <w:rPr>
          <w:sz w:val="20"/>
          <w:szCs w:val="20"/>
          <w:color w:val="auto"/>
        </w:rPr>
      </w:pPr>
      <w:r>
        <w:rPr>
          <w:rFonts w:ascii="Times New Roman" w:cs="Times New Roman" w:eastAsia="Times New Roman" w:hAnsi="Times New Roman"/>
          <w:sz w:val="18"/>
          <w:szCs w:val="18"/>
          <w:color w:val="262626"/>
        </w:rPr>
        <w:t>Corporate assets are principally cash and cash equivalents, investments, deferred income taxes and corporate fixed assets. Depreciation &amp; Amortization on corporate fixed assets are allocated as appropriate to the Automotive and Other segments when reviewing operating results. Substantially all long-lived assets are located in the U.S.</w:t>
      </w:r>
    </w:p>
    <w:p>
      <w:pPr>
        <w:spacing w:after="0" w:line="32" w:lineRule="exact"/>
        <w:rPr>
          <w:sz w:val="20"/>
          <w:szCs w:val="20"/>
          <w:color w:val="auto"/>
        </w:rPr>
      </w:pPr>
    </w:p>
    <w:p>
      <w:pPr>
        <w:ind w:right="380"/>
        <w:spacing w:after="0" w:line="363" w:lineRule="auto"/>
        <w:rPr>
          <w:sz w:val="20"/>
          <w:szCs w:val="20"/>
          <w:color w:val="auto"/>
        </w:rPr>
      </w:pPr>
      <w:r>
        <w:rPr>
          <w:rFonts w:ascii="Times New Roman" w:cs="Times New Roman" w:eastAsia="Times New Roman" w:hAnsi="Times New Roman"/>
          <w:sz w:val="18"/>
          <w:szCs w:val="18"/>
          <w:color w:val="262626"/>
        </w:rPr>
        <w:t>Automotive Products revenues in the “Other countries” category are sales to customer automotive manufacturing plants in Korea, Canada, Hungary, China, and the United Kingdom, as well as other foreign automotive customers. Most of the Company’s non-U.S. sales are invoiced and paid in U.S. dollars. During the years ended December 31, 2022, 2021 and 2020, approximately 7%, 8% and 7% of the Company’s net sales were invoiced and paid in foreign currencies, respectively.</w:t>
      </w:r>
    </w:p>
    <w:p>
      <w:pPr>
        <w:spacing w:after="0" w:line="48" w:lineRule="exact"/>
        <w:rPr>
          <w:sz w:val="20"/>
          <w:szCs w:val="20"/>
          <w:color w:val="auto"/>
        </w:rPr>
      </w:pPr>
    </w:p>
    <w:p>
      <w:pPr>
        <w:ind w:right="320"/>
        <w:spacing w:after="0" w:line="439" w:lineRule="auto"/>
        <w:rPr>
          <w:sz w:val="20"/>
          <w:szCs w:val="20"/>
          <w:color w:val="auto"/>
        </w:rPr>
      </w:pPr>
      <w:r>
        <w:rPr>
          <w:rFonts w:ascii="Times New Roman" w:cs="Times New Roman" w:eastAsia="Times New Roman" w:hAnsi="Times New Roman"/>
          <w:sz w:val="18"/>
          <w:szCs w:val="18"/>
          <w:color w:val="262626"/>
        </w:rPr>
        <w:t>In 2022, the Company had three automotive customers (including direct sales to original equipment manufacturer (“OEM”) customers and sales through their Tier 1 suppliers), which individually accounted for 10% or more of net sales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2260" w:type="dxa"/>
            <w:vAlign w:val="bottom"/>
          </w:tcPr>
          <w:p>
            <w:pPr>
              <w:spacing w:after="0"/>
              <w:rPr>
                <w:sz w:val="24"/>
                <w:szCs w:val="24"/>
                <w:color w:val="auto"/>
              </w:rPr>
            </w:pPr>
          </w:p>
        </w:tc>
        <w:tc>
          <w:tcPr>
            <w:tcW w:w="4120" w:type="dxa"/>
            <w:vAlign w:val="bottom"/>
          </w:tcPr>
          <w:p>
            <w:pPr>
              <w:jc w:val="right"/>
              <w:ind w:right="290"/>
              <w:spacing w:after="0"/>
              <w:rPr>
                <w:sz w:val="20"/>
                <w:szCs w:val="20"/>
                <w:color w:val="auto"/>
              </w:rPr>
            </w:pPr>
            <w:r>
              <w:rPr>
                <w:rFonts w:ascii="Arial" w:cs="Arial" w:eastAsia="Arial" w:hAnsi="Arial"/>
                <w:sz w:val="18"/>
                <w:szCs w:val="18"/>
                <w:b w:val="1"/>
                <w:bCs w:val="1"/>
                <w:color w:val="262626"/>
              </w:rPr>
              <w:t>Toyota Motor Company</w:t>
            </w:r>
          </w:p>
        </w:tc>
        <w:tc>
          <w:tcPr>
            <w:tcW w:w="2340" w:type="dxa"/>
            <w:vAlign w:val="bottom"/>
          </w:tcPr>
          <w:p>
            <w:pPr>
              <w:jc w:val="right"/>
              <w:ind w:right="410"/>
              <w:spacing w:after="0"/>
              <w:rPr>
                <w:sz w:val="20"/>
                <w:szCs w:val="20"/>
                <w:color w:val="auto"/>
              </w:rPr>
            </w:pPr>
            <w:r>
              <w:rPr>
                <w:rFonts w:ascii="Arial" w:cs="Arial" w:eastAsia="Arial" w:hAnsi="Arial"/>
                <w:sz w:val="18"/>
                <w:szCs w:val="18"/>
                <w:b w:val="1"/>
                <w:bCs w:val="1"/>
                <w:color w:val="262626"/>
              </w:rPr>
              <w:t>Volkswagen Group</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262626"/>
              </w:rPr>
              <w:t>General Motors</w:t>
            </w:r>
          </w:p>
        </w:tc>
      </w:tr>
      <w:tr>
        <w:trPr>
          <w:trHeight w:val="343"/>
        </w:trPr>
        <w:tc>
          <w:tcPr>
            <w:tcW w:w="2260" w:type="dxa"/>
            <w:vAlign w:val="bottom"/>
            <w:tcBorders>
              <w:bottom w:val="single" w:sz="8" w:color="838383"/>
            </w:tcBorders>
          </w:tcPr>
          <w:p>
            <w:pPr>
              <w:jc w:val="right"/>
              <w:ind w:right="1810"/>
              <w:spacing w:after="0"/>
              <w:rPr>
                <w:sz w:val="20"/>
                <w:szCs w:val="20"/>
                <w:color w:val="auto"/>
              </w:rPr>
            </w:pPr>
            <w:r>
              <w:rPr>
                <w:rFonts w:ascii="Times New Roman" w:cs="Times New Roman" w:eastAsia="Times New Roman" w:hAnsi="Times New Roman"/>
                <w:sz w:val="18"/>
                <w:szCs w:val="18"/>
                <w:color w:val="262626"/>
                <w:w w:val="94"/>
              </w:rPr>
              <w:t>2022</w:t>
            </w:r>
          </w:p>
        </w:tc>
        <w:tc>
          <w:tcPr>
            <w:tcW w:w="4120" w:type="dxa"/>
            <w:vAlign w:val="bottom"/>
            <w:tcBorders>
              <w:bottom w:val="single" w:sz="8" w:color="838383"/>
            </w:tcBorders>
          </w:tcPr>
          <w:p>
            <w:pPr>
              <w:jc w:val="right"/>
              <w:ind w:right="290"/>
              <w:spacing w:after="0"/>
              <w:rPr>
                <w:sz w:val="20"/>
                <w:szCs w:val="20"/>
                <w:color w:val="auto"/>
              </w:rPr>
            </w:pPr>
            <w:r>
              <w:rPr>
                <w:rFonts w:ascii="Times New Roman" w:cs="Times New Roman" w:eastAsia="Times New Roman" w:hAnsi="Times New Roman"/>
                <w:sz w:val="18"/>
                <w:szCs w:val="18"/>
                <w:color w:val="262626"/>
              </w:rPr>
              <w:t>16%</w:t>
            </w:r>
          </w:p>
        </w:tc>
        <w:tc>
          <w:tcPr>
            <w:tcW w:w="2340" w:type="dxa"/>
            <w:vAlign w:val="bottom"/>
            <w:tcBorders>
              <w:bottom w:val="single" w:sz="8" w:color="838383"/>
            </w:tcBorders>
          </w:tcPr>
          <w:p>
            <w:pPr>
              <w:jc w:val="right"/>
              <w:ind w:right="410"/>
              <w:spacing w:after="0"/>
              <w:rPr>
                <w:sz w:val="20"/>
                <w:szCs w:val="20"/>
                <w:color w:val="auto"/>
              </w:rPr>
            </w:pPr>
            <w:r>
              <w:rPr>
                <w:rFonts w:ascii="Times New Roman" w:cs="Times New Roman" w:eastAsia="Times New Roman" w:hAnsi="Times New Roman"/>
                <w:sz w:val="18"/>
                <w:szCs w:val="18"/>
                <w:color w:val="262626"/>
              </w:rPr>
              <w:t>13%</w:t>
            </w:r>
          </w:p>
        </w:tc>
        <w:tc>
          <w:tcPr>
            <w:tcW w:w="17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10%</w:t>
            </w:r>
          </w:p>
        </w:tc>
      </w:tr>
      <w:tr>
        <w:trPr>
          <w:trHeight w:val="340"/>
        </w:trPr>
        <w:tc>
          <w:tcPr>
            <w:tcW w:w="2260" w:type="dxa"/>
            <w:vAlign w:val="bottom"/>
            <w:tcBorders>
              <w:bottom w:val="single" w:sz="8" w:color="838383"/>
            </w:tcBorders>
          </w:tcPr>
          <w:p>
            <w:pPr>
              <w:jc w:val="right"/>
              <w:ind w:right="1810"/>
              <w:spacing w:after="0"/>
              <w:rPr>
                <w:sz w:val="20"/>
                <w:szCs w:val="20"/>
                <w:color w:val="auto"/>
              </w:rPr>
            </w:pPr>
            <w:r>
              <w:rPr>
                <w:rFonts w:ascii="Times New Roman" w:cs="Times New Roman" w:eastAsia="Times New Roman" w:hAnsi="Times New Roman"/>
                <w:sz w:val="18"/>
                <w:szCs w:val="18"/>
                <w:color w:val="262626"/>
                <w:w w:val="94"/>
              </w:rPr>
              <w:t>2021</w:t>
            </w:r>
          </w:p>
        </w:tc>
        <w:tc>
          <w:tcPr>
            <w:tcW w:w="4120" w:type="dxa"/>
            <w:vAlign w:val="bottom"/>
            <w:tcBorders>
              <w:bottom w:val="single" w:sz="8" w:color="838383"/>
            </w:tcBorders>
          </w:tcPr>
          <w:p>
            <w:pPr>
              <w:jc w:val="right"/>
              <w:ind w:right="290"/>
              <w:spacing w:after="0"/>
              <w:rPr>
                <w:sz w:val="20"/>
                <w:szCs w:val="20"/>
                <w:color w:val="auto"/>
              </w:rPr>
            </w:pPr>
            <w:r>
              <w:rPr>
                <w:rFonts w:ascii="Times New Roman" w:cs="Times New Roman" w:eastAsia="Times New Roman" w:hAnsi="Times New Roman"/>
                <w:sz w:val="18"/>
                <w:szCs w:val="18"/>
                <w:color w:val="262626"/>
              </w:rPr>
              <w:t>15%</w:t>
            </w:r>
          </w:p>
        </w:tc>
        <w:tc>
          <w:tcPr>
            <w:tcW w:w="2340" w:type="dxa"/>
            <w:vAlign w:val="bottom"/>
            <w:tcBorders>
              <w:bottom w:val="single" w:sz="8" w:color="838383"/>
            </w:tcBorders>
          </w:tcPr>
          <w:p>
            <w:pPr>
              <w:jc w:val="right"/>
              <w:ind w:right="410"/>
              <w:spacing w:after="0"/>
              <w:rPr>
                <w:sz w:val="20"/>
                <w:szCs w:val="20"/>
                <w:color w:val="auto"/>
              </w:rPr>
            </w:pPr>
            <w:r>
              <w:rPr>
                <w:rFonts w:ascii="Times New Roman" w:cs="Times New Roman" w:eastAsia="Times New Roman" w:hAnsi="Times New Roman"/>
                <w:sz w:val="18"/>
                <w:szCs w:val="18"/>
                <w:color w:val="262626"/>
              </w:rPr>
              <w:t>13%</w:t>
            </w:r>
          </w:p>
        </w:tc>
        <w:tc>
          <w:tcPr>
            <w:tcW w:w="17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11%</w:t>
            </w:r>
          </w:p>
        </w:tc>
      </w:tr>
      <w:tr>
        <w:trPr>
          <w:trHeight w:val="358"/>
        </w:trPr>
        <w:tc>
          <w:tcPr>
            <w:tcW w:w="226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262626"/>
                <w:w w:val="94"/>
              </w:rPr>
              <w:t>2020</w:t>
            </w:r>
          </w:p>
        </w:tc>
        <w:tc>
          <w:tcPr>
            <w:tcW w:w="4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262626"/>
              </w:rPr>
              <w:t>14%</w:t>
            </w:r>
          </w:p>
        </w:tc>
        <w:tc>
          <w:tcPr>
            <w:tcW w:w="23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262626"/>
              </w:rPr>
              <w:t>14%</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12%</w:t>
            </w:r>
          </w:p>
        </w:tc>
      </w:tr>
    </w:tbl>
    <w:p>
      <w:pPr>
        <w:spacing w:after="0" w:line="200" w:lineRule="exact"/>
        <w:rPr>
          <w:sz w:val="20"/>
          <w:szCs w:val="20"/>
          <w:color w:val="auto"/>
        </w:rPr>
      </w:pP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83</w:t>
      </w:r>
    </w:p>
    <w:p>
      <w:pPr>
        <w:sectPr>
          <w:pgSz w:w="12240" w:h="15840" w:orient="portrait"/>
          <w:cols w:equalWidth="0" w:num="1">
            <w:col w:w="10760"/>
          </w:cols>
          <w:pgMar w:left="900" w:top="852" w:right="580" w:bottom="0" w:gutter="0" w:footer="0" w:header="0"/>
          <w:type w:val="continuous"/>
        </w:sectPr>
      </w:pPr>
    </w:p>
    <w:bookmarkStart w:id="83" w:name="page84"/>
    <w:bookmarkEnd w:id="83"/>
    <w:p>
      <w:pPr>
        <w:ind w:left="320"/>
        <w:spacing w:after="0"/>
        <w:rPr>
          <w:sz w:val="20"/>
          <w:szCs w:val="20"/>
          <w:color w:val="auto"/>
        </w:rPr>
      </w:pPr>
      <w:r>
        <w:rPr>
          <w:rFonts w:ascii="Arial" w:cs="Arial" w:eastAsia="Arial" w:hAnsi="Arial"/>
          <w:sz w:val="18"/>
          <w:szCs w:val="18"/>
          <w:b w:val="1"/>
          <w:bCs w:val="1"/>
          <w:color w:val="838383"/>
        </w:rPr>
        <w:t>( 8 )  Q U A R T E R LY  F I N A N C I A L  I N F O R M A T I O N  ( U N A U D I T E D )</w:t>
      </w:r>
    </w:p>
    <w:p>
      <w:pPr>
        <w:spacing w:after="0" w:line="176" w:lineRule="exact"/>
        <w:rPr>
          <w:sz w:val="20"/>
          <w:szCs w:val="20"/>
          <w:color w:val="auto"/>
        </w:rPr>
      </w:pPr>
    </w:p>
    <w:p>
      <w:pPr>
        <w:ind w:left="320" w:right="680"/>
        <w:spacing w:after="0" w:line="439" w:lineRule="auto"/>
        <w:rPr>
          <w:sz w:val="20"/>
          <w:szCs w:val="20"/>
          <w:color w:val="auto"/>
        </w:rPr>
      </w:pPr>
      <w:r>
        <w:rPr>
          <w:rFonts w:ascii="Times New Roman" w:cs="Times New Roman" w:eastAsia="Times New Roman" w:hAnsi="Times New Roman"/>
          <w:sz w:val="18"/>
          <w:szCs w:val="18"/>
          <w:color w:val="262626"/>
        </w:rPr>
        <w:t>The following table sets forth selected financial information for all of the quarters during the years ended December 31, 2022 and 2021 (in thousands, except per share data):</w:t>
      </w:r>
    </w:p>
    <w:p>
      <w:pPr>
        <w:spacing w:after="0" w:line="31"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262626"/>
              </w:rPr>
              <w:t>First</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262626"/>
              </w:rPr>
              <w:t>Second</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262626"/>
              </w:rPr>
              <w:t>Third</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262626"/>
              </w:rPr>
              <w:t>Fourth</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2022</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262626"/>
              </w:rPr>
              <w:t>2021</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262626"/>
              </w:rPr>
              <w:t>2022</w:t>
            </w:r>
          </w:p>
        </w:tc>
        <w:tc>
          <w:tcPr>
            <w:tcW w:w="36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2021</w:t>
            </w:r>
          </w:p>
        </w:tc>
        <w:tc>
          <w:tcPr>
            <w:tcW w:w="30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2022</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262626"/>
              </w:rPr>
              <w:t>2021</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262626"/>
              </w:rPr>
              <w:t>2022</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262626"/>
              </w:rPr>
              <w:t>2021</w:t>
            </w:r>
          </w:p>
        </w:tc>
        <w:tc>
          <w:tcPr>
            <w:tcW w:w="0" w:type="dxa"/>
            <w:vAlign w:val="bottom"/>
          </w:tcPr>
          <w:p>
            <w:pPr>
              <w:spacing w:after="0"/>
              <w:rPr>
                <w:sz w:val="1"/>
                <w:szCs w:val="1"/>
                <w:color w:val="auto"/>
              </w:rPr>
            </w:pPr>
          </w:p>
        </w:tc>
      </w:tr>
      <w:tr>
        <w:trPr>
          <w:trHeight w:val="345"/>
        </w:trPr>
        <w:tc>
          <w:tcPr>
            <w:tcW w:w="16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Net Sales</w:t>
            </w:r>
          </w:p>
        </w:tc>
        <w:tc>
          <w:tcPr>
            <w:tcW w:w="44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w:t>
            </w:r>
          </w:p>
        </w:tc>
        <w:tc>
          <w:tcPr>
            <w:tcW w:w="8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468,251</w:t>
            </w:r>
          </w:p>
        </w:tc>
        <w:tc>
          <w:tcPr>
            <w:tcW w:w="30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w:t>
            </w:r>
          </w:p>
        </w:tc>
        <w:tc>
          <w:tcPr>
            <w:tcW w:w="7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483,725</w:t>
            </w:r>
          </w:p>
        </w:tc>
        <w:tc>
          <w:tcPr>
            <w:tcW w:w="30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w:t>
            </w:r>
          </w:p>
        </w:tc>
        <w:tc>
          <w:tcPr>
            <w:tcW w:w="8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463,423</w:t>
            </w:r>
          </w:p>
        </w:tc>
        <w:tc>
          <w:tcPr>
            <w:tcW w:w="36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w:t>
            </w:r>
          </w:p>
        </w:tc>
        <w:tc>
          <w:tcPr>
            <w:tcW w:w="7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428,005</w:t>
            </w:r>
          </w:p>
        </w:tc>
        <w:tc>
          <w:tcPr>
            <w:tcW w:w="30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w:t>
            </w:r>
          </w:p>
        </w:tc>
        <w:tc>
          <w:tcPr>
            <w:tcW w:w="8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493,637</w:t>
            </w:r>
          </w:p>
        </w:tc>
        <w:tc>
          <w:tcPr>
            <w:tcW w:w="320" w:type="dxa"/>
            <w:vAlign w:val="bottom"/>
            <w:tcBorders>
              <w:bottom w:val="single" w:sz="8" w:color="838383"/>
            </w:tcBorders>
          </w:tcPr>
          <w:p>
            <w:pPr>
              <w:jc w:val="right"/>
              <w:ind w:right="50"/>
              <w:spacing w:after="0"/>
              <w:rPr>
                <w:sz w:val="20"/>
                <w:szCs w:val="20"/>
                <w:color w:val="auto"/>
              </w:rPr>
            </w:pPr>
            <w:r>
              <w:rPr>
                <w:rFonts w:ascii="Times New Roman" w:cs="Times New Roman" w:eastAsia="Times New Roman" w:hAnsi="Times New Roman"/>
                <w:sz w:val="18"/>
                <w:szCs w:val="18"/>
                <w:color w:val="262626"/>
              </w:rPr>
              <w:t>$</w:t>
            </w:r>
          </w:p>
        </w:tc>
        <w:tc>
          <w:tcPr>
            <w:tcW w:w="7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399,599</w:t>
            </w:r>
          </w:p>
        </w:tc>
        <w:tc>
          <w:tcPr>
            <w:tcW w:w="300" w:type="dxa"/>
            <w:vAlign w:val="bottom"/>
            <w:tcBorders>
              <w:bottom w:val="single" w:sz="8" w:color="838383"/>
            </w:tcBorders>
          </w:tcPr>
          <w:p>
            <w:pPr>
              <w:jc w:val="right"/>
              <w:ind w:right="30"/>
              <w:spacing w:after="0"/>
              <w:rPr>
                <w:sz w:val="20"/>
                <w:szCs w:val="20"/>
                <w:color w:val="auto"/>
              </w:rPr>
            </w:pPr>
            <w:r>
              <w:rPr>
                <w:rFonts w:ascii="Times New Roman" w:cs="Times New Roman" w:eastAsia="Times New Roman" w:hAnsi="Times New Roman"/>
                <w:sz w:val="18"/>
                <w:szCs w:val="18"/>
                <w:color w:val="262626"/>
              </w:rPr>
              <w:t>$</w:t>
            </w:r>
          </w:p>
        </w:tc>
        <w:tc>
          <w:tcPr>
            <w:tcW w:w="8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493,648</w:t>
            </w:r>
          </w:p>
        </w:tc>
        <w:tc>
          <w:tcPr>
            <w:tcW w:w="340" w:type="dxa"/>
            <w:vAlign w:val="bottom"/>
            <w:tcBorders>
              <w:bottom w:val="single" w:sz="8" w:color="838383"/>
            </w:tcBorders>
          </w:tcPr>
          <w:p>
            <w:pPr>
              <w:jc w:val="right"/>
              <w:ind w:right="70"/>
              <w:spacing w:after="0"/>
              <w:rPr>
                <w:sz w:val="20"/>
                <w:szCs w:val="20"/>
                <w:color w:val="auto"/>
              </w:rPr>
            </w:pPr>
            <w:r>
              <w:rPr>
                <w:rFonts w:ascii="Times New Roman" w:cs="Times New Roman" w:eastAsia="Times New Roman" w:hAnsi="Times New Roman"/>
                <w:sz w:val="18"/>
                <w:szCs w:val="18"/>
                <w:color w:val="262626"/>
              </w:rPr>
              <w:t>$</w:t>
            </w:r>
          </w:p>
        </w:tc>
        <w:tc>
          <w:tcPr>
            <w:tcW w:w="6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419,841</w:t>
            </w:r>
          </w:p>
        </w:tc>
        <w:tc>
          <w:tcPr>
            <w:tcW w:w="0" w:type="dxa"/>
            <w:vAlign w:val="bottom"/>
          </w:tcPr>
          <w:p>
            <w:pPr>
              <w:spacing w:after="0"/>
              <w:rPr>
                <w:sz w:val="1"/>
                <w:szCs w:val="1"/>
                <w:color w:val="auto"/>
              </w:rPr>
            </w:pPr>
          </w:p>
        </w:tc>
      </w:tr>
      <w:tr>
        <w:trPr>
          <w:trHeight w:val="340"/>
        </w:trPr>
        <w:tc>
          <w:tcPr>
            <w:tcW w:w="16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Gross Profit</w:t>
            </w:r>
          </w:p>
        </w:tc>
        <w:tc>
          <w:tcPr>
            <w:tcW w:w="440" w:type="dxa"/>
            <w:vAlign w:val="bottom"/>
            <w:tcBorders>
              <w:bottom w:val="single" w:sz="8" w:color="838383"/>
            </w:tcBorders>
          </w:tcPr>
          <w:p>
            <w:pPr>
              <w:spacing w:after="0"/>
              <w:rPr>
                <w:sz w:val="24"/>
                <w:szCs w:val="24"/>
                <w:color w:val="auto"/>
              </w:rPr>
            </w:pPr>
          </w:p>
        </w:tc>
        <w:tc>
          <w:tcPr>
            <w:tcW w:w="8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160,412</w:t>
            </w:r>
          </w:p>
        </w:tc>
        <w:tc>
          <w:tcPr>
            <w:tcW w:w="300" w:type="dxa"/>
            <w:vAlign w:val="bottom"/>
            <w:tcBorders>
              <w:bottom w:val="single" w:sz="8" w:color="838383"/>
            </w:tcBorders>
          </w:tcPr>
          <w:p>
            <w:pPr>
              <w:spacing w:after="0"/>
              <w:rPr>
                <w:sz w:val="24"/>
                <w:szCs w:val="24"/>
                <w:color w:val="auto"/>
              </w:rPr>
            </w:pPr>
          </w:p>
        </w:tc>
        <w:tc>
          <w:tcPr>
            <w:tcW w:w="7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183,300</w:t>
            </w:r>
          </w:p>
        </w:tc>
        <w:tc>
          <w:tcPr>
            <w:tcW w:w="300" w:type="dxa"/>
            <w:vAlign w:val="bottom"/>
            <w:tcBorders>
              <w:bottom w:val="single" w:sz="8" w:color="838383"/>
            </w:tcBorders>
          </w:tcPr>
          <w:p>
            <w:pPr>
              <w:spacing w:after="0"/>
              <w:rPr>
                <w:sz w:val="24"/>
                <w:szCs w:val="24"/>
                <w:color w:val="auto"/>
              </w:rPr>
            </w:pPr>
          </w:p>
        </w:tc>
        <w:tc>
          <w:tcPr>
            <w:tcW w:w="8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148,367</w:t>
            </w:r>
          </w:p>
        </w:tc>
        <w:tc>
          <w:tcPr>
            <w:tcW w:w="360" w:type="dxa"/>
            <w:vAlign w:val="bottom"/>
            <w:tcBorders>
              <w:bottom w:val="single" w:sz="8" w:color="838383"/>
            </w:tcBorders>
          </w:tcPr>
          <w:p>
            <w:pPr>
              <w:spacing w:after="0"/>
              <w:rPr>
                <w:sz w:val="24"/>
                <w:szCs w:val="24"/>
                <w:color w:val="auto"/>
              </w:rPr>
            </w:pPr>
          </w:p>
        </w:tc>
        <w:tc>
          <w:tcPr>
            <w:tcW w:w="7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151,597</w:t>
            </w:r>
          </w:p>
        </w:tc>
        <w:tc>
          <w:tcPr>
            <w:tcW w:w="300" w:type="dxa"/>
            <w:vAlign w:val="bottom"/>
            <w:tcBorders>
              <w:bottom w:val="single" w:sz="8" w:color="838383"/>
            </w:tcBorders>
          </w:tcPr>
          <w:p>
            <w:pPr>
              <w:spacing w:after="0"/>
              <w:rPr>
                <w:sz w:val="24"/>
                <w:szCs w:val="24"/>
                <w:color w:val="auto"/>
              </w:rPr>
            </w:pPr>
          </w:p>
        </w:tc>
        <w:tc>
          <w:tcPr>
            <w:tcW w:w="8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147,201</w:t>
            </w:r>
          </w:p>
        </w:tc>
        <w:tc>
          <w:tcPr>
            <w:tcW w:w="320" w:type="dxa"/>
            <w:vAlign w:val="bottom"/>
            <w:tcBorders>
              <w:bottom w:val="single" w:sz="8" w:color="838383"/>
            </w:tcBorders>
          </w:tcPr>
          <w:p>
            <w:pPr>
              <w:spacing w:after="0"/>
              <w:rPr>
                <w:sz w:val="24"/>
                <w:szCs w:val="24"/>
                <w:color w:val="auto"/>
              </w:rPr>
            </w:pPr>
          </w:p>
        </w:tc>
        <w:tc>
          <w:tcPr>
            <w:tcW w:w="7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140,900</w:t>
            </w:r>
          </w:p>
        </w:tc>
        <w:tc>
          <w:tcPr>
            <w:tcW w:w="300" w:type="dxa"/>
            <w:vAlign w:val="bottom"/>
            <w:tcBorders>
              <w:bottom w:val="single" w:sz="8" w:color="838383"/>
            </w:tcBorders>
          </w:tcPr>
          <w:p>
            <w:pPr>
              <w:spacing w:after="0"/>
              <w:rPr>
                <w:sz w:val="24"/>
                <w:szCs w:val="24"/>
                <w:color w:val="auto"/>
              </w:rPr>
            </w:pPr>
          </w:p>
        </w:tc>
        <w:tc>
          <w:tcPr>
            <w:tcW w:w="8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153,834</w:t>
            </w:r>
          </w:p>
        </w:tc>
        <w:tc>
          <w:tcPr>
            <w:tcW w:w="340" w:type="dxa"/>
            <w:vAlign w:val="bottom"/>
            <w:tcBorders>
              <w:bottom w:val="single" w:sz="8" w:color="838383"/>
            </w:tcBorders>
          </w:tcPr>
          <w:p>
            <w:pPr>
              <w:spacing w:after="0"/>
              <w:rPr>
                <w:sz w:val="24"/>
                <w:szCs w:val="24"/>
                <w:color w:val="auto"/>
              </w:rPr>
            </w:pPr>
          </w:p>
        </w:tc>
        <w:tc>
          <w:tcPr>
            <w:tcW w:w="6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143,911</w:t>
            </w:r>
          </w:p>
        </w:tc>
        <w:tc>
          <w:tcPr>
            <w:tcW w:w="0" w:type="dxa"/>
            <w:vAlign w:val="bottom"/>
          </w:tcPr>
          <w:p>
            <w:pPr>
              <w:spacing w:after="0"/>
              <w:rPr>
                <w:sz w:val="1"/>
                <w:szCs w:val="1"/>
                <w:color w:val="auto"/>
              </w:rPr>
            </w:pPr>
          </w:p>
        </w:tc>
      </w:tr>
      <w:tr>
        <w:trPr>
          <w:trHeight w:val="340"/>
        </w:trPr>
        <w:tc>
          <w:tcPr>
            <w:tcW w:w="16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Operating Income</w:t>
            </w:r>
          </w:p>
        </w:tc>
        <w:tc>
          <w:tcPr>
            <w:tcW w:w="440" w:type="dxa"/>
            <w:vAlign w:val="bottom"/>
            <w:tcBorders>
              <w:bottom w:val="single" w:sz="8" w:color="838383"/>
            </w:tcBorders>
          </w:tcPr>
          <w:p>
            <w:pPr>
              <w:spacing w:after="0"/>
              <w:rPr>
                <w:sz w:val="24"/>
                <w:szCs w:val="24"/>
                <w:color w:val="auto"/>
              </w:rPr>
            </w:pPr>
          </w:p>
        </w:tc>
        <w:tc>
          <w:tcPr>
            <w:tcW w:w="8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103,306</w:t>
            </w:r>
          </w:p>
        </w:tc>
        <w:tc>
          <w:tcPr>
            <w:tcW w:w="300" w:type="dxa"/>
            <w:vAlign w:val="bottom"/>
            <w:tcBorders>
              <w:bottom w:val="single" w:sz="8" w:color="838383"/>
            </w:tcBorders>
          </w:tcPr>
          <w:p>
            <w:pPr>
              <w:spacing w:after="0"/>
              <w:rPr>
                <w:sz w:val="24"/>
                <w:szCs w:val="24"/>
                <w:color w:val="auto"/>
              </w:rPr>
            </w:pPr>
          </w:p>
        </w:tc>
        <w:tc>
          <w:tcPr>
            <w:tcW w:w="7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133,734</w:t>
            </w:r>
          </w:p>
        </w:tc>
        <w:tc>
          <w:tcPr>
            <w:tcW w:w="300" w:type="dxa"/>
            <w:vAlign w:val="bottom"/>
            <w:tcBorders>
              <w:bottom w:val="single" w:sz="8" w:color="838383"/>
            </w:tcBorders>
          </w:tcPr>
          <w:p>
            <w:pPr>
              <w:spacing w:after="0"/>
              <w:rPr>
                <w:sz w:val="24"/>
                <w:szCs w:val="24"/>
                <w:color w:val="auto"/>
              </w:rPr>
            </w:pPr>
          </w:p>
        </w:tc>
        <w:tc>
          <w:tcPr>
            <w:tcW w:w="8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85,791</w:t>
            </w:r>
          </w:p>
        </w:tc>
        <w:tc>
          <w:tcPr>
            <w:tcW w:w="360" w:type="dxa"/>
            <w:vAlign w:val="bottom"/>
            <w:tcBorders>
              <w:bottom w:val="single" w:sz="8" w:color="838383"/>
            </w:tcBorders>
          </w:tcPr>
          <w:p>
            <w:pPr>
              <w:spacing w:after="0"/>
              <w:rPr>
                <w:sz w:val="24"/>
                <w:szCs w:val="24"/>
                <w:color w:val="auto"/>
              </w:rPr>
            </w:pPr>
          </w:p>
        </w:tc>
        <w:tc>
          <w:tcPr>
            <w:tcW w:w="7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99,925</w:t>
            </w:r>
          </w:p>
        </w:tc>
        <w:tc>
          <w:tcPr>
            <w:tcW w:w="300" w:type="dxa"/>
            <w:vAlign w:val="bottom"/>
            <w:tcBorders>
              <w:bottom w:val="single" w:sz="8" w:color="838383"/>
            </w:tcBorders>
          </w:tcPr>
          <w:p>
            <w:pPr>
              <w:spacing w:after="0"/>
              <w:rPr>
                <w:sz w:val="24"/>
                <w:szCs w:val="24"/>
                <w:color w:val="auto"/>
              </w:rPr>
            </w:pPr>
          </w:p>
        </w:tc>
        <w:tc>
          <w:tcPr>
            <w:tcW w:w="8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86,792</w:t>
            </w:r>
          </w:p>
        </w:tc>
        <w:tc>
          <w:tcPr>
            <w:tcW w:w="320" w:type="dxa"/>
            <w:vAlign w:val="bottom"/>
            <w:tcBorders>
              <w:bottom w:val="single" w:sz="8" w:color="838383"/>
            </w:tcBorders>
          </w:tcPr>
          <w:p>
            <w:pPr>
              <w:spacing w:after="0"/>
              <w:rPr>
                <w:sz w:val="24"/>
                <w:szCs w:val="24"/>
                <w:color w:val="auto"/>
              </w:rPr>
            </w:pPr>
          </w:p>
        </w:tc>
        <w:tc>
          <w:tcPr>
            <w:tcW w:w="7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88,165</w:t>
            </w:r>
          </w:p>
        </w:tc>
        <w:tc>
          <w:tcPr>
            <w:tcW w:w="300" w:type="dxa"/>
            <w:vAlign w:val="bottom"/>
            <w:tcBorders>
              <w:bottom w:val="single" w:sz="8" w:color="838383"/>
            </w:tcBorders>
          </w:tcPr>
          <w:p>
            <w:pPr>
              <w:spacing w:after="0"/>
              <w:rPr>
                <w:sz w:val="24"/>
                <w:szCs w:val="24"/>
                <w:color w:val="auto"/>
              </w:rPr>
            </w:pPr>
          </w:p>
        </w:tc>
        <w:tc>
          <w:tcPr>
            <w:tcW w:w="8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94,118</w:t>
            </w:r>
          </w:p>
        </w:tc>
        <w:tc>
          <w:tcPr>
            <w:tcW w:w="340" w:type="dxa"/>
            <w:vAlign w:val="bottom"/>
            <w:tcBorders>
              <w:bottom w:val="single" w:sz="8" w:color="838383"/>
            </w:tcBorders>
          </w:tcPr>
          <w:p>
            <w:pPr>
              <w:spacing w:after="0"/>
              <w:rPr>
                <w:sz w:val="24"/>
                <w:szCs w:val="24"/>
                <w:color w:val="auto"/>
              </w:rPr>
            </w:pPr>
          </w:p>
        </w:tc>
        <w:tc>
          <w:tcPr>
            <w:tcW w:w="6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87,959</w:t>
            </w:r>
          </w:p>
        </w:tc>
        <w:tc>
          <w:tcPr>
            <w:tcW w:w="0" w:type="dxa"/>
            <w:vAlign w:val="bottom"/>
          </w:tcPr>
          <w:p>
            <w:pPr>
              <w:spacing w:after="0"/>
              <w:rPr>
                <w:sz w:val="1"/>
                <w:szCs w:val="1"/>
                <w:color w:val="auto"/>
              </w:rPr>
            </w:pPr>
          </w:p>
        </w:tc>
      </w:tr>
      <w:tr>
        <w:trPr>
          <w:trHeight w:val="340"/>
        </w:trPr>
        <w:tc>
          <w:tcPr>
            <w:tcW w:w="16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Net Income</w:t>
            </w:r>
          </w:p>
        </w:tc>
        <w:tc>
          <w:tcPr>
            <w:tcW w:w="440" w:type="dxa"/>
            <w:vAlign w:val="bottom"/>
            <w:tcBorders>
              <w:bottom w:val="single" w:sz="8" w:color="838383"/>
            </w:tcBorders>
          </w:tcPr>
          <w:p>
            <w:pPr>
              <w:spacing w:after="0"/>
              <w:rPr>
                <w:sz w:val="24"/>
                <w:szCs w:val="24"/>
                <w:color w:val="auto"/>
              </w:rPr>
            </w:pPr>
          </w:p>
        </w:tc>
        <w:tc>
          <w:tcPr>
            <w:tcW w:w="8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87,529</w:t>
            </w:r>
          </w:p>
        </w:tc>
        <w:tc>
          <w:tcPr>
            <w:tcW w:w="300" w:type="dxa"/>
            <w:vAlign w:val="bottom"/>
            <w:tcBorders>
              <w:bottom w:val="single" w:sz="8" w:color="838383"/>
            </w:tcBorders>
          </w:tcPr>
          <w:p>
            <w:pPr>
              <w:spacing w:after="0"/>
              <w:rPr>
                <w:sz w:val="24"/>
                <w:szCs w:val="24"/>
                <w:color w:val="auto"/>
              </w:rPr>
            </w:pPr>
          </w:p>
        </w:tc>
        <w:tc>
          <w:tcPr>
            <w:tcW w:w="7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113,451</w:t>
            </w:r>
          </w:p>
        </w:tc>
        <w:tc>
          <w:tcPr>
            <w:tcW w:w="300" w:type="dxa"/>
            <w:vAlign w:val="bottom"/>
            <w:tcBorders>
              <w:bottom w:val="single" w:sz="8" w:color="838383"/>
            </w:tcBorders>
          </w:tcPr>
          <w:p>
            <w:pPr>
              <w:spacing w:after="0"/>
              <w:rPr>
                <w:sz w:val="24"/>
                <w:szCs w:val="24"/>
                <w:color w:val="auto"/>
              </w:rPr>
            </w:pPr>
          </w:p>
        </w:tc>
        <w:tc>
          <w:tcPr>
            <w:tcW w:w="8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72,404</w:t>
            </w:r>
          </w:p>
        </w:tc>
        <w:tc>
          <w:tcPr>
            <w:tcW w:w="360" w:type="dxa"/>
            <w:vAlign w:val="bottom"/>
            <w:tcBorders>
              <w:bottom w:val="single" w:sz="8" w:color="838383"/>
            </w:tcBorders>
          </w:tcPr>
          <w:p>
            <w:pPr>
              <w:spacing w:after="0"/>
              <w:rPr>
                <w:sz w:val="24"/>
                <w:szCs w:val="24"/>
                <w:color w:val="auto"/>
              </w:rPr>
            </w:pPr>
          </w:p>
        </w:tc>
        <w:tc>
          <w:tcPr>
            <w:tcW w:w="7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86,506</w:t>
            </w:r>
          </w:p>
        </w:tc>
        <w:tc>
          <w:tcPr>
            <w:tcW w:w="300" w:type="dxa"/>
            <w:vAlign w:val="bottom"/>
            <w:tcBorders>
              <w:bottom w:val="single" w:sz="8" w:color="838383"/>
            </w:tcBorders>
          </w:tcPr>
          <w:p>
            <w:pPr>
              <w:spacing w:after="0"/>
              <w:rPr>
                <w:sz w:val="24"/>
                <w:szCs w:val="24"/>
                <w:color w:val="auto"/>
              </w:rPr>
            </w:pPr>
          </w:p>
        </w:tc>
        <w:tc>
          <w:tcPr>
            <w:tcW w:w="8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72,656</w:t>
            </w:r>
          </w:p>
        </w:tc>
        <w:tc>
          <w:tcPr>
            <w:tcW w:w="320" w:type="dxa"/>
            <w:vAlign w:val="bottom"/>
            <w:tcBorders>
              <w:bottom w:val="single" w:sz="8" w:color="838383"/>
            </w:tcBorders>
          </w:tcPr>
          <w:p>
            <w:pPr>
              <w:spacing w:after="0"/>
              <w:rPr>
                <w:sz w:val="24"/>
                <w:szCs w:val="24"/>
                <w:color w:val="auto"/>
              </w:rPr>
            </w:pPr>
          </w:p>
        </w:tc>
        <w:tc>
          <w:tcPr>
            <w:tcW w:w="7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76,661</w:t>
            </w:r>
          </w:p>
        </w:tc>
        <w:tc>
          <w:tcPr>
            <w:tcW w:w="300" w:type="dxa"/>
            <w:vAlign w:val="bottom"/>
            <w:tcBorders>
              <w:bottom w:val="single" w:sz="8" w:color="838383"/>
            </w:tcBorders>
          </w:tcPr>
          <w:p>
            <w:pPr>
              <w:spacing w:after="0"/>
              <w:rPr>
                <w:sz w:val="24"/>
                <w:szCs w:val="24"/>
                <w:color w:val="auto"/>
              </w:rPr>
            </w:pPr>
          </w:p>
        </w:tc>
        <w:tc>
          <w:tcPr>
            <w:tcW w:w="8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86,168</w:t>
            </w:r>
          </w:p>
        </w:tc>
        <w:tc>
          <w:tcPr>
            <w:tcW w:w="340" w:type="dxa"/>
            <w:vAlign w:val="bottom"/>
            <w:tcBorders>
              <w:bottom w:val="single" w:sz="8" w:color="838383"/>
            </w:tcBorders>
          </w:tcPr>
          <w:p>
            <w:pPr>
              <w:spacing w:after="0"/>
              <w:rPr>
                <w:sz w:val="24"/>
                <w:szCs w:val="24"/>
                <w:color w:val="auto"/>
              </w:rPr>
            </w:pPr>
          </w:p>
        </w:tc>
        <w:tc>
          <w:tcPr>
            <w:tcW w:w="66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84,179</w:t>
            </w:r>
          </w:p>
        </w:tc>
        <w:tc>
          <w:tcPr>
            <w:tcW w:w="0" w:type="dxa"/>
            <w:vAlign w:val="bottom"/>
          </w:tcPr>
          <w:p>
            <w:pPr>
              <w:spacing w:after="0"/>
              <w:rPr>
                <w:sz w:val="1"/>
                <w:szCs w:val="1"/>
                <w:color w:val="auto"/>
              </w:rPr>
            </w:pPr>
          </w:p>
        </w:tc>
      </w:tr>
      <w:tr>
        <w:trPr>
          <w:trHeight w:val="261"/>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262626"/>
              </w:rPr>
              <w:t>Earnings Per Share</w:t>
            </w:r>
          </w:p>
        </w:tc>
        <w:tc>
          <w:tcPr>
            <w:tcW w:w="4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262626"/>
              </w:rPr>
              <w:t>$</w:t>
            </w: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262626"/>
              </w:rPr>
              <w:t>0.37</w:t>
            </w: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262626"/>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0.47</w:t>
            </w: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262626"/>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0.31</w:t>
            </w:r>
          </w:p>
        </w:tc>
        <w:tc>
          <w:tcPr>
            <w:tcW w:w="3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262626"/>
              </w:rPr>
              <w:t>$</w:t>
            </w: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262626"/>
              </w:rPr>
              <w:t>0.36</w:t>
            </w: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262626"/>
              </w:rPr>
              <w:t>$</w:t>
            </w: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262626"/>
              </w:rPr>
              <w:t>0.31</w:t>
            </w:r>
          </w:p>
        </w:tc>
        <w:tc>
          <w:tcPr>
            <w:tcW w:w="3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262626"/>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0.32</w:t>
            </w: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262626"/>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0.37</w:t>
            </w:r>
          </w:p>
        </w:tc>
        <w:tc>
          <w:tcPr>
            <w:tcW w:w="3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262626"/>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0.36</w:t>
            </w:r>
          </w:p>
        </w:tc>
        <w:tc>
          <w:tcPr>
            <w:tcW w:w="0" w:type="dxa"/>
            <w:vAlign w:val="bottom"/>
          </w:tcPr>
          <w:p>
            <w:pPr>
              <w:spacing w:after="0"/>
              <w:rPr>
                <w:sz w:val="1"/>
                <w:szCs w:val="1"/>
                <w:color w:val="auto"/>
              </w:rPr>
            </w:pPr>
          </w:p>
        </w:tc>
      </w:tr>
      <w:tr>
        <w:trPr>
          <w:trHeight w:val="259"/>
        </w:trPr>
        <w:tc>
          <w:tcPr>
            <w:tcW w:w="162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(Basic)</w:t>
            </w:r>
            <w:r>
              <w:rPr>
                <w:rFonts w:ascii="Times New Roman" w:cs="Times New Roman" w:eastAsia="Times New Roman" w:hAnsi="Times New Roman"/>
                <w:sz w:val="20"/>
                <w:szCs w:val="20"/>
                <w:color w:val="262626"/>
                <w:vertAlign w:val="superscript"/>
              </w:rPr>
              <w:t>(1)</w:t>
            </w:r>
          </w:p>
        </w:tc>
        <w:tc>
          <w:tcPr>
            <w:tcW w:w="440" w:type="dxa"/>
            <w:vAlign w:val="bottom"/>
            <w:tcBorders>
              <w:bottom w:val="single" w:sz="8" w:color="838383"/>
            </w:tcBorders>
            <w:vMerge w:val="continue"/>
          </w:tcPr>
          <w:p>
            <w:pPr>
              <w:spacing w:after="0"/>
              <w:rPr>
                <w:sz w:val="22"/>
                <w:szCs w:val="22"/>
                <w:color w:val="auto"/>
              </w:rPr>
            </w:pPr>
          </w:p>
        </w:tc>
        <w:tc>
          <w:tcPr>
            <w:tcW w:w="800" w:type="dxa"/>
            <w:vAlign w:val="bottom"/>
            <w:tcBorders>
              <w:bottom w:val="single" w:sz="8" w:color="838383"/>
            </w:tcBorders>
            <w:vMerge w:val="continue"/>
          </w:tcPr>
          <w:p>
            <w:pPr>
              <w:spacing w:after="0"/>
              <w:rPr>
                <w:sz w:val="22"/>
                <w:szCs w:val="22"/>
                <w:color w:val="auto"/>
              </w:rPr>
            </w:pPr>
          </w:p>
        </w:tc>
        <w:tc>
          <w:tcPr>
            <w:tcW w:w="300" w:type="dxa"/>
            <w:vAlign w:val="bottom"/>
            <w:tcBorders>
              <w:bottom w:val="single" w:sz="8" w:color="838383"/>
            </w:tcBorders>
            <w:vMerge w:val="continue"/>
          </w:tcPr>
          <w:p>
            <w:pPr>
              <w:spacing w:after="0"/>
              <w:rPr>
                <w:sz w:val="22"/>
                <w:szCs w:val="22"/>
                <w:color w:val="auto"/>
              </w:rPr>
            </w:pPr>
          </w:p>
        </w:tc>
        <w:tc>
          <w:tcPr>
            <w:tcW w:w="780" w:type="dxa"/>
            <w:vAlign w:val="bottom"/>
            <w:tcBorders>
              <w:bottom w:val="single" w:sz="8" w:color="838383"/>
            </w:tcBorders>
            <w:vMerge w:val="continue"/>
          </w:tcPr>
          <w:p>
            <w:pPr>
              <w:spacing w:after="0"/>
              <w:rPr>
                <w:sz w:val="22"/>
                <w:szCs w:val="22"/>
                <w:color w:val="auto"/>
              </w:rPr>
            </w:pPr>
          </w:p>
        </w:tc>
        <w:tc>
          <w:tcPr>
            <w:tcW w:w="300" w:type="dxa"/>
            <w:vAlign w:val="bottom"/>
            <w:tcBorders>
              <w:bottom w:val="single" w:sz="8" w:color="838383"/>
            </w:tcBorders>
            <w:vMerge w:val="continue"/>
          </w:tcPr>
          <w:p>
            <w:pPr>
              <w:spacing w:after="0"/>
              <w:rPr>
                <w:sz w:val="22"/>
                <w:szCs w:val="22"/>
                <w:color w:val="auto"/>
              </w:rPr>
            </w:pPr>
          </w:p>
        </w:tc>
        <w:tc>
          <w:tcPr>
            <w:tcW w:w="800" w:type="dxa"/>
            <w:vAlign w:val="bottom"/>
            <w:tcBorders>
              <w:bottom w:val="single" w:sz="8" w:color="838383"/>
            </w:tcBorders>
            <w:vMerge w:val="continue"/>
          </w:tcPr>
          <w:p>
            <w:pPr>
              <w:spacing w:after="0"/>
              <w:rPr>
                <w:sz w:val="22"/>
                <w:szCs w:val="22"/>
                <w:color w:val="auto"/>
              </w:rPr>
            </w:pPr>
          </w:p>
        </w:tc>
        <w:tc>
          <w:tcPr>
            <w:tcW w:w="360" w:type="dxa"/>
            <w:vAlign w:val="bottom"/>
            <w:tcBorders>
              <w:bottom w:val="single" w:sz="8" w:color="838383"/>
            </w:tcBorders>
            <w:vMerge w:val="continue"/>
          </w:tcPr>
          <w:p>
            <w:pPr>
              <w:spacing w:after="0"/>
              <w:rPr>
                <w:sz w:val="22"/>
                <w:szCs w:val="22"/>
                <w:color w:val="auto"/>
              </w:rPr>
            </w:pPr>
          </w:p>
        </w:tc>
        <w:tc>
          <w:tcPr>
            <w:tcW w:w="740" w:type="dxa"/>
            <w:vAlign w:val="bottom"/>
            <w:tcBorders>
              <w:bottom w:val="single" w:sz="8" w:color="838383"/>
            </w:tcBorders>
            <w:vMerge w:val="continue"/>
          </w:tcPr>
          <w:p>
            <w:pPr>
              <w:spacing w:after="0"/>
              <w:rPr>
                <w:sz w:val="22"/>
                <w:szCs w:val="22"/>
                <w:color w:val="auto"/>
              </w:rPr>
            </w:pPr>
          </w:p>
        </w:tc>
        <w:tc>
          <w:tcPr>
            <w:tcW w:w="300" w:type="dxa"/>
            <w:vAlign w:val="bottom"/>
            <w:tcBorders>
              <w:bottom w:val="single" w:sz="8" w:color="838383"/>
            </w:tcBorders>
            <w:vMerge w:val="continue"/>
          </w:tcPr>
          <w:p>
            <w:pPr>
              <w:spacing w:after="0"/>
              <w:rPr>
                <w:sz w:val="22"/>
                <w:szCs w:val="22"/>
                <w:color w:val="auto"/>
              </w:rPr>
            </w:pPr>
          </w:p>
        </w:tc>
        <w:tc>
          <w:tcPr>
            <w:tcW w:w="800" w:type="dxa"/>
            <w:vAlign w:val="bottom"/>
            <w:tcBorders>
              <w:bottom w:val="single" w:sz="8" w:color="838383"/>
            </w:tcBorders>
            <w:vMerge w:val="continue"/>
          </w:tcPr>
          <w:p>
            <w:pPr>
              <w:spacing w:after="0"/>
              <w:rPr>
                <w:sz w:val="22"/>
                <w:szCs w:val="22"/>
                <w:color w:val="auto"/>
              </w:rPr>
            </w:pPr>
          </w:p>
        </w:tc>
        <w:tc>
          <w:tcPr>
            <w:tcW w:w="320" w:type="dxa"/>
            <w:vAlign w:val="bottom"/>
            <w:tcBorders>
              <w:bottom w:val="single" w:sz="8" w:color="838383"/>
            </w:tcBorders>
            <w:vMerge w:val="continue"/>
          </w:tcPr>
          <w:p>
            <w:pPr>
              <w:spacing w:after="0"/>
              <w:rPr>
                <w:sz w:val="22"/>
                <w:szCs w:val="22"/>
                <w:color w:val="auto"/>
              </w:rPr>
            </w:pPr>
          </w:p>
        </w:tc>
        <w:tc>
          <w:tcPr>
            <w:tcW w:w="760" w:type="dxa"/>
            <w:vAlign w:val="bottom"/>
            <w:tcBorders>
              <w:bottom w:val="single" w:sz="8" w:color="838383"/>
            </w:tcBorders>
            <w:vMerge w:val="continue"/>
          </w:tcPr>
          <w:p>
            <w:pPr>
              <w:spacing w:after="0"/>
              <w:rPr>
                <w:sz w:val="22"/>
                <w:szCs w:val="22"/>
                <w:color w:val="auto"/>
              </w:rPr>
            </w:pPr>
          </w:p>
        </w:tc>
        <w:tc>
          <w:tcPr>
            <w:tcW w:w="300" w:type="dxa"/>
            <w:vAlign w:val="bottom"/>
            <w:tcBorders>
              <w:bottom w:val="single" w:sz="8" w:color="838383"/>
            </w:tcBorders>
            <w:vMerge w:val="continue"/>
          </w:tcPr>
          <w:p>
            <w:pPr>
              <w:spacing w:after="0"/>
              <w:rPr>
                <w:sz w:val="22"/>
                <w:szCs w:val="22"/>
                <w:color w:val="auto"/>
              </w:rPr>
            </w:pPr>
          </w:p>
        </w:tc>
        <w:tc>
          <w:tcPr>
            <w:tcW w:w="800" w:type="dxa"/>
            <w:vAlign w:val="bottom"/>
            <w:tcBorders>
              <w:bottom w:val="single" w:sz="8" w:color="838383"/>
            </w:tcBorders>
            <w:vMerge w:val="continue"/>
          </w:tcPr>
          <w:p>
            <w:pPr>
              <w:spacing w:after="0"/>
              <w:rPr>
                <w:sz w:val="22"/>
                <w:szCs w:val="22"/>
                <w:color w:val="auto"/>
              </w:rPr>
            </w:pPr>
          </w:p>
        </w:tc>
        <w:tc>
          <w:tcPr>
            <w:tcW w:w="340" w:type="dxa"/>
            <w:vAlign w:val="bottom"/>
            <w:tcBorders>
              <w:bottom w:val="single" w:sz="8" w:color="838383"/>
            </w:tcBorders>
            <w:vMerge w:val="continue"/>
          </w:tcPr>
          <w:p>
            <w:pPr>
              <w:spacing w:after="0"/>
              <w:rPr>
                <w:sz w:val="22"/>
                <w:szCs w:val="22"/>
                <w:color w:val="auto"/>
              </w:rPr>
            </w:pPr>
          </w:p>
        </w:tc>
        <w:tc>
          <w:tcPr>
            <w:tcW w:w="660" w:type="dxa"/>
            <w:vAlign w:val="bottom"/>
            <w:tcBorders>
              <w:bottom w:val="single" w:sz="8" w:color="838383"/>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262626"/>
              </w:rPr>
              <w:t>Earnings Per Share</w:t>
            </w:r>
          </w:p>
        </w:tc>
        <w:tc>
          <w:tcPr>
            <w:tcW w:w="4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262626"/>
              </w:rPr>
              <w:t>$</w:t>
            </w: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262626"/>
              </w:rPr>
              <w:t>0.37</w:t>
            </w: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262626"/>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0.46</w:t>
            </w: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262626"/>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0.31</w:t>
            </w:r>
          </w:p>
        </w:tc>
        <w:tc>
          <w:tcPr>
            <w:tcW w:w="3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262626"/>
              </w:rPr>
              <w:t>$</w:t>
            </w: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262626"/>
              </w:rPr>
              <w:t>0.36</w:t>
            </w: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262626"/>
              </w:rPr>
              <w:t>$</w:t>
            </w: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262626"/>
              </w:rPr>
              <w:t>0.31</w:t>
            </w:r>
          </w:p>
        </w:tc>
        <w:tc>
          <w:tcPr>
            <w:tcW w:w="3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262626"/>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0.32</w:t>
            </w: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262626"/>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0.37</w:t>
            </w:r>
          </w:p>
        </w:tc>
        <w:tc>
          <w:tcPr>
            <w:tcW w:w="3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262626"/>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0.36</w:t>
            </w:r>
          </w:p>
        </w:tc>
        <w:tc>
          <w:tcPr>
            <w:tcW w:w="0" w:type="dxa"/>
            <w:vAlign w:val="bottom"/>
          </w:tcPr>
          <w:p>
            <w:pPr>
              <w:spacing w:after="0"/>
              <w:rPr>
                <w:sz w:val="1"/>
                <w:szCs w:val="1"/>
                <w:color w:val="auto"/>
              </w:rPr>
            </w:pPr>
          </w:p>
        </w:tc>
      </w:tr>
      <w:tr>
        <w:trPr>
          <w:trHeight w:val="31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262626"/>
              </w:rPr>
              <w:t>(Diluted)</w:t>
            </w:r>
            <w:r>
              <w:rPr>
                <w:rFonts w:ascii="Times New Roman" w:cs="Times New Roman" w:eastAsia="Times New Roman" w:hAnsi="Times New Roman"/>
                <w:sz w:val="20"/>
                <w:szCs w:val="20"/>
                <w:color w:val="262626"/>
                <w:vertAlign w:val="superscript"/>
              </w:rPr>
              <w:t>(1)</w:t>
            </w:r>
          </w:p>
        </w:tc>
        <w:tc>
          <w:tcPr>
            <w:tcW w:w="44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00" w:right="240" w:hanging="180"/>
        <w:spacing w:after="0" w:line="343" w:lineRule="auto"/>
        <w:tabs>
          <w:tab w:leader="none" w:pos="500" w:val="left"/>
        </w:tabs>
        <w:numPr>
          <w:ilvl w:val="0"/>
          <w:numId w:val="25"/>
        </w:numPr>
        <w:rPr>
          <w:rFonts w:ascii="Times New Roman" w:cs="Times New Roman" w:eastAsia="Times New Roman" w:hAnsi="Times New Roman"/>
          <w:sz w:val="16"/>
          <w:szCs w:val="16"/>
          <w:color w:val="838383"/>
          <w:vertAlign w:val="superscript"/>
        </w:rPr>
      </w:pPr>
      <w:r>
        <w:rPr>
          <w:rFonts w:ascii="Times New Roman" w:cs="Times New Roman" w:eastAsia="Times New Roman" w:hAnsi="Times New Roman"/>
          <w:sz w:val="14"/>
          <w:szCs w:val="14"/>
          <w:color w:val="838383"/>
        </w:rPr>
        <w:t>Basic and diluted earnings per share are computed independently for each quarter presented. Therefore the sum of quarterly basic and diluted per share information may not equal annual basis and diluted earnings per share.</w:t>
      </w:r>
    </w:p>
    <w:p>
      <w:pPr>
        <w:spacing w:after="0" w:line="27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838383"/>
        </w:rPr>
        <w:t>( 9 )  C O M P R E H E N S I V E  I N C O M E</w:t>
      </w:r>
    </w:p>
    <w:p>
      <w:pPr>
        <w:spacing w:after="0" w:line="176" w:lineRule="exact"/>
        <w:rPr>
          <w:sz w:val="20"/>
          <w:szCs w:val="20"/>
          <w:color w:val="auto"/>
        </w:rPr>
      </w:pPr>
    </w:p>
    <w:p>
      <w:pPr>
        <w:ind w:left="320" w:right="20"/>
        <w:spacing w:after="0" w:line="381" w:lineRule="auto"/>
        <w:rPr>
          <w:sz w:val="20"/>
          <w:szCs w:val="20"/>
          <w:color w:val="auto"/>
        </w:rPr>
      </w:pPr>
      <w:r>
        <w:rPr>
          <w:rFonts w:ascii="Times New Roman" w:cs="Times New Roman" w:eastAsia="Times New Roman" w:hAnsi="Times New Roman"/>
          <w:sz w:val="18"/>
          <w:szCs w:val="18"/>
          <w:color w:val="262626"/>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investments and foreign currency translation adjustments.</w:t>
      </w:r>
    </w:p>
    <w:p>
      <w:pPr>
        <w:spacing w:after="0" w:line="82" w:lineRule="exact"/>
        <w:rPr>
          <w:sz w:val="20"/>
          <w:szCs w:val="20"/>
          <w:color w:val="auto"/>
        </w:rPr>
      </w:pPr>
    </w:p>
    <w:tbl>
      <w:tblPr>
        <w:tblLayout w:type="fixed"/>
        <w:tblInd w:w="320" w:type="dxa"/>
        <w:tblCellMar>
          <w:top w:w="0" w:type="dxa"/>
          <w:left w:w="0" w:type="dxa"/>
          <w:bottom w:w="0" w:type="dxa"/>
          <w:right w:w="0" w:type="dxa"/>
        </w:tblCellMar>
      </w:tblPr>
      <w:tr>
        <w:trPr>
          <w:trHeight w:val="304"/>
        </w:trPr>
        <w:tc>
          <w:tcPr>
            <w:tcW w:w="4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262626"/>
              </w:rPr>
              <w:t>For the Years ended December 31,</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2022</w:t>
            </w:r>
          </w:p>
        </w:tc>
        <w:tc>
          <w:tcPr>
            <w:tcW w:w="62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2021</w:t>
            </w:r>
          </w:p>
        </w:tc>
        <w:tc>
          <w:tcPr>
            <w:tcW w:w="6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262626"/>
              </w:rPr>
              <w:t>2020</w:t>
            </w:r>
          </w:p>
        </w:tc>
        <w:tc>
          <w:tcPr>
            <w:tcW w:w="0" w:type="dxa"/>
            <w:vAlign w:val="bottom"/>
          </w:tcPr>
          <w:p>
            <w:pPr>
              <w:spacing w:after="0"/>
              <w:rPr>
                <w:sz w:val="1"/>
                <w:szCs w:val="1"/>
                <w:color w:val="auto"/>
              </w:rPr>
            </w:pPr>
          </w:p>
        </w:tc>
      </w:tr>
      <w:tr>
        <w:trPr>
          <w:trHeight w:val="343"/>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Foreign currency translation adjustments:</w:t>
            </w:r>
          </w:p>
        </w:tc>
        <w:tc>
          <w:tcPr>
            <w:tcW w:w="48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spacing w:after="0"/>
              <w:rPr>
                <w:sz w:val="24"/>
                <w:szCs w:val="24"/>
                <w:color w:val="auto"/>
              </w:rPr>
            </w:pPr>
          </w:p>
        </w:tc>
        <w:tc>
          <w:tcPr>
            <w:tcW w:w="620" w:type="dxa"/>
            <w:vAlign w:val="bottom"/>
            <w:tcBorders>
              <w:bottom w:val="single" w:sz="8" w:color="838383"/>
            </w:tcBorders>
          </w:tcPr>
          <w:p>
            <w:pPr>
              <w:spacing w:after="0"/>
              <w:rPr>
                <w:sz w:val="24"/>
                <w:szCs w:val="24"/>
                <w:color w:val="auto"/>
              </w:rPr>
            </w:pPr>
          </w:p>
        </w:tc>
        <w:tc>
          <w:tcPr>
            <w:tcW w:w="1360" w:type="dxa"/>
            <w:vAlign w:val="bottom"/>
            <w:tcBorders>
              <w:bottom w:val="single" w:sz="8" w:color="838383"/>
            </w:tcBorders>
          </w:tcPr>
          <w:p>
            <w:pPr>
              <w:spacing w:after="0"/>
              <w:rPr>
                <w:sz w:val="24"/>
                <w:szCs w:val="24"/>
                <w:color w:val="auto"/>
              </w:rPr>
            </w:pPr>
          </w:p>
        </w:tc>
        <w:tc>
          <w:tcPr>
            <w:tcW w:w="680" w:type="dxa"/>
            <w:vAlign w:val="bottom"/>
            <w:tcBorders>
              <w:bottom w:val="single" w:sz="8" w:color="838383"/>
            </w:tcBorders>
          </w:tcPr>
          <w:p>
            <w:pPr>
              <w:spacing w:after="0"/>
              <w:rPr>
                <w:sz w:val="24"/>
                <w:szCs w:val="24"/>
                <w:color w:val="auto"/>
              </w:rPr>
            </w:pPr>
          </w:p>
        </w:tc>
        <w:tc>
          <w:tcPr>
            <w:tcW w:w="1200" w:type="dxa"/>
            <w:vAlign w:val="bottom"/>
            <w:tcBorders>
              <w:bottom w:val="single" w:sz="8" w:color="838383"/>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Balance at beginning of period</w:t>
            </w:r>
          </w:p>
        </w:tc>
        <w:tc>
          <w:tcPr>
            <w:tcW w:w="480" w:type="dxa"/>
            <w:vAlign w:val="bottom"/>
            <w:tcBorders>
              <w:bottom w:val="single" w:sz="8" w:color="838383"/>
            </w:tcBorders>
          </w:tcPr>
          <w:p>
            <w:pPr>
              <w:jc w:val="right"/>
              <w:ind w:right="290"/>
              <w:spacing w:after="0"/>
              <w:rPr>
                <w:sz w:val="20"/>
                <w:szCs w:val="20"/>
                <w:color w:val="auto"/>
              </w:rPr>
            </w:pPr>
            <w:r>
              <w:rPr>
                <w:rFonts w:ascii="Times New Roman" w:cs="Times New Roman" w:eastAsia="Times New Roman" w:hAnsi="Times New Roman"/>
                <w:sz w:val="18"/>
                <w:szCs w:val="18"/>
                <w:color w:val="262626"/>
                <w:w w:val="88"/>
              </w:rPr>
              <w:t>$</w:t>
            </w:r>
          </w:p>
        </w:tc>
        <w:tc>
          <w:tcPr>
            <w:tcW w:w="14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920,589</w:t>
            </w:r>
          </w:p>
        </w:tc>
        <w:tc>
          <w:tcPr>
            <w:tcW w:w="620" w:type="dxa"/>
            <w:vAlign w:val="bottom"/>
            <w:tcBorders>
              <w:bottom w:val="single" w:sz="8" w:color="838383"/>
            </w:tcBorders>
          </w:tcPr>
          <w:p>
            <w:pPr>
              <w:jc w:val="right"/>
              <w:ind w:right="350"/>
              <w:spacing w:after="0"/>
              <w:rPr>
                <w:sz w:val="20"/>
                <w:szCs w:val="20"/>
                <w:color w:val="auto"/>
              </w:rPr>
            </w:pPr>
            <w:r>
              <w:rPr>
                <w:rFonts w:ascii="Times New Roman" w:cs="Times New Roman" w:eastAsia="Times New Roman" w:hAnsi="Times New Roman"/>
                <w:sz w:val="18"/>
                <w:szCs w:val="18"/>
                <w:color w:val="262626"/>
              </w:rPr>
              <w:t>$</w:t>
            </w:r>
          </w:p>
        </w:tc>
        <w:tc>
          <w:tcPr>
            <w:tcW w:w="13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769,045</w:t>
            </w:r>
          </w:p>
        </w:tc>
        <w:tc>
          <w:tcPr>
            <w:tcW w:w="680" w:type="dxa"/>
            <w:vAlign w:val="bottom"/>
            <w:tcBorders>
              <w:bottom w:val="single" w:sz="8" w:color="838383"/>
            </w:tcBorders>
          </w:tcPr>
          <w:p>
            <w:pPr>
              <w:jc w:val="right"/>
              <w:ind w:right="410"/>
              <w:spacing w:after="0"/>
              <w:rPr>
                <w:sz w:val="20"/>
                <w:szCs w:val="20"/>
                <w:color w:val="auto"/>
              </w:rPr>
            </w:pPr>
            <w:r>
              <w:rPr>
                <w:rFonts w:ascii="Times New Roman" w:cs="Times New Roman" w:eastAsia="Times New Roman" w:hAnsi="Times New Roman"/>
                <w:sz w:val="18"/>
                <w:szCs w:val="18"/>
                <w:color w:val="262626"/>
              </w:rPr>
              <w:t>$</w:t>
            </w:r>
          </w:p>
        </w:tc>
        <w:tc>
          <w:tcPr>
            <w:tcW w:w="12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(2,384,589)</w:t>
            </w:r>
          </w:p>
        </w:tc>
        <w:tc>
          <w:tcPr>
            <w:tcW w:w="0" w:type="dxa"/>
            <w:vAlign w:val="bottom"/>
          </w:tcPr>
          <w:p>
            <w:pPr>
              <w:spacing w:after="0"/>
              <w:rPr>
                <w:sz w:val="1"/>
                <w:szCs w:val="1"/>
                <w:color w:val="auto"/>
              </w:rPr>
            </w:pPr>
          </w:p>
        </w:tc>
      </w:tr>
      <w:tr>
        <w:trPr>
          <w:trHeight w:val="355"/>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Other comprehensive income (loss) before reclassifications</w:t>
            </w:r>
          </w:p>
        </w:tc>
        <w:tc>
          <w:tcPr>
            <w:tcW w:w="480" w:type="dxa"/>
            <w:vAlign w:val="bottom"/>
            <w:tcBorders>
              <w:bottom w:val="single" w:sz="8" w:color="8F8F8F"/>
            </w:tcBorders>
          </w:tcPr>
          <w:p>
            <w:pPr>
              <w:spacing w:after="0"/>
              <w:rPr>
                <w:sz w:val="24"/>
                <w:szCs w:val="24"/>
                <w:color w:val="auto"/>
              </w:rPr>
            </w:pPr>
          </w:p>
        </w:tc>
        <w:tc>
          <w:tcPr>
            <w:tcW w:w="142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(4,952,828)</w:t>
            </w:r>
          </w:p>
        </w:tc>
        <w:tc>
          <w:tcPr>
            <w:tcW w:w="620" w:type="dxa"/>
            <w:vAlign w:val="bottom"/>
            <w:tcBorders>
              <w:bottom w:val="single" w:sz="8" w:color="8F8F8F"/>
            </w:tcBorders>
          </w:tcPr>
          <w:p>
            <w:pPr>
              <w:spacing w:after="0"/>
              <w:rPr>
                <w:sz w:val="24"/>
                <w:szCs w:val="24"/>
                <w:color w:val="auto"/>
              </w:rPr>
            </w:pPr>
          </w:p>
        </w:tc>
        <w:tc>
          <w:tcPr>
            <w:tcW w:w="13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151,544</w:t>
            </w:r>
          </w:p>
        </w:tc>
        <w:tc>
          <w:tcPr>
            <w:tcW w:w="680" w:type="dxa"/>
            <w:vAlign w:val="bottom"/>
            <w:tcBorders>
              <w:bottom w:val="single" w:sz="8" w:color="8F8F8F"/>
            </w:tcBorders>
          </w:tcPr>
          <w:p>
            <w:pPr>
              <w:spacing w:after="0"/>
              <w:rPr>
                <w:sz w:val="24"/>
                <w:szCs w:val="24"/>
                <w:color w:val="auto"/>
              </w:rPr>
            </w:pPr>
          </w:p>
        </w:tc>
        <w:tc>
          <w:tcPr>
            <w:tcW w:w="12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3,153,634</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Net current-period change</w:t>
            </w:r>
          </w:p>
        </w:tc>
        <w:tc>
          <w:tcPr>
            <w:tcW w:w="480" w:type="dxa"/>
            <w:vAlign w:val="bottom"/>
            <w:tcBorders>
              <w:bottom w:val="single" w:sz="8" w:color="8F8F8F"/>
            </w:tcBorders>
          </w:tcPr>
          <w:p>
            <w:pPr>
              <w:spacing w:after="0"/>
              <w:rPr>
                <w:sz w:val="24"/>
                <w:szCs w:val="24"/>
                <w:color w:val="auto"/>
              </w:rPr>
            </w:pPr>
          </w:p>
        </w:tc>
        <w:tc>
          <w:tcPr>
            <w:tcW w:w="142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(4,952,828)</w:t>
            </w:r>
          </w:p>
        </w:tc>
        <w:tc>
          <w:tcPr>
            <w:tcW w:w="620" w:type="dxa"/>
            <w:vAlign w:val="bottom"/>
            <w:tcBorders>
              <w:bottom w:val="single" w:sz="8" w:color="8F8F8F"/>
            </w:tcBorders>
          </w:tcPr>
          <w:p>
            <w:pPr>
              <w:spacing w:after="0"/>
              <w:rPr>
                <w:sz w:val="24"/>
                <w:szCs w:val="24"/>
                <w:color w:val="auto"/>
              </w:rPr>
            </w:pPr>
          </w:p>
        </w:tc>
        <w:tc>
          <w:tcPr>
            <w:tcW w:w="13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151,544</w:t>
            </w:r>
          </w:p>
        </w:tc>
        <w:tc>
          <w:tcPr>
            <w:tcW w:w="680" w:type="dxa"/>
            <w:vAlign w:val="bottom"/>
            <w:tcBorders>
              <w:bottom w:val="single" w:sz="8" w:color="8F8F8F"/>
            </w:tcBorders>
          </w:tcPr>
          <w:p>
            <w:pPr>
              <w:spacing w:after="0"/>
              <w:rPr>
                <w:sz w:val="24"/>
                <w:szCs w:val="24"/>
                <w:color w:val="auto"/>
              </w:rPr>
            </w:pPr>
          </w:p>
        </w:tc>
        <w:tc>
          <w:tcPr>
            <w:tcW w:w="12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3,153,634</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Balance at end of period</w:t>
            </w:r>
          </w:p>
        </w:tc>
        <w:tc>
          <w:tcPr>
            <w:tcW w:w="480" w:type="dxa"/>
            <w:vAlign w:val="bottom"/>
            <w:tcBorders>
              <w:bottom w:val="single" w:sz="8" w:color="8F8F8F"/>
            </w:tcBorders>
          </w:tcPr>
          <w:p>
            <w:pPr>
              <w:spacing w:after="0"/>
              <w:rPr>
                <w:sz w:val="24"/>
                <w:szCs w:val="24"/>
                <w:color w:val="auto"/>
              </w:rPr>
            </w:pPr>
          </w:p>
        </w:tc>
        <w:tc>
          <w:tcPr>
            <w:tcW w:w="142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(4,032,239)</w:t>
            </w:r>
          </w:p>
        </w:tc>
        <w:tc>
          <w:tcPr>
            <w:tcW w:w="620" w:type="dxa"/>
            <w:vAlign w:val="bottom"/>
            <w:tcBorders>
              <w:bottom w:val="single" w:sz="8" w:color="8F8F8F"/>
            </w:tcBorders>
          </w:tcPr>
          <w:p>
            <w:pPr>
              <w:spacing w:after="0"/>
              <w:rPr>
                <w:sz w:val="24"/>
                <w:szCs w:val="24"/>
                <w:color w:val="auto"/>
              </w:rPr>
            </w:pPr>
          </w:p>
        </w:tc>
        <w:tc>
          <w:tcPr>
            <w:tcW w:w="13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920,589</w:t>
            </w:r>
          </w:p>
        </w:tc>
        <w:tc>
          <w:tcPr>
            <w:tcW w:w="680" w:type="dxa"/>
            <w:vAlign w:val="bottom"/>
            <w:tcBorders>
              <w:bottom w:val="single" w:sz="8" w:color="8F8F8F"/>
            </w:tcBorders>
          </w:tcPr>
          <w:p>
            <w:pPr>
              <w:spacing w:after="0"/>
              <w:rPr>
                <w:sz w:val="24"/>
                <w:szCs w:val="24"/>
                <w:color w:val="auto"/>
              </w:rPr>
            </w:pPr>
          </w:p>
        </w:tc>
        <w:tc>
          <w:tcPr>
            <w:tcW w:w="12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769,045</w:t>
            </w:r>
          </w:p>
        </w:tc>
        <w:tc>
          <w:tcPr>
            <w:tcW w:w="0" w:type="dxa"/>
            <w:vAlign w:val="bottom"/>
          </w:tcPr>
          <w:p>
            <w:pPr>
              <w:spacing w:after="0"/>
              <w:rPr>
                <w:sz w:val="1"/>
                <w:szCs w:val="1"/>
                <w:color w:val="auto"/>
              </w:rPr>
            </w:pPr>
          </w:p>
        </w:tc>
      </w:tr>
      <w:tr>
        <w:trPr>
          <w:trHeight w:val="325"/>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Unrealized gains (losses) on available-for-sale securities:</w:t>
            </w:r>
          </w:p>
        </w:tc>
        <w:tc>
          <w:tcPr>
            <w:tcW w:w="48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spacing w:after="0"/>
              <w:rPr>
                <w:sz w:val="24"/>
                <w:szCs w:val="24"/>
                <w:color w:val="auto"/>
              </w:rPr>
            </w:pPr>
          </w:p>
        </w:tc>
        <w:tc>
          <w:tcPr>
            <w:tcW w:w="620" w:type="dxa"/>
            <w:vAlign w:val="bottom"/>
            <w:tcBorders>
              <w:bottom w:val="single" w:sz="8" w:color="838383"/>
            </w:tcBorders>
          </w:tcPr>
          <w:p>
            <w:pPr>
              <w:spacing w:after="0"/>
              <w:rPr>
                <w:sz w:val="24"/>
                <w:szCs w:val="24"/>
                <w:color w:val="auto"/>
              </w:rPr>
            </w:pPr>
          </w:p>
        </w:tc>
        <w:tc>
          <w:tcPr>
            <w:tcW w:w="1360" w:type="dxa"/>
            <w:vAlign w:val="bottom"/>
            <w:tcBorders>
              <w:bottom w:val="single" w:sz="8" w:color="838383"/>
            </w:tcBorders>
          </w:tcPr>
          <w:p>
            <w:pPr>
              <w:spacing w:after="0"/>
              <w:rPr>
                <w:sz w:val="24"/>
                <w:szCs w:val="24"/>
                <w:color w:val="auto"/>
              </w:rPr>
            </w:pPr>
          </w:p>
        </w:tc>
        <w:tc>
          <w:tcPr>
            <w:tcW w:w="680" w:type="dxa"/>
            <w:vAlign w:val="bottom"/>
            <w:tcBorders>
              <w:bottom w:val="single" w:sz="8" w:color="838383"/>
            </w:tcBorders>
          </w:tcPr>
          <w:p>
            <w:pPr>
              <w:spacing w:after="0"/>
              <w:rPr>
                <w:sz w:val="24"/>
                <w:szCs w:val="24"/>
                <w:color w:val="auto"/>
              </w:rPr>
            </w:pPr>
          </w:p>
        </w:tc>
        <w:tc>
          <w:tcPr>
            <w:tcW w:w="1200" w:type="dxa"/>
            <w:vAlign w:val="bottom"/>
            <w:tcBorders>
              <w:bottom w:val="single" w:sz="8" w:color="838383"/>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Balance at beginning of period</w:t>
            </w:r>
          </w:p>
        </w:tc>
        <w:tc>
          <w:tcPr>
            <w:tcW w:w="48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1,006,655</w:t>
            </w:r>
          </w:p>
        </w:tc>
        <w:tc>
          <w:tcPr>
            <w:tcW w:w="620" w:type="dxa"/>
            <w:vAlign w:val="bottom"/>
            <w:tcBorders>
              <w:bottom w:val="single" w:sz="8" w:color="838383"/>
            </w:tcBorders>
          </w:tcPr>
          <w:p>
            <w:pPr>
              <w:spacing w:after="0"/>
              <w:rPr>
                <w:sz w:val="24"/>
                <w:szCs w:val="24"/>
                <w:color w:val="auto"/>
              </w:rPr>
            </w:pPr>
          </w:p>
        </w:tc>
        <w:tc>
          <w:tcPr>
            <w:tcW w:w="13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6,082,007</w:t>
            </w:r>
          </w:p>
        </w:tc>
        <w:tc>
          <w:tcPr>
            <w:tcW w:w="680" w:type="dxa"/>
            <w:vAlign w:val="bottom"/>
            <w:tcBorders>
              <w:bottom w:val="single" w:sz="8" w:color="838383"/>
            </w:tcBorders>
          </w:tcPr>
          <w:p>
            <w:pPr>
              <w:spacing w:after="0"/>
              <w:rPr>
                <w:sz w:val="24"/>
                <w:szCs w:val="24"/>
                <w:color w:val="auto"/>
              </w:rPr>
            </w:pPr>
          </w:p>
        </w:tc>
        <w:tc>
          <w:tcPr>
            <w:tcW w:w="12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1,095,486</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Other comprehensive income before reclassifications</w:t>
            </w:r>
          </w:p>
        </w:tc>
        <w:tc>
          <w:tcPr>
            <w:tcW w:w="480" w:type="dxa"/>
            <w:vAlign w:val="bottom"/>
            <w:tcBorders>
              <w:bottom w:val="single" w:sz="8" w:color="838383"/>
            </w:tcBorders>
          </w:tcPr>
          <w:p>
            <w:pPr>
              <w:spacing w:after="0"/>
              <w:rPr>
                <w:sz w:val="24"/>
                <w:szCs w:val="24"/>
                <w:color w:val="auto"/>
              </w:rPr>
            </w:pPr>
          </w:p>
        </w:tc>
        <w:tc>
          <w:tcPr>
            <w:tcW w:w="142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(12,470,515)</w:t>
            </w:r>
          </w:p>
        </w:tc>
        <w:tc>
          <w:tcPr>
            <w:tcW w:w="620" w:type="dxa"/>
            <w:vAlign w:val="bottom"/>
            <w:tcBorders>
              <w:bottom w:val="single" w:sz="8" w:color="838383"/>
            </w:tcBorders>
          </w:tcPr>
          <w:p>
            <w:pPr>
              <w:spacing w:after="0"/>
              <w:rPr>
                <w:sz w:val="24"/>
                <w:szCs w:val="24"/>
                <w:color w:val="auto"/>
              </w:rPr>
            </w:pPr>
          </w:p>
        </w:tc>
        <w:tc>
          <w:tcPr>
            <w:tcW w:w="13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(4,228,434)</w:t>
            </w:r>
          </w:p>
        </w:tc>
        <w:tc>
          <w:tcPr>
            <w:tcW w:w="680" w:type="dxa"/>
            <w:vAlign w:val="bottom"/>
            <w:tcBorders>
              <w:bottom w:val="single" w:sz="8" w:color="838383"/>
            </w:tcBorders>
          </w:tcPr>
          <w:p>
            <w:pPr>
              <w:spacing w:after="0"/>
              <w:rPr>
                <w:sz w:val="24"/>
                <w:szCs w:val="24"/>
                <w:color w:val="auto"/>
              </w:rPr>
            </w:pPr>
          </w:p>
        </w:tc>
        <w:tc>
          <w:tcPr>
            <w:tcW w:w="12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6,644,459</w:t>
            </w:r>
          </w:p>
        </w:tc>
        <w:tc>
          <w:tcPr>
            <w:tcW w:w="0" w:type="dxa"/>
            <w:vAlign w:val="bottom"/>
          </w:tcPr>
          <w:p>
            <w:pPr>
              <w:spacing w:after="0"/>
              <w:rPr>
                <w:sz w:val="1"/>
                <w:szCs w:val="1"/>
                <w:color w:val="auto"/>
              </w:rPr>
            </w:pPr>
          </w:p>
        </w:tc>
      </w:tr>
      <w:tr>
        <w:trPr>
          <w:trHeight w:val="30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262626"/>
              </w:rPr>
              <w:t>Amounts reclassified from accumulated other</w:t>
            </w:r>
          </w:p>
        </w:tc>
        <w:tc>
          <w:tcPr>
            <w:tcW w:w="480" w:type="dxa"/>
            <w:vAlign w:val="bottom"/>
          </w:tcPr>
          <w:p>
            <w:pPr>
              <w:spacing w:after="0"/>
              <w:rPr>
                <w:sz w:val="24"/>
                <w:szCs w:val="24"/>
                <w:color w:val="auto"/>
              </w:rPr>
            </w:pPr>
          </w:p>
        </w:tc>
        <w:tc>
          <w:tcPr>
            <w:tcW w:w="14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262626"/>
              </w:rPr>
              <w:t>1,353,165</w:t>
            </w:r>
          </w:p>
        </w:tc>
        <w:tc>
          <w:tcPr>
            <w:tcW w:w="620" w:type="dxa"/>
            <w:vAlign w:val="bottom"/>
          </w:tcPr>
          <w:p>
            <w:pPr>
              <w:spacing w:after="0"/>
              <w:rPr>
                <w:sz w:val="24"/>
                <w:szCs w:val="24"/>
                <w:color w:val="auto"/>
              </w:rPr>
            </w:pPr>
          </w:p>
        </w:tc>
        <w:tc>
          <w:tcPr>
            <w:tcW w:w="1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262626"/>
              </w:rPr>
              <w:t>(846,918)</w:t>
            </w:r>
          </w:p>
        </w:tc>
        <w:tc>
          <w:tcPr>
            <w:tcW w:w="68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(1,657,938)</w:t>
            </w:r>
          </w:p>
        </w:tc>
        <w:tc>
          <w:tcPr>
            <w:tcW w:w="0" w:type="dxa"/>
            <w:vAlign w:val="bottom"/>
          </w:tcPr>
          <w:p>
            <w:pPr>
              <w:spacing w:after="0"/>
              <w:rPr>
                <w:sz w:val="1"/>
                <w:szCs w:val="1"/>
                <w:color w:val="auto"/>
              </w:rPr>
            </w:pPr>
          </w:p>
        </w:tc>
      </w:tr>
      <w:tr>
        <w:trPr>
          <w:trHeight w:val="18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262626"/>
              </w:rPr>
              <w:t>comprehensive income</w:t>
            </w:r>
          </w:p>
        </w:tc>
        <w:tc>
          <w:tcPr>
            <w:tcW w:w="4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680" w:type="dxa"/>
            <w:vAlign w:val="bottom"/>
            <w:tcBorders>
              <w:bottom w:val="single" w:sz="8" w:color="838383"/>
            </w:tcBorders>
            <w:vMerge w:val="continue"/>
          </w:tcPr>
          <w:p>
            <w:pPr>
              <w:spacing w:after="0"/>
              <w:rPr>
                <w:sz w:val="12"/>
                <w:szCs w:val="12"/>
                <w:color w:val="auto"/>
              </w:rPr>
            </w:pPr>
          </w:p>
        </w:tc>
        <w:tc>
          <w:tcPr>
            <w:tcW w:w="480" w:type="dxa"/>
            <w:vAlign w:val="bottom"/>
            <w:tcBorders>
              <w:bottom w:val="single" w:sz="8" w:color="8F8F8F"/>
            </w:tcBorders>
          </w:tcPr>
          <w:p>
            <w:pPr>
              <w:spacing w:after="0"/>
              <w:rPr>
                <w:sz w:val="12"/>
                <w:szCs w:val="12"/>
                <w:color w:val="auto"/>
              </w:rPr>
            </w:pPr>
          </w:p>
        </w:tc>
        <w:tc>
          <w:tcPr>
            <w:tcW w:w="1420" w:type="dxa"/>
            <w:vAlign w:val="bottom"/>
            <w:tcBorders>
              <w:bottom w:val="single" w:sz="8" w:color="8F8F8F"/>
            </w:tcBorders>
          </w:tcPr>
          <w:p>
            <w:pPr>
              <w:spacing w:after="0"/>
              <w:rPr>
                <w:sz w:val="12"/>
                <w:szCs w:val="12"/>
                <w:color w:val="auto"/>
              </w:rPr>
            </w:pPr>
          </w:p>
        </w:tc>
        <w:tc>
          <w:tcPr>
            <w:tcW w:w="620" w:type="dxa"/>
            <w:vAlign w:val="bottom"/>
            <w:tcBorders>
              <w:bottom w:val="single" w:sz="8" w:color="8F8F8F"/>
            </w:tcBorders>
          </w:tcPr>
          <w:p>
            <w:pPr>
              <w:spacing w:after="0"/>
              <w:rPr>
                <w:sz w:val="12"/>
                <w:szCs w:val="12"/>
                <w:color w:val="auto"/>
              </w:rPr>
            </w:pPr>
          </w:p>
        </w:tc>
        <w:tc>
          <w:tcPr>
            <w:tcW w:w="1360" w:type="dxa"/>
            <w:vAlign w:val="bottom"/>
            <w:tcBorders>
              <w:bottom w:val="single" w:sz="8" w:color="8F8F8F"/>
            </w:tcBorders>
          </w:tcPr>
          <w:p>
            <w:pPr>
              <w:spacing w:after="0"/>
              <w:rPr>
                <w:sz w:val="12"/>
                <w:szCs w:val="12"/>
                <w:color w:val="auto"/>
              </w:rPr>
            </w:pPr>
          </w:p>
        </w:tc>
        <w:tc>
          <w:tcPr>
            <w:tcW w:w="680" w:type="dxa"/>
            <w:vAlign w:val="bottom"/>
            <w:tcBorders>
              <w:bottom w:val="single" w:sz="8" w:color="8F8F8F"/>
            </w:tcBorders>
          </w:tcPr>
          <w:p>
            <w:pPr>
              <w:spacing w:after="0"/>
              <w:rPr>
                <w:sz w:val="12"/>
                <w:szCs w:val="12"/>
                <w:color w:val="auto"/>
              </w:rPr>
            </w:pPr>
          </w:p>
        </w:tc>
        <w:tc>
          <w:tcPr>
            <w:tcW w:w="1200" w:type="dxa"/>
            <w:vAlign w:val="bottom"/>
            <w:tcBorders>
              <w:bottom w:val="single" w:sz="8" w:color="8F8F8F"/>
            </w:tcBorders>
          </w:tcPr>
          <w:p>
            <w:pPr>
              <w:spacing w:after="0"/>
              <w:rPr>
                <w:sz w:val="12"/>
                <w:szCs w:val="12"/>
                <w:color w:val="auto"/>
              </w:rPr>
            </w:pPr>
          </w:p>
        </w:tc>
        <w:tc>
          <w:tcPr>
            <w:tcW w:w="0" w:type="dxa"/>
            <w:vAlign w:val="bottom"/>
          </w:tcPr>
          <w:p>
            <w:pPr>
              <w:spacing w:after="0"/>
              <w:rPr>
                <w:sz w:val="1"/>
                <w:szCs w:val="1"/>
                <w:color w:val="auto"/>
              </w:rPr>
            </w:pPr>
          </w:p>
        </w:tc>
      </w:tr>
      <w:tr>
        <w:trPr>
          <w:trHeight w:val="340"/>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Net current-period change</w:t>
            </w:r>
          </w:p>
        </w:tc>
        <w:tc>
          <w:tcPr>
            <w:tcW w:w="480" w:type="dxa"/>
            <w:vAlign w:val="bottom"/>
            <w:tcBorders>
              <w:bottom w:val="single" w:sz="8" w:color="8F8F8F"/>
            </w:tcBorders>
          </w:tcPr>
          <w:p>
            <w:pPr>
              <w:spacing w:after="0"/>
              <w:rPr>
                <w:sz w:val="24"/>
                <w:szCs w:val="24"/>
                <w:color w:val="auto"/>
              </w:rPr>
            </w:pPr>
          </w:p>
        </w:tc>
        <w:tc>
          <w:tcPr>
            <w:tcW w:w="142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(11,117,350)</w:t>
            </w:r>
          </w:p>
        </w:tc>
        <w:tc>
          <w:tcPr>
            <w:tcW w:w="620" w:type="dxa"/>
            <w:vAlign w:val="bottom"/>
            <w:tcBorders>
              <w:bottom w:val="single" w:sz="8" w:color="8F8F8F"/>
            </w:tcBorders>
          </w:tcPr>
          <w:p>
            <w:pPr>
              <w:spacing w:after="0"/>
              <w:rPr>
                <w:sz w:val="24"/>
                <w:szCs w:val="24"/>
                <w:color w:val="auto"/>
              </w:rPr>
            </w:pPr>
          </w:p>
        </w:tc>
        <w:tc>
          <w:tcPr>
            <w:tcW w:w="13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(5,075,352)</w:t>
            </w:r>
          </w:p>
        </w:tc>
        <w:tc>
          <w:tcPr>
            <w:tcW w:w="680" w:type="dxa"/>
            <w:vAlign w:val="bottom"/>
            <w:tcBorders>
              <w:bottom w:val="single" w:sz="8" w:color="8F8F8F"/>
            </w:tcBorders>
          </w:tcPr>
          <w:p>
            <w:pPr>
              <w:spacing w:after="0"/>
              <w:rPr>
                <w:sz w:val="24"/>
                <w:szCs w:val="24"/>
                <w:color w:val="auto"/>
              </w:rPr>
            </w:pPr>
          </w:p>
        </w:tc>
        <w:tc>
          <w:tcPr>
            <w:tcW w:w="12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4,986,521</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Balance at end of period</w:t>
            </w:r>
          </w:p>
        </w:tc>
        <w:tc>
          <w:tcPr>
            <w:tcW w:w="480" w:type="dxa"/>
            <w:vAlign w:val="bottom"/>
            <w:tcBorders>
              <w:bottom w:val="single" w:sz="8" w:color="8F8F8F"/>
            </w:tcBorders>
          </w:tcPr>
          <w:p>
            <w:pPr>
              <w:spacing w:after="0"/>
              <w:rPr>
                <w:sz w:val="24"/>
                <w:szCs w:val="24"/>
                <w:color w:val="auto"/>
              </w:rPr>
            </w:pPr>
          </w:p>
        </w:tc>
        <w:tc>
          <w:tcPr>
            <w:tcW w:w="142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(10,110,695)</w:t>
            </w:r>
          </w:p>
        </w:tc>
        <w:tc>
          <w:tcPr>
            <w:tcW w:w="620" w:type="dxa"/>
            <w:vAlign w:val="bottom"/>
            <w:tcBorders>
              <w:bottom w:val="single" w:sz="8" w:color="8F8F8F"/>
            </w:tcBorders>
          </w:tcPr>
          <w:p>
            <w:pPr>
              <w:spacing w:after="0"/>
              <w:rPr>
                <w:sz w:val="24"/>
                <w:szCs w:val="24"/>
                <w:color w:val="auto"/>
              </w:rPr>
            </w:pPr>
          </w:p>
        </w:tc>
        <w:tc>
          <w:tcPr>
            <w:tcW w:w="13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1,006,655</w:t>
            </w:r>
          </w:p>
        </w:tc>
        <w:tc>
          <w:tcPr>
            <w:tcW w:w="680" w:type="dxa"/>
            <w:vAlign w:val="bottom"/>
            <w:tcBorders>
              <w:bottom w:val="single" w:sz="8" w:color="8F8F8F"/>
            </w:tcBorders>
          </w:tcPr>
          <w:p>
            <w:pPr>
              <w:spacing w:after="0"/>
              <w:rPr>
                <w:sz w:val="24"/>
                <w:szCs w:val="24"/>
                <w:color w:val="auto"/>
              </w:rPr>
            </w:pPr>
          </w:p>
        </w:tc>
        <w:tc>
          <w:tcPr>
            <w:tcW w:w="12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6,082,007</w:t>
            </w:r>
          </w:p>
        </w:tc>
        <w:tc>
          <w:tcPr>
            <w:tcW w:w="0" w:type="dxa"/>
            <w:vAlign w:val="bottom"/>
          </w:tcPr>
          <w:p>
            <w:pPr>
              <w:spacing w:after="0"/>
              <w:rPr>
                <w:sz w:val="1"/>
                <w:szCs w:val="1"/>
                <w:color w:val="auto"/>
              </w:rPr>
            </w:pPr>
          </w:p>
        </w:tc>
      </w:tr>
      <w:tr>
        <w:trPr>
          <w:trHeight w:val="330"/>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Accumulated other comprehensive (loss) income, end of period</w:t>
            </w:r>
          </w:p>
        </w:tc>
        <w:tc>
          <w:tcPr>
            <w:tcW w:w="480" w:type="dxa"/>
            <w:vAlign w:val="bottom"/>
            <w:tcBorders>
              <w:bottom w:val="single" w:sz="8" w:color="8F8F8F"/>
            </w:tcBorders>
          </w:tcPr>
          <w:p>
            <w:pPr>
              <w:jc w:val="right"/>
              <w:ind w:right="290"/>
              <w:spacing w:after="0"/>
              <w:rPr>
                <w:sz w:val="20"/>
                <w:szCs w:val="20"/>
                <w:color w:val="auto"/>
              </w:rPr>
            </w:pPr>
            <w:r>
              <w:rPr>
                <w:rFonts w:ascii="Times New Roman" w:cs="Times New Roman" w:eastAsia="Times New Roman" w:hAnsi="Times New Roman"/>
                <w:sz w:val="18"/>
                <w:szCs w:val="18"/>
                <w:color w:val="262626"/>
                <w:w w:val="88"/>
              </w:rPr>
              <w:t>$</w:t>
            </w:r>
          </w:p>
        </w:tc>
        <w:tc>
          <w:tcPr>
            <w:tcW w:w="142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(14,142,934)</w:t>
            </w:r>
          </w:p>
        </w:tc>
        <w:tc>
          <w:tcPr>
            <w:tcW w:w="620" w:type="dxa"/>
            <w:vAlign w:val="bottom"/>
            <w:tcBorders>
              <w:bottom w:val="single" w:sz="8" w:color="8F8F8F"/>
            </w:tcBorders>
          </w:tcPr>
          <w:p>
            <w:pPr>
              <w:jc w:val="right"/>
              <w:ind w:right="350"/>
              <w:spacing w:after="0"/>
              <w:rPr>
                <w:sz w:val="20"/>
                <w:szCs w:val="20"/>
                <w:color w:val="auto"/>
              </w:rPr>
            </w:pPr>
            <w:r>
              <w:rPr>
                <w:rFonts w:ascii="Times New Roman" w:cs="Times New Roman" w:eastAsia="Times New Roman" w:hAnsi="Times New Roman"/>
                <w:sz w:val="18"/>
                <w:szCs w:val="18"/>
                <w:color w:val="262626"/>
              </w:rPr>
              <w:t>$</w:t>
            </w:r>
          </w:p>
        </w:tc>
        <w:tc>
          <w:tcPr>
            <w:tcW w:w="13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1,927,244</w:t>
            </w:r>
          </w:p>
        </w:tc>
        <w:tc>
          <w:tcPr>
            <w:tcW w:w="680" w:type="dxa"/>
            <w:vAlign w:val="bottom"/>
            <w:tcBorders>
              <w:bottom w:val="single" w:sz="8" w:color="8F8F8F"/>
            </w:tcBorders>
          </w:tcPr>
          <w:p>
            <w:pPr>
              <w:jc w:val="right"/>
              <w:ind w:right="410"/>
              <w:spacing w:after="0"/>
              <w:rPr>
                <w:sz w:val="20"/>
                <w:szCs w:val="20"/>
                <w:color w:val="auto"/>
              </w:rPr>
            </w:pPr>
            <w:r>
              <w:rPr>
                <w:rFonts w:ascii="Times New Roman" w:cs="Times New Roman" w:eastAsia="Times New Roman" w:hAnsi="Times New Roman"/>
                <w:sz w:val="18"/>
                <w:szCs w:val="18"/>
                <w:color w:val="262626"/>
              </w:rPr>
              <w:t>$</w:t>
            </w:r>
          </w:p>
        </w:tc>
        <w:tc>
          <w:tcPr>
            <w:tcW w:w="12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6,851,052</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838383"/>
        </w:rPr>
        <w:t>All amounts are shown net of tax. Amounts in parentheses indicate debits.</w:t>
      </w:r>
    </w:p>
    <w:p>
      <w:pPr>
        <w:sectPr>
          <w:pgSz w:w="12240" w:h="15840" w:orient="portrait"/>
          <w:cols w:equalWidth="0" w:num="1">
            <w:col w:w="10760"/>
          </w:cols>
          <w:pgMar w:left="580" w:top="84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84</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60"/>
          </w:cols>
          <w:pgMar w:left="580" w:top="843" w:right="900" w:bottom="0" w:gutter="0" w:footer="0" w:header="0"/>
          <w:type w:val="continuous"/>
        </w:sectPr>
      </w:pPr>
    </w:p>
    <w:bookmarkStart w:id="84" w:name="page85"/>
    <w:bookmarkEnd w:id="84"/>
    <w:p>
      <w:pPr>
        <w:ind w:right="360"/>
        <w:spacing w:after="0" w:line="437" w:lineRule="auto"/>
        <w:rPr>
          <w:sz w:val="20"/>
          <w:szCs w:val="20"/>
          <w:color w:val="auto"/>
        </w:rPr>
      </w:pPr>
      <w:r>
        <w:rPr>
          <w:rFonts w:ascii="Times New Roman" w:cs="Times New Roman" w:eastAsia="Times New Roman" w:hAnsi="Times New Roman"/>
          <w:sz w:val="18"/>
          <w:szCs w:val="18"/>
          <w:color w:val="262626"/>
        </w:rPr>
        <w:t>The following table presents details of reclassifications out of accumulated other comprehensive income for the years ended December 31, 2022, 2021 and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220" w:type="dxa"/>
            <w:vAlign w:val="bottom"/>
          </w:tcPr>
          <w:p>
            <w:pPr>
              <w:spacing w:after="0"/>
              <w:rPr>
                <w:sz w:val="20"/>
                <w:szCs w:val="20"/>
                <w:color w:val="auto"/>
              </w:rPr>
            </w:pPr>
            <w:r>
              <w:rPr>
                <w:rFonts w:ascii="Arial" w:cs="Arial" w:eastAsia="Arial" w:hAnsi="Arial"/>
                <w:sz w:val="18"/>
                <w:szCs w:val="18"/>
                <w:b w:val="1"/>
                <w:bCs w:val="1"/>
                <w:color w:val="262626"/>
              </w:rPr>
              <w:t>Details about Accumulated Other</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262626"/>
              </w:rPr>
              <w:t>For the Years ended December 31,</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b w:val="1"/>
                <w:bCs w:val="1"/>
                <w:color w:val="262626"/>
                <w:w w:val="94"/>
              </w:rPr>
              <w:t>Affected Line item in the Statement</w:t>
            </w:r>
          </w:p>
        </w:tc>
        <w:tc>
          <w:tcPr>
            <w:tcW w:w="0" w:type="dxa"/>
            <w:vAlign w:val="bottom"/>
          </w:tcPr>
          <w:p>
            <w:pPr>
              <w:spacing w:after="0"/>
              <w:rPr>
                <w:sz w:val="1"/>
                <w:szCs w:val="1"/>
                <w:color w:val="auto"/>
              </w:rPr>
            </w:pPr>
          </w:p>
        </w:tc>
      </w:tr>
      <w:tr>
        <w:trPr>
          <w:trHeight w:val="179"/>
        </w:trPr>
        <w:tc>
          <w:tcPr>
            <w:tcW w:w="3220" w:type="dxa"/>
            <w:vAlign w:val="bottom"/>
            <w:vMerge w:val="restart"/>
          </w:tcPr>
          <w:p>
            <w:pPr>
              <w:spacing w:after="0"/>
              <w:rPr>
                <w:sz w:val="20"/>
                <w:szCs w:val="20"/>
                <w:color w:val="auto"/>
              </w:rPr>
            </w:pPr>
            <w:r>
              <w:rPr>
                <w:rFonts w:ascii="Arial" w:cs="Arial" w:eastAsia="Arial" w:hAnsi="Arial"/>
                <w:sz w:val="18"/>
                <w:szCs w:val="18"/>
                <w:b w:val="1"/>
                <w:bCs w:val="1"/>
                <w:color w:val="262626"/>
              </w:rPr>
              <w:t>Comprehensive Income Components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40" w:type="dxa"/>
            <w:vAlign w:val="bottom"/>
            <w:gridSpan w:val="4"/>
            <w:vMerge w:val="continue"/>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40" w:type="dxa"/>
            <w:vAlign w:val="bottom"/>
            <w:vMerge w:val="restart"/>
          </w:tcPr>
          <w:p>
            <w:pPr>
              <w:ind w:left="160"/>
              <w:spacing w:after="0"/>
              <w:rPr>
                <w:sz w:val="20"/>
                <w:szCs w:val="20"/>
                <w:color w:val="auto"/>
              </w:rPr>
            </w:pPr>
            <w:r>
              <w:rPr>
                <w:rFonts w:ascii="Arial" w:cs="Arial" w:eastAsia="Arial" w:hAnsi="Arial"/>
                <w:sz w:val="18"/>
                <w:szCs w:val="18"/>
                <w:b w:val="1"/>
                <w:bCs w:val="1"/>
                <w:color w:val="262626"/>
              </w:rPr>
              <w:t>of Consolidated Income</w:t>
            </w:r>
          </w:p>
        </w:tc>
        <w:tc>
          <w:tcPr>
            <w:tcW w:w="0" w:type="dxa"/>
            <w:vAlign w:val="bottom"/>
          </w:tcPr>
          <w:p>
            <w:pPr>
              <w:spacing w:after="0"/>
              <w:rPr>
                <w:sz w:val="1"/>
                <w:szCs w:val="1"/>
                <w:color w:val="auto"/>
              </w:rPr>
            </w:pPr>
          </w:p>
        </w:tc>
      </w:tr>
      <w:tr>
        <w:trPr>
          <w:trHeight w:val="117"/>
        </w:trPr>
        <w:tc>
          <w:tcPr>
            <w:tcW w:w="32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262626"/>
              </w:rPr>
              <w:t>Unrealized gains on available-for-sale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262626"/>
              </w:rPr>
              <w:t>2022</w:t>
            </w:r>
          </w:p>
        </w:tc>
        <w:tc>
          <w:tcPr>
            <w:tcW w:w="400" w:type="dxa"/>
            <w:vAlign w:val="bottom"/>
          </w:tcPr>
          <w:p>
            <w:pPr>
              <w:spacing w:after="0"/>
              <w:rPr>
                <w:sz w:val="20"/>
                <w:szCs w:val="20"/>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262626"/>
              </w:rPr>
              <w:t>2021</w:t>
            </w:r>
          </w:p>
        </w:tc>
        <w:tc>
          <w:tcPr>
            <w:tcW w:w="600" w:type="dxa"/>
            <w:vAlign w:val="bottom"/>
          </w:tcPr>
          <w:p>
            <w:pPr>
              <w:spacing w:after="0"/>
              <w:rPr>
                <w:sz w:val="20"/>
                <w:szCs w:val="20"/>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262626"/>
              </w:rPr>
              <w:t>2020</w:t>
            </w: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color w:val="262626"/>
              </w:rPr>
              <w:t>debt securities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3220" w:type="dxa"/>
            <w:vAlign w:val="bottom"/>
            <w:tcBorders>
              <w:bottom w:val="single" w:sz="8" w:color="838383"/>
            </w:tcBorders>
            <w:vMerge w:val="continue"/>
          </w:tcPr>
          <w:p>
            <w:pPr>
              <w:spacing w:after="0"/>
              <w:rPr>
                <w:sz w:val="7"/>
                <w:szCs w:val="7"/>
                <w:color w:val="auto"/>
              </w:rPr>
            </w:pPr>
          </w:p>
        </w:tc>
        <w:tc>
          <w:tcPr>
            <w:tcW w:w="20" w:type="dxa"/>
            <w:vAlign w:val="bottom"/>
            <w:tcBorders>
              <w:bottom w:val="single" w:sz="8" w:color="838383"/>
            </w:tcBorders>
          </w:tcPr>
          <w:p>
            <w:pPr>
              <w:spacing w:after="0"/>
              <w:rPr>
                <w:sz w:val="7"/>
                <w:szCs w:val="7"/>
                <w:color w:val="auto"/>
              </w:rPr>
            </w:pPr>
          </w:p>
        </w:tc>
        <w:tc>
          <w:tcPr>
            <w:tcW w:w="240" w:type="dxa"/>
            <w:vAlign w:val="bottom"/>
            <w:tcBorders>
              <w:bottom w:val="single" w:sz="8" w:color="838383"/>
            </w:tcBorders>
          </w:tcPr>
          <w:p>
            <w:pPr>
              <w:spacing w:after="0"/>
              <w:rPr>
                <w:sz w:val="7"/>
                <w:szCs w:val="7"/>
                <w:color w:val="auto"/>
              </w:rPr>
            </w:pPr>
          </w:p>
        </w:tc>
        <w:tc>
          <w:tcPr>
            <w:tcW w:w="1100" w:type="dxa"/>
            <w:vAlign w:val="bottom"/>
            <w:tcBorders>
              <w:bottom w:val="single" w:sz="8" w:color="838383"/>
            </w:tcBorders>
          </w:tcPr>
          <w:p>
            <w:pPr>
              <w:spacing w:after="0"/>
              <w:rPr>
                <w:sz w:val="7"/>
                <w:szCs w:val="7"/>
                <w:color w:val="auto"/>
              </w:rPr>
            </w:pPr>
          </w:p>
        </w:tc>
        <w:tc>
          <w:tcPr>
            <w:tcW w:w="400" w:type="dxa"/>
            <w:vAlign w:val="bottom"/>
            <w:tcBorders>
              <w:bottom w:val="single" w:sz="8" w:color="838383"/>
            </w:tcBorders>
          </w:tcPr>
          <w:p>
            <w:pPr>
              <w:spacing w:after="0"/>
              <w:rPr>
                <w:sz w:val="7"/>
                <w:szCs w:val="7"/>
                <w:color w:val="auto"/>
              </w:rPr>
            </w:pPr>
          </w:p>
        </w:tc>
        <w:tc>
          <w:tcPr>
            <w:tcW w:w="1040" w:type="dxa"/>
            <w:vAlign w:val="bottom"/>
            <w:tcBorders>
              <w:bottom w:val="single" w:sz="8" w:color="838383"/>
            </w:tcBorders>
          </w:tcPr>
          <w:p>
            <w:pPr>
              <w:spacing w:after="0"/>
              <w:rPr>
                <w:sz w:val="7"/>
                <w:szCs w:val="7"/>
                <w:color w:val="auto"/>
              </w:rPr>
            </w:pPr>
          </w:p>
        </w:tc>
        <w:tc>
          <w:tcPr>
            <w:tcW w:w="600" w:type="dxa"/>
            <w:vAlign w:val="bottom"/>
            <w:tcBorders>
              <w:bottom w:val="single" w:sz="8" w:color="838383"/>
            </w:tcBorders>
          </w:tcPr>
          <w:p>
            <w:pPr>
              <w:spacing w:after="0"/>
              <w:rPr>
                <w:sz w:val="7"/>
                <w:szCs w:val="7"/>
                <w:color w:val="auto"/>
              </w:rPr>
            </w:pPr>
          </w:p>
        </w:tc>
        <w:tc>
          <w:tcPr>
            <w:tcW w:w="760" w:type="dxa"/>
            <w:vAlign w:val="bottom"/>
            <w:tcBorders>
              <w:bottom w:val="single" w:sz="8" w:color="838383"/>
            </w:tcBorders>
          </w:tcPr>
          <w:p>
            <w:pPr>
              <w:spacing w:after="0"/>
              <w:rPr>
                <w:sz w:val="7"/>
                <w:szCs w:val="7"/>
                <w:color w:val="auto"/>
              </w:rPr>
            </w:pPr>
          </w:p>
        </w:tc>
        <w:tc>
          <w:tcPr>
            <w:tcW w:w="20" w:type="dxa"/>
            <w:vAlign w:val="bottom"/>
            <w:tcBorders>
              <w:bottom w:val="single" w:sz="8" w:color="838383"/>
            </w:tcBorders>
          </w:tcPr>
          <w:p>
            <w:pPr>
              <w:spacing w:after="0"/>
              <w:rPr>
                <w:sz w:val="7"/>
                <w:szCs w:val="7"/>
                <w:color w:val="auto"/>
              </w:rPr>
            </w:pPr>
          </w:p>
        </w:tc>
        <w:tc>
          <w:tcPr>
            <w:tcW w:w="3040" w:type="dxa"/>
            <w:vAlign w:val="bottom"/>
            <w:tcBorders>
              <w:bottom w:val="single" w:sz="8" w:color="838383"/>
            </w:tcBorders>
          </w:tcPr>
          <w:p>
            <w:pPr>
              <w:spacing w:after="0"/>
              <w:rPr>
                <w:sz w:val="7"/>
                <w:szCs w:val="7"/>
                <w:color w:val="auto"/>
              </w:rPr>
            </w:pPr>
          </w:p>
        </w:tc>
        <w:tc>
          <w:tcPr>
            <w:tcW w:w="0" w:type="dxa"/>
            <w:vAlign w:val="bottom"/>
          </w:tcPr>
          <w:p>
            <w:pPr>
              <w:spacing w:after="0"/>
              <w:rPr>
                <w:sz w:val="1"/>
                <w:szCs w:val="1"/>
                <w:color w:val="auto"/>
              </w:rPr>
            </w:pPr>
          </w:p>
        </w:tc>
      </w:tr>
      <w:tr>
        <w:trPr>
          <w:trHeight w:val="340"/>
        </w:trPr>
        <w:tc>
          <w:tcPr>
            <w:tcW w:w="322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Realized gain on sale of securities</w:t>
            </w:r>
          </w:p>
        </w:tc>
        <w:tc>
          <w:tcPr>
            <w:tcW w:w="260" w:type="dxa"/>
            <w:vAlign w:val="bottom"/>
            <w:tcBorders>
              <w:bottom w:val="single" w:sz="8" w:color="838383"/>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262626"/>
                <w:w w:val="70"/>
              </w:rPr>
              <w:t>$</w:t>
            </w:r>
          </w:p>
        </w:tc>
        <w:tc>
          <w:tcPr>
            <w:tcW w:w="110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(1,712,867)</w:t>
            </w:r>
          </w:p>
        </w:tc>
        <w:tc>
          <w:tcPr>
            <w:tcW w:w="40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w:t>
            </w:r>
          </w:p>
        </w:tc>
        <w:tc>
          <w:tcPr>
            <w:tcW w:w="104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1,072,048</w:t>
            </w:r>
          </w:p>
        </w:tc>
        <w:tc>
          <w:tcPr>
            <w:tcW w:w="600" w:type="dxa"/>
            <w:vAlign w:val="bottom"/>
            <w:tcBorders>
              <w:bottom w:val="single" w:sz="8" w:color="838383"/>
            </w:tcBorders>
          </w:tcPr>
          <w:p>
            <w:pPr>
              <w:jc w:val="right"/>
              <w:ind w:right="330"/>
              <w:spacing w:after="0"/>
              <w:rPr>
                <w:sz w:val="20"/>
                <w:szCs w:val="20"/>
                <w:color w:val="auto"/>
              </w:rPr>
            </w:pPr>
            <w:r>
              <w:rPr>
                <w:rFonts w:ascii="Times New Roman" w:cs="Times New Roman" w:eastAsia="Times New Roman" w:hAnsi="Times New Roman"/>
                <w:sz w:val="18"/>
                <w:szCs w:val="18"/>
                <w:color w:val="262626"/>
              </w:rPr>
              <w:t>$</w:t>
            </w:r>
          </w:p>
        </w:tc>
        <w:tc>
          <w:tcPr>
            <w:tcW w:w="780" w:type="dxa"/>
            <w:vAlign w:val="bottom"/>
            <w:tcBorders>
              <w:bottom w:val="single" w:sz="8" w:color="838383"/>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262626"/>
              </w:rPr>
              <w:t>2,098,656</w:t>
            </w:r>
          </w:p>
        </w:tc>
        <w:tc>
          <w:tcPr>
            <w:tcW w:w="3040" w:type="dxa"/>
            <w:vAlign w:val="bottom"/>
            <w:tcBorders>
              <w:bottom w:val="single" w:sz="8" w:color="838383"/>
            </w:tcBorders>
          </w:tcPr>
          <w:p>
            <w:pPr>
              <w:ind w:left="160"/>
              <w:spacing w:after="0"/>
              <w:rPr>
                <w:sz w:val="20"/>
                <w:szCs w:val="20"/>
                <w:color w:val="auto"/>
              </w:rPr>
            </w:pPr>
            <w:r>
              <w:rPr>
                <w:rFonts w:ascii="Times New Roman" w:cs="Times New Roman" w:eastAsia="Times New Roman" w:hAnsi="Times New Roman"/>
                <w:sz w:val="18"/>
                <w:szCs w:val="18"/>
                <w:color w:val="262626"/>
              </w:rPr>
              <w:t>Other income, net</w:t>
            </w:r>
          </w:p>
        </w:tc>
        <w:tc>
          <w:tcPr>
            <w:tcW w:w="0" w:type="dxa"/>
            <w:vAlign w:val="bottom"/>
          </w:tcPr>
          <w:p>
            <w:pPr>
              <w:spacing w:after="0"/>
              <w:rPr>
                <w:sz w:val="1"/>
                <w:szCs w:val="1"/>
                <w:color w:val="auto"/>
              </w:rPr>
            </w:pPr>
          </w:p>
        </w:tc>
      </w:tr>
      <w:tr>
        <w:trPr>
          <w:trHeight w:val="355"/>
        </w:trPr>
        <w:tc>
          <w:tcPr>
            <w:tcW w:w="322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Provision for income taxes</w:t>
            </w:r>
          </w:p>
        </w:tc>
        <w:tc>
          <w:tcPr>
            <w:tcW w:w="20" w:type="dxa"/>
            <w:vAlign w:val="bottom"/>
            <w:tcBorders>
              <w:bottom w:val="single" w:sz="8" w:color="838383"/>
            </w:tcBorders>
          </w:tcPr>
          <w:p>
            <w:pPr>
              <w:spacing w:after="0"/>
              <w:rPr>
                <w:sz w:val="24"/>
                <w:szCs w:val="24"/>
                <w:color w:val="auto"/>
              </w:rPr>
            </w:pPr>
          </w:p>
        </w:tc>
        <w:tc>
          <w:tcPr>
            <w:tcW w:w="240" w:type="dxa"/>
            <w:vAlign w:val="bottom"/>
            <w:tcBorders>
              <w:bottom w:val="single" w:sz="8" w:color="8F8F8F"/>
            </w:tcBorders>
          </w:tcPr>
          <w:p>
            <w:pPr>
              <w:spacing w:after="0"/>
              <w:rPr>
                <w:sz w:val="24"/>
                <w:szCs w:val="24"/>
                <w:color w:val="auto"/>
              </w:rPr>
            </w:pPr>
          </w:p>
        </w:tc>
        <w:tc>
          <w:tcPr>
            <w:tcW w:w="110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359,702</w:t>
            </w:r>
          </w:p>
        </w:tc>
        <w:tc>
          <w:tcPr>
            <w:tcW w:w="400" w:type="dxa"/>
            <w:vAlign w:val="bottom"/>
            <w:tcBorders>
              <w:bottom w:val="single" w:sz="8" w:color="8F8F8F"/>
            </w:tcBorders>
          </w:tcPr>
          <w:p>
            <w:pPr>
              <w:spacing w:after="0"/>
              <w:rPr>
                <w:sz w:val="24"/>
                <w:szCs w:val="24"/>
                <w:color w:val="auto"/>
              </w:rPr>
            </w:pPr>
          </w:p>
        </w:tc>
        <w:tc>
          <w:tcPr>
            <w:tcW w:w="104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(225,130)</w:t>
            </w:r>
          </w:p>
        </w:tc>
        <w:tc>
          <w:tcPr>
            <w:tcW w:w="600" w:type="dxa"/>
            <w:vAlign w:val="bottom"/>
            <w:tcBorders>
              <w:bottom w:val="single" w:sz="8" w:color="8F8F8F"/>
            </w:tcBorders>
          </w:tcPr>
          <w:p>
            <w:pPr>
              <w:spacing w:after="0"/>
              <w:rPr>
                <w:sz w:val="24"/>
                <w:szCs w:val="24"/>
                <w:color w:val="auto"/>
              </w:rPr>
            </w:pPr>
          </w:p>
        </w:tc>
        <w:tc>
          <w:tcPr>
            <w:tcW w:w="76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(440,718)</w:t>
            </w:r>
          </w:p>
        </w:tc>
        <w:tc>
          <w:tcPr>
            <w:tcW w:w="20" w:type="dxa"/>
            <w:vAlign w:val="bottom"/>
            <w:tcBorders>
              <w:bottom w:val="single" w:sz="8" w:color="838383"/>
            </w:tcBorders>
          </w:tcPr>
          <w:p>
            <w:pPr>
              <w:spacing w:after="0"/>
              <w:rPr>
                <w:sz w:val="24"/>
                <w:szCs w:val="24"/>
                <w:color w:val="auto"/>
              </w:rPr>
            </w:pPr>
          </w:p>
        </w:tc>
        <w:tc>
          <w:tcPr>
            <w:tcW w:w="3040" w:type="dxa"/>
            <w:vAlign w:val="bottom"/>
            <w:tcBorders>
              <w:bottom w:val="single" w:sz="8" w:color="838383"/>
            </w:tcBorders>
          </w:tcPr>
          <w:p>
            <w:pPr>
              <w:ind w:left="160"/>
              <w:spacing w:after="0"/>
              <w:rPr>
                <w:sz w:val="20"/>
                <w:szCs w:val="20"/>
                <w:color w:val="auto"/>
              </w:rPr>
            </w:pPr>
            <w:r>
              <w:rPr>
                <w:rFonts w:ascii="Times New Roman" w:cs="Times New Roman" w:eastAsia="Times New Roman" w:hAnsi="Times New Roman"/>
                <w:sz w:val="18"/>
                <w:szCs w:val="18"/>
                <w:color w:val="262626"/>
              </w:rPr>
              <w:t>Provision for Income Taxes</w:t>
            </w:r>
          </w:p>
        </w:tc>
        <w:tc>
          <w:tcPr>
            <w:tcW w:w="0" w:type="dxa"/>
            <w:vAlign w:val="bottom"/>
          </w:tcPr>
          <w:p>
            <w:pPr>
              <w:spacing w:after="0"/>
              <w:rPr>
                <w:sz w:val="1"/>
                <w:szCs w:val="1"/>
                <w:color w:val="auto"/>
              </w:rPr>
            </w:pPr>
          </w:p>
        </w:tc>
      </w:tr>
      <w:tr>
        <w:trPr>
          <w:trHeight w:val="31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262626"/>
              </w:rPr>
              <w:t>Total reclassifications for the period</w:t>
            </w:r>
          </w:p>
        </w:tc>
        <w:tc>
          <w:tcPr>
            <w:tcW w:w="260" w:type="dxa"/>
            <w:vAlign w:val="bottom"/>
            <w:tcBorders>
              <w:top w:val="single" w:sz="8" w:color="8F8F8F"/>
              <w:bottom w:val="single" w:sz="8" w:color="8F8F8F"/>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262626"/>
                <w:w w:val="70"/>
              </w:rPr>
              <w:t>$</w:t>
            </w:r>
          </w:p>
        </w:tc>
        <w:tc>
          <w:tcPr>
            <w:tcW w:w="1100" w:type="dxa"/>
            <w:vAlign w:val="bottom"/>
            <w:tcBorders>
              <w:top w:val="single" w:sz="8" w:color="8F8F8F"/>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(1,353,165)</w:t>
            </w:r>
          </w:p>
        </w:tc>
        <w:tc>
          <w:tcPr>
            <w:tcW w:w="400" w:type="dxa"/>
            <w:vAlign w:val="bottom"/>
            <w:tcBorders>
              <w:top w:val="single" w:sz="8" w:color="8F8F8F"/>
              <w:bottom w:val="single" w:sz="8" w:color="8F8F8F"/>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w:t>
            </w:r>
          </w:p>
        </w:tc>
        <w:tc>
          <w:tcPr>
            <w:tcW w:w="1040" w:type="dxa"/>
            <w:vAlign w:val="bottom"/>
            <w:tcBorders>
              <w:top w:val="single" w:sz="8" w:color="8F8F8F"/>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846,918</w:t>
            </w:r>
          </w:p>
        </w:tc>
        <w:tc>
          <w:tcPr>
            <w:tcW w:w="600" w:type="dxa"/>
            <w:vAlign w:val="bottom"/>
            <w:tcBorders>
              <w:top w:val="single" w:sz="8" w:color="8F8F8F"/>
              <w:bottom w:val="single" w:sz="8" w:color="8F8F8F"/>
            </w:tcBorders>
          </w:tcPr>
          <w:p>
            <w:pPr>
              <w:jc w:val="right"/>
              <w:ind w:right="330"/>
              <w:spacing w:after="0"/>
              <w:rPr>
                <w:sz w:val="20"/>
                <w:szCs w:val="20"/>
                <w:color w:val="auto"/>
              </w:rPr>
            </w:pPr>
            <w:r>
              <w:rPr>
                <w:rFonts w:ascii="Times New Roman" w:cs="Times New Roman" w:eastAsia="Times New Roman" w:hAnsi="Times New Roman"/>
                <w:sz w:val="18"/>
                <w:szCs w:val="18"/>
                <w:color w:val="262626"/>
              </w:rPr>
              <w:t>$</w:t>
            </w:r>
          </w:p>
        </w:tc>
        <w:tc>
          <w:tcPr>
            <w:tcW w:w="760" w:type="dxa"/>
            <w:vAlign w:val="bottom"/>
            <w:tcBorders>
              <w:top w:val="single" w:sz="8" w:color="8F8F8F"/>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1,657,938</w:t>
            </w:r>
          </w:p>
        </w:tc>
        <w:tc>
          <w:tcPr>
            <w:tcW w:w="20" w:type="dxa"/>
            <w:vAlign w:val="bottom"/>
            <w:tcBorders>
              <w:bottom w:val="single" w:sz="8" w:color="8F8F8F"/>
            </w:tcBorders>
          </w:tcPr>
          <w:p>
            <w:pPr>
              <w:spacing w:after="0"/>
              <w:rPr>
                <w:sz w:val="24"/>
                <w:szCs w:val="24"/>
                <w:color w:val="auto"/>
              </w:rPr>
            </w:pP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262626"/>
              </w:rPr>
              <w:t>Net of tax</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Borders>
              <w:bottom w:val="single" w:sz="8" w:color="8F8F8F"/>
            </w:tcBorders>
          </w:tcPr>
          <w:p>
            <w:pPr>
              <w:spacing w:after="0" w:line="20" w:lineRule="exact"/>
              <w:rPr>
                <w:sz w:val="1"/>
                <w:szCs w:val="1"/>
                <w:color w:val="auto"/>
              </w:rPr>
            </w:pPr>
          </w:p>
        </w:tc>
        <w:tc>
          <w:tcPr>
            <w:tcW w:w="240" w:type="dxa"/>
            <w:vAlign w:val="bottom"/>
            <w:tcBorders>
              <w:bottom w:val="single" w:sz="8" w:color="8F8F8F"/>
            </w:tcBorders>
          </w:tcPr>
          <w:p>
            <w:pPr>
              <w:spacing w:after="0" w:line="20" w:lineRule="exact"/>
              <w:rPr>
                <w:sz w:val="1"/>
                <w:szCs w:val="1"/>
                <w:color w:val="auto"/>
              </w:rPr>
            </w:pPr>
          </w:p>
        </w:tc>
        <w:tc>
          <w:tcPr>
            <w:tcW w:w="1100" w:type="dxa"/>
            <w:vAlign w:val="bottom"/>
            <w:tcBorders>
              <w:bottom w:val="single" w:sz="8" w:color="8F8F8F"/>
            </w:tcBorders>
          </w:tcPr>
          <w:p>
            <w:pPr>
              <w:spacing w:after="0" w:line="20" w:lineRule="exact"/>
              <w:rPr>
                <w:sz w:val="1"/>
                <w:szCs w:val="1"/>
                <w:color w:val="auto"/>
              </w:rPr>
            </w:pPr>
          </w:p>
        </w:tc>
        <w:tc>
          <w:tcPr>
            <w:tcW w:w="400" w:type="dxa"/>
            <w:vAlign w:val="bottom"/>
            <w:tcBorders>
              <w:bottom w:val="single" w:sz="8" w:color="8F8F8F"/>
            </w:tcBorders>
          </w:tcPr>
          <w:p>
            <w:pPr>
              <w:spacing w:after="0" w:line="20" w:lineRule="exact"/>
              <w:rPr>
                <w:sz w:val="1"/>
                <w:szCs w:val="1"/>
                <w:color w:val="auto"/>
              </w:rPr>
            </w:pPr>
          </w:p>
        </w:tc>
        <w:tc>
          <w:tcPr>
            <w:tcW w:w="1040" w:type="dxa"/>
            <w:vAlign w:val="bottom"/>
            <w:tcBorders>
              <w:bottom w:val="single" w:sz="8" w:color="8F8F8F"/>
            </w:tcBorders>
          </w:tcPr>
          <w:p>
            <w:pPr>
              <w:spacing w:after="0" w:line="20" w:lineRule="exact"/>
              <w:rPr>
                <w:sz w:val="1"/>
                <w:szCs w:val="1"/>
                <w:color w:val="auto"/>
              </w:rPr>
            </w:pPr>
          </w:p>
        </w:tc>
        <w:tc>
          <w:tcPr>
            <w:tcW w:w="600" w:type="dxa"/>
            <w:vAlign w:val="bottom"/>
            <w:tcBorders>
              <w:bottom w:val="single" w:sz="8" w:color="8F8F8F"/>
            </w:tcBorders>
          </w:tcPr>
          <w:p>
            <w:pPr>
              <w:spacing w:after="0" w:line="20" w:lineRule="exact"/>
              <w:rPr>
                <w:sz w:val="1"/>
                <w:szCs w:val="1"/>
                <w:color w:val="auto"/>
              </w:rPr>
            </w:pPr>
          </w:p>
        </w:tc>
        <w:tc>
          <w:tcPr>
            <w:tcW w:w="760" w:type="dxa"/>
            <w:vAlign w:val="bottom"/>
            <w:tcBorders>
              <w:bottom w:val="single" w:sz="8" w:color="8F8F8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838383"/>
        </w:rPr>
        <w:t>( 1 0 )  G O O D W I L L  A N D  I N T A N G I B L E  A S S E T S</w:t>
      </w:r>
    </w:p>
    <w:p>
      <w:pPr>
        <w:spacing w:after="0" w:line="176" w:lineRule="exact"/>
        <w:rPr>
          <w:sz w:val="20"/>
          <w:szCs w:val="20"/>
          <w:color w:val="auto"/>
        </w:rPr>
      </w:pPr>
    </w:p>
    <w:p>
      <w:pPr>
        <w:ind w:right="460"/>
        <w:spacing w:after="0" w:line="347" w:lineRule="auto"/>
        <w:rPr>
          <w:sz w:val="20"/>
          <w:szCs w:val="20"/>
          <w:color w:val="auto"/>
        </w:rPr>
      </w:pPr>
      <w:r>
        <w:rPr>
          <w:rFonts w:ascii="Times New Roman" w:cs="Times New Roman" w:eastAsia="Times New Roman" w:hAnsi="Times New Roman"/>
          <w:sz w:val="18"/>
          <w:szCs w:val="18"/>
          <w:color w:val="262626"/>
        </w:rPr>
        <w:t>The Company recorded Goodwill of: $307.4 million related to the HomeLink® acquisition in 2013; $3.7 million as part of the acquisition of Vaporsens, Inc. (“Vaporsens”) in the second quarter of 2020; $0.2 million as part of the acquisition of Air-Craftglass Production BV (“Air-Craftglass”) in the third quarter of 2020; $1.0 million as part of the acquisition of Argil, Inc. (“Argil”) in the fourth quarter of 2020; and $2.0 million as part of the acquisition of Guardian Optical Technologies (“Guardian”) in the first quarter of 2021. Refer to Note 12, “Acquisitions”, for further information on the Guardian acquisition. The carrying value of Goodwill as of December 31, 2022 and December 31, 2021 was $313.8 million and $314.0 million, respectively, as set forth in the table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7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b w:val="1"/>
                <w:bCs w:val="1"/>
                <w:color w:val="262626"/>
              </w:rPr>
              <w:t>Carrying Amount</w:t>
            </w:r>
          </w:p>
        </w:tc>
      </w:tr>
      <w:tr>
        <w:trPr>
          <w:trHeight w:val="345"/>
        </w:trPr>
        <w:tc>
          <w:tcPr>
            <w:tcW w:w="7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Balance as of December 31, 2021</w:t>
            </w:r>
          </w:p>
        </w:tc>
        <w:tc>
          <w:tcPr>
            <w:tcW w:w="800" w:type="dxa"/>
            <w:vAlign w:val="bottom"/>
            <w:tcBorders>
              <w:bottom w:val="single" w:sz="8" w:color="838383"/>
            </w:tcBorders>
            <w:gridSpan w:val="2"/>
          </w:tcPr>
          <w:p>
            <w:pPr>
              <w:jc w:val="right"/>
              <w:ind w:right="720"/>
              <w:spacing w:after="0"/>
              <w:rPr>
                <w:sz w:val="20"/>
                <w:szCs w:val="20"/>
                <w:color w:val="auto"/>
              </w:rPr>
            </w:pPr>
            <w:r>
              <w:rPr>
                <w:rFonts w:ascii="Times New Roman" w:cs="Times New Roman" w:eastAsia="Times New Roman" w:hAnsi="Times New Roman"/>
                <w:sz w:val="17"/>
                <w:szCs w:val="17"/>
                <w:color w:val="262626"/>
                <w:w w:val="70"/>
              </w:rPr>
              <w:t>$</w:t>
            </w:r>
          </w:p>
        </w:tc>
        <w:tc>
          <w:tcPr>
            <w:tcW w:w="20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313,960,209</w:t>
            </w:r>
          </w:p>
        </w:tc>
      </w:tr>
      <w:tr>
        <w:trPr>
          <w:trHeight w:val="340"/>
        </w:trPr>
        <w:tc>
          <w:tcPr>
            <w:tcW w:w="7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Acquisitions</w:t>
            </w:r>
          </w:p>
        </w:tc>
        <w:tc>
          <w:tcPr>
            <w:tcW w:w="20" w:type="dxa"/>
            <w:vAlign w:val="bottom"/>
            <w:tcBorders>
              <w:bottom w:val="single" w:sz="8" w:color="838383"/>
            </w:tcBorders>
          </w:tcPr>
          <w:p>
            <w:pPr>
              <w:spacing w:after="0"/>
              <w:rPr>
                <w:sz w:val="24"/>
                <w:szCs w:val="24"/>
                <w:color w:val="auto"/>
              </w:rPr>
            </w:pPr>
          </w:p>
        </w:tc>
        <w:tc>
          <w:tcPr>
            <w:tcW w:w="780" w:type="dxa"/>
            <w:vAlign w:val="bottom"/>
            <w:tcBorders>
              <w:bottom w:val="single" w:sz="8" w:color="838383"/>
            </w:tcBorders>
          </w:tcPr>
          <w:p>
            <w:pPr>
              <w:spacing w:after="0"/>
              <w:rPr>
                <w:sz w:val="24"/>
                <w:szCs w:val="24"/>
                <w:color w:val="auto"/>
              </w:rPr>
            </w:pPr>
          </w:p>
        </w:tc>
        <w:tc>
          <w:tcPr>
            <w:tcW w:w="20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r>
      <w:tr>
        <w:trPr>
          <w:trHeight w:val="340"/>
        </w:trPr>
        <w:tc>
          <w:tcPr>
            <w:tcW w:w="7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Divestitures</w:t>
            </w:r>
          </w:p>
        </w:tc>
        <w:tc>
          <w:tcPr>
            <w:tcW w:w="20" w:type="dxa"/>
            <w:vAlign w:val="bottom"/>
            <w:tcBorders>
              <w:bottom w:val="single" w:sz="8" w:color="838383"/>
            </w:tcBorders>
          </w:tcPr>
          <w:p>
            <w:pPr>
              <w:spacing w:after="0"/>
              <w:rPr>
                <w:sz w:val="24"/>
                <w:szCs w:val="24"/>
                <w:color w:val="auto"/>
              </w:rPr>
            </w:pPr>
          </w:p>
        </w:tc>
        <w:tc>
          <w:tcPr>
            <w:tcW w:w="780" w:type="dxa"/>
            <w:vAlign w:val="bottom"/>
            <w:tcBorders>
              <w:bottom w:val="single" w:sz="8" w:color="838383"/>
            </w:tcBorders>
          </w:tcPr>
          <w:p>
            <w:pPr>
              <w:spacing w:after="0"/>
              <w:rPr>
                <w:sz w:val="24"/>
                <w:szCs w:val="24"/>
                <w:color w:val="auto"/>
              </w:rPr>
            </w:pPr>
          </w:p>
        </w:tc>
        <w:tc>
          <w:tcPr>
            <w:tcW w:w="20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r>
      <w:tr>
        <w:trPr>
          <w:trHeight w:val="340"/>
        </w:trPr>
        <w:tc>
          <w:tcPr>
            <w:tcW w:w="7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Impairments</w:t>
            </w:r>
          </w:p>
        </w:tc>
        <w:tc>
          <w:tcPr>
            <w:tcW w:w="20" w:type="dxa"/>
            <w:vAlign w:val="bottom"/>
            <w:tcBorders>
              <w:bottom w:val="single" w:sz="8" w:color="838383"/>
            </w:tcBorders>
          </w:tcPr>
          <w:p>
            <w:pPr>
              <w:spacing w:after="0"/>
              <w:rPr>
                <w:sz w:val="24"/>
                <w:szCs w:val="24"/>
                <w:color w:val="auto"/>
              </w:rPr>
            </w:pPr>
          </w:p>
        </w:tc>
        <w:tc>
          <w:tcPr>
            <w:tcW w:w="780" w:type="dxa"/>
            <w:vAlign w:val="bottom"/>
            <w:tcBorders>
              <w:bottom w:val="single" w:sz="8" w:color="838383"/>
            </w:tcBorders>
          </w:tcPr>
          <w:p>
            <w:pPr>
              <w:spacing w:after="0"/>
              <w:rPr>
                <w:sz w:val="24"/>
                <w:szCs w:val="24"/>
                <w:color w:val="auto"/>
              </w:rPr>
            </w:pPr>
          </w:p>
        </w:tc>
        <w:tc>
          <w:tcPr>
            <w:tcW w:w="20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r>
      <w:tr>
        <w:trPr>
          <w:trHeight w:val="355"/>
        </w:trPr>
        <w:tc>
          <w:tcPr>
            <w:tcW w:w="7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Other</w:t>
            </w:r>
          </w:p>
        </w:tc>
        <w:tc>
          <w:tcPr>
            <w:tcW w:w="20" w:type="dxa"/>
            <w:vAlign w:val="bottom"/>
            <w:tcBorders>
              <w:bottom w:val="single" w:sz="8" w:color="838383"/>
            </w:tcBorders>
          </w:tcPr>
          <w:p>
            <w:pPr>
              <w:spacing w:after="0"/>
              <w:rPr>
                <w:sz w:val="24"/>
                <w:szCs w:val="24"/>
                <w:color w:val="auto"/>
              </w:rPr>
            </w:pPr>
          </w:p>
        </w:tc>
        <w:tc>
          <w:tcPr>
            <w:tcW w:w="780" w:type="dxa"/>
            <w:vAlign w:val="bottom"/>
            <w:tcBorders>
              <w:bottom w:val="single" w:sz="8" w:color="8F8F8F"/>
            </w:tcBorders>
          </w:tcPr>
          <w:p>
            <w:pPr>
              <w:spacing w:after="0"/>
              <w:rPr>
                <w:sz w:val="24"/>
                <w:szCs w:val="24"/>
                <w:color w:val="auto"/>
              </w:rPr>
            </w:pPr>
          </w:p>
        </w:tc>
        <w:tc>
          <w:tcPr>
            <w:tcW w:w="20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(152,715)</w:t>
            </w:r>
          </w:p>
        </w:tc>
      </w:tr>
      <w:tr>
        <w:trPr>
          <w:trHeight w:val="3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262626"/>
              </w:rPr>
              <w:t>Balance as of December 31, 2022</w:t>
            </w:r>
          </w:p>
        </w:tc>
        <w:tc>
          <w:tcPr>
            <w:tcW w:w="800" w:type="dxa"/>
            <w:vAlign w:val="bottom"/>
            <w:tcBorders>
              <w:bottom w:val="single" w:sz="8" w:color="8F8F8F"/>
            </w:tcBorders>
            <w:gridSpan w:val="2"/>
          </w:tcPr>
          <w:p>
            <w:pPr>
              <w:jc w:val="right"/>
              <w:ind w:right="720"/>
              <w:spacing w:after="0"/>
              <w:rPr>
                <w:sz w:val="20"/>
                <w:szCs w:val="20"/>
                <w:color w:val="auto"/>
              </w:rPr>
            </w:pPr>
            <w:r>
              <w:rPr>
                <w:rFonts w:ascii="Times New Roman" w:cs="Times New Roman" w:eastAsia="Times New Roman" w:hAnsi="Times New Roman"/>
                <w:sz w:val="17"/>
                <w:szCs w:val="17"/>
                <w:color w:val="262626"/>
                <w:w w:val="70"/>
              </w:rPr>
              <w:t>$</w:t>
            </w:r>
          </w:p>
        </w:tc>
        <w:tc>
          <w:tcPr>
            <w:tcW w:w="20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313,807,494</w:t>
            </w:r>
          </w:p>
        </w:tc>
      </w:tr>
      <w:tr>
        <w:trPr>
          <w:trHeight w:val="20"/>
        </w:trPr>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8F8F8F"/>
            </w:tcBorders>
          </w:tcPr>
          <w:p>
            <w:pPr>
              <w:spacing w:after="0" w:line="20" w:lineRule="exact"/>
              <w:rPr>
                <w:sz w:val="1"/>
                <w:szCs w:val="1"/>
                <w:color w:val="auto"/>
              </w:rPr>
            </w:pPr>
          </w:p>
        </w:tc>
        <w:tc>
          <w:tcPr>
            <w:tcW w:w="2080" w:type="dxa"/>
            <w:vAlign w:val="bottom"/>
            <w:tcBorders>
              <w:bottom w:val="single" w:sz="8" w:color="8F8F8F"/>
            </w:tcBorders>
          </w:tcPr>
          <w:p>
            <w:pPr>
              <w:spacing w:after="0" w:line="20" w:lineRule="exact"/>
              <w:rPr>
                <w:sz w:val="1"/>
                <w:szCs w:val="1"/>
                <w:color w:val="auto"/>
              </w:rPr>
            </w:pPr>
          </w:p>
        </w:tc>
      </w:tr>
    </w:tbl>
    <w:p>
      <w:pPr>
        <w:spacing w:after="0" w:line="200" w:lineRule="exact"/>
        <w:rPr>
          <w:sz w:val="20"/>
          <w:szCs w:val="20"/>
          <w:color w:val="auto"/>
        </w:rPr>
      </w:pPr>
    </w:p>
    <w:p>
      <w:pPr>
        <w:ind w:right="340"/>
        <w:spacing w:after="0" w:line="337" w:lineRule="auto"/>
        <w:rPr>
          <w:sz w:val="20"/>
          <w:szCs w:val="20"/>
          <w:color w:val="auto"/>
        </w:rPr>
      </w:pPr>
      <w:r>
        <w:rPr>
          <w:rFonts w:ascii="Times New Roman" w:cs="Times New Roman" w:eastAsia="Times New Roman" w:hAnsi="Times New Roman"/>
          <w:sz w:val="18"/>
          <w:szCs w:val="18"/>
          <w:color w:val="262626"/>
        </w:rPr>
        <w:t>The Company reviews goodwill and IPR&amp;D for impairment during the fourth quarter on an annual basis or more frequently if events or changes in circumstances indicate that goodwill might be impaired. The Company performed a qualitative assessment (step 0) to determine whether it is more likely than not that a reporting unit or intangible asset’s fair value is less than its carrying amount. Based on this test, the Company determined they were not and that no additional impairment testing was needed. The Company has not recognized any impairment of goodwill or IPR&amp;D in the current or prior periods. The Company continuously monitors for events and circumstances that could negatively impact the key assumptions in determining fair value thus resulting in the need for interim testing, including long-term revenue growth projections, profitability, discount rates, recent market valuations from transactions by comparable companies, volatility in the Company’s market capitalization, and general industry, market and macro-economic conditions. No such events or circumstances, including supply chain disruptions and electronics components shortage, that might negatively impact the key assumptions were observed in 2022 and, as such, nothing indicated the need for interim impairment testing.</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The Intangible Assets and related change in carrying values are set forth in the table below as of December 31, 2022 and December 31, 2021.</w:t>
      </w: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85</w:t>
      </w:r>
    </w:p>
    <w:p>
      <w:pPr>
        <w:sectPr>
          <w:pgSz w:w="12240" w:h="15840" w:orient="portrait"/>
          <w:cols w:equalWidth="0" w:num="1">
            <w:col w:w="10760"/>
          </w:cols>
          <w:pgMar w:left="900" w:top="852" w:right="580" w:bottom="0" w:gutter="0" w:footer="0" w:header="0"/>
          <w:type w:val="continuous"/>
        </w:sectPr>
      </w:pPr>
    </w:p>
    <w:bookmarkStart w:id="85" w:name="page86"/>
    <w:bookmarkEnd w:id="85"/>
    <w:tbl>
      <w:tblPr>
        <w:tblLayout w:type="fixed"/>
        <w:tblInd w:w="320" w:type="dxa"/>
        <w:tblCellMar>
          <w:top w:w="0" w:type="dxa"/>
          <w:left w:w="0" w:type="dxa"/>
          <w:bottom w:w="0" w:type="dxa"/>
          <w:right w:w="0" w:type="dxa"/>
        </w:tblCellMar>
      </w:tblPr>
      <w:tr>
        <w:trPr>
          <w:trHeight w:val="30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262626"/>
              </w:rPr>
              <w:t>As of December 31, 2022:</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560" w:type="dxa"/>
            <w:vAlign w:val="bottom"/>
            <w:vMerge w:val="restart"/>
          </w:tcPr>
          <w:p>
            <w:pPr>
              <w:spacing w:after="0"/>
              <w:rPr>
                <w:sz w:val="20"/>
                <w:szCs w:val="20"/>
                <w:color w:val="auto"/>
              </w:rPr>
            </w:pPr>
            <w:r>
              <w:rPr>
                <w:rFonts w:ascii="Arial" w:cs="Arial" w:eastAsia="Arial" w:hAnsi="Arial"/>
                <w:sz w:val="18"/>
                <w:szCs w:val="18"/>
                <w:b w:val="1"/>
                <w:bCs w:val="1"/>
                <w:color w:val="262626"/>
              </w:rPr>
              <w:t>Other Intangible Assets</w:t>
            </w:r>
          </w:p>
        </w:tc>
        <w:tc>
          <w:tcPr>
            <w:tcW w:w="420" w:type="dxa"/>
            <w:vAlign w:val="bottom"/>
          </w:tcPr>
          <w:p>
            <w:pPr>
              <w:spacing w:after="0"/>
              <w:rPr>
                <w:sz w:val="24"/>
                <w:szCs w:val="2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Gross</w:t>
            </w:r>
          </w:p>
        </w:tc>
        <w:tc>
          <w:tcPr>
            <w:tcW w:w="4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262626"/>
              </w:rPr>
              <w:t>Accumulated</w:t>
            </w:r>
          </w:p>
        </w:tc>
        <w:tc>
          <w:tcPr>
            <w:tcW w:w="500" w:type="dxa"/>
            <w:vAlign w:val="bottom"/>
          </w:tcPr>
          <w:p>
            <w:pPr>
              <w:spacing w:after="0"/>
              <w:rPr>
                <w:sz w:val="24"/>
                <w:szCs w:val="24"/>
                <w:color w:val="auto"/>
              </w:rPr>
            </w:pPr>
          </w:p>
        </w:tc>
        <w:tc>
          <w:tcPr>
            <w:tcW w:w="1620" w:type="dxa"/>
            <w:vAlign w:val="bottom"/>
            <w:gridSpan w:val="3"/>
            <w:vMerge w:val="restart"/>
          </w:tcPr>
          <w:p>
            <w:pPr>
              <w:ind w:left="940"/>
              <w:spacing w:after="0"/>
              <w:rPr>
                <w:sz w:val="20"/>
                <w:szCs w:val="20"/>
                <w:color w:val="auto"/>
              </w:rPr>
            </w:pPr>
            <w:r>
              <w:rPr>
                <w:rFonts w:ascii="Arial" w:cs="Arial" w:eastAsia="Arial" w:hAnsi="Arial"/>
                <w:sz w:val="18"/>
                <w:szCs w:val="18"/>
                <w:b w:val="1"/>
                <w:bCs w:val="1"/>
                <w:color w:val="262626"/>
              </w:rPr>
              <w:t>Net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262626"/>
              </w:rPr>
              <w:t>Assumed</w:t>
            </w:r>
          </w:p>
        </w:tc>
        <w:tc>
          <w:tcPr>
            <w:tcW w:w="0" w:type="dxa"/>
            <w:vAlign w:val="bottom"/>
          </w:tcPr>
          <w:p>
            <w:pPr>
              <w:spacing w:after="0"/>
              <w:rPr>
                <w:sz w:val="1"/>
                <w:szCs w:val="1"/>
                <w:color w:val="auto"/>
              </w:rPr>
            </w:pPr>
          </w:p>
        </w:tc>
      </w:tr>
      <w:tr>
        <w:trPr>
          <w:trHeight w:val="179"/>
        </w:trPr>
        <w:tc>
          <w:tcPr>
            <w:tcW w:w="35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Amortization</w:t>
            </w:r>
          </w:p>
        </w:tc>
        <w:tc>
          <w:tcPr>
            <w:tcW w:w="50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Useful Life</w:t>
            </w:r>
          </w:p>
        </w:tc>
        <w:tc>
          <w:tcPr>
            <w:tcW w:w="0" w:type="dxa"/>
            <w:vAlign w:val="bottom"/>
          </w:tcPr>
          <w:p>
            <w:pPr>
              <w:spacing w:after="0"/>
              <w:rPr>
                <w:sz w:val="1"/>
                <w:szCs w:val="1"/>
                <w:color w:val="auto"/>
              </w:rPr>
            </w:pPr>
          </w:p>
        </w:tc>
      </w:tr>
      <w:tr>
        <w:trPr>
          <w:trHeight w:val="126"/>
        </w:trPr>
        <w:tc>
          <w:tcPr>
            <w:tcW w:w="3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HomeLink® Trade Names and Trademarks</w:t>
            </w:r>
          </w:p>
        </w:tc>
        <w:tc>
          <w:tcPr>
            <w:tcW w:w="420" w:type="dxa"/>
            <w:vAlign w:val="bottom"/>
            <w:tcBorders>
              <w:bottom w:val="single" w:sz="8" w:color="838383"/>
            </w:tcBorders>
          </w:tcPr>
          <w:p>
            <w:pPr>
              <w:jc w:val="right"/>
              <w:ind w:right="230"/>
              <w:spacing w:after="0"/>
              <w:rPr>
                <w:sz w:val="20"/>
                <w:szCs w:val="20"/>
                <w:color w:val="auto"/>
              </w:rPr>
            </w:pPr>
            <w:r>
              <w:rPr>
                <w:rFonts w:ascii="Times New Roman" w:cs="Times New Roman" w:eastAsia="Times New Roman" w:hAnsi="Times New Roman"/>
                <w:sz w:val="18"/>
                <w:szCs w:val="18"/>
                <w:color w:val="262626"/>
                <w:w w:val="88"/>
              </w:rPr>
              <w:t>$</w:t>
            </w: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52,000,000</w:t>
            </w:r>
          </w:p>
        </w:tc>
        <w:tc>
          <w:tcPr>
            <w:tcW w:w="440" w:type="dxa"/>
            <w:vAlign w:val="bottom"/>
            <w:tcBorders>
              <w:bottom w:val="single" w:sz="8" w:color="838383"/>
            </w:tcBorders>
          </w:tcPr>
          <w:p>
            <w:pPr>
              <w:jc w:val="right"/>
              <w:ind w:right="170"/>
              <w:spacing w:after="0"/>
              <w:rPr>
                <w:sz w:val="20"/>
                <w:szCs w:val="20"/>
                <w:color w:val="auto"/>
              </w:rPr>
            </w:pPr>
            <w:r>
              <w:rPr>
                <w:rFonts w:ascii="Times New Roman" w:cs="Times New Roman" w:eastAsia="Times New Roman" w:hAnsi="Times New Roman"/>
                <w:sz w:val="18"/>
                <w:szCs w:val="18"/>
                <w:color w:val="262626"/>
              </w:rPr>
              <w:t>$</w:t>
            </w: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500" w:type="dxa"/>
            <w:vAlign w:val="bottom"/>
            <w:tcBorders>
              <w:bottom w:val="single" w:sz="8" w:color="838383"/>
            </w:tcBorders>
          </w:tcPr>
          <w:p>
            <w:pPr>
              <w:jc w:val="right"/>
              <w:ind w:right="230"/>
              <w:spacing w:after="0"/>
              <w:rPr>
                <w:sz w:val="20"/>
                <w:szCs w:val="20"/>
                <w:color w:val="auto"/>
              </w:rPr>
            </w:pPr>
            <w:r>
              <w:rPr>
                <w:rFonts w:ascii="Times New Roman" w:cs="Times New Roman" w:eastAsia="Times New Roman" w:hAnsi="Times New Roman"/>
                <w:sz w:val="18"/>
                <w:szCs w:val="18"/>
                <w:color w:val="262626"/>
              </w:rPr>
              <w:t>$</w:t>
            </w:r>
          </w:p>
        </w:tc>
        <w:tc>
          <w:tcPr>
            <w:tcW w:w="1240" w:type="dxa"/>
            <w:vAlign w:val="bottom"/>
            <w:tcBorders>
              <w:bottom w:val="single" w:sz="8" w:color="838383"/>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262626"/>
              </w:rPr>
              <w:t>52,000,000</w:t>
            </w:r>
          </w:p>
        </w:tc>
        <w:tc>
          <w:tcPr>
            <w:tcW w:w="38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Indefinite</w:t>
            </w:r>
          </w:p>
        </w:tc>
        <w:tc>
          <w:tcPr>
            <w:tcW w:w="0" w:type="dxa"/>
            <w:vAlign w:val="bottom"/>
          </w:tcPr>
          <w:p>
            <w:pPr>
              <w:spacing w:after="0"/>
              <w:rPr>
                <w:sz w:val="1"/>
                <w:szCs w:val="1"/>
                <w:color w:val="auto"/>
              </w:rPr>
            </w:pPr>
          </w:p>
        </w:tc>
      </w:tr>
      <w:tr>
        <w:trPr>
          <w:trHeight w:val="340"/>
        </w:trPr>
        <w:tc>
          <w:tcPr>
            <w:tcW w:w="3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HomeLink® Technology</w:t>
            </w:r>
          </w:p>
        </w:tc>
        <w:tc>
          <w:tcPr>
            <w:tcW w:w="42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180,000,000</w:t>
            </w:r>
          </w:p>
        </w:tc>
        <w:tc>
          <w:tcPr>
            <w:tcW w:w="44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(138,750,000)</w:t>
            </w:r>
          </w:p>
        </w:tc>
        <w:tc>
          <w:tcPr>
            <w:tcW w:w="500" w:type="dxa"/>
            <w:vAlign w:val="bottom"/>
            <w:tcBorders>
              <w:bottom w:val="single" w:sz="8" w:color="838383"/>
            </w:tcBorders>
          </w:tcPr>
          <w:p>
            <w:pPr>
              <w:spacing w:after="0"/>
              <w:rPr>
                <w:sz w:val="24"/>
                <w:szCs w:val="24"/>
                <w:color w:val="auto"/>
              </w:rPr>
            </w:pPr>
          </w:p>
        </w:tc>
        <w:tc>
          <w:tcPr>
            <w:tcW w:w="1620" w:type="dxa"/>
            <w:vAlign w:val="bottom"/>
            <w:tcBorders>
              <w:bottom w:val="single" w:sz="8" w:color="838383"/>
            </w:tcBorders>
            <w:gridSpan w:val="3"/>
          </w:tcPr>
          <w:p>
            <w:pPr>
              <w:jc w:val="right"/>
              <w:ind w:right="400"/>
              <w:spacing w:after="0"/>
              <w:rPr>
                <w:sz w:val="20"/>
                <w:szCs w:val="20"/>
                <w:color w:val="auto"/>
              </w:rPr>
            </w:pPr>
            <w:r>
              <w:rPr>
                <w:rFonts w:ascii="Times New Roman" w:cs="Times New Roman" w:eastAsia="Times New Roman" w:hAnsi="Times New Roman"/>
                <w:sz w:val="18"/>
                <w:szCs w:val="18"/>
                <w:color w:val="262626"/>
              </w:rPr>
              <w:t>41,250,000</w:t>
            </w: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12 years</w:t>
            </w:r>
          </w:p>
        </w:tc>
        <w:tc>
          <w:tcPr>
            <w:tcW w:w="0" w:type="dxa"/>
            <w:vAlign w:val="bottom"/>
          </w:tcPr>
          <w:p>
            <w:pPr>
              <w:spacing w:after="0"/>
              <w:rPr>
                <w:sz w:val="1"/>
                <w:szCs w:val="1"/>
                <w:color w:val="auto"/>
              </w:rPr>
            </w:pPr>
          </w:p>
        </w:tc>
      </w:tr>
      <w:tr>
        <w:trPr>
          <w:trHeight w:val="340"/>
        </w:trPr>
        <w:tc>
          <w:tcPr>
            <w:tcW w:w="3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Existing Customer Platforms</w:t>
            </w:r>
          </w:p>
        </w:tc>
        <w:tc>
          <w:tcPr>
            <w:tcW w:w="42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43,000,000</w:t>
            </w:r>
          </w:p>
        </w:tc>
        <w:tc>
          <w:tcPr>
            <w:tcW w:w="44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(39,775,000)</w:t>
            </w:r>
          </w:p>
        </w:tc>
        <w:tc>
          <w:tcPr>
            <w:tcW w:w="500" w:type="dxa"/>
            <w:vAlign w:val="bottom"/>
            <w:tcBorders>
              <w:bottom w:val="single" w:sz="8" w:color="838383"/>
            </w:tcBorders>
          </w:tcPr>
          <w:p>
            <w:pPr>
              <w:spacing w:after="0"/>
              <w:rPr>
                <w:sz w:val="24"/>
                <w:szCs w:val="24"/>
                <w:color w:val="auto"/>
              </w:rPr>
            </w:pPr>
          </w:p>
        </w:tc>
        <w:tc>
          <w:tcPr>
            <w:tcW w:w="1620" w:type="dxa"/>
            <w:vAlign w:val="bottom"/>
            <w:tcBorders>
              <w:bottom w:val="single" w:sz="8" w:color="838383"/>
            </w:tcBorders>
            <w:gridSpan w:val="3"/>
          </w:tcPr>
          <w:p>
            <w:pPr>
              <w:jc w:val="right"/>
              <w:ind w:right="400"/>
              <w:spacing w:after="0"/>
              <w:rPr>
                <w:sz w:val="20"/>
                <w:szCs w:val="20"/>
                <w:color w:val="auto"/>
              </w:rPr>
            </w:pPr>
            <w:r>
              <w:rPr>
                <w:rFonts w:ascii="Times New Roman" w:cs="Times New Roman" w:eastAsia="Times New Roman" w:hAnsi="Times New Roman"/>
                <w:sz w:val="18"/>
                <w:szCs w:val="18"/>
                <w:color w:val="262626"/>
              </w:rPr>
              <w:t>3,225,000</w:t>
            </w: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10 years</w:t>
            </w:r>
          </w:p>
        </w:tc>
        <w:tc>
          <w:tcPr>
            <w:tcW w:w="0" w:type="dxa"/>
            <w:vAlign w:val="bottom"/>
          </w:tcPr>
          <w:p>
            <w:pPr>
              <w:spacing w:after="0"/>
              <w:rPr>
                <w:sz w:val="1"/>
                <w:szCs w:val="1"/>
                <w:color w:val="auto"/>
              </w:rPr>
            </w:pPr>
          </w:p>
        </w:tc>
      </w:tr>
      <w:tr>
        <w:trPr>
          <w:trHeight w:val="340"/>
        </w:trPr>
        <w:tc>
          <w:tcPr>
            <w:tcW w:w="3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Exclusive Licensing Agreement</w:t>
            </w:r>
          </w:p>
        </w:tc>
        <w:tc>
          <w:tcPr>
            <w:tcW w:w="42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96,000,000</w:t>
            </w:r>
          </w:p>
        </w:tc>
        <w:tc>
          <w:tcPr>
            <w:tcW w:w="44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500" w:type="dxa"/>
            <w:vAlign w:val="bottom"/>
            <w:tcBorders>
              <w:bottom w:val="single" w:sz="8" w:color="838383"/>
            </w:tcBorders>
          </w:tcPr>
          <w:p>
            <w:pPr>
              <w:spacing w:after="0"/>
              <w:rPr>
                <w:sz w:val="24"/>
                <w:szCs w:val="24"/>
                <w:color w:val="auto"/>
              </w:rPr>
            </w:pPr>
          </w:p>
        </w:tc>
        <w:tc>
          <w:tcPr>
            <w:tcW w:w="1620" w:type="dxa"/>
            <w:vAlign w:val="bottom"/>
            <w:tcBorders>
              <w:bottom w:val="single" w:sz="8" w:color="838383"/>
            </w:tcBorders>
            <w:gridSpan w:val="3"/>
          </w:tcPr>
          <w:p>
            <w:pPr>
              <w:jc w:val="right"/>
              <w:ind w:right="400"/>
              <w:spacing w:after="0"/>
              <w:rPr>
                <w:sz w:val="20"/>
                <w:szCs w:val="20"/>
                <w:color w:val="auto"/>
              </w:rPr>
            </w:pPr>
            <w:r>
              <w:rPr>
                <w:rFonts w:ascii="Times New Roman" w:cs="Times New Roman" w:eastAsia="Times New Roman" w:hAnsi="Times New Roman"/>
                <w:sz w:val="18"/>
                <w:szCs w:val="18"/>
                <w:color w:val="262626"/>
              </w:rPr>
              <w:t>96,000,000</w:t>
            </w: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Indefinite</w:t>
            </w:r>
          </w:p>
        </w:tc>
        <w:tc>
          <w:tcPr>
            <w:tcW w:w="0" w:type="dxa"/>
            <w:vAlign w:val="bottom"/>
          </w:tcPr>
          <w:p>
            <w:pPr>
              <w:spacing w:after="0"/>
              <w:rPr>
                <w:sz w:val="1"/>
                <w:szCs w:val="1"/>
                <w:color w:val="auto"/>
              </w:rPr>
            </w:pPr>
          </w:p>
        </w:tc>
      </w:tr>
      <w:tr>
        <w:trPr>
          <w:trHeight w:val="340"/>
        </w:trPr>
        <w:tc>
          <w:tcPr>
            <w:tcW w:w="3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Vaporsens In-Process R&amp;D</w:t>
            </w:r>
          </w:p>
        </w:tc>
        <w:tc>
          <w:tcPr>
            <w:tcW w:w="42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11,000,000</w:t>
            </w:r>
          </w:p>
        </w:tc>
        <w:tc>
          <w:tcPr>
            <w:tcW w:w="44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500" w:type="dxa"/>
            <w:vAlign w:val="bottom"/>
            <w:tcBorders>
              <w:bottom w:val="single" w:sz="8" w:color="838383"/>
            </w:tcBorders>
          </w:tcPr>
          <w:p>
            <w:pPr>
              <w:spacing w:after="0"/>
              <w:rPr>
                <w:sz w:val="24"/>
                <w:szCs w:val="24"/>
                <w:color w:val="auto"/>
              </w:rPr>
            </w:pPr>
          </w:p>
        </w:tc>
        <w:tc>
          <w:tcPr>
            <w:tcW w:w="1620" w:type="dxa"/>
            <w:vAlign w:val="bottom"/>
            <w:tcBorders>
              <w:bottom w:val="single" w:sz="8" w:color="838383"/>
            </w:tcBorders>
            <w:gridSpan w:val="3"/>
          </w:tcPr>
          <w:p>
            <w:pPr>
              <w:jc w:val="right"/>
              <w:ind w:right="400"/>
              <w:spacing w:after="0"/>
              <w:rPr>
                <w:sz w:val="20"/>
                <w:szCs w:val="20"/>
                <w:color w:val="auto"/>
              </w:rPr>
            </w:pPr>
            <w:r>
              <w:rPr>
                <w:rFonts w:ascii="Times New Roman" w:cs="Times New Roman" w:eastAsia="Times New Roman" w:hAnsi="Times New Roman"/>
                <w:sz w:val="18"/>
                <w:szCs w:val="18"/>
                <w:color w:val="262626"/>
              </w:rPr>
              <w:t>11,000,000</w:t>
            </w: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Indefinite</w:t>
            </w:r>
          </w:p>
        </w:tc>
        <w:tc>
          <w:tcPr>
            <w:tcW w:w="0" w:type="dxa"/>
            <w:vAlign w:val="bottom"/>
          </w:tcPr>
          <w:p>
            <w:pPr>
              <w:spacing w:after="0"/>
              <w:rPr>
                <w:sz w:val="1"/>
                <w:szCs w:val="1"/>
                <w:color w:val="auto"/>
              </w:rPr>
            </w:pPr>
          </w:p>
        </w:tc>
      </w:tr>
      <w:tr>
        <w:trPr>
          <w:trHeight w:val="340"/>
        </w:trPr>
        <w:tc>
          <w:tcPr>
            <w:tcW w:w="3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Argil In-Process R&amp;D</w:t>
            </w:r>
          </w:p>
        </w:tc>
        <w:tc>
          <w:tcPr>
            <w:tcW w:w="42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6,278,132</w:t>
            </w:r>
          </w:p>
        </w:tc>
        <w:tc>
          <w:tcPr>
            <w:tcW w:w="44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500" w:type="dxa"/>
            <w:vAlign w:val="bottom"/>
            <w:tcBorders>
              <w:bottom w:val="single" w:sz="8" w:color="838383"/>
            </w:tcBorders>
          </w:tcPr>
          <w:p>
            <w:pPr>
              <w:spacing w:after="0"/>
              <w:rPr>
                <w:sz w:val="24"/>
                <w:szCs w:val="24"/>
                <w:color w:val="auto"/>
              </w:rPr>
            </w:pPr>
          </w:p>
        </w:tc>
        <w:tc>
          <w:tcPr>
            <w:tcW w:w="1240" w:type="dxa"/>
            <w:vAlign w:val="bottom"/>
            <w:tcBorders>
              <w:bottom w:val="single" w:sz="8" w:color="838383"/>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262626"/>
              </w:rPr>
              <w:t>6,278,132</w:t>
            </w:r>
          </w:p>
        </w:tc>
        <w:tc>
          <w:tcPr>
            <w:tcW w:w="38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Indefinite</w:t>
            </w:r>
          </w:p>
        </w:tc>
        <w:tc>
          <w:tcPr>
            <w:tcW w:w="0" w:type="dxa"/>
            <w:vAlign w:val="bottom"/>
          </w:tcPr>
          <w:p>
            <w:pPr>
              <w:spacing w:after="0"/>
              <w:rPr>
                <w:sz w:val="1"/>
                <w:szCs w:val="1"/>
                <w:color w:val="auto"/>
              </w:rPr>
            </w:pPr>
          </w:p>
        </w:tc>
      </w:tr>
      <w:tr>
        <w:trPr>
          <w:trHeight w:val="340"/>
        </w:trPr>
        <w:tc>
          <w:tcPr>
            <w:tcW w:w="3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Air-Craftglass In-Process R&amp;D</w:t>
            </w:r>
          </w:p>
        </w:tc>
        <w:tc>
          <w:tcPr>
            <w:tcW w:w="42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1,507,778</w:t>
            </w:r>
          </w:p>
        </w:tc>
        <w:tc>
          <w:tcPr>
            <w:tcW w:w="44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500" w:type="dxa"/>
            <w:vAlign w:val="bottom"/>
            <w:tcBorders>
              <w:bottom w:val="single" w:sz="8" w:color="838383"/>
            </w:tcBorders>
          </w:tcPr>
          <w:p>
            <w:pPr>
              <w:spacing w:after="0"/>
              <w:rPr>
                <w:sz w:val="24"/>
                <w:szCs w:val="24"/>
                <w:color w:val="auto"/>
              </w:rPr>
            </w:pPr>
          </w:p>
        </w:tc>
        <w:tc>
          <w:tcPr>
            <w:tcW w:w="1620" w:type="dxa"/>
            <w:vAlign w:val="bottom"/>
            <w:tcBorders>
              <w:bottom w:val="single" w:sz="8" w:color="838383"/>
            </w:tcBorders>
            <w:gridSpan w:val="3"/>
          </w:tcPr>
          <w:p>
            <w:pPr>
              <w:jc w:val="right"/>
              <w:ind w:right="400"/>
              <w:spacing w:after="0"/>
              <w:rPr>
                <w:sz w:val="20"/>
                <w:szCs w:val="20"/>
                <w:color w:val="auto"/>
              </w:rPr>
            </w:pPr>
            <w:r>
              <w:rPr>
                <w:rFonts w:ascii="Times New Roman" w:cs="Times New Roman" w:eastAsia="Times New Roman" w:hAnsi="Times New Roman"/>
                <w:sz w:val="18"/>
                <w:szCs w:val="18"/>
                <w:color w:val="262626"/>
              </w:rPr>
              <w:t>1,507,778</w:t>
            </w: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Indefinite</w:t>
            </w:r>
          </w:p>
        </w:tc>
        <w:tc>
          <w:tcPr>
            <w:tcW w:w="0" w:type="dxa"/>
            <w:vAlign w:val="bottom"/>
          </w:tcPr>
          <w:p>
            <w:pPr>
              <w:spacing w:after="0"/>
              <w:rPr>
                <w:sz w:val="1"/>
                <w:szCs w:val="1"/>
                <w:color w:val="auto"/>
              </w:rPr>
            </w:pPr>
          </w:p>
        </w:tc>
      </w:tr>
      <w:tr>
        <w:trPr>
          <w:trHeight w:val="340"/>
        </w:trPr>
        <w:tc>
          <w:tcPr>
            <w:tcW w:w="3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Guardian Trade Names</w:t>
            </w:r>
          </w:p>
        </w:tc>
        <w:tc>
          <w:tcPr>
            <w:tcW w:w="42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1,300,000</w:t>
            </w:r>
          </w:p>
        </w:tc>
        <w:tc>
          <w:tcPr>
            <w:tcW w:w="44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500" w:type="dxa"/>
            <w:vAlign w:val="bottom"/>
            <w:tcBorders>
              <w:bottom w:val="single" w:sz="8" w:color="838383"/>
            </w:tcBorders>
          </w:tcPr>
          <w:p>
            <w:pPr>
              <w:spacing w:after="0"/>
              <w:rPr>
                <w:sz w:val="24"/>
                <w:szCs w:val="24"/>
                <w:color w:val="auto"/>
              </w:rPr>
            </w:pPr>
          </w:p>
        </w:tc>
        <w:tc>
          <w:tcPr>
            <w:tcW w:w="1240" w:type="dxa"/>
            <w:vAlign w:val="bottom"/>
            <w:tcBorders>
              <w:bottom w:val="single" w:sz="8" w:color="838383"/>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262626"/>
              </w:rPr>
              <w:t>1,300,000</w:t>
            </w:r>
          </w:p>
        </w:tc>
        <w:tc>
          <w:tcPr>
            <w:tcW w:w="38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Indefinite</w:t>
            </w:r>
          </w:p>
        </w:tc>
        <w:tc>
          <w:tcPr>
            <w:tcW w:w="0" w:type="dxa"/>
            <w:vAlign w:val="bottom"/>
          </w:tcPr>
          <w:p>
            <w:pPr>
              <w:spacing w:after="0"/>
              <w:rPr>
                <w:sz w:val="1"/>
                <w:szCs w:val="1"/>
                <w:color w:val="auto"/>
              </w:rPr>
            </w:pPr>
          </w:p>
        </w:tc>
      </w:tr>
      <w:tr>
        <w:trPr>
          <w:trHeight w:val="355"/>
        </w:trPr>
        <w:tc>
          <w:tcPr>
            <w:tcW w:w="3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Guardian In-Process R&amp;D</w:t>
            </w:r>
          </w:p>
        </w:tc>
        <w:tc>
          <w:tcPr>
            <w:tcW w:w="420" w:type="dxa"/>
            <w:vAlign w:val="bottom"/>
            <w:tcBorders>
              <w:bottom w:val="single" w:sz="8" w:color="8F8F8F"/>
            </w:tcBorders>
          </w:tcPr>
          <w:p>
            <w:pPr>
              <w:spacing w:after="0"/>
              <w:rPr>
                <w:sz w:val="24"/>
                <w:szCs w:val="24"/>
                <w:color w:val="auto"/>
              </w:rPr>
            </w:pPr>
          </w:p>
        </w:tc>
        <w:tc>
          <w:tcPr>
            <w:tcW w:w="13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6,800,000</w:t>
            </w:r>
          </w:p>
        </w:tc>
        <w:tc>
          <w:tcPr>
            <w:tcW w:w="44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500" w:type="dxa"/>
            <w:vAlign w:val="bottom"/>
            <w:tcBorders>
              <w:bottom w:val="single" w:sz="8" w:color="8F8F8F"/>
            </w:tcBorders>
          </w:tcPr>
          <w:p>
            <w:pPr>
              <w:spacing w:after="0"/>
              <w:rPr>
                <w:sz w:val="24"/>
                <w:szCs w:val="24"/>
                <w:color w:val="auto"/>
              </w:rPr>
            </w:pPr>
          </w:p>
        </w:tc>
        <w:tc>
          <w:tcPr>
            <w:tcW w:w="1240" w:type="dxa"/>
            <w:vAlign w:val="bottom"/>
            <w:tcBorders>
              <w:bottom w:val="single" w:sz="8" w:color="8F8F8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262626"/>
              </w:rPr>
              <w:t>6,800,000</w:t>
            </w:r>
          </w:p>
        </w:tc>
        <w:tc>
          <w:tcPr>
            <w:tcW w:w="38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Indefinite</w:t>
            </w:r>
          </w:p>
        </w:tc>
        <w:tc>
          <w:tcPr>
            <w:tcW w:w="0" w:type="dxa"/>
            <w:vAlign w:val="bottom"/>
          </w:tcPr>
          <w:p>
            <w:pPr>
              <w:spacing w:after="0"/>
              <w:rPr>
                <w:sz w:val="1"/>
                <w:szCs w:val="1"/>
                <w:color w:val="auto"/>
              </w:rPr>
            </w:pPr>
          </w:p>
        </w:tc>
      </w:tr>
      <w:tr>
        <w:trPr>
          <w:trHeight w:val="310"/>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262626"/>
              </w:rPr>
              <w:t>Total other identifiable intangible assets</w:t>
            </w:r>
          </w:p>
        </w:tc>
        <w:tc>
          <w:tcPr>
            <w:tcW w:w="420" w:type="dxa"/>
            <w:vAlign w:val="bottom"/>
            <w:tcBorders>
              <w:bottom w:val="single" w:sz="8" w:color="8F8F8F"/>
            </w:tcBorders>
          </w:tcPr>
          <w:p>
            <w:pPr>
              <w:jc w:val="right"/>
              <w:ind w:right="230"/>
              <w:spacing w:after="0"/>
              <w:rPr>
                <w:sz w:val="20"/>
                <w:szCs w:val="20"/>
                <w:color w:val="auto"/>
              </w:rPr>
            </w:pPr>
            <w:r>
              <w:rPr>
                <w:rFonts w:ascii="Times New Roman" w:cs="Times New Roman" w:eastAsia="Times New Roman" w:hAnsi="Times New Roman"/>
                <w:sz w:val="18"/>
                <w:szCs w:val="18"/>
                <w:color w:val="262626"/>
                <w:w w:val="88"/>
              </w:rPr>
              <w:t>$</w:t>
            </w:r>
          </w:p>
        </w:tc>
        <w:tc>
          <w:tcPr>
            <w:tcW w:w="13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397,885,910</w:t>
            </w:r>
          </w:p>
        </w:tc>
        <w:tc>
          <w:tcPr>
            <w:tcW w:w="440" w:type="dxa"/>
            <w:vAlign w:val="bottom"/>
            <w:tcBorders>
              <w:bottom w:val="single" w:sz="8" w:color="8F8F8F"/>
            </w:tcBorders>
          </w:tcPr>
          <w:p>
            <w:pPr>
              <w:jc w:val="right"/>
              <w:ind w:right="170"/>
              <w:spacing w:after="0"/>
              <w:rPr>
                <w:sz w:val="20"/>
                <w:szCs w:val="20"/>
                <w:color w:val="auto"/>
              </w:rPr>
            </w:pPr>
            <w:r>
              <w:rPr>
                <w:rFonts w:ascii="Times New Roman" w:cs="Times New Roman" w:eastAsia="Times New Roman" w:hAnsi="Times New Roman"/>
                <w:sz w:val="18"/>
                <w:szCs w:val="18"/>
                <w:color w:val="262626"/>
              </w:rPr>
              <w:t>$</w:t>
            </w: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(178,525,000)</w:t>
            </w:r>
          </w:p>
        </w:tc>
        <w:tc>
          <w:tcPr>
            <w:tcW w:w="500" w:type="dxa"/>
            <w:vAlign w:val="bottom"/>
            <w:tcBorders>
              <w:bottom w:val="single" w:sz="8" w:color="8F8F8F"/>
            </w:tcBorders>
          </w:tcPr>
          <w:p>
            <w:pPr>
              <w:jc w:val="right"/>
              <w:ind w:right="230"/>
              <w:spacing w:after="0"/>
              <w:rPr>
                <w:sz w:val="20"/>
                <w:szCs w:val="20"/>
                <w:color w:val="auto"/>
              </w:rPr>
            </w:pPr>
            <w:r>
              <w:rPr>
                <w:rFonts w:ascii="Times New Roman" w:cs="Times New Roman" w:eastAsia="Times New Roman" w:hAnsi="Times New Roman"/>
                <w:sz w:val="18"/>
                <w:szCs w:val="18"/>
                <w:color w:val="262626"/>
              </w:rPr>
              <w:t>$</w:t>
            </w:r>
          </w:p>
        </w:tc>
        <w:tc>
          <w:tcPr>
            <w:tcW w:w="1240" w:type="dxa"/>
            <w:vAlign w:val="bottom"/>
            <w:tcBorders>
              <w:bottom w:val="single" w:sz="8" w:color="8F8F8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262626"/>
              </w:rPr>
              <w:t>219,360,910</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Times New Roman" w:cs="Times New Roman" w:eastAsia="Times New Roman" w:hAnsi="Times New Roman"/>
                <w:sz w:val="18"/>
                <w:szCs w:val="18"/>
                <w:color w:val="262626"/>
              </w:rPr>
              <w:t>As of December 31, 2021:</w:t>
            </w:r>
          </w:p>
        </w:tc>
        <w:tc>
          <w:tcPr>
            <w:tcW w:w="420" w:type="dxa"/>
            <w:vAlign w:val="bottom"/>
            <w:tcBorders>
              <w:bottom w:val="single" w:sz="8" w:color="8F8F8F"/>
            </w:tcBorders>
          </w:tcPr>
          <w:p>
            <w:pPr>
              <w:spacing w:after="0" w:line="20" w:lineRule="exact"/>
              <w:rPr>
                <w:sz w:val="1"/>
                <w:szCs w:val="1"/>
                <w:color w:val="auto"/>
              </w:rPr>
            </w:pPr>
          </w:p>
        </w:tc>
        <w:tc>
          <w:tcPr>
            <w:tcW w:w="1300" w:type="dxa"/>
            <w:vAlign w:val="bottom"/>
            <w:tcBorders>
              <w:bottom w:val="single" w:sz="8" w:color="8F8F8F"/>
            </w:tcBorders>
          </w:tcPr>
          <w:p>
            <w:pPr>
              <w:spacing w:after="0" w:line="20" w:lineRule="exact"/>
              <w:rPr>
                <w:sz w:val="1"/>
                <w:szCs w:val="1"/>
                <w:color w:val="auto"/>
              </w:rPr>
            </w:pPr>
          </w:p>
        </w:tc>
        <w:tc>
          <w:tcPr>
            <w:tcW w:w="440" w:type="dxa"/>
            <w:vAlign w:val="bottom"/>
            <w:tcBorders>
              <w:bottom w:val="single" w:sz="8" w:color="8F8F8F"/>
            </w:tcBorders>
          </w:tcPr>
          <w:p>
            <w:pPr>
              <w:spacing w:after="0" w:line="20" w:lineRule="exact"/>
              <w:rPr>
                <w:sz w:val="1"/>
                <w:szCs w:val="1"/>
                <w:color w:val="auto"/>
              </w:rPr>
            </w:pPr>
          </w:p>
        </w:tc>
        <w:tc>
          <w:tcPr>
            <w:tcW w:w="1380" w:type="dxa"/>
            <w:vAlign w:val="bottom"/>
            <w:tcBorders>
              <w:bottom w:val="single" w:sz="8" w:color="8F8F8F"/>
            </w:tcBorders>
          </w:tcPr>
          <w:p>
            <w:pPr>
              <w:spacing w:after="0" w:line="20" w:lineRule="exact"/>
              <w:rPr>
                <w:sz w:val="1"/>
                <w:szCs w:val="1"/>
                <w:color w:val="auto"/>
              </w:rPr>
            </w:pPr>
          </w:p>
        </w:tc>
        <w:tc>
          <w:tcPr>
            <w:tcW w:w="500" w:type="dxa"/>
            <w:vAlign w:val="bottom"/>
            <w:tcBorders>
              <w:bottom w:val="single" w:sz="8" w:color="8F8F8F"/>
            </w:tcBorders>
          </w:tcPr>
          <w:p>
            <w:pPr>
              <w:spacing w:after="0" w:line="20" w:lineRule="exact"/>
              <w:rPr>
                <w:sz w:val="1"/>
                <w:szCs w:val="1"/>
                <w:color w:val="auto"/>
              </w:rPr>
            </w:pPr>
          </w:p>
        </w:tc>
        <w:tc>
          <w:tcPr>
            <w:tcW w:w="1220" w:type="dxa"/>
            <w:vAlign w:val="bottom"/>
            <w:tcBorders>
              <w:bottom w:val="single" w:sz="8" w:color="8F8F8F"/>
            </w:tcBorders>
          </w:tcPr>
          <w:p>
            <w:pPr>
              <w:spacing w:after="0" w:line="20" w:lineRule="exact"/>
              <w:rPr>
                <w:sz w:val="1"/>
                <w:szCs w:val="1"/>
                <w:color w:val="auto"/>
              </w:rPr>
            </w:pPr>
          </w:p>
        </w:tc>
        <w:tc>
          <w:tcPr>
            <w:tcW w:w="20" w:type="dxa"/>
            <w:vAlign w:val="bottom"/>
            <w:tcBorders>
              <w:bottom w:val="single" w:sz="8" w:color="8F8F8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3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560" w:type="dxa"/>
            <w:vAlign w:val="bottom"/>
            <w:vMerge w:val="restart"/>
          </w:tcPr>
          <w:p>
            <w:pPr>
              <w:spacing w:after="0"/>
              <w:rPr>
                <w:sz w:val="20"/>
                <w:szCs w:val="20"/>
                <w:color w:val="auto"/>
              </w:rPr>
            </w:pPr>
            <w:r>
              <w:rPr>
                <w:rFonts w:ascii="Arial" w:cs="Arial" w:eastAsia="Arial" w:hAnsi="Arial"/>
                <w:sz w:val="18"/>
                <w:szCs w:val="18"/>
                <w:b w:val="1"/>
                <w:bCs w:val="1"/>
                <w:color w:val="262626"/>
              </w:rPr>
              <w:t>Other Intangible Assets</w:t>
            </w:r>
          </w:p>
        </w:tc>
        <w:tc>
          <w:tcPr>
            <w:tcW w:w="420" w:type="dxa"/>
            <w:vAlign w:val="bottom"/>
          </w:tcPr>
          <w:p>
            <w:pPr>
              <w:spacing w:after="0"/>
              <w:rPr>
                <w:sz w:val="24"/>
                <w:szCs w:val="2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Gross</w:t>
            </w:r>
          </w:p>
        </w:tc>
        <w:tc>
          <w:tcPr>
            <w:tcW w:w="4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262626"/>
              </w:rPr>
              <w:t>Accumulated</w:t>
            </w:r>
          </w:p>
        </w:tc>
        <w:tc>
          <w:tcPr>
            <w:tcW w:w="500" w:type="dxa"/>
            <w:vAlign w:val="bottom"/>
          </w:tcPr>
          <w:p>
            <w:pPr>
              <w:spacing w:after="0"/>
              <w:rPr>
                <w:sz w:val="24"/>
                <w:szCs w:val="24"/>
                <w:color w:val="auto"/>
              </w:rPr>
            </w:pPr>
          </w:p>
        </w:tc>
        <w:tc>
          <w:tcPr>
            <w:tcW w:w="1620" w:type="dxa"/>
            <w:vAlign w:val="bottom"/>
            <w:gridSpan w:val="3"/>
            <w:vMerge w:val="restart"/>
          </w:tcPr>
          <w:p>
            <w:pPr>
              <w:ind w:left="940"/>
              <w:spacing w:after="0"/>
              <w:rPr>
                <w:sz w:val="20"/>
                <w:szCs w:val="20"/>
                <w:color w:val="auto"/>
              </w:rPr>
            </w:pPr>
            <w:r>
              <w:rPr>
                <w:rFonts w:ascii="Arial" w:cs="Arial" w:eastAsia="Arial" w:hAnsi="Arial"/>
                <w:sz w:val="18"/>
                <w:szCs w:val="18"/>
                <w:b w:val="1"/>
                <w:bCs w:val="1"/>
                <w:color w:val="262626"/>
              </w:rPr>
              <w:t>Net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262626"/>
              </w:rPr>
              <w:t>Assumed</w:t>
            </w:r>
          </w:p>
        </w:tc>
        <w:tc>
          <w:tcPr>
            <w:tcW w:w="0" w:type="dxa"/>
            <w:vAlign w:val="bottom"/>
          </w:tcPr>
          <w:p>
            <w:pPr>
              <w:spacing w:after="0"/>
              <w:rPr>
                <w:sz w:val="1"/>
                <w:szCs w:val="1"/>
                <w:color w:val="auto"/>
              </w:rPr>
            </w:pPr>
          </w:p>
        </w:tc>
      </w:tr>
      <w:tr>
        <w:trPr>
          <w:trHeight w:val="179"/>
        </w:trPr>
        <w:tc>
          <w:tcPr>
            <w:tcW w:w="35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Amortization</w:t>
            </w:r>
          </w:p>
        </w:tc>
        <w:tc>
          <w:tcPr>
            <w:tcW w:w="50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262626"/>
              </w:rPr>
              <w:t>Useful Life</w:t>
            </w:r>
          </w:p>
        </w:tc>
        <w:tc>
          <w:tcPr>
            <w:tcW w:w="0" w:type="dxa"/>
            <w:vAlign w:val="bottom"/>
          </w:tcPr>
          <w:p>
            <w:pPr>
              <w:spacing w:after="0"/>
              <w:rPr>
                <w:sz w:val="1"/>
                <w:szCs w:val="1"/>
                <w:color w:val="auto"/>
              </w:rPr>
            </w:pPr>
          </w:p>
        </w:tc>
      </w:tr>
      <w:tr>
        <w:trPr>
          <w:trHeight w:val="126"/>
        </w:trPr>
        <w:tc>
          <w:tcPr>
            <w:tcW w:w="3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HomeLink® Trade Names and Trademarks</w:t>
            </w:r>
          </w:p>
        </w:tc>
        <w:tc>
          <w:tcPr>
            <w:tcW w:w="420" w:type="dxa"/>
            <w:vAlign w:val="bottom"/>
            <w:tcBorders>
              <w:bottom w:val="single" w:sz="8" w:color="838383"/>
            </w:tcBorders>
          </w:tcPr>
          <w:p>
            <w:pPr>
              <w:jc w:val="right"/>
              <w:ind w:right="230"/>
              <w:spacing w:after="0"/>
              <w:rPr>
                <w:sz w:val="20"/>
                <w:szCs w:val="20"/>
                <w:color w:val="auto"/>
              </w:rPr>
            </w:pPr>
            <w:r>
              <w:rPr>
                <w:rFonts w:ascii="Times New Roman" w:cs="Times New Roman" w:eastAsia="Times New Roman" w:hAnsi="Times New Roman"/>
                <w:sz w:val="18"/>
                <w:szCs w:val="18"/>
                <w:color w:val="262626"/>
                <w:w w:val="88"/>
              </w:rPr>
              <w:t>$</w:t>
            </w: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52,000,000</w:t>
            </w:r>
          </w:p>
        </w:tc>
        <w:tc>
          <w:tcPr>
            <w:tcW w:w="440" w:type="dxa"/>
            <w:vAlign w:val="bottom"/>
            <w:tcBorders>
              <w:bottom w:val="single" w:sz="8" w:color="838383"/>
            </w:tcBorders>
          </w:tcPr>
          <w:p>
            <w:pPr>
              <w:jc w:val="right"/>
              <w:ind w:right="170"/>
              <w:spacing w:after="0"/>
              <w:rPr>
                <w:sz w:val="20"/>
                <w:szCs w:val="20"/>
                <w:color w:val="auto"/>
              </w:rPr>
            </w:pPr>
            <w:r>
              <w:rPr>
                <w:rFonts w:ascii="Times New Roman" w:cs="Times New Roman" w:eastAsia="Times New Roman" w:hAnsi="Times New Roman"/>
                <w:sz w:val="18"/>
                <w:szCs w:val="18"/>
                <w:color w:val="262626"/>
              </w:rPr>
              <w:t>$</w:t>
            </w: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500" w:type="dxa"/>
            <w:vAlign w:val="bottom"/>
            <w:tcBorders>
              <w:bottom w:val="single" w:sz="8" w:color="838383"/>
            </w:tcBorders>
          </w:tcPr>
          <w:p>
            <w:pPr>
              <w:jc w:val="right"/>
              <w:ind w:right="230"/>
              <w:spacing w:after="0"/>
              <w:rPr>
                <w:sz w:val="20"/>
                <w:szCs w:val="20"/>
                <w:color w:val="auto"/>
              </w:rPr>
            </w:pPr>
            <w:r>
              <w:rPr>
                <w:rFonts w:ascii="Times New Roman" w:cs="Times New Roman" w:eastAsia="Times New Roman" w:hAnsi="Times New Roman"/>
                <w:sz w:val="18"/>
                <w:szCs w:val="18"/>
                <w:color w:val="262626"/>
              </w:rPr>
              <w:t>$</w:t>
            </w: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52,000,000</w:t>
            </w:r>
          </w:p>
        </w:tc>
        <w:tc>
          <w:tcPr>
            <w:tcW w:w="20" w:type="dxa"/>
            <w:vAlign w:val="bottom"/>
            <w:tcBorders>
              <w:bottom w:val="single" w:sz="8" w:color="838383"/>
            </w:tcBorders>
          </w:tcPr>
          <w:p>
            <w:pPr>
              <w:spacing w:after="0"/>
              <w:rPr>
                <w:sz w:val="24"/>
                <w:szCs w:val="24"/>
                <w:color w:val="auto"/>
              </w:rPr>
            </w:pPr>
          </w:p>
        </w:tc>
        <w:tc>
          <w:tcPr>
            <w:tcW w:w="38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Indefinite</w:t>
            </w:r>
          </w:p>
        </w:tc>
        <w:tc>
          <w:tcPr>
            <w:tcW w:w="0" w:type="dxa"/>
            <w:vAlign w:val="bottom"/>
          </w:tcPr>
          <w:p>
            <w:pPr>
              <w:spacing w:after="0"/>
              <w:rPr>
                <w:sz w:val="1"/>
                <w:szCs w:val="1"/>
                <w:color w:val="auto"/>
              </w:rPr>
            </w:pPr>
          </w:p>
        </w:tc>
      </w:tr>
      <w:tr>
        <w:trPr>
          <w:trHeight w:val="340"/>
        </w:trPr>
        <w:tc>
          <w:tcPr>
            <w:tcW w:w="3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HomeLink® Technology</w:t>
            </w:r>
          </w:p>
        </w:tc>
        <w:tc>
          <w:tcPr>
            <w:tcW w:w="42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180,000,000</w:t>
            </w:r>
          </w:p>
        </w:tc>
        <w:tc>
          <w:tcPr>
            <w:tcW w:w="44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(123,750,000)</w:t>
            </w:r>
          </w:p>
        </w:tc>
        <w:tc>
          <w:tcPr>
            <w:tcW w:w="50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56,250,000</w:t>
            </w:r>
          </w:p>
        </w:tc>
        <w:tc>
          <w:tcPr>
            <w:tcW w:w="20" w:type="dxa"/>
            <w:vAlign w:val="bottom"/>
            <w:tcBorders>
              <w:bottom w:val="single" w:sz="8" w:color="838383"/>
            </w:tcBorders>
          </w:tcPr>
          <w:p>
            <w:pPr>
              <w:spacing w:after="0"/>
              <w:rPr>
                <w:sz w:val="24"/>
                <w:szCs w:val="24"/>
                <w:color w:val="auto"/>
              </w:rPr>
            </w:pPr>
          </w:p>
        </w:tc>
        <w:tc>
          <w:tcPr>
            <w:tcW w:w="38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12 years</w:t>
            </w:r>
          </w:p>
        </w:tc>
        <w:tc>
          <w:tcPr>
            <w:tcW w:w="0" w:type="dxa"/>
            <w:vAlign w:val="bottom"/>
          </w:tcPr>
          <w:p>
            <w:pPr>
              <w:spacing w:after="0"/>
              <w:rPr>
                <w:sz w:val="1"/>
                <w:szCs w:val="1"/>
                <w:color w:val="auto"/>
              </w:rPr>
            </w:pPr>
          </w:p>
        </w:tc>
      </w:tr>
      <w:tr>
        <w:trPr>
          <w:trHeight w:val="340"/>
        </w:trPr>
        <w:tc>
          <w:tcPr>
            <w:tcW w:w="3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Existing Customer Platforms</w:t>
            </w:r>
          </w:p>
        </w:tc>
        <w:tc>
          <w:tcPr>
            <w:tcW w:w="42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43,000,000</w:t>
            </w:r>
          </w:p>
        </w:tc>
        <w:tc>
          <w:tcPr>
            <w:tcW w:w="44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(35,475,000)</w:t>
            </w:r>
          </w:p>
        </w:tc>
        <w:tc>
          <w:tcPr>
            <w:tcW w:w="50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7,525,000</w:t>
            </w:r>
          </w:p>
        </w:tc>
        <w:tc>
          <w:tcPr>
            <w:tcW w:w="20" w:type="dxa"/>
            <w:vAlign w:val="bottom"/>
            <w:tcBorders>
              <w:bottom w:val="single" w:sz="8" w:color="838383"/>
            </w:tcBorders>
          </w:tcPr>
          <w:p>
            <w:pPr>
              <w:spacing w:after="0"/>
              <w:rPr>
                <w:sz w:val="24"/>
                <w:szCs w:val="24"/>
                <w:color w:val="auto"/>
              </w:rPr>
            </w:pPr>
          </w:p>
        </w:tc>
        <w:tc>
          <w:tcPr>
            <w:tcW w:w="38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10 years</w:t>
            </w:r>
          </w:p>
        </w:tc>
        <w:tc>
          <w:tcPr>
            <w:tcW w:w="0" w:type="dxa"/>
            <w:vAlign w:val="bottom"/>
          </w:tcPr>
          <w:p>
            <w:pPr>
              <w:spacing w:after="0"/>
              <w:rPr>
                <w:sz w:val="1"/>
                <w:szCs w:val="1"/>
                <w:color w:val="auto"/>
              </w:rPr>
            </w:pPr>
          </w:p>
        </w:tc>
      </w:tr>
      <w:tr>
        <w:trPr>
          <w:trHeight w:val="340"/>
        </w:trPr>
        <w:tc>
          <w:tcPr>
            <w:tcW w:w="3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Exclusive Licensing Agreement</w:t>
            </w:r>
          </w:p>
        </w:tc>
        <w:tc>
          <w:tcPr>
            <w:tcW w:w="42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96,000,000</w:t>
            </w:r>
          </w:p>
        </w:tc>
        <w:tc>
          <w:tcPr>
            <w:tcW w:w="44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50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96,000,000</w:t>
            </w:r>
          </w:p>
        </w:tc>
        <w:tc>
          <w:tcPr>
            <w:tcW w:w="20" w:type="dxa"/>
            <w:vAlign w:val="bottom"/>
            <w:tcBorders>
              <w:bottom w:val="single" w:sz="8" w:color="838383"/>
            </w:tcBorders>
          </w:tcPr>
          <w:p>
            <w:pPr>
              <w:spacing w:after="0"/>
              <w:rPr>
                <w:sz w:val="24"/>
                <w:szCs w:val="24"/>
                <w:color w:val="auto"/>
              </w:rPr>
            </w:pPr>
          </w:p>
        </w:tc>
        <w:tc>
          <w:tcPr>
            <w:tcW w:w="38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Indefinite</w:t>
            </w:r>
          </w:p>
        </w:tc>
        <w:tc>
          <w:tcPr>
            <w:tcW w:w="0" w:type="dxa"/>
            <w:vAlign w:val="bottom"/>
          </w:tcPr>
          <w:p>
            <w:pPr>
              <w:spacing w:after="0"/>
              <w:rPr>
                <w:sz w:val="1"/>
                <w:szCs w:val="1"/>
                <w:color w:val="auto"/>
              </w:rPr>
            </w:pPr>
          </w:p>
        </w:tc>
      </w:tr>
      <w:tr>
        <w:trPr>
          <w:trHeight w:val="340"/>
        </w:trPr>
        <w:tc>
          <w:tcPr>
            <w:tcW w:w="3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Vaporsens In-Process R&amp;D</w:t>
            </w:r>
          </w:p>
        </w:tc>
        <w:tc>
          <w:tcPr>
            <w:tcW w:w="42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11,000,000</w:t>
            </w:r>
          </w:p>
        </w:tc>
        <w:tc>
          <w:tcPr>
            <w:tcW w:w="44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50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11,000,000</w:t>
            </w:r>
          </w:p>
        </w:tc>
        <w:tc>
          <w:tcPr>
            <w:tcW w:w="20" w:type="dxa"/>
            <w:vAlign w:val="bottom"/>
            <w:tcBorders>
              <w:bottom w:val="single" w:sz="8" w:color="838383"/>
            </w:tcBorders>
          </w:tcPr>
          <w:p>
            <w:pPr>
              <w:spacing w:after="0"/>
              <w:rPr>
                <w:sz w:val="24"/>
                <w:szCs w:val="24"/>
                <w:color w:val="auto"/>
              </w:rPr>
            </w:pPr>
          </w:p>
        </w:tc>
        <w:tc>
          <w:tcPr>
            <w:tcW w:w="38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Indefinite</w:t>
            </w:r>
          </w:p>
        </w:tc>
        <w:tc>
          <w:tcPr>
            <w:tcW w:w="0" w:type="dxa"/>
            <w:vAlign w:val="bottom"/>
          </w:tcPr>
          <w:p>
            <w:pPr>
              <w:spacing w:after="0"/>
              <w:rPr>
                <w:sz w:val="1"/>
                <w:szCs w:val="1"/>
                <w:color w:val="auto"/>
              </w:rPr>
            </w:pPr>
          </w:p>
        </w:tc>
      </w:tr>
      <w:tr>
        <w:trPr>
          <w:trHeight w:val="340"/>
        </w:trPr>
        <w:tc>
          <w:tcPr>
            <w:tcW w:w="3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Argil In-Process R&amp;D</w:t>
            </w:r>
          </w:p>
        </w:tc>
        <w:tc>
          <w:tcPr>
            <w:tcW w:w="42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6,278,132</w:t>
            </w:r>
          </w:p>
        </w:tc>
        <w:tc>
          <w:tcPr>
            <w:tcW w:w="44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50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6,278,132</w:t>
            </w:r>
          </w:p>
        </w:tc>
        <w:tc>
          <w:tcPr>
            <w:tcW w:w="20" w:type="dxa"/>
            <w:vAlign w:val="bottom"/>
            <w:tcBorders>
              <w:bottom w:val="single" w:sz="8" w:color="838383"/>
            </w:tcBorders>
          </w:tcPr>
          <w:p>
            <w:pPr>
              <w:spacing w:after="0"/>
              <w:rPr>
                <w:sz w:val="24"/>
                <w:szCs w:val="24"/>
                <w:color w:val="auto"/>
              </w:rPr>
            </w:pPr>
          </w:p>
        </w:tc>
        <w:tc>
          <w:tcPr>
            <w:tcW w:w="38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Indefinite</w:t>
            </w:r>
          </w:p>
        </w:tc>
        <w:tc>
          <w:tcPr>
            <w:tcW w:w="0" w:type="dxa"/>
            <w:vAlign w:val="bottom"/>
          </w:tcPr>
          <w:p>
            <w:pPr>
              <w:spacing w:after="0"/>
              <w:rPr>
                <w:sz w:val="1"/>
                <w:szCs w:val="1"/>
                <w:color w:val="auto"/>
              </w:rPr>
            </w:pPr>
          </w:p>
        </w:tc>
      </w:tr>
      <w:tr>
        <w:trPr>
          <w:trHeight w:val="340"/>
        </w:trPr>
        <w:tc>
          <w:tcPr>
            <w:tcW w:w="3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Air-Craftglass In-Process R&amp;D</w:t>
            </w:r>
          </w:p>
        </w:tc>
        <w:tc>
          <w:tcPr>
            <w:tcW w:w="42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1,507,778</w:t>
            </w:r>
          </w:p>
        </w:tc>
        <w:tc>
          <w:tcPr>
            <w:tcW w:w="44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50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1,507,778</w:t>
            </w:r>
          </w:p>
        </w:tc>
        <w:tc>
          <w:tcPr>
            <w:tcW w:w="20" w:type="dxa"/>
            <w:vAlign w:val="bottom"/>
            <w:tcBorders>
              <w:bottom w:val="single" w:sz="8" w:color="838383"/>
            </w:tcBorders>
          </w:tcPr>
          <w:p>
            <w:pPr>
              <w:spacing w:after="0"/>
              <w:rPr>
                <w:sz w:val="24"/>
                <w:szCs w:val="24"/>
                <w:color w:val="auto"/>
              </w:rPr>
            </w:pPr>
          </w:p>
        </w:tc>
        <w:tc>
          <w:tcPr>
            <w:tcW w:w="38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Indefinite</w:t>
            </w:r>
          </w:p>
        </w:tc>
        <w:tc>
          <w:tcPr>
            <w:tcW w:w="0" w:type="dxa"/>
            <w:vAlign w:val="bottom"/>
          </w:tcPr>
          <w:p>
            <w:pPr>
              <w:spacing w:after="0"/>
              <w:rPr>
                <w:sz w:val="1"/>
                <w:szCs w:val="1"/>
                <w:color w:val="auto"/>
              </w:rPr>
            </w:pPr>
          </w:p>
        </w:tc>
      </w:tr>
      <w:tr>
        <w:trPr>
          <w:trHeight w:val="340"/>
        </w:trPr>
        <w:tc>
          <w:tcPr>
            <w:tcW w:w="3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Guardian Trade Names</w:t>
            </w:r>
          </w:p>
        </w:tc>
        <w:tc>
          <w:tcPr>
            <w:tcW w:w="42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1,384,856</w:t>
            </w:r>
          </w:p>
        </w:tc>
        <w:tc>
          <w:tcPr>
            <w:tcW w:w="440" w:type="dxa"/>
            <w:vAlign w:val="bottom"/>
            <w:tcBorders>
              <w:bottom w:val="single" w:sz="8" w:color="838383"/>
            </w:tcBorders>
          </w:tcPr>
          <w:p>
            <w:pPr>
              <w:spacing w:after="0"/>
              <w:rPr>
                <w:sz w:val="24"/>
                <w:szCs w:val="24"/>
                <w:color w:val="auto"/>
              </w:rPr>
            </w:pPr>
          </w:p>
        </w:tc>
        <w:tc>
          <w:tcPr>
            <w:tcW w:w="138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50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1,384,856</w:t>
            </w:r>
          </w:p>
        </w:tc>
        <w:tc>
          <w:tcPr>
            <w:tcW w:w="20" w:type="dxa"/>
            <w:vAlign w:val="bottom"/>
            <w:tcBorders>
              <w:bottom w:val="single" w:sz="8" w:color="838383"/>
            </w:tcBorders>
          </w:tcPr>
          <w:p>
            <w:pPr>
              <w:spacing w:after="0"/>
              <w:rPr>
                <w:sz w:val="24"/>
                <w:szCs w:val="24"/>
                <w:color w:val="auto"/>
              </w:rPr>
            </w:pPr>
          </w:p>
        </w:tc>
        <w:tc>
          <w:tcPr>
            <w:tcW w:w="38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Indefinite</w:t>
            </w:r>
          </w:p>
        </w:tc>
        <w:tc>
          <w:tcPr>
            <w:tcW w:w="0" w:type="dxa"/>
            <w:vAlign w:val="bottom"/>
          </w:tcPr>
          <w:p>
            <w:pPr>
              <w:spacing w:after="0"/>
              <w:rPr>
                <w:sz w:val="1"/>
                <w:szCs w:val="1"/>
                <w:color w:val="auto"/>
              </w:rPr>
            </w:pPr>
          </w:p>
        </w:tc>
      </w:tr>
      <w:tr>
        <w:trPr>
          <w:trHeight w:val="355"/>
        </w:trPr>
        <w:tc>
          <w:tcPr>
            <w:tcW w:w="35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Guardian In-Process R&amp;D</w:t>
            </w:r>
          </w:p>
        </w:tc>
        <w:tc>
          <w:tcPr>
            <w:tcW w:w="420" w:type="dxa"/>
            <w:vAlign w:val="bottom"/>
            <w:tcBorders>
              <w:bottom w:val="single" w:sz="8" w:color="8F8F8F"/>
            </w:tcBorders>
          </w:tcPr>
          <w:p>
            <w:pPr>
              <w:spacing w:after="0"/>
              <w:rPr>
                <w:sz w:val="24"/>
                <w:szCs w:val="24"/>
                <w:color w:val="auto"/>
              </w:rPr>
            </w:pPr>
          </w:p>
        </w:tc>
        <w:tc>
          <w:tcPr>
            <w:tcW w:w="13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7,243,860</w:t>
            </w:r>
          </w:p>
        </w:tc>
        <w:tc>
          <w:tcPr>
            <w:tcW w:w="440" w:type="dxa"/>
            <w:vAlign w:val="bottom"/>
            <w:tcBorders>
              <w:bottom w:val="single" w:sz="8" w:color="8F8F8F"/>
            </w:tcBorders>
          </w:tcPr>
          <w:p>
            <w:pPr>
              <w:spacing w:after="0"/>
              <w:rPr>
                <w:sz w:val="24"/>
                <w:szCs w:val="24"/>
                <w:color w:val="auto"/>
              </w:rPr>
            </w:pP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500" w:type="dxa"/>
            <w:vAlign w:val="bottom"/>
            <w:tcBorders>
              <w:bottom w:val="single" w:sz="8" w:color="8F8F8F"/>
            </w:tcBorders>
          </w:tcPr>
          <w:p>
            <w:pPr>
              <w:spacing w:after="0"/>
              <w:rPr>
                <w:sz w:val="24"/>
                <w:szCs w:val="24"/>
                <w:color w:val="auto"/>
              </w:rPr>
            </w:pPr>
          </w:p>
        </w:tc>
        <w:tc>
          <w:tcPr>
            <w:tcW w:w="122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7,243,860</w:t>
            </w:r>
          </w:p>
        </w:tc>
        <w:tc>
          <w:tcPr>
            <w:tcW w:w="20" w:type="dxa"/>
            <w:vAlign w:val="bottom"/>
            <w:tcBorders>
              <w:bottom w:val="single" w:sz="8" w:color="838383"/>
            </w:tcBorders>
          </w:tcPr>
          <w:p>
            <w:pPr>
              <w:spacing w:after="0"/>
              <w:rPr>
                <w:sz w:val="24"/>
                <w:szCs w:val="24"/>
                <w:color w:val="auto"/>
              </w:rPr>
            </w:pPr>
          </w:p>
        </w:tc>
        <w:tc>
          <w:tcPr>
            <w:tcW w:w="380" w:type="dxa"/>
            <w:vAlign w:val="bottom"/>
            <w:tcBorders>
              <w:bottom w:val="single" w:sz="8" w:color="838383"/>
            </w:tcBorders>
          </w:tcPr>
          <w:p>
            <w:pPr>
              <w:spacing w:after="0"/>
              <w:rPr>
                <w:sz w:val="24"/>
                <w:szCs w:val="24"/>
                <w:color w:val="auto"/>
              </w:rPr>
            </w:pPr>
          </w:p>
        </w:tc>
        <w:tc>
          <w:tcPr>
            <w:tcW w:w="122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Indefinite</w:t>
            </w:r>
          </w:p>
        </w:tc>
        <w:tc>
          <w:tcPr>
            <w:tcW w:w="0" w:type="dxa"/>
            <w:vAlign w:val="bottom"/>
          </w:tcPr>
          <w:p>
            <w:pPr>
              <w:spacing w:after="0"/>
              <w:rPr>
                <w:sz w:val="1"/>
                <w:szCs w:val="1"/>
                <w:color w:val="auto"/>
              </w:rPr>
            </w:pPr>
          </w:p>
        </w:tc>
      </w:tr>
      <w:tr>
        <w:trPr>
          <w:trHeight w:val="31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262626"/>
              </w:rPr>
              <w:t>Total other identifiable intangible assets</w:t>
            </w:r>
          </w:p>
        </w:tc>
        <w:tc>
          <w:tcPr>
            <w:tcW w:w="420" w:type="dxa"/>
            <w:vAlign w:val="bottom"/>
            <w:tcBorders>
              <w:bottom w:val="single" w:sz="8" w:color="8F8F8F"/>
            </w:tcBorders>
          </w:tcPr>
          <w:p>
            <w:pPr>
              <w:jc w:val="right"/>
              <w:ind w:right="230"/>
              <w:spacing w:after="0"/>
              <w:rPr>
                <w:sz w:val="20"/>
                <w:szCs w:val="20"/>
                <w:color w:val="auto"/>
              </w:rPr>
            </w:pPr>
            <w:r>
              <w:rPr>
                <w:rFonts w:ascii="Times New Roman" w:cs="Times New Roman" w:eastAsia="Times New Roman" w:hAnsi="Times New Roman"/>
                <w:sz w:val="18"/>
                <w:szCs w:val="18"/>
                <w:color w:val="262626"/>
                <w:w w:val="88"/>
              </w:rPr>
              <w:t>$</w:t>
            </w:r>
          </w:p>
        </w:tc>
        <w:tc>
          <w:tcPr>
            <w:tcW w:w="13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398,414,626</w:t>
            </w:r>
          </w:p>
        </w:tc>
        <w:tc>
          <w:tcPr>
            <w:tcW w:w="440" w:type="dxa"/>
            <w:vAlign w:val="bottom"/>
            <w:tcBorders>
              <w:bottom w:val="single" w:sz="8" w:color="8F8F8F"/>
            </w:tcBorders>
          </w:tcPr>
          <w:p>
            <w:pPr>
              <w:jc w:val="right"/>
              <w:ind w:right="170"/>
              <w:spacing w:after="0"/>
              <w:rPr>
                <w:sz w:val="20"/>
                <w:szCs w:val="20"/>
                <w:color w:val="auto"/>
              </w:rPr>
            </w:pPr>
            <w:r>
              <w:rPr>
                <w:rFonts w:ascii="Times New Roman" w:cs="Times New Roman" w:eastAsia="Times New Roman" w:hAnsi="Times New Roman"/>
                <w:sz w:val="18"/>
                <w:szCs w:val="18"/>
                <w:color w:val="262626"/>
              </w:rPr>
              <w:t>$</w:t>
            </w:r>
          </w:p>
        </w:tc>
        <w:tc>
          <w:tcPr>
            <w:tcW w:w="138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(159,225,000)</w:t>
            </w:r>
          </w:p>
        </w:tc>
        <w:tc>
          <w:tcPr>
            <w:tcW w:w="500" w:type="dxa"/>
            <w:vAlign w:val="bottom"/>
            <w:tcBorders>
              <w:bottom w:val="single" w:sz="8" w:color="8F8F8F"/>
            </w:tcBorders>
          </w:tcPr>
          <w:p>
            <w:pPr>
              <w:jc w:val="right"/>
              <w:ind w:right="230"/>
              <w:spacing w:after="0"/>
              <w:rPr>
                <w:sz w:val="20"/>
                <w:szCs w:val="20"/>
                <w:color w:val="auto"/>
              </w:rPr>
            </w:pPr>
            <w:r>
              <w:rPr>
                <w:rFonts w:ascii="Times New Roman" w:cs="Times New Roman" w:eastAsia="Times New Roman" w:hAnsi="Times New Roman"/>
                <w:sz w:val="18"/>
                <w:szCs w:val="18"/>
                <w:color w:val="262626"/>
              </w:rPr>
              <w:t>$</w:t>
            </w:r>
          </w:p>
        </w:tc>
        <w:tc>
          <w:tcPr>
            <w:tcW w:w="122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239,189,626</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420" w:type="dxa"/>
            <w:vAlign w:val="bottom"/>
            <w:tcBorders>
              <w:bottom w:val="single" w:sz="8" w:color="8F8F8F"/>
            </w:tcBorders>
          </w:tcPr>
          <w:p>
            <w:pPr>
              <w:spacing w:after="0" w:line="20" w:lineRule="exact"/>
              <w:rPr>
                <w:sz w:val="1"/>
                <w:szCs w:val="1"/>
                <w:color w:val="auto"/>
              </w:rPr>
            </w:pPr>
          </w:p>
        </w:tc>
        <w:tc>
          <w:tcPr>
            <w:tcW w:w="1300" w:type="dxa"/>
            <w:vAlign w:val="bottom"/>
            <w:tcBorders>
              <w:bottom w:val="single" w:sz="8" w:color="8F8F8F"/>
            </w:tcBorders>
          </w:tcPr>
          <w:p>
            <w:pPr>
              <w:spacing w:after="0" w:line="20" w:lineRule="exact"/>
              <w:rPr>
                <w:sz w:val="1"/>
                <w:szCs w:val="1"/>
                <w:color w:val="auto"/>
              </w:rPr>
            </w:pPr>
          </w:p>
        </w:tc>
        <w:tc>
          <w:tcPr>
            <w:tcW w:w="440" w:type="dxa"/>
            <w:vAlign w:val="bottom"/>
            <w:tcBorders>
              <w:bottom w:val="single" w:sz="8" w:color="8F8F8F"/>
            </w:tcBorders>
          </w:tcPr>
          <w:p>
            <w:pPr>
              <w:spacing w:after="0" w:line="20" w:lineRule="exact"/>
              <w:rPr>
                <w:sz w:val="1"/>
                <w:szCs w:val="1"/>
                <w:color w:val="auto"/>
              </w:rPr>
            </w:pPr>
          </w:p>
        </w:tc>
        <w:tc>
          <w:tcPr>
            <w:tcW w:w="1380" w:type="dxa"/>
            <w:vAlign w:val="bottom"/>
            <w:tcBorders>
              <w:bottom w:val="single" w:sz="8" w:color="8F8F8F"/>
            </w:tcBorders>
          </w:tcPr>
          <w:p>
            <w:pPr>
              <w:spacing w:after="0" w:line="20" w:lineRule="exact"/>
              <w:rPr>
                <w:sz w:val="1"/>
                <w:szCs w:val="1"/>
                <w:color w:val="auto"/>
              </w:rPr>
            </w:pPr>
          </w:p>
        </w:tc>
        <w:tc>
          <w:tcPr>
            <w:tcW w:w="500" w:type="dxa"/>
            <w:vAlign w:val="bottom"/>
            <w:tcBorders>
              <w:bottom w:val="single" w:sz="8" w:color="8F8F8F"/>
            </w:tcBorders>
          </w:tcPr>
          <w:p>
            <w:pPr>
              <w:spacing w:after="0" w:line="20" w:lineRule="exact"/>
              <w:rPr>
                <w:sz w:val="1"/>
                <w:szCs w:val="1"/>
                <w:color w:val="auto"/>
              </w:rPr>
            </w:pPr>
          </w:p>
        </w:tc>
        <w:tc>
          <w:tcPr>
            <w:tcW w:w="1220" w:type="dxa"/>
            <w:vAlign w:val="bottom"/>
            <w:tcBorders>
              <w:bottom w:val="single" w:sz="8" w:color="8F8F8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right="180"/>
        <w:spacing w:after="0" w:line="411" w:lineRule="auto"/>
        <w:rPr>
          <w:sz w:val="20"/>
          <w:szCs w:val="20"/>
          <w:color w:val="auto"/>
        </w:rPr>
      </w:pPr>
      <w:r>
        <w:rPr>
          <w:rFonts w:ascii="Times New Roman" w:cs="Times New Roman" w:eastAsia="Times New Roman" w:hAnsi="Times New Roman"/>
          <w:sz w:val="17"/>
          <w:szCs w:val="17"/>
          <w:color w:val="262626"/>
        </w:rPr>
        <w:t>Accumulated amortization on patents and intangible assets was approximately $206.3 million and $185.7 million at December 31, 2022 and 2021, respectively. Amortization expense on patents and other intangible assets was approximately $21.7 million, $22.2 million, and $22.4 million in calendar years 2022, 2021 and 2019, respectively. At December 31, 2022, patents had a weighted average amortized life of 11 years.</w:t>
      </w:r>
    </w:p>
    <w:p>
      <w:pPr>
        <w:spacing w:after="0" w:line="16" w:lineRule="exact"/>
        <w:rPr>
          <w:sz w:val="20"/>
          <w:szCs w:val="20"/>
          <w:color w:val="auto"/>
        </w:rPr>
      </w:pPr>
    </w:p>
    <w:p>
      <w:pPr>
        <w:jc w:val="both"/>
        <w:ind w:left="320" w:right="300"/>
        <w:spacing w:after="0" w:line="382" w:lineRule="auto"/>
        <w:rPr>
          <w:sz w:val="20"/>
          <w:szCs w:val="20"/>
          <w:color w:val="auto"/>
        </w:rPr>
      </w:pPr>
      <w:r>
        <w:rPr>
          <w:rFonts w:ascii="Times New Roman" w:cs="Times New Roman" w:eastAsia="Times New Roman" w:hAnsi="Times New Roman"/>
          <w:sz w:val="18"/>
          <w:szCs w:val="18"/>
          <w:color w:val="262626"/>
        </w:rPr>
        <w:t>Excluding the impact of any future acquisitions, the Company anticipates amortization expense including patents and other intangible assets to be approximately: $20 million for the year ended December 31, 2023; $16 million for the year ended December 31, 2024; $13 million for the year ended December 31, 2025; and $12 million for the years ended December 31, 2026 and December 31, 2027.</w:t>
      </w:r>
    </w:p>
    <w:p>
      <w:pPr>
        <w:sectPr>
          <w:pgSz w:w="12240" w:h="15840" w:orient="portrait"/>
          <w:cols w:equalWidth="0" w:num="1">
            <w:col w:w="10760"/>
          </w:cols>
          <w:pgMar w:left="580" w:top="85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86</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60"/>
          </w:cols>
          <w:pgMar w:left="580" w:top="852" w:right="900" w:bottom="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b w:val="1"/>
          <w:bCs w:val="1"/>
          <w:color w:val="838383"/>
        </w:rPr>
        <w:t>( 1 1 )  R E V E N U E</w:t>
      </w:r>
    </w:p>
    <w:p>
      <w:pPr>
        <w:spacing w:after="0" w:line="176" w:lineRule="exact"/>
        <w:rPr>
          <w:sz w:val="20"/>
          <w:szCs w:val="20"/>
          <w:color w:val="auto"/>
        </w:rPr>
      </w:pPr>
    </w:p>
    <w:p>
      <w:pPr>
        <w:ind w:right="720"/>
        <w:spacing w:after="0" w:line="439" w:lineRule="auto"/>
        <w:rPr>
          <w:sz w:val="20"/>
          <w:szCs w:val="20"/>
          <w:color w:val="auto"/>
        </w:rPr>
      </w:pPr>
      <w:r>
        <w:rPr>
          <w:rFonts w:ascii="Times New Roman" w:cs="Times New Roman" w:eastAsia="Times New Roman" w:hAnsi="Times New Roman"/>
          <w:sz w:val="18"/>
          <w:szCs w:val="18"/>
          <w:color w:val="262626"/>
        </w:rPr>
        <w:t>The following table shows the Company’s Automotive and Other Products revenue disaggregated by geographical location for Automotive Products for the years ended December 31, 2022, 2021, and 2020: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2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262626"/>
              </w:rPr>
              <w:t>For the Years ended December 31,</w:t>
            </w:r>
          </w:p>
        </w:tc>
        <w:tc>
          <w:tcPr>
            <w:tcW w:w="1300" w:type="dxa"/>
            <w:vAlign w:val="bottom"/>
          </w:tcPr>
          <w:p>
            <w:pPr>
              <w:spacing w:after="0"/>
              <w:rPr>
                <w:sz w:val="24"/>
                <w:szCs w:val="24"/>
                <w:color w:val="auto"/>
              </w:rPr>
            </w:pPr>
          </w:p>
        </w:tc>
      </w:tr>
      <w:tr>
        <w:trPr>
          <w:trHeight w:val="360"/>
        </w:trPr>
        <w:tc>
          <w:tcPr>
            <w:tcW w:w="4680" w:type="dxa"/>
            <w:vAlign w:val="bottom"/>
          </w:tcPr>
          <w:p>
            <w:pPr>
              <w:spacing w:after="0"/>
              <w:rPr>
                <w:sz w:val="20"/>
                <w:szCs w:val="20"/>
                <w:color w:val="auto"/>
              </w:rPr>
            </w:pPr>
            <w:r>
              <w:rPr>
                <w:rFonts w:ascii="Arial" w:cs="Arial" w:eastAsia="Arial" w:hAnsi="Arial"/>
                <w:sz w:val="18"/>
                <w:szCs w:val="18"/>
                <w:b w:val="1"/>
                <w:bCs w:val="1"/>
                <w:color w:val="262626"/>
              </w:rPr>
              <w:t>Revenue</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2022</w:t>
            </w:r>
          </w:p>
        </w:tc>
        <w:tc>
          <w:tcPr>
            <w:tcW w:w="5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2021</w:t>
            </w:r>
          </w:p>
        </w:tc>
        <w:tc>
          <w:tcPr>
            <w:tcW w:w="5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262626"/>
              </w:rPr>
              <w:t>2020</w:t>
            </w:r>
          </w:p>
        </w:tc>
      </w:tr>
      <w:tr>
        <w:trPr>
          <w:trHeight w:val="345"/>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Automotive Products</w:t>
            </w:r>
          </w:p>
        </w:tc>
        <w:tc>
          <w:tcPr>
            <w:tcW w:w="20" w:type="dxa"/>
            <w:vAlign w:val="bottom"/>
            <w:tcBorders>
              <w:bottom w:val="single" w:sz="8" w:color="838383"/>
            </w:tcBorders>
          </w:tcPr>
          <w:p>
            <w:pPr>
              <w:spacing w:after="0"/>
              <w:rPr>
                <w:sz w:val="24"/>
                <w:szCs w:val="24"/>
                <w:color w:val="auto"/>
              </w:rPr>
            </w:pPr>
          </w:p>
        </w:tc>
        <w:tc>
          <w:tcPr>
            <w:tcW w:w="42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spacing w:after="0"/>
              <w:rPr>
                <w:sz w:val="24"/>
                <w:szCs w:val="24"/>
                <w:color w:val="auto"/>
              </w:rPr>
            </w:pPr>
          </w:p>
        </w:tc>
        <w:tc>
          <w:tcPr>
            <w:tcW w:w="52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spacing w:after="0"/>
              <w:rPr>
                <w:sz w:val="24"/>
                <w:szCs w:val="24"/>
                <w:color w:val="auto"/>
              </w:rPr>
            </w:pPr>
          </w:p>
        </w:tc>
        <w:tc>
          <w:tcPr>
            <w:tcW w:w="5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spacing w:after="0"/>
              <w:rPr>
                <w:sz w:val="24"/>
                <w:szCs w:val="24"/>
                <w:color w:val="auto"/>
              </w:rPr>
            </w:pPr>
          </w:p>
        </w:tc>
      </w:tr>
      <w:tr>
        <w:trPr>
          <w:trHeight w:val="340"/>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U.S.</w:t>
            </w:r>
          </w:p>
        </w:tc>
        <w:tc>
          <w:tcPr>
            <w:tcW w:w="440" w:type="dxa"/>
            <w:vAlign w:val="bottom"/>
            <w:tcBorders>
              <w:bottom w:val="single" w:sz="8" w:color="838383"/>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262626"/>
                <w:w w:val="88"/>
              </w:rPr>
              <w:t>$</w:t>
            </w: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579,531,611</w:t>
            </w:r>
          </w:p>
        </w:tc>
        <w:tc>
          <w:tcPr>
            <w:tcW w:w="52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542,690,346</w:t>
            </w:r>
          </w:p>
        </w:tc>
        <w:tc>
          <w:tcPr>
            <w:tcW w:w="58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519,337,271</w:t>
            </w:r>
          </w:p>
        </w:tc>
      </w:tr>
      <w:tr>
        <w:trPr>
          <w:trHeight w:val="340"/>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Germany</w:t>
            </w:r>
          </w:p>
        </w:tc>
        <w:tc>
          <w:tcPr>
            <w:tcW w:w="20" w:type="dxa"/>
            <w:vAlign w:val="bottom"/>
            <w:tcBorders>
              <w:bottom w:val="single" w:sz="8" w:color="838383"/>
            </w:tcBorders>
          </w:tcPr>
          <w:p>
            <w:pPr>
              <w:spacing w:after="0"/>
              <w:rPr>
                <w:sz w:val="24"/>
                <w:szCs w:val="24"/>
                <w:color w:val="auto"/>
              </w:rPr>
            </w:pPr>
          </w:p>
        </w:tc>
        <w:tc>
          <w:tcPr>
            <w:tcW w:w="42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266,498,398</w:t>
            </w:r>
          </w:p>
        </w:tc>
        <w:tc>
          <w:tcPr>
            <w:tcW w:w="52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234,994,551</w:t>
            </w:r>
          </w:p>
        </w:tc>
        <w:tc>
          <w:tcPr>
            <w:tcW w:w="5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228,652,827</w:t>
            </w:r>
          </w:p>
        </w:tc>
      </w:tr>
      <w:tr>
        <w:trPr>
          <w:trHeight w:val="340"/>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Japan</w:t>
            </w:r>
          </w:p>
        </w:tc>
        <w:tc>
          <w:tcPr>
            <w:tcW w:w="20" w:type="dxa"/>
            <w:vAlign w:val="bottom"/>
            <w:tcBorders>
              <w:bottom w:val="single" w:sz="8" w:color="838383"/>
            </w:tcBorders>
          </w:tcPr>
          <w:p>
            <w:pPr>
              <w:spacing w:after="0"/>
              <w:rPr>
                <w:sz w:val="24"/>
                <w:szCs w:val="24"/>
                <w:color w:val="auto"/>
              </w:rPr>
            </w:pPr>
          </w:p>
        </w:tc>
        <w:tc>
          <w:tcPr>
            <w:tcW w:w="42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234,888,653</w:t>
            </w:r>
          </w:p>
        </w:tc>
        <w:tc>
          <w:tcPr>
            <w:tcW w:w="52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211,417,475</w:t>
            </w:r>
          </w:p>
        </w:tc>
        <w:tc>
          <w:tcPr>
            <w:tcW w:w="5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216,100,530</w:t>
            </w:r>
          </w:p>
        </w:tc>
      </w:tr>
      <w:tr>
        <w:trPr>
          <w:trHeight w:val="340"/>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Mexico</w:t>
            </w:r>
          </w:p>
        </w:tc>
        <w:tc>
          <w:tcPr>
            <w:tcW w:w="20" w:type="dxa"/>
            <w:vAlign w:val="bottom"/>
            <w:tcBorders>
              <w:bottom w:val="single" w:sz="8" w:color="838383"/>
            </w:tcBorders>
          </w:tcPr>
          <w:p>
            <w:pPr>
              <w:spacing w:after="0"/>
              <w:rPr>
                <w:sz w:val="24"/>
                <w:szCs w:val="24"/>
                <w:color w:val="auto"/>
              </w:rPr>
            </w:pPr>
          </w:p>
        </w:tc>
        <w:tc>
          <w:tcPr>
            <w:tcW w:w="42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121,553,711</w:t>
            </w:r>
          </w:p>
        </w:tc>
        <w:tc>
          <w:tcPr>
            <w:tcW w:w="52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111,761,245</w:t>
            </w:r>
          </w:p>
        </w:tc>
        <w:tc>
          <w:tcPr>
            <w:tcW w:w="5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127,157,684</w:t>
            </w:r>
          </w:p>
        </w:tc>
      </w:tr>
      <w:tr>
        <w:trPr>
          <w:trHeight w:val="355"/>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Other</w:t>
            </w:r>
          </w:p>
        </w:tc>
        <w:tc>
          <w:tcPr>
            <w:tcW w:w="20" w:type="dxa"/>
            <w:vAlign w:val="bottom"/>
            <w:tcBorders>
              <w:bottom w:val="single" w:sz="8" w:color="838383"/>
            </w:tcBorders>
          </w:tcPr>
          <w:p>
            <w:pPr>
              <w:spacing w:after="0"/>
              <w:rPr>
                <w:sz w:val="24"/>
                <w:szCs w:val="24"/>
                <w:color w:val="auto"/>
              </w:rPr>
            </w:pPr>
          </w:p>
        </w:tc>
        <w:tc>
          <w:tcPr>
            <w:tcW w:w="420" w:type="dxa"/>
            <w:vAlign w:val="bottom"/>
            <w:tcBorders>
              <w:bottom w:val="single" w:sz="8" w:color="8F8F8F"/>
            </w:tcBorders>
          </w:tcPr>
          <w:p>
            <w:pPr>
              <w:spacing w:after="0"/>
              <w:rPr>
                <w:sz w:val="24"/>
                <w:szCs w:val="24"/>
                <w:color w:val="auto"/>
              </w:rPr>
            </w:pP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672,270,085</w:t>
            </w:r>
          </w:p>
        </w:tc>
        <w:tc>
          <w:tcPr>
            <w:tcW w:w="520" w:type="dxa"/>
            <w:vAlign w:val="bottom"/>
            <w:tcBorders>
              <w:bottom w:val="single" w:sz="8" w:color="8F8F8F"/>
            </w:tcBorders>
          </w:tcPr>
          <w:p>
            <w:pPr>
              <w:spacing w:after="0"/>
              <w:rPr>
                <w:sz w:val="24"/>
                <w:szCs w:val="24"/>
                <w:color w:val="auto"/>
              </w:rPr>
            </w:pP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596,324,417</w:t>
            </w:r>
          </w:p>
        </w:tc>
        <w:tc>
          <w:tcPr>
            <w:tcW w:w="580" w:type="dxa"/>
            <w:vAlign w:val="bottom"/>
            <w:tcBorders>
              <w:bottom w:val="single" w:sz="8" w:color="8F8F8F"/>
            </w:tcBorders>
          </w:tcPr>
          <w:p>
            <w:pPr>
              <w:spacing w:after="0"/>
              <w:rPr>
                <w:sz w:val="24"/>
                <w:szCs w:val="24"/>
                <w:color w:val="auto"/>
              </w:rPr>
            </w:pPr>
          </w:p>
        </w:tc>
        <w:tc>
          <w:tcPr>
            <w:tcW w:w="13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556,949,831</w:t>
            </w:r>
          </w:p>
        </w:tc>
      </w:tr>
      <w:tr>
        <w:trPr>
          <w:trHeight w:val="325"/>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Total Automotive Products</w:t>
            </w:r>
          </w:p>
        </w:tc>
        <w:tc>
          <w:tcPr>
            <w:tcW w:w="440" w:type="dxa"/>
            <w:vAlign w:val="bottom"/>
            <w:tcBorders>
              <w:bottom w:val="single" w:sz="8" w:color="838383"/>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262626"/>
                <w:w w:val="88"/>
              </w:rPr>
              <w:t>$</w:t>
            </w: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1,874,742,458</w:t>
            </w:r>
          </w:p>
        </w:tc>
        <w:tc>
          <w:tcPr>
            <w:tcW w:w="52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1,697,188,034</w:t>
            </w:r>
          </w:p>
        </w:tc>
        <w:tc>
          <w:tcPr>
            <w:tcW w:w="58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1,648,198,143</w:t>
            </w:r>
          </w:p>
        </w:tc>
      </w:tr>
      <w:tr>
        <w:trPr>
          <w:trHeight w:val="355"/>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Other Products (U.S.)</w:t>
            </w:r>
          </w:p>
        </w:tc>
        <w:tc>
          <w:tcPr>
            <w:tcW w:w="20" w:type="dxa"/>
            <w:vAlign w:val="bottom"/>
            <w:tcBorders>
              <w:bottom w:val="single" w:sz="8" w:color="838383"/>
            </w:tcBorders>
          </w:tcPr>
          <w:p>
            <w:pPr>
              <w:spacing w:after="0"/>
              <w:rPr>
                <w:sz w:val="24"/>
                <w:szCs w:val="24"/>
                <w:color w:val="auto"/>
              </w:rPr>
            </w:pPr>
          </w:p>
        </w:tc>
        <w:tc>
          <w:tcPr>
            <w:tcW w:w="420" w:type="dxa"/>
            <w:vAlign w:val="bottom"/>
            <w:tcBorders>
              <w:bottom w:val="single" w:sz="8" w:color="8F8F8F"/>
            </w:tcBorders>
          </w:tcPr>
          <w:p>
            <w:pPr>
              <w:spacing w:after="0"/>
              <w:rPr>
                <w:sz w:val="24"/>
                <w:szCs w:val="24"/>
                <w:color w:val="auto"/>
              </w:rPr>
            </w:pP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44,215,585</w:t>
            </w:r>
          </w:p>
        </w:tc>
        <w:tc>
          <w:tcPr>
            <w:tcW w:w="520" w:type="dxa"/>
            <w:vAlign w:val="bottom"/>
            <w:tcBorders>
              <w:bottom w:val="single" w:sz="8" w:color="8F8F8F"/>
            </w:tcBorders>
          </w:tcPr>
          <w:p>
            <w:pPr>
              <w:spacing w:after="0"/>
              <w:rPr>
                <w:sz w:val="24"/>
                <w:szCs w:val="24"/>
                <w:color w:val="auto"/>
              </w:rPr>
            </w:pP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33,981,895</w:t>
            </w:r>
          </w:p>
        </w:tc>
        <w:tc>
          <w:tcPr>
            <w:tcW w:w="580" w:type="dxa"/>
            <w:vAlign w:val="bottom"/>
            <w:tcBorders>
              <w:bottom w:val="single" w:sz="8" w:color="8F8F8F"/>
            </w:tcBorders>
          </w:tcPr>
          <w:p>
            <w:pPr>
              <w:spacing w:after="0"/>
              <w:rPr>
                <w:sz w:val="24"/>
                <w:szCs w:val="24"/>
                <w:color w:val="auto"/>
              </w:rPr>
            </w:pPr>
          </w:p>
        </w:tc>
        <w:tc>
          <w:tcPr>
            <w:tcW w:w="13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39,991,262</w:t>
            </w:r>
          </w:p>
        </w:tc>
      </w:tr>
      <w:tr>
        <w:trPr>
          <w:trHeight w:val="3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262626"/>
              </w:rPr>
              <w:t>Total Revenue</w:t>
            </w:r>
          </w:p>
        </w:tc>
        <w:tc>
          <w:tcPr>
            <w:tcW w:w="440" w:type="dxa"/>
            <w:vAlign w:val="bottom"/>
            <w:tcBorders>
              <w:bottom w:val="single" w:sz="8" w:color="8F8F8F"/>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262626"/>
                <w:w w:val="88"/>
              </w:rPr>
              <w:t>$</w:t>
            </w: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1,918,958,043</w:t>
            </w:r>
          </w:p>
        </w:tc>
        <w:tc>
          <w:tcPr>
            <w:tcW w:w="520" w:type="dxa"/>
            <w:vAlign w:val="bottom"/>
            <w:tcBorders>
              <w:bottom w:val="single" w:sz="8" w:color="8F8F8F"/>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1,731,169,929</w:t>
            </w:r>
          </w:p>
        </w:tc>
        <w:tc>
          <w:tcPr>
            <w:tcW w:w="580" w:type="dxa"/>
            <w:vAlign w:val="bottom"/>
            <w:tcBorders>
              <w:bottom w:val="single" w:sz="8" w:color="8F8F8F"/>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3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1,688,189,405</w:t>
            </w:r>
          </w:p>
        </w:tc>
      </w:tr>
      <w:tr>
        <w:trPr>
          <w:trHeight w:val="20"/>
        </w:trPr>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8F8F8F"/>
            </w:tcBorders>
          </w:tcPr>
          <w:p>
            <w:pPr>
              <w:spacing w:after="0" w:line="20" w:lineRule="exact"/>
              <w:rPr>
                <w:sz w:val="1"/>
                <w:szCs w:val="1"/>
                <w:color w:val="auto"/>
              </w:rPr>
            </w:pPr>
          </w:p>
        </w:tc>
        <w:tc>
          <w:tcPr>
            <w:tcW w:w="1460" w:type="dxa"/>
            <w:vAlign w:val="bottom"/>
            <w:tcBorders>
              <w:bottom w:val="single" w:sz="8" w:color="8F8F8F"/>
            </w:tcBorders>
          </w:tcPr>
          <w:p>
            <w:pPr>
              <w:spacing w:after="0" w:line="20" w:lineRule="exact"/>
              <w:rPr>
                <w:sz w:val="1"/>
                <w:szCs w:val="1"/>
                <w:color w:val="auto"/>
              </w:rPr>
            </w:pPr>
          </w:p>
        </w:tc>
        <w:tc>
          <w:tcPr>
            <w:tcW w:w="520" w:type="dxa"/>
            <w:vAlign w:val="bottom"/>
            <w:tcBorders>
              <w:bottom w:val="single" w:sz="8" w:color="8F8F8F"/>
            </w:tcBorders>
          </w:tcPr>
          <w:p>
            <w:pPr>
              <w:spacing w:after="0" w:line="20" w:lineRule="exact"/>
              <w:rPr>
                <w:sz w:val="1"/>
                <w:szCs w:val="1"/>
                <w:color w:val="auto"/>
              </w:rPr>
            </w:pPr>
          </w:p>
        </w:tc>
        <w:tc>
          <w:tcPr>
            <w:tcW w:w="1460" w:type="dxa"/>
            <w:vAlign w:val="bottom"/>
            <w:tcBorders>
              <w:bottom w:val="single" w:sz="8" w:color="8F8F8F"/>
            </w:tcBorders>
          </w:tcPr>
          <w:p>
            <w:pPr>
              <w:spacing w:after="0" w:line="20" w:lineRule="exact"/>
              <w:rPr>
                <w:sz w:val="1"/>
                <w:szCs w:val="1"/>
                <w:color w:val="auto"/>
              </w:rPr>
            </w:pPr>
          </w:p>
        </w:tc>
        <w:tc>
          <w:tcPr>
            <w:tcW w:w="580" w:type="dxa"/>
            <w:vAlign w:val="bottom"/>
            <w:tcBorders>
              <w:bottom w:val="single" w:sz="8" w:color="8F8F8F"/>
            </w:tcBorders>
          </w:tcPr>
          <w:p>
            <w:pPr>
              <w:spacing w:after="0" w:line="20" w:lineRule="exact"/>
              <w:rPr>
                <w:sz w:val="1"/>
                <w:szCs w:val="1"/>
                <w:color w:val="auto"/>
              </w:rPr>
            </w:pPr>
          </w:p>
        </w:tc>
        <w:tc>
          <w:tcPr>
            <w:tcW w:w="1300" w:type="dxa"/>
            <w:vAlign w:val="bottom"/>
            <w:tcBorders>
              <w:bottom w:val="single" w:sz="8" w:color="8F8F8F"/>
            </w:tcBorders>
          </w:tcPr>
          <w:p>
            <w:pPr>
              <w:spacing w:after="0" w:line="20" w:lineRule="exact"/>
              <w:rPr>
                <w:sz w:val="1"/>
                <w:szCs w:val="1"/>
                <w:color w:val="auto"/>
              </w:rPr>
            </w:pPr>
          </w:p>
        </w:tc>
      </w:tr>
    </w:tbl>
    <w:p>
      <w:pPr>
        <w:spacing w:after="0" w:line="200" w:lineRule="exact"/>
        <w:rPr>
          <w:sz w:val="20"/>
          <w:szCs w:val="20"/>
          <w:color w:val="auto"/>
        </w:rPr>
      </w:pPr>
    </w:p>
    <w:p>
      <w:pPr>
        <w:ind w:right="420"/>
        <w:spacing w:after="0" w:line="362" w:lineRule="auto"/>
        <w:rPr>
          <w:sz w:val="20"/>
          <w:szCs w:val="20"/>
          <w:color w:val="auto"/>
        </w:rPr>
      </w:pPr>
      <w:r>
        <w:rPr>
          <w:rFonts w:ascii="Times New Roman" w:cs="Times New Roman" w:eastAsia="Times New Roman" w:hAnsi="Times New Roman"/>
          <w:sz w:val="18"/>
          <w:szCs w:val="18"/>
          <w:color w:val="262626"/>
        </w:rPr>
        <w:t>Revenue by geographic area may fluctuate based on many factors, including: exposure to local economic, political and labor conditions;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52" w:lineRule="exact"/>
        <w:rPr>
          <w:sz w:val="20"/>
          <w:szCs w:val="20"/>
          <w:color w:val="auto"/>
        </w:rPr>
      </w:pPr>
    </w:p>
    <w:p>
      <w:pPr>
        <w:ind w:right="320"/>
        <w:spacing w:after="0" w:line="437" w:lineRule="auto"/>
        <w:rPr>
          <w:sz w:val="20"/>
          <w:szCs w:val="20"/>
          <w:color w:val="auto"/>
        </w:rPr>
      </w:pPr>
      <w:r>
        <w:rPr>
          <w:rFonts w:ascii="Times New Roman" w:cs="Times New Roman" w:eastAsia="Times New Roman" w:hAnsi="Times New Roman"/>
          <w:sz w:val="18"/>
          <w:szCs w:val="18"/>
          <w:color w:val="262626"/>
        </w:rPr>
        <w:t>The following table disaggregates the Company’s Automotive and Other revenue by major source for the years ended December 31, 2022, 2021, and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262626"/>
              </w:rPr>
              <w:t>For the Years Ended December 31,</w:t>
            </w:r>
          </w:p>
        </w:tc>
        <w:tc>
          <w:tcPr>
            <w:tcW w:w="1300" w:type="dxa"/>
            <w:vAlign w:val="bottom"/>
          </w:tcPr>
          <w:p>
            <w:pPr>
              <w:spacing w:after="0"/>
              <w:rPr>
                <w:sz w:val="24"/>
                <w:szCs w:val="24"/>
                <w:color w:val="auto"/>
              </w:rPr>
            </w:pPr>
          </w:p>
        </w:tc>
      </w:tr>
      <w:tr>
        <w:trPr>
          <w:trHeight w:val="360"/>
        </w:trPr>
        <w:tc>
          <w:tcPr>
            <w:tcW w:w="4680" w:type="dxa"/>
            <w:vAlign w:val="bottom"/>
          </w:tcPr>
          <w:p>
            <w:pPr>
              <w:spacing w:after="0"/>
              <w:rPr>
                <w:sz w:val="20"/>
                <w:szCs w:val="20"/>
                <w:color w:val="auto"/>
              </w:rPr>
            </w:pPr>
            <w:r>
              <w:rPr>
                <w:rFonts w:ascii="Arial" w:cs="Arial" w:eastAsia="Arial" w:hAnsi="Arial"/>
                <w:sz w:val="18"/>
                <w:szCs w:val="18"/>
                <w:b w:val="1"/>
                <w:bCs w:val="1"/>
                <w:color w:val="262626"/>
              </w:rPr>
              <w:t>Revenue</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2022</w:t>
            </w:r>
          </w:p>
        </w:tc>
        <w:tc>
          <w:tcPr>
            <w:tcW w:w="5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262626"/>
              </w:rPr>
              <w:t>2021</w:t>
            </w:r>
          </w:p>
        </w:tc>
        <w:tc>
          <w:tcPr>
            <w:tcW w:w="5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262626"/>
              </w:rPr>
              <w:t>2020</w:t>
            </w:r>
          </w:p>
        </w:tc>
      </w:tr>
      <w:tr>
        <w:trPr>
          <w:trHeight w:val="343"/>
        </w:trPr>
        <w:tc>
          <w:tcPr>
            <w:tcW w:w="468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Automotive Segment</w:t>
            </w:r>
          </w:p>
        </w:tc>
        <w:tc>
          <w:tcPr>
            <w:tcW w:w="20" w:type="dxa"/>
            <w:vAlign w:val="bottom"/>
            <w:tcBorders>
              <w:bottom w:val="single" w:sz="8" w:color="838383"/>
            </w:tcBorders>
          </w:tcPr>
          <w:p>
            <w:pPr>
              <w:spacing w:after="0"/>
              <w:rPr>
                <w:sz w:val="24"/>
                <w:szCs w:val="24"/>
                <w:color w:val="auto"/>
              </w:rPr>
            </w:pPr>
          </w:p>
        </w:tc>
        <w:tc>
          <w:tcPr>
            <w:tcW w:w="42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spacing w:after="0"/>
              <w:rPr>
                <w:sz w:val="24"/>
                <w:szCs w:val="24"/>
                <w:color w:val="auto"/>
              </w:rPr>
            </w:pPr>
          </w:p>
        </w:tc>
        <w:tc>
          <w:tcPr>
            <w:tcW w:w="52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spacing w:after="0"/>
              <w:rPr>
                <w:sz w:val="24"/>
                <w:szCs w:val="24"/>
                <w:color w:val="auto"/>
              </w:rPr>
            </w:pPr>
          </w:p>
        </w:tc>
        <w:tc>
          <w:tcPr>
            <w:tcW w:w="5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spacing w:after="0"/>
              <w:rPr>
                <w:sz w:val="24"/>
                <w:szCs w:val="24"/>
                <w:color w:val="auto"/>
              </w:rPr>
            </w:pPr>
          </w:p>
        </w:tc>
      </w:tr>
      <w:tr>
        <w:trPr>
          <w:trHeight w:val="340"/>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Automotive Mirrors &amp; Electronics</w:t>
            </w:r>
          </w:p>
        </w:tc>
        <w:tc>
          <w:tcPr>
            <w:tcW w:w="440" w:type="dxa"/>
            <w:vAlign w:val="bottom"/>
            <w:tcBorders>
              <w:bottom w:val="single" w:sz="8" w:color="838383"/>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262626"/>
                <w:w w:val="88"/>
              </w:rPr>
              <w:t>$</w:t>
            </w: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1,742,196,401</w:t>
            </w:r>
          </w:p>
        </w:tc>
        <w:tc>
          <w:tcPr>
            <w:tcW w:w="52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1,563,424,443</w:t>
            </w:r>
          </w:p>
        </w:tc>
        <w:tc>
          <w:tcPr>
            <w:tcW w:w="58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1,520,628,604</w:t>
            </w:r>
          </w:p>
        </w:tc>
      </w:tr>
      <w:tr>
        <w:trPr>
          <w:trHeight w:val="355"/>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HomeLink Modules*</w:t>
            </w:r>
          </w:p>
        </w:tc>
        <w:tc>
          <w:tcPr>
            <w:tcW w:w="20" w:type="dxa"/>
            <w:vAlign w:val="bottom"/>
            <w:tcBorders>
              <w:bottom w:val="single" w:sz="8" w:color="838383"/>
            </w:tcBorders>
          </w:tcPr>
          <w:p>
            <w:pPr>
              <w:spacing w:after="0"/>
              <w:rPr>
                <w:sz w:val="24"/>
                <w:szCs w:val="24"/>
                <w:color w:val="auto"/>
              </w:rPr>
            </w:pPr>
          </w:p>
        </w:tc>
        <w:tc>
          <w:tcPr>
            <w:tcW w:w="420" w:type="dxa"/>
            <w:vAlign w:val="bottom"/>
            <w:tcBorders>
              <w:bottom w:val="single" w:sz="8" w:color="8F8F8F"/>
            </w:tcBorders>
          </w:tcPr>
          <w:p>
            <w:pPr>
              <w:spacing w:after="0"/>
              <w:rPr>
                <w:sz w:val="24"/>
                <w:szCs w:val="24"/>
                <w:color w:val="auto"/>
              </w:rPr>
            </w:pP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132,546,057</w:t>
            </w:r>
          </w:p>
        </w:tc>
        <w:tc>
          <w:tcPr>
            <w:tcW w:w="520" w:type="dxa"/>
            <w:vAlign w:val="bottom"/>
            <w:tcBorders>
              <w:bottom w:val="single" w:sz="8" w:color="8F8F8F"/>
            </w:tcBorders>
          </w:tcPr>
          <w:p>
            <w:pPr>
              <w:spacing w:after="0"/>
              <w:rPr>
                <w:sz w:val="24"/>
                <w:szCs w:val="24"/>
                <w:color w:val="auto"/>
              </w:rPr>
            </w:pP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133,763,591</w:t>
            </w:r>
          </w:p>
        </w:tc>
        <w:tc>
          <w:tcPr>
            <w:tcW w:w="580" w:type="dxa"/>
            <w:vAlign w:val="bottom"/>
            <w:tcBorders>
              <w:bottom w:val="single" w:sz="8" w:color="8F8F8F"/>
            </w:tcBorders>
          </w:tcPr>
          <w:p>
            <w:pPr>
              <w:spacing w:after="0"/>
              <w:rPr>
                <w:sz w:val="24"/>
                <w:szCs w:val="24"/>
                <w:color w:val="auto"/>
              </w:rPr>
            </w:pPr>
          </w:p>
        </w:tc>
        <w:tc>
          <w:tcPr>
            <w:tcW w:w="13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127,569,539</w:t>
            </w:r>
          </w:p>
        </w:tc>
      </w:tr>
      <w:tr>
        <w:trPr>
          <w:trHeight w:val="34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262626"/>
              </w:rPr>
              <w:t>Total Automotive Products</w:t>
            </w:r>
          </w:p>
        </w:tc>
        <w:tc>
          <w:tcPr>
            <w:tcW w:w="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262626"/>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1,874,742,458</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62626"/>
              </w:rPr>
              <w:t>1,697,188,034</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1,648,198,143</w:t>
            </w:r>
          </w:p>
        </w:tc>
      </w:tr>
      <w:tr>
        <w:trPr>
          <w:trHeight w:val="325"/>
        </w:trPr>
        <w:tc>
          <w:tcPr>
            <w:tcW w:w="4680" w:type="dxa"/>
            <w:vAlign w:val="bottom"/>
            <w:tcBorders>
              <w:top w:val="single" w:sz="8" w:color="838383"/>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Other Segment</w:t>
            </w:r>
          </w:p>
        </w:tc>
        <w:tc>
          <w:tcPr>
            <w:tcW w:w="20" w:type="dxa"/>
            <w:vAlign w:val="bottom"/>
            <w:tcBorders>
              <w:top w:val="single" w:sz="8" w:color="838383"/>
              <w:bottom w:val="single" w:sz="8" w:color="838383"/>
            </w:tcBorders>
          </w:tcPr>
          <w:p>
            <w:pPr>
              <w:spacing w:after="0"/>
              <w:rPr>
                <w:sz w:val="24"/>
                <w:szCs w:val="24"/>
                <w:color w:val="auto"/>
              </w:rPr>
            </w:pPr>
          </w:p>
        </w:tc>
        <w:tc>
          <w:tcPr>
            <w:tcW w:w="420" w:type="dxa"/>
            <w:vAlign w:val="bottom"/>
            <w:tcBorders>
              <w:top w:val="single" w:sz="8" w:color="8F8F8F"/>
              <w:bottom w:val="single" w:sz="8" w:color="838383"/>
            </w:tcBorders>
          </w:tcPr>
          <w:p>
            <w:pPr>
              <w:spacing w:after="0"/>
              <w:rPr>
                <w:sz w:val="24"/>
                <w:szCs w:val="24"/>
                <w:color w:val="auto"/>
              </w:rPr>
            </w:pPr>
          </w:p>
        </w:tc>
        <w:tc>
          <w:tcPr>
            <w:tcW w:w="1460" w:type="dxa"/>
            <w:vAlign w:val="bottom"/>
            <w:tcBorders>
              <w:top w:val="single" w:sz="8" w:color="8F8F8F"/>
              <w:bottom w:val="single" w:sz="8" w:color="838383"/>
            </w:tcBorders>
          </w:tcPr>
          <w:p>
            <w:pPr>
              <w:spacing w:after="0"/>
              <w:rPr>
                <w:sz w:val="24"/>
                <w:szCs w:val="24"/>
                <w:color w:val="auto"/>
              </w:rPr>
            </w:pPr>
          </w:p>
        </w:tc>
        <w:tc>
          <w:tcPr>
            <w:tcW w:w="520" w:type="dxa"/>
            <w:vAlign w:val="bottom"/>
            <w:tcBorders>
              <w:top w:val="single" w:sz="8" w:color="8F8F8F"/>
              <w:bottom w:val="single" w:sz="8" w:color="838383"/>
            </w:tcBorders>
          </w:tcPr>
          <w:p>
            <w:pPr>
              <w:spacing w:after="0"/>
              <w:rPr>
                <w:sz w:val="24"/>
                <w:szCs w:val="24"/>
                <w:color w:val="auto"/>
              </w:rPr>
            </w:pPr>
          </w:p>
        </w:tc>
        <w:tc>
          <w:tcPr>
            <w:tcW w:w="1460" w:type="dxa"/>
            <w:vAlign w:val="bottom"/>
            <w:tcBorders>
              <w:top w:val="single" w:sz="8" w:color="8F8F8F"/>
              <w:bottom w:val="single" w:sz="8" w:color="838383"/>
            </w:tcBorders>
          </w:tcPr>
          <w:p>
            <w:pPr>
              <w:spacing w:after="0"/>
              <w:rPr>
                <w:sz w:val="24"/>
                <w:szCs w:val="24"/>
                <w:color w:val="auto"/>
              </w:rPr>
            </w:pPr>
          </w:p>
        </w:tc>
        <w:tc>
          <w:tcPr>
            <w:tcW w:w="580" w:type="dxa"/>
            <w:vAlign w:val="bottom"/>
            <w:tcBorders>
              <w:top w:val="single" w:sz="8" w:color="8F8F8F"/>
              <w:bottom w:val="single" w:sz="8" w:color="838383"/>
            </w:tcBorders>
          </w:tcPr>
          <w:p>
            <w:pPr>
              <w:spacing w:after="0"/>
              <w:rPr>
                <w:sz w:val="24"/>
                <w:szCs w:val="24"/>
                <w:color w:val="auto"/>
              </w:rPr>
            </w:pPr>
          </w:p>
        </w:tc>
        <w:tc>
          <w:tcPr>
            <w:tcW w:w="1300" w:type="dxa"/>
            <w:vAlign w:val="bottom"/>
            <w:tcBorders>
              <w:top w:val="single" w:sz="8" w:color="8F8F8F"/>
              <w:bottom w:val="single" w:sz="8" w:color="838383"/>
            </w:tcBorders>
          </w:tcPr>
          <w:p>
            <w:pPr>
              <w:spacing w:after="0"/>
              <w:rPr>
                <w:sz w:val="24"/>
                <w:szCs w:val="24"/>
                <w:color w:val="auto"/>
              </w:rPr>
            </w:pPr>
          </w:p>
        </w:tc>
      </w:tr>
      <w:tr>
        <w:trPr>
          <w:trHeight w:val="340"/>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Fire Protection Products</w:t>
            </w:r>
          </w:p>
        </w:tc>
        <w:tc>
          <w:tcPr>
            <w:tcW w:w="440" w:type="dxa"/>
            <w:vAlign w:val="bottom"/>
            <w:tcBorders>
              <w:bottom w:val="single" w:sz="8" w:color="838383"/>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262626"/>
                <w:w w:val="88"/>
              </w:rPr>
              <w:t>$</w:t>
            </w: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38,238,092</w:t>
            </w:r>
          </w:p>
        </w:tc>
        <w:tc>
          <w:tcPr>
            <w:tcW w:w="520" w:type="dxa"/>
            <w:vAlign w:val="bottom"/>
            <w:tcBorders>
              <w:bottom w:val="single" w:sz="8" w:color="838383"/>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25,048,697</w:t>
            </w:r>
          </w:p>
        </w:tc>
        <w:tc>
          <w:tcPr>
            <w:tcW w:w="580" w:type="dxa"/>
            <w:vAlign w:val="bottom"/>
            <w:tcBorders>
              <w:bottom w:val="single" w:sz="8" w:color="838383"/>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22,716,985</w:t>
            </w:r>
          </w:p>
        </w:tc>
      </w:tr>
      <w:tr>
        <w:trPr>
          <w:trHeight w:val="340"/>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Windows Products</w:t>
            </w:r>
          </w:p>
        </w:tc>
        <w:tc>
          <w:tcPr>
            <w:tcW w:w="20" w:type="dxa"/>
            <w:vAlign w:val="bottom"/>
            <w:tcBorders>
              <w:bottom w:val="single" w:sz="8" w:color="838383"/>
            </w:tcBorders>
          </w:tcPr>
          <w:p>
            <w:pPr>
              <w:spacing w:after="0"/>
              <w:rPr>
                <w:sz w:val="24"/>
                <w:szCs w:val="24"/>
                <w:color w:val="auto"/>
              </w:rPr>
            </w:pPr>
          </w:p>
        </w:tc>
        <w:tc>
          <w:tcPr>
            <w:tcW w:w="42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5,977,493</w:t>
            </w:r>
          </w:p>
        </w:tc>
        <w:tc>
          <w:tcPr>
            <w:tcW w:w="520" w:type="dxa"/>
            <w:vAlign w:val="bottom"/>
            <w:tcBorders>
              <w:bottom w:val="single" w:sz="8" w:color="838383"/>
            </w:tcBorders>
          </w:tcPr>
          <w:p>
            <w:pPr>
              <w:spacing w:after="0"/>
              <w:rPr>
                <w:sz w:val="24"/>
                <w:szCs w:val="24"/>
                <w:color w:val="auto"/>
              </w:rPr>
            </w:pPr>
          </w:p>
        </w:tc>
        <w:tc>
          <w:tcPr>
            <w:tcW w:w="1460" w:type="dxa"/>
            <w:vAlign w:val="bottom"/>
            <w:tcBorders>
              <w:bottom w:val="single" w:sz="8" w:color="838383"/>
            </w:tcBorders>
          </w:tcPr>
          <w:p>
            <w:pPr>
              <w:jc w:val="right"/>
              <w:ind w:right="10"/>
              <w:spacing w:after="0"/>
              <w:rPr>
                <w:sz w:val="20"/>
                <w:szCs w:val="20"/>
                <w:color w:val="auto"/>
              </w:rPr>
            </w:pPr>
            <w:r>
              <w:rPr>
                <w:rFonts w:ascii="Times New Roman" w:cs="Times New Roman" w:eastAsia="Times New Roman" w:hAnsi="Times New Roman"/>
                <w:sz w:val="18"/>
                <w:szCs w:val="18"/>
                <w:color w:val="262626"/>
              </w:rPr>
              <w:t>8,914,798</w:t>
            </w:r>
          </w:p>
        </w:tc>
        <w:tc>
          <w:tcPr>
            <w:tcW w:w="580" w:type="dxa"/>
            <w:vAlign w:val="bottom"/>
            <w:tcBorders>
              <w:bottom w:val="single" w:sz="8" w:color="838383"/>
            </w:tcBorders>
          </w:tcPr>
          <w:p>
            <w:pPr>
              <w:spacing w:after="0"/>
              <w:rPr>
                <w:sz w:val="24"/>
                <w:szCs w:val="24"/>
                <w:color w:val="auto"/>
              </w:rPr>
            </w:pPr>
          </w:p>
        </w:tc>
        <w:tc>
          <w:tcPr>
            <w:tcW w:w="1300" w:type="dxa"/>
            <w:vAlign w:val="bottom"/>
            <w:tcBorders>
              <w:bottom w:val="single" w:sz="8" w:color="838383"/>
            </w:tcBorders>
          </w:tcPr>
          <w:p>
            <w:pPr>
              <w:jc w:val="right"/>
              <w:spacing w:after="0"/>
              <w:rPr>
                <w:sz w:val="20"/>
                <w:szCs w:val="20"/>
                <w:color w:val="auto"/>
              </w:rPr>
            </w:pPr>
            <w:r>
              <w:rPr>
                <w:rFonts w:ascii="Times New Roman" w:cs="Times New Roman" w:eastAsia="Times New Roman" w:hAnsi="Times New Roman"/>
                <w:sz w:val="18"/>
                <w:szCs w:val="18"/>
                <w:color w:val="262626"/>
              </w:rPr>
              <w:t>17,274,277</w:t>
            </w:r>
          </w:p>
        </w:tc>
      </w:tr>
      <w:tr>
        <w:trPr>
          <w:trHeight w:val="355"/>
        </w:trPr>
        <w:tc>
          <w:tcPr>
            <w:tcW w:w="4680" w:type="dxa"/>
            <w:vAlign w:val="bottom"/>
            <w:tcBorders>
              <w:bottom w:val="single" w:sz="8" w:color="838383"/>
            </w:tcBorders>
          </w:tcPr>
          <w:p>
            <w:pPr>
              <w:ind w:left="360"/>
              <w:spacing w:after="0"/>
              <w:rPr>
                <w:sz w:val="20"/>
                <w:szCs w:val="20"/>
                <w:color w:val="auto"/>
              </w:rPr>
            </w:pPr>
            <w:r>
              <w:rPr>
                <w:rFonts w:ascii="Times New Roman" w:cs="Times New Roman" w:eastAsia="Times New Roman" w:hAnsi="Times New Roman"/>
                <w:sz w:val="18"/>
                <w:szCs w:val="18"/>
                <w:color w:val="262626"/>
              </w:rPr>
              <w:t>Nanofiber Products</w:t>
            </w:r>
          </w:p>
        </w:tc>
        <w:tc>
          <w:tcPr>
            <w:tcW w:w="20" w:type="dxa"/>
            <w:vAlign w:val="bottom"/>
            <w:tcBorders>
              <w:bottom w:val="single" w:sz="8" w:color="838383"/>
            </w:tcBorders>
          </w:tcPr>
          <w:p>
            <w:pPr>
              <w:spacing w:after="0"/>
              <w:rPr>
                <w:sz w:val="24"/>
                <w:szCs w:val="24"/>
                <w:color w:val="auto"/>
              </w:rPr>
            </w:pPr>
          </w:p>
        </w:tc>
        <w:tc>
          <w:tcPr>
            <w:tcW w:w="420" w:type="dxa"/>
            <w:vAlign w:val="bottom"/>
            <w:tcBorders>
              <w:bottom w:val="single" w:sz="8" w:color="8F8F8F"/>
            </w:tcBorders>
          </w:tcPr>
          <w:p>
            <w:pPr>
              <w:spacing w:after="0"/>
              <w:rPr>
                <w:sz w:val="24"/>
                <w:szCs w:val="24"/>
                <w:color w:val="auto"/>
              </w:rPr>
            </w:pP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w:t>
            </w:r>
          </w:p>
        </w:tc>
        <w:tc>
          <w:tcPr>
            <w:tcW w:w="520" w:type="dxa"/>
            <w:vAlign w:val="bottom"/>
            <w:tcBorders>
              <w:bottom w:val="single" w:sz="8" w:color="8F8F8F"/>
            </w:tcBorders>
          </w:tcPr>
          <w:p>
            <w:pPr>
              <w:spacing w:after="0"/>
              <w:rPr>
                <w:sz w:val="24"/>
                <w:szCs w:val="24"/>
                <w:color w:val="auto"/>
              </w:rPr>
            </w:pP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18,400</w:t>
            </w:r>
          </w:p>
        </w:tc>
        <w:tc>
          <w:tcPr>
            <w:tcW w:w="580" w:type="dxa"/>
            <w:vAlign w:val="bottom"/>
            <w:tcBorders>
              <w:bottom w:val="single" w:sz="8" w:color="8F8F8F"/>
            </w:tcBorders>
          </w:tcPr>
          <w:p>
            <w:pPr>
              <w:spacing w:after="0"/>
              <w:rPr>
                <w:sz w:val="24"/>
                <w:szCs w:val="24"/>
                <w:color w:val="auto"/>
              </w:rPr>
            </w:pPr>
          </w:p>
        </w:tc>
        <w:tc>
          <w:tcPr>
            <w:tcW w:w="13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w:t>
            </w:r>
          </w:p>
        </w:tc>
      </w:tr>
      <w:tr>
        <w:trPr>
          <w:trHeight w:val="3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262626"/>
              </w:rPr>
              <w:t>Total Other</w:t>
            </w:r>
          </w:p>
        </w:tc>
        <w:tc>
          <w:tcPr>
            <w:tcW w:w="440" w:type="dxa"/>
            <w:vAlign w:val="bottom"/>
            <w:tcBorders>
              <w:bottom w:val="single" w:sz="8" w:color="8F8F8F"/>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262626"/>
                <w:w w:val="88"/>
              </w:rPr>
              <w:t>$</w:t>
            </w: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44,215,585</w:t>
            </w:r>
          </w:p>
        </w:tc>
        <w:tc>
          <w:tcPr>
            <w:tcW w:w="520" w:type="dxa"/>
            <w:vAlign w:val="bottom"/>
            <w:tcBorders>
              <w:bottom w:val="single" w:sz="8" w:color="8F8F8F"/>
            </w:tcBorders>
          </w:tcPr>
          <w:p>
            <w:pPr>
              <w:jc w:val="right"/>
              <w:ind w:right="250"/>
              <w:spacing w:after="0"/>
              <w:rPr>
                <w:sz w:val="20"/>
                <w:szCs w:val="20"/>
                <w:color w:val="auto"/>
              </w:rPr>
            </w:pPr>
            <w:r>
              <w:rPr>
                <w:rFonts w:ascii="Times New Roman" w:cs="Times New Roman" w:eastAsia="Times New Roman" w:hAnsi="Times New Roman"/>
                <w:sz w:val="18"/>
                <w:szCs w:val="18"/>
                <w:color w:val="262626"/>
              </w:rPr>
              <w:t>$</w:t>
            </w:r>
          </w:p>
        </w:tc>
        <w:tc>
          <w:tcPr>
            <w:tcW w:w="1460" w:type="dxa"/>
            <w:vAlign w:val="bottom"/>
            <w:tcBorders>
              <w:bottom w:val="single" w:sz="8" w:color="8F8F8F"/>
            </w:tcBorders>
          </w:tcPr>
          <w:p>
            <w:pPr>
              <w:jc w:val="right"/>
              <w:ind w:right="10"/>
              <w:spacing w:after="0"/>
              <w:rPr>
                <w:sz w:val="20"/>
                <w:szCs w:val="20"/>
                <w:color w:val="auto"/>
              </w:rPr>
            </w:pPr>
            <w:r>
              <w:rPr>
                <w:rFonts w:ascii="Times New Roman" w:cs="Times New Roman" w:eastAsia="Times New Roman" w:hAnsi="Times New Roman"/>
                <w:sz w:val="18"/>
                <w:szCs w:val="18"/>
                <w:color w:val="262626"/>
              </w:rPr>
              <w:t>33,981,895</w:t>
            </w:r>
          </w:p>
        </w:tc>
        <w:tc>
          <w:tcPr>
            <w:tcW w:w="580" w:type="dxa"/>
            <w:vAlign w:val="bottom"/>
            <w:tcBorders>
              <w:bottom w:val="single" w:sz="8" w:color="8F8F8F"/>
            </w:tcBorders>
          </w:tcPr>
          <w:p>
            <w:pPr>
              <w:jc w:val="right"/>
              <w:ind w:right="310"/>
              <w:spacing w:after="0"/>
              <w:rPr>
                <w:sz w:val="20"/>
                <w:szCs w:val="20"/>
                <w:color w:val="auto"/>
              </w:rPr>
            </w:pPr>
            <w:r>
              <w:rPr>
                <w:rFonts w:ascii="Times New Roman" w:cs="Times New Roman" w:eastAsia="Times New Roman" w:hAnsi="Times New Roman"/>
                <w:sz w:val="18"/>
                <w:szCs w:val="18"/>
                <w:color w:val="262626"/>
              </w:rPr>
              <w:t>$</w:t>
            </w:r>
          </w:p>
        </w:tc>
        <w:tc>
          <w:tcPr>
            <w:tcW w:w="1300" w:type="dxa"/>
            <w:vAlign w:val="bottom"/>
            <w:tcBorders>
              <w:bottom w:val="single" w:sz="8" w:color="8F8F8F"/>
            </w:tcBorders>
          </w:tcPr>
          <w:p>
            <w:pPr>
              <w:jc w:val="right"/>
              <w:spacing w:after="0"/>
              <w:rPr>
                <w:sz w:val="20"/>
                <w:szCs w:val="20"/>
                <w:color w:val="auto"/>
              </w:rPr>
            </w:pPr>
            <w:r>
              <w:rPr>
                <w:rFonts w:ascii="Times New Roman" w:cs="Times New Roman" w:eastAsia="Times New Roman" w:hAnsi="Times New Roman"/>
                <w:sz w:val="18"/>
                <w:szCs w:val="18"/>
                <w:color w:val="262626"/>
              </w:rPr>
              <w:t>39,991,262</w:t>
            </w:r>
          </w:p>
        </w:tc>
      </w:tr>
      <w:tr>
        <w:trPr>
          <w:trHeight w:val="20"/>
        </w:trPr>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8F8F8F"/>
            </w:tcBorders>
          </w:tcPr>
          <w:p>
            <w:pPr>
              <w:spacing w:after="0" w:line="20" w:lineRule="exact"/>
              <w:rPr>
                <w:sz w:val="1"/>
                <w:szCs w:val="1"/>
                <w:color w:val="auto"/>
              </w:rPr>
            </w:pPr>
          </w:p>
        </w:tc>
        <w:tc>
          <w:tcPr>
            <w:tcW w:w="1460" w:type="dxa"/>
            <w:vAlign w:val="bottom"/>
            <w:tcBorders>
              <w:bottom w:val="single" w:sz="8" w:color="8F8F8F"/>
            </w:tcBorders>
          </w:tcPr>
          <w:p>
            <w:pPr>
              <w:spacing w:after="0" w:line="20" w:lineRule="exact"/>
              <w:rPr>
                <w:sz w:val="1"/>
                <w:szCs w:val="1"/>
                <w:color w:val="auto"/>
              </w:rPr>
            </w:pPr>
          </w:p>
        </w:tc>
        <w:tc>
          <w:tcPr>
            <w:tcW w:w="520" w:type="dxa"/>
            <w:vAlign w:val="bottom"/>
            <w:tcBorders>
              <w:bottom w:val="single" w:sz="8" w:color="8F8F8F"/>
            </w:tcBorders>
          </w:tcPr>
          <w:p>
            <w:pPr>
              <w:spacing w:after="0" w:line="20" w:lineRule="exact"/>
              <w:rPr>
                <w:sz w:val="1"/>
                <w:szCs w:val="1"/>
                <w:color w:val="auto"/>
              </w:rPr>
            </w:pPr>
          </w:p>
        </w:tc>
        <w:tc>
          <w:tcPr>
            <w:tcW w:w="1460" w:type="dxa"/>
            <w:vAlign w:val="bottom"/>
            <w:tcBorders>
              <w:bottom w:val="single" w:sz="8" w:color="8F8F8F"/>
            </w:tcBorders>
          </w:tcPr>
          <w:p>
            <w:pPr>
              <w:spacing w:after="0" w:line="20" w:lineRule="exact"/>
              <w:rPr>
                <w:sz w:val="1"/>
                <w:szCs w:val="1"/>
                <w:color w:val="auto"/>
              </w:rPr>
            </w:pPr>
          </w:p>
        </w:tc>
        <w:tc>
          <w:tcPr>
            <w:tcW w:w="580" w:type="dxa"/>
            <w:vAlign w:val="bottom"/>
            <w:tcBorders>
              <w:bottom w:val="single" w:sz="8" w:color="8F8F8F"/>
            </w:tcBorders>
          </w:tcPr>
          <w:p>
            <w:pPr>
              <w:spacing w:after="0" w:line="20" w:lineRule="exact"/>
              <w:rPr>
                <w:sz w:val="1"/>
                <w:szCs w:val="1"/>
                <w:color w:val="auto"/>
              </w:rPr>
            </w:pPr>
          </w:p>
        </w:tc>
        <w:tc>
          <w:tcPr>
            <w:tcW w:w="1300" w:type="dxa"/>
            <w:vAlign w:val="bottom"/>
            <w:tcBorders>
              <w:bottom w:val="single" w:sz="8" w:color="8F8F8F"/>
            </w:tcBorders>
          </w:tcPr>
          <w:p>
            <w:pPr>
              <w:spacing w:after="0" w:line="20" w:lineRule="exact"/>
              <w:rPr>
                <w:sz w:val="1"/>
                <w:szCs w:val="1"/>
                <w:color w:val="auto"/>
              </w:rPr>
            </w:pPr>
          </w:p>
        </w:tc>
      </w:tr>
    </w:tbl>
    <w:p>
      <w:pPr>
        <w:spacing w:after="0" w:line="142" w:lineRule="exact"/>
        <w:rPr>
          <w:sz w:val="20"/>
          <w:szCs w:val="20"/>
          <w:color w:val="auto"/>
        </w:rPr>
      </w:pPr>
    </w:p>
    <w:p>
      <w:pPr>
        <w:spacing w:after="0"/>
        <w:tabs>
          <w:tab w:leader="none" w:pos="160" w:val="left"/>
        </w:tabs>
        <w:rPr>
          <w:sz w:val="20"/>
          <w:szCs w:val="20"/>
          <w:color w:val="auto"/>
        </w:rPr>
      </w:pPr>
      <w:r>
        <w:rPr>
          <w:rFonts w:ascii="Times New Roman" w:cs="Times New Roman" w:eastAsia="Times New Roman" w:hAnsi="Times New Roman"/>
          <w:sz w:val="14"/>
          <w:szCs w:val="14"/>
          <w:color w:val="838383"/>
        </w:rPr>
        <w:t>*</w:t>
        <w:tab/>
        <w:t>Excludes HomeLink revenue related to HomeLink modules integrated into automotive mirrors.</w:t>
      </w:r>
    </w:p>
    <w:p>
      <w:pPr>
        <w:spacing w:after="0" w:line="167" w:lineRule="exact"/>
        <w:rPr>
          <w:sz w:val="20"/>
          <w:szCs w:val="20"/>
          <w:color w:val="auto"/>
        </w:rPr>
      </w:pPr>
    </w:p>
    <w:p>
      <w:pPr>
        <w:ind w:right="460"/>
        <w:spacing w:after="0" w:line="347" w:lineRule="auto"/>
        <w:rPr>
          <w:sz w:val="20"/>
          <w:szCs w:val="20"/>
          <w:color w:val="auto"/>
        </w:rPr>
      </w:pPr>
      <w:r>
        <w:rPr>
          <w:rFonts w:ascii="Times New Roman" w:cs="Times New Roman" w:eastAsia="Times New Roman" w:hAnsi="Times New Roman"/>
          <w:sz w:val="18"/>
          <w:szCs w:val="18"/>
          <w:color w:val="262626"/>
        </w:rPr>
        <w:t>Revenue is recognized when obligations under the terms of a contract with the customer are satisfied. Such recognition generally occurs with the transfer of control of the products at a point in time. The Company’s automotive OEM contracts generally include Long Term Supply Agreements (“LTSA”) entered into in the ordinary course of business and Purchase Orders (“PO”) whereby the LTSA sometimes stipulates the pricing and delivery terms and is evaluated together with a PO, which identifies the quantity, timing, and the type of product to be transferred. Certain customer contracts do not always have an LTSA, in which case, the contracts are governed by the PO from the customer in conjunction with other mutually agreed upon terms and conditions.</w:t>
      </w:r>
    </w:p>
    <w:p>
      <w:pPr>
        <w:sectPr>
          <w:pgSz w:w="12240" w:h="15840" w:orient="portrait"/>
          <w:cols w:equalWidth="0" w:num="1">
            <w:col w:w="10760"/>
          </w:cols>
          <w:pgMar w:left="900" w:top="843"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87</w:t>
      </w:r>
    </w:p>
    <w:p>
      <w:pPr>
        <w:sectPr>
          <w:pgSz w:w="12240" w:h="15840" w:orient="portrait"/>
          <w:cols w:equalWidth="0" w:num="1">
            <w:col w:w="10760"/>
          </w:cols>
          <w:pgMar w:left="900" w:top="843" w:right="580" w:bottom="0" w:gutter="0" w:footer="0" w:header="0"/>
          <w:type w:val="continuous"/>
        </w:sectPr>
      </w:pPr>
    </w:p>
    <w:bookmarkStart w:id="87" w:name="page88"/>
    <w:bookmarkEnd w:id="87"/>
    <w:p>
      <w:pPr>
        <w:ind w:left="320" w:right="80"/>
        <w:spacing w:after="0" w:line="353" w:lineRule="auto"/>
        <w:rPr>
          <w:sz w:val="20"/>
          <w:szCs w:val="20"/>
          <w:color w:val="auto"/>
        </w:rPr>
      </w:pPr>
      <w:r>
        <w:rPr>
          <w:rFonts w:ascii="Times New Roman" w:cs="Times New Roman" w:eastAsia="Times New Roman" w:hAnsi="Times New Roman"/>
          <w:sz w:val="18"/>
          <w:szCs w:val="18"/>
          <w:color w:val="262626"/>
        </w:rPr>
        <w:t>The Company does not generate revenue from arrangements with multiple deliverables. Revenue is measured as the amount of consideration the Company expects to receive in exchange for transferring goods excluding revenue amounts that are transferred to third parties, such as sales, value add, and other taxes the Company collects concurrently with revenue-producing activities. The Company does not incur any incremental cost to obtain contracts. Costs are incurred to fulfill contracts with the OEM. However, such costs are accounted for under ASC 340-10, and are not treated as fulfillment costs under ASC 340-40.</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Automotive Products Segment</w:t>
      </w:r>
    </w:p>
    <w:p>
      <w:pPr>
        <w:spacing w:after="0" w:line="189" w:lineRule="exact"/>
        <w:rPr>
          <w:sz w:val="20"/>
          <w:szCs w:val="20"/>
          <w:color w:val="auto"/>
        </w:rPr>
      </w:pPr>
    </w:p>
    <w:p>
      <w:pPr>
        <w:ind w:left="320"/>
        <w:spacing w:after="0" w:line="336" w:lineRule="auto"/>
        <w:rPr>
          <w:sz w:val="20"/>
          <w:szCs w:val="20"/>
          <w:color w:val="auto"/>
        </w:rPr>
      </w:pPr>
      <w:r>
        <w:rPr>
          <w:rFonts w:ascii="Arial" w:cs="Arial" w:eastAsia="Arial" w:hAnsi="Arial"/>
          <w:sz w:val="17"/>
          <w:szCs w:val="17"/>
          <w:b w:val="1"/>
          <w:bCs w:val="1"/>
          <w:color w:val="858585"/>
        </w:rPr>
        <w:t xml:space="preserve">AUTOMOTIVE REARVIEW MIRRORS AND ELECTRONICS </w:t>
      </w:r>
      <w:r>
        <w:rPr>
          <w:rFonts w:ascii="Times New Roman" w:cs="Times New Roman" w:eastAsia="Times New Roman" w:hAnsi="Times New Roman"/>
          <w:sz w:val="18"/>
          <w:szCs w:val="18"/>
          <w:color w:val="262626"/>
        </w:rPr>
        <w:t>The Company manufactures interior electrochromic automatic-dimming rearview</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mirrors that darken to reduce glare and improve visibility for the driver. These electronic interior mirrors can also include additional electronic features such as compass, microphones, HomeLink®, lighting assist and driver assist forward safety camera systems, various lighting systems, various telematics systems, ITM® systems, and a wide variety of displays. The Company also ships interior non-automatic-dimming rearview mirrors with features. 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also include additional features such as turn signal indicators, side blind zone indicators, and courtesy lighting. The Company also ships exterior non-automatic-dimming rearview mirrors with similar electronic features as what is available in its automatic-dimming applications. The Company manufactures other automotive electronics products both inside and outside of the rearview mirror through HomeLink® applications in the vehicle including the rearview mirror, interior visor, overhead console, or center console.</w:t>
      </w:r>
    </w:p>
    <w:p>
      <w:pPr>
        <w:spacing w:after="0" w:line="73" w:lineRule="exact"/>
        <w:rPr>
          <w:sz w:val="20"/>
          <w:szCs w:val="20"/>
          <w:color w:val="auto"/>
        </w:rPr>
      </w:pPr>
    </w:p>
    <w:p>
      <w:pPr>
        <w:ind w:left="320" w:right="160"/>
        <w:spacing w:after="0" w:line="338" w:lineRule="auto"/>
        <w:rPr>
          <w:sz w:val="20"/>
          <w:szCs w:val="20"/>
          <w:color w:val="auto"/>
        </w:rPr>
      </w:pPr>
      <w:r>
        <w:rPr>
          <w:rFonts w:ascii="Times New Roman" w:cs="Times New Roman" w:eastAsia="Times New Roman" w:hAnsi="Times New Roman"/>
          <w:sz w:val="18"/>
          <w:szCs w:val="18"/>
          <w:color w:val="262626"/>
        </w:rPr>
        <w:t>For the majority of automotive products, transfer of control and revenue recognition occurs when the Company ships the product from the manufacturing facility to the customer. The Company generally receives payment equal to the price that applies at the time of invoice for most automotive product sales.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Payment terms on automotive part sales to customers range from 15 days to 90 days. Estimated revenue is adjusted at the earlier of when the most likely amount of consideration expected to be received changes or when the consideration becomes fixed.</w:t>
      </w:r>
    </w:p>
    <w:p>
      <w:pPr>
        <w:spacing w:after="0" w:line="74" w:lineRule="exact"/>
        <w:rPr>
          <w:sz w:val="20"/>
          <w:szCs w:val="20"/>
          <w:color w:val="auto"/>
        </w:rPr>
      </w:pPr>
    </w:p>
    <w:p>
      <w:pPr>
        <w:ind w:left="320" w:right="280"/>
        <w:spacing w:after="0" w:line="382" w:lineRule="auto"/>
        <w:rPr>
          <w:sz w:val="20"/>
          <w:szCs w:val="20"/>
          <w:color w:val="auto"/>
        </w:rPr>
      </w:pPr>
      <w:r>
        <w:rPr>
          <w:rFonts w:ascii="Arial" w:cs="Arial" w:eastAsia="Arial" w:hAnsi="Arial"/>
          <w:sz w:val="17"/>
          <w:szCs w:val="17"/>
          <w:b w:val="1"/>
          <w:bCs w:val="1"/>
          <w:color w:val="858585"/>
        </w:rPr>
        <w:t xml:space="preserve">HOMELINK® MODULES </w:t>
      </w:r>
      <w:r>
        <w:rPr>
          <w:rFonts w:ascii="Times New Roman" w:cs="Times New Roman" w:eastAsia="Times New Roman" w:hAnsi="Times New Roman"/>
          <w:sz w:val="18"/>
          <w:szCs w:val="18"/>
          <w:color w:val="262626"/>
        </w:rPr>
        <w:t>The Company manufactures and sells HomeLink® Modules individually, as well as in combination with the</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automotive mirrors and other advanced features, as described above. For the majority of automotive products, transfer of control and revenue recognition occurs when the Company ships the product from the manufacturing facility to the customer.</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F8F8F"/>
        </w:rPr>
        <w:t>Other Segment</w:t>
      </w:r>
    </w:p>
    <w:p>
      <w:pPr>
        <w:spacing w:after="0" w:line="189" w:lineRule="exact"/>
        <w:rPr>
          <w:sz w:val="20"/>
          <w:szCs w:val="20"/>
          <w:color w:val="auto"/>
        </w:rPr>
      </w:pPr>
    </w:p>
    <w:p>
      <w:pPr>
        <w:ind w:left="320" w:right="140"/>
        <w:spacing w:after="0" w:line="382" w:lineRule="auto"/>
        <w:rPr>
          <w:sz w:val="20"/>
          <w:szCs w:val="20"/>
          <w:color w:val="auto"/>
        </w:rPr>
      </w:pPr>
      <w:r>
        <w:rPr>
          <w:rFonts w:ascii="Arial" w:cs="Arial" w:eastAsia="Arial" w:hAnsi="Arial"/>
          <w:sz w:val="17"/>
          <w:szCs w:val="17"/>
          <w:b w:val="1"/>
          <w:bCs w:val="1"/>
          <w:color w:val="858585"/>
        </w:rPr>
        <w:t xml:space="preserve">DIMMABLE AIRCRAFT WINDOWS </w:t>
      </w:r>
      <w:r>
        <w:rPr>
          <w:rFonts w:ascii="Times New Roman" w:cs="Times New Roman" w:eastAsia="Times New Roman" w:hAnsi="Times New Roman"/>
          <w:sz w:val="18"/>
          <w:szCs w:val="18"/>
          <w:color w:val="262626"/>
        </w:rPr>
        <w:t>The Company supplies variable dimmable windows for the passenger compartment on the Boeing 787</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Dreamliner Series of Aircraft. For dimmable aircraft windows, transfer of control and revenue recognition occurs when the Company ships the product from the manufacturing facility to the customer. Payment terms on dimmable aircraft window sales range from 30 days to 45 days.</w:t>
      </w:r>
    </w:p>
    <w:p>
      <w:pPr>
        <w:spacing w:after="0" w:line="29" w:lineRule="exact"/>
        <w:rPr>
          <w:sz w:val="20"/>
          <w:szCs w:val="20"/>
          <w:color w:val="auto"/>
        </w:rPr>
      </w:pPr>
    </w:p>
    <w:p>
      <w:pPr>
        <w:ind w:left="320" w:right="100"/>
        <w:spacing w:after="0" w:line="352" w:lineRule="auto"/>
        <w:rPr>
          <w:sz w:val="20"/>
          <w:szCs w:val="20"/>
          <w:color w:val="auto"/>
        </w:rPr>
      </w:pPr>
      <w:r>
        <w:rPr>
          <w:rFonts w:ascii="Arial" w:cs="Arial" w:eastAsia="Arial" w:hAnsi="Arial"/>
          <w:sz w:val="17"/>
          <w:szCs w:val="17"/>
          <w:b w:val="1"/>
          <w:bCs w:val="1"/>
          <w:color w:val="858585"/>
        </w:rPr>
        <w:t xml:space="preserve">FIRE PROTECTION PRODUCTS </w:t>
      </w:r>
      <w:r>
        <w:rPr>
          <w:rFonts w:ascii="Times New Roman" w:cs="Times New Roman" w:eastAsia="Times New Roman" w:hAnsi="Times New Roman"/>
          <w:sz w:val="18"/>
          <w:szCs w:val="18"/>
          <w:color w:val="262626"/>
        </w:rPr>
        <w:t>The Company manufactures photoelectric smoke detectors and alarms, visual signaling alarms, electrochemical</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carbon monoxide detectors and alarms, audible and visual signaling alarms, and bells and speakers for use in fire detection systems in office buildings, hotels, and other commercial and residential buildings. For fire protection parts, transfer of control and revenue recognition occurs when the Company ships the product from the manufacturing facility to the customer. Payment terms on fire protection part sales to customers range from 30 days to 75 days.</w:t>
      </w:r>
    </w:p>
    <w:p>
      <w:pPr>
        <w:spacing w:after="0" w:line="60" w:lineRule="exact"/>
        <w:rPr>
          <w:sz w:val="20"/>
          <w:szCs w:val="20"/>
          <w:color w:val="auto"/>
        </w:rPr>
      </w:pPr>
    </w:p>
    <w:p>
      <w:pPr>
        <w:ind w:left="320" w:right="520"/>
        <w:spacing w:after="0" w:line="382" w:lineRule="auto"/>
        <w:rPr>
          <w:sz w:val="20"/>
          <w:szCs w:val="20"/>
          <w:color w:val="auto"/>
        </w:rPr>
      </w:pPr>
      <w:r>
        <w:rPr>
          <w:rFonts w:ascii="Arial" w:cs="Arial" w:eastAsia="Arial" w:hAnsi="Arial"/>
          <w:sz w:val="17"/>
          <w:szCs w:val="17"/>
          <w:b w:val="1"/>
          <w:bCs w:val="1"/>
          <w:color w:val="858585"/>
        </w:rPr>
        <w:t xml:space="preserve">NANOFIBER </w:t>
      </w:r>
      <w:r>
        <w:rPr>
          <w:rFonts w:ascii="Times New Roman" w:cs="Times New Roman" w:eastAsia="Times New Roman" w:hAnsi="Times New Roman"/>
          <w:sz w:val="18"/>
          <w:szCs w:val="18"/>
          <w:color w:val="262626"/>
        </w:rPr>
        <w:t>The Company acquired Vaporsens in early 2020, which specializes in nanofiber chemical sensing research and development.</w:t>
      </w:r>
      <w:r>
        <w:rPr>
          <w:rFonts w:ascii="Arial" w:cs="Arial" w:eastAsia="Arial" w:hAnsi="Arial"/>
          <w:sz w:val="17"/>
          <w:szCs w:val="17"/>
          <w:b w:val="1"/>
          <w:bCs w:val="1"/>
          <w:color w:val="858585"/>
        </w:rPr>
        <w:t xml:space="preserve"> </w:t>
      </w:r>
      <w:r>
        <w:rPr>
          <w:rFonts w:ascii="Times New Roman" w:cs="Times New Roman" w:eastAsia="Times New Roman" w:hAnsi="Times New Roman"/>
          <w:sz w:val="18"/>
          <w:szCs w:val="18"/>
          <w:color w:val="262626"/>
        </w:rPr>
        <w:t>Vaporsens is primarily involved with research and development of technology related to nanofibers sensing a variety of chemicals and/or compounds. Refer to Note 12, “Acquisitions”, for further information.</w:t>
      </w:r>
    </w:p>
    <w:p>
      <w:pPr>
        <w:sectPr>
          <w:pgSz w:w="12240" w:h="15840" w:orient="portrait"/>
          <w:cols w:equalWidth="0" w:num="1">
            <w:col w:w="10760"/>
          </w:cols>
          <w:pgMar w:left="580" w:top="85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88</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760"/>
          </w:cols>
          <w:pgMar w:left="580" w:top="852" w:right="900" w:bottom="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b w:val="1"/>
          <w:bCs w:val="1"/>
          <w:color w:val="838383"/>
        </w:rPr>
        <w:t>( 1 2 )  A C Q U I S I T I O N S</w:t>
      </w:r>
    </w:p>
    <w:p>
      <w:pPr>
        <w:spacing w:after="0" w:line="176" w:lineRule="exact"/>
        <w:rPr>
          <w:sz w:val="20"/>
          <w:szCs w:val="20"/>
          <w:color w:val="auto"/>
        </w:rPr>
      </w:pPr>
    </w:p>
    <w:p>
      <w:pPr>
        <w:ind w:right="820"/>
        <w:spacing w:after="0" w:line="381" w:lineRule="auto"/>
        <w:rPr>
          <w:sz w:val="20"/>
          <w:szCs w:val="20"/>
          <w:color w:val="auto"/>
        </w:rPr>
      </w:pPr>
      <w:r>
        <w:rPr>
          <w:rFonts w:ascii="Times New Roman" w:cs="Times New Roman" w:eastAsia="Times New Roman" w:hAnsi="Times New Roman"/>
          <w:sz w:val="18"/>
          <w:szCs w:val="18"/>
          <w:color w:val="262626"/>
        </w:rPr>
        <w:t>On March 3, 2021 the Company acquired Guardian for approximately $12.0 million. Guardian is an Israeli research and development company that specializes in in-cabin sensing technologies for the automotive industry. The Company funded the acquisition with cash on hand. The valuation process was completed during the fourth quarter of 2021.</w:t>
      </w:r>
    </w:p>
    <w:p>
      <w:pPr>
        <w:spacing w:after="0" w:line="34" w:lineRule="exact"/>
        <w:rPr>
          <w:sz w:val="20"/>
          <w:szCs w:val="20"/>
          <w:color w:val="auto"/>
        </w:rPr>
      </w:pPr>
    </w:p>
    <w:p>
      <w:pPr>
        <w:ind w:right="740"/>
        <w:spacing w:after="0" w:line="437" w:lineRule="auto"/>
        <w:rPr>
          <w:sz w:val="20"/>
          <w:szCs w:val="20"/>
          <w:color w:val="auto"/>
        </w:rPr>
      </w:pPr>
      <w:r>
        <w:rPr>
          <w:rFonts w:ascii="Times New Roman" w:cs="Times New Roman" w:eastAsia="Times New Roman" w:hAnsi="Times New Roman"/>
          <w:sz w:val="18"/>
          <w:szCs w:val="18"/>
          <w:color w:val="262626"/>
        </w:rPr>
        <w:t>Guardian is now a 100% owned subsidiary of the Company as Gentex Technologies (Israel), LTD, and is classified within the Automotive segment. The Company accounted for the acquisition under the provisions of FASB ASC Topic 805, Business Combinations.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838383"/>
        </w:rPr>
        <w:t>( 1 3 )  S U B S E Q U E N T  E V E N T S</w:t>
      </w:r>
    </w:p>
    <w:p>
      <w:pPr>
        <w:spacing w:after="0" w:line="176" w:lineRule="exact"/>
        <w:rPr>
          <w:sz w:val="20"/>
          <w:szCs w:val="20"/>
          <w:color w:val="auto"/>
        </w:rPr>
      </w:pPr>
    </w:p>
    <w:p>
      <w:pPr>
        <w:jc w:val="both"/>
        <w:ind w:right="760"/>
        <w:spacing w:after="0" w:line="331" w:lineRule="auto"/>
        <w:rPr>
          <w:sz w:val="20"/>
          <w:szCs w:val="20"/>
          <w:color w:val="auto"/>
        </w:rPr>
      </w:pPr>
      <w:r>
        <w:rPr>
          <w:rFonts w:ascii="Times New Roman" w:cs="Times New Roman" w:eastAsia="Times New Roman" w:hAnsi="Times New Roman"/>
          <w:sz w:val="18"/>
          <w:szCs w:val="18"/>
          <w:color w:val="262626"/>
        </w:rPr>
        <w:t>On February 21, 2023, the Company entered into the Amended Credit Agreement that provided for, among other things, a three-year unsecured Revolving Credit Facility with a borrowing capacity of up to $250.0 million that matures on February 21, 2026, replacing in its entirety the Company’s prior $150.0 million Revolver scheduled to mature on October 15, 2023. Included in the Revolving Credit Facility is a $20.0 million sublimit for standby letters of credit and a $35.0 million sublimit for swingline loans, each subject to certain conditions.</w:t>
      </w:r>
    </w:p>
    <w:p>
      <w:pPr>
        <w:spacing w:after="0" w:line="3" w:lineRule="exact"/>
        <w:rPr>
          <w:sz w:val="20"/>
          <w:szCs w:val="20"/>
          <w:color w:val="auto"/>
        </w:rPr>
      </w:pPr>
    </w:p>
    <w:p>
      <w:pPr>
        <w:ind w:right="640"/>
        <w:spacing w:after="0" w:line="368" w:lineRule="auto"/>
        <w:rPr>
          <w:sz w:val="20"/>
          <w:szCs w:val="20"/>
          <w:color w:val="auto"/>
        </w:rPr>
      </w:pPr>
      <w:r>
        <w:rPr>
          <w:rFonts w:ascii="Times New Roman" w:cs="Times New Roman" w:eastAsia="Times New Roman" w:hAnsi="Times New Roman"/>
          <w:sz w:val="18"/>
          <w:szCs w:val="18"/>
          <w:color w:val="262626"/>
        </w:rPr>
        <w:t>Funds are available under the Revolving Credit Facility for working capital, capital expenditures, and other lawful corporate purposes, including, but not limited to, acquisitions and common stock repurchases, subject in each case to compliance with certain financial covenants as defined in the Amended Credit Agreement.</w:t>
      </w:r>
    </w:p>
    <w:p>
      <w:pPr>
        <w:sectPr>
          <w:pgSz w:w="12240" w:h="15840" w:orient="portrait"/>
          <w:cols w:equalWidth="0" w:num="1">
            <w:col w:w="10760"/>
          </w:cols>
          <w:pgMar w:left="900" w:top="843"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89</w:t>
      </w:r>
    </w:p>
    <w:p>
      <w:pPr>
        <w:sectPr>
          <w:pgSz w:w="12240" w:h="15840" w:orient="portrait"/>
          <w:cols w:equalWidth="0" w:num="1">
            <w:col w:w="10760"/>
          </w:cols>
          <w:pgMar w:left="900" w:top="843" w:right="580" w:bottom="0" w:gutter="0" w:footer="0" w:header="0"/>
          <w:type w:val="continuous"/>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1774190</wp:posOffset>
            </wp:positionH>
            <wp:positionV relativeFrom="page">
              <wp:posOffset>3867785</wp:posOffset>
            </wp:positionV>
            <wp:extent cx="4224020" cy="13652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1">
                      <a:extLst>
                        <a:ext uri="{28A0092B-C50C-407E-A947-70E740481C1C}"/>
                      </a:extLst>
                    </a:blip>
                    <a:srcRect/>
                    <a:stretch>
                      <a:fillRect/>
                    </a:stretch>
                  </pic:blipFill>
                  <pic:spPr bwMode="auto">
                    <a:xfrm>
                      <a:off x="0" y="0"/>
                      <a:ext cx="4224020" cy="1365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780"/>
        <w:spacing w:after="0"/>
        <w:rPr>
          <w:sz w:val="20"/>
          <w:szCs w:val="20"/>
          <w:color w:val="auto"/>
        </w:rPr>
      </w:pPr>
      <w:r>
        <w:rPr>
          <w:rFonts w:ascii="Arial" w:cs="Arial" w:eastAsia="Arial" w:hAnsi="Arial"/>
          <w:sz w:val="20"/>
          <w:szCs w:val="20"/>
          <w:color w:val="FFFFFF"/>
        </w:rPr>
        <w:t>this page Intentionally left mostly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-89535</wp:posOffset>
            </wp:positionV>
            <wp:extent cx="4191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2">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1595755</wp:posOffset>
            </wp:positionH>
            <wp:positionV relativeFrom="paragraph">
              <wp:posOffset>-89535</wp:posOffset>
            </wp:positionV>
            <wp:extent cx="4191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3">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-89535</wp:posOffset>
            </wp:positionV>
            <wp:extent cx="4191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4">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5207635</wp:posOffset>
            </wp:positionH>
            <wp:positionV relativeFrom="paragraph">
              <wp:posOffset>-89535</wp:posOffset>
            </wp:positionV>
            <wp:extent cx="4191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5">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5398135</wp:posOffset>
            </wp:positionH>
            <wp:positionV relativeFrom="paragraph">
              <wp:posOffset>-89535</wp:posOffset>
            </wp:positionV>
            <wp:extent cx="4191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6">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-89535</wp:posOffset>
            </wp:positionV>
            <wp:extent cx="4191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7">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1405890</wp:posOffset>
            </wp:positionH>
            <wp:positionV relativeFrom="paragraph">
              <wp:posOffset>99695</wp:posOffset>
            </wp:positionV>
            <wp:extent cx="4191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8">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1595755</wp:posOffset>
            </wp:positionH>
            <wp:positionV relativeFrom="paragraph">
              <wp:posOffset>99695</wp:posOffset>
            </wp:positionV>
            <wp:extent cx="4191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9">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99695</wp:posOffset>
            </wp:positionV>
            <wp:extent cx="4191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0">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5207635</wp:posOffset>
            </wp:positionH>
            <wp:positionV relativeFrom="paragraph">
              <wp:posOffset>99695</wp:posOffset>
            </wp:positionV>
            <wp:extent cx="4191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1">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5398135</wp:posOffset>
            </wp:positionH>
            <wp:positionV relativeFrom="paragraph">
              <wp:posOffset>99695</wp:posOffset>
            </wp:positionV>
            <wp:extent cx="4191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2">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99695</wp:posOffset>
            </wp:positionV>
            <wp:extent cx="4191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3">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1405890</wp:posOffset>
            </wp:positionH>
            <wp:positionV relativeFrom="paragraph">
              <wp:posOffset>290195</wp:posOffset>
            </wp:positionV>
            <wp:extent cx="4191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4">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1595755</wp:posOffset>
            </wp:positionH>
            <wp:positionV relativeFrom="paragraph">
              <wp:posOffset>290195</wp:posOffset>
            </wp:positionV>
            <wp:extent cx="4191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5">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290195</wp:posOffset>
            </wp:positionV>
            <wp:extent cx="4191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6">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290195</wp:posOffset>
            </wp:positionV>
            <wp:extent cx="4191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7">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290195</wp:posOffset>
            </wp:positionV>
            <wp:extent cx="4191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8">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290195</wp:posOffset>
            </wp:positionV>
            <wp:extent cx="4191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9">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290195</wp:posOffset>
            </wp:positionV>
            <wp:extent cx="4191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0">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2736215</wp:posOffset>
            </wp:positionH>
            <wp:positionV relativeFrom="paragraph">
              <wp:posOffset>290195</wp:posOffset>
            </wp:positionV>
            <wp:extent cx="4191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1">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290195</wp:posOffset>
            </wp:positionV>
            <wp:extent cx="4191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2">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290195</wp:posOffset>
            </wp:positionV>
            <wp:extent cx="4191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3">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290195</wp:posOffset>
            </wp:positionV>
            <wp:extent cx="4191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4">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3496945</wp:posOffset>
            </wp:positionH>
            <wp:positionV relativeFrom="paragraph">
              <wp:posOffset>290195</wp:posOffset>
            </wp:positionV>
            <wp:extent cx="4191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5">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3686810</wp:posOffset>
            </wp:positionH>
            <wp:positionV relativeFrom="paragraph">
              <wp:posOffset>290195</wp:posOffset>
            </wp:positionV>
            <wp:extent cx="4191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6">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290195</wp:posOffset>
            </wp:positionV>
            <wp:extent cx="4191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7">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290195</wp:posOffset>
            </wp:positionV>
            <wp:extent cx="4191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8">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290195</wp:posOffset>
            </wp:positionV>
            <wp:extent cx="4191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9">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290195</wp:posOffset>
            </wp:positionV>
            <wp:extent cx="4191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70">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290195</wp:posOffset>
            </wp:positionV>
            <wp:extent cx="4191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1">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4827270</wp:posOffset>
            </wp:positionH>
            <wp:positionV relativeFrom="paragraph">
              <wp:posOffset>290195</wp:posOffset>
            </wp:positionV>
            <wp:extent cx="4191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2">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290195</wp:posOffset>
            </wp:positionV>
            <wp:extent cx="4191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73">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5207635</wp:posOffset>
            </wp:positionH>
            <wp:positionV relativeFrom="paragraph">
              <wp:posOffset>290195</wp:posOffset>
            </wp:positionV>
            <wp:extent cx="4191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74">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5398135</wp:posOffset>
            </wp:positionH>
            <wp:positionV relativeFrom="paragraph">
              <wp:posOffset>290195</wp:posOffset>
            </wp:positionV>
            <wp:extent cx="4191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5">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290195</wp:posOffset>
            </wp:positionV>
            <wp:extent cx="4191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6">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1405890</wp:posOffset>
            </wp:positionH>
            <wp:positionV relativeFrom="paragraph">
              <wp:posOffset>480060</wp:posOffset>
            </wp:positionV>
            <wp:extent cx="4191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7">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1595755</wp:posOffset>
            </wp:positionH>
            <wp:positionV relativeFrom="paragraph">
              <wp:posOffset>480060</wp:posOffset>
            </wp:positionV>
            <wp:extent cx="4191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8">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480060</wp:posOffset>
            </wp:positionV>
            <wp:extent cx="4191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9">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480060</wp:posOffset>
            </wp:positionV>
            <wp:extent cx="4191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0">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480060</wp:posOffset>
            </wp:positionV>
            <wp:extent cx="4191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81">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480060</wp:posOffset>
            </wp:positionV>
            <wp:extent cx="4191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82">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480060</wp:posOffset>
            </wp:positionV>
            <wp:extent cx="4191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83">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1405890</wp:posOffset>
            </wp:positionH>
            <wp:positionV relativeFrom="paragraph">
              <wp:posOffset>669925</wp:posOffset>
            </wp:positionV>
            <wp:extent cx="4191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4">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1595755</wp:posOffset>
            </wp:positionH>
            <wp:positionV relativeFrom="paragraph">
              <wp:posOffset>669925</wp:posOffset>
            </wp:positionV>
            <wp:extent cx="4191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85">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669925</wp:posOffset>
            </wp:positionV>
            <wp:extent cx="4191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86">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669925</wp:posOffset>
            </wp:positionV>
            <wp:extent cx="4191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7">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669925</wp:posOffset>
            </wp:positionV>
            <wp:extent cx="4191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8">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669925</wp:posOffset>
            </wp:positionV>
            <wp:extent cx="4191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9">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669925</wp:posOffset>
            </wp:positionV>
            <wp:extent cx="4191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90">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860425</wp:posOffset>
            </wp:positionV>
            <wp:extent cx="4191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91">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860425</wp:posOffset>
            </wp:positionV>
            <wp:extent cx="4191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92">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860425</wp:posOffset>
            </wp:positionV>
            <wp:extent cx="4191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93">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860425</wp:posOffset>
            </wp:positionV>
            <wp:extent cx="4191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94">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860425</wp:posOffset>
            </wp:positionV>
            <wp:extent cx="4191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95">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1050290</wp:posOffset>
            </wp:positionV>
            <wp:extent cx="4191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96">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1050290</wp:posOffset>
            </wp:positionV>
            <wp:extent cx="4191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97">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1050290</wp:posOffset>
            </wp:positionV>
            <wp:extent cx="4191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98">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1050290</wp:posOffset>
            </wp:positionV>
            <wp:extent cx="4191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99">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1050290</wp:posOffset>
            </wp:positionV>
            <wp:extent cx="4191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00">
                      <a:extLst>
                        <a:ext uri="{28A0092B-C50C-407E-A947-70E740481C1C}"/>
                      </a:extLst>
                    </a:blip>
                    <a:srcRect/>
                    <a:stretch>
                      <a:fillRect/>
                    </a:stretch>
                  </pic:blipFill>
                  <pic:spPr bwMode="auto">
                    <a:xfrm>
                      <a:off x="0" y="0"/>
                      <a:ext cx="41910" cy="41910"/>
                    </a:xfrm>
                    <a:prstGeom prst="rect">
                      <a:avLst/>
                    </a:prstGeom>
                    <a:noFill/>
                  </pic:spPr>
                </pic:pic>
              </a:graphicData>
            </a:graphic>
          </wp:anchor>
        </w:drawing>
      </w:r>
    </w:p>
    <w:p>
      <w:pPr>
        <w:sectPr>
          <w:pgSz w:w="12240" w:h="15840" w:orient="portrait"/>
          <w:cols w:equalWidth="0" w:num="1">
            <w:col w:w="10220"/>
          </w:cols>
          <w:pgMar w:left="58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262626"/>
        </w:rPr>
        <w:t>90</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0220"/>
          </w:cols>
          <w:pgMar w:left="580" w:top="1440" w:right="1440" w:bottom="0" w:gutter="0" w:footer="0" w:header="0"/>
          <w:type w:val="continuous"/>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1774190</wp:posOffset>
            </wp:positionH>
            <wp:positionV relativeFrom="page">
              <wp:posOffset>3867785</wp:posOffset>
            </wp:positionV>
            <wp:extent cx="4224020" cy="13652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01">
                      <a:extLst>
                        <a:ext uri="{28A0092B-C50C-407E-A947-70E740481C1C}"/>
                      </a:extLst>
                    </a:blip>
                    <a:srcRect/>
                    <a:stretch>
                      <a:fillRect/>
                    </a:stretch>
                  </pic:blipFill>
                  <pic:spPr bwMode="auto">
                    <a:xfrm>
                      <a:off x="0" y="0"/>
                      <a:ext cx="4224020" cy="1365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920"/>
        <w:spacing w:after="0"/>
        <w:rPr>
          <w:sz w:val="20"/>
          <w:szCs w:val="20"/>
          <w:color w:val="auto"/>
        </w:rPr>
      </w:pPr>
      <w:r>
        <w:rPr>
          <w:rFonts w:ascii="Arial" w:cs="Arial" w:eastAsia="Arial" w:hAnsi="Arial"/>
          <w:sz w:val="20"/>
          <w:szCs w:val="20"/>
          <w:color w:val="FFFFFF"/>
        </w:rPr>
        <w:t>this page Intentionally left mostly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-89535</wp:posOffset>
            </wp:positionV>
            <wp:extent cx="4191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02">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-89535</wp:posOffset>
            </wp:positionV>
            <wp:extent cx="4191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03">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-89535</wp:posOffset>
            </wp:positionV>
            <wp:extent cx="4191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04">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-89535</wp:posOffset>
            </wp:positionV>
            <wp:extent cx="4191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05">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4852035</wp:posOffset>
            </wp:positionH>
            <wp:positionV relativeFrom="paragraph">
              <wp:posOffset>-89535</wp:posOffset>
            </wp:positionV>
            <wp:extent cx="4191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06">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5041900</wp:posOffset>
            </wp:positionH>
            <wp:positionV relativeFrom="paragraph">
              <wp:posOffset>-89535</wp:posOffset>
            </wp:positionV>
            <wp:extent cx="4191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07">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99695</wp:posOffset>
            </wp:positionV>
            <wp:extent cx="4191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08">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99695</wp:posOffset>
            </wp:positionV>
            <wp:extent cx="4191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9">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99695</wp:posOffset>
            </wp:positionV>
            <wp:extent cx="4191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10">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99695</wp:posOffset>
            </wp:positionV>
            <wp:extent cx="4191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11">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4852035</wp:posOffset>
            </wp:positionH>
            <wp:positionV relativeFrom="paragraph">
              <wp:posOffset>99695</wp:posOffset>
            </wp:positionV>
            <wp:extent cx="4191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12">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5041900</wp:posOffset>
            </wp:positionH>
            <wp:positionV relativeFrom="paragraph">
              <wp:posOffset>99695</wp:posOffset>
            </wp:positionV>
            <wp:extent cx="4191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13">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290195</wp:posOffset>
            </wp:positionV>
            <wp:extent cx="4191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4">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290195</wp:posOffset>
            </wp:positionV>
            <wp:extent cx="4191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15">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290195</wp:posOffset>
            </wp:positionV>
            <wp:extent cx="4191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16">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1430020</wp:posOffset>
            </wp:positionH>
            <wp:positionV relativeFrom="paragraph">
              <wp:posOffset>290195</wp:posOffset>
            </wp:positionV>
            <wp:extent cx="4191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17">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290195</wp:posOffset>
            </wp:positionV>
            <wp:extent cx="4191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18">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290195</wp:posOffset>
            </wp:positionV>
            <wp:extent cx="4191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19">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2000250</wp:posOffset>
            </wp:positionH>
            <wp:positionV relativeFrom="paragraph">
              <wp:posOffset>290195</wp:posOffset>
            </wp:positionV>
            <wp:extent cx="4191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20">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290195</wp:posOffset>
            </wp:positionV>
            <wp:extent cx="4191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21">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290195</wp:posOffset>
            </wp:positionV>
            <wp:extent cx="4191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22">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290195</wp:posOffset>
            </wp:positionV>
            <wp:extent cx="4191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23">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2760980</wp:posOffset>
            </wp:positionH>
            <wp:positionV relativeFrom="paragraph">
              <wp:posOffset>290195</wp:posOffset>
            </wp:positionV>
            <wp:extent cx="4191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24">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290195</wp:posOffset>
            </wp:positionV>
            <wp:extent cx="4191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25">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3140710</wp:posOffset>
            </wp:positionH>
            <wp:positionV relativeFrom="paragraph">
              <wp:posOffset>290195</wp:posOffset>
            </wp:positionV>
            <wp:extent cx="4191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26">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290195</wp:posOffset>
            </wp:positionV>
            <wp:extent cx="4191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27">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290195</wp:posOffset>
            </wp:positionV>
            <wp:extent cx="4191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28">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3710940</wp:posOffset>
            </wp:positionH>
            <wp:positionV relativeFrom="paragraph">
              <wp:posOffset>290195</wp:posOffset>
            </wp:positionV>
            <wp:extent cx="4191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29">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290195</wp:posOffset>
            </wp:positionV>
            <wp:extent cx="4191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30">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290195</wp:posOffset>
            </wp:positionV>
            <wp:extent cx="4191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31">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290195</wp:posOffset>
            </wp:positionV>
            <wp:extent cx="4191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32">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290195</wp:posOffset>
            </wp:positionV>
            <wp:extent cx="4191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33">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290195</wp:posOffset>
            </wp:positionV>
            <wp:extent cx="4191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34">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4852035</wp:posOffset>
            </wp:positionH>
            <wp:positionV relativeFrom="paragraph">
              <wp:posOffset>290195</wp:posOffset>
            </wp:positionV>
            <wp:extent cx="4191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35">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5041900</wp:posOffset>
            </wp:positionH>
            <wp:positionV relativeFrom="paragraph">
              <wp:posOffset>290195</wp:posOffset>
            </wp:positionV>
            <wp:extent cx="4191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36">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480060</wp:posOffset>
            </wp:positionV>
            <wp:extent cx="4191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37">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480060</wp:posOffset>
            </wp:positionV>
            <wp:extent cx="4191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38">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480060</wp:posOffset>
            </wp:positionV>
            <wp:extent cx="4191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39">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1430020</wp:posOffset>
            </wp:positionH>
            <wp:positionV relativeFrom="paragraph">
              <wp:posOffset>480060</wp:posOffset>
            </wp:positionV>
            <wp:extent cx="4191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40">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480060</wp:posOffset>
            </wp:positionV>
            <wp:extent cx="4191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41">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480060</wp:posOffset>
            </wp:positionV>
            <wp:extent cx="4191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42">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2000250</wp:posOffset>
            </wp:positionH>
            <wp:positionV relativeFrom="paragraph">
              <wp:posOffset>480060</wp:posOffset>
            </wp:positionV>
            <wp:extent cx="4191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43">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669925</wp:posOffset>
            </wp:positionV>
            <wp:extent cx="4191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44">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669925</wp:posOffset>
            </wp:positionV>
            <wp:extent cx="4191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45">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669925</wp:posOffset>
            </wp:positionV>
            <wp:extent cx="4191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46">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1430020</wp:posOffset>
            </wp:positionH>
            <wp:positionV relativeFrom="paragraph">
              <wp:posOffset>669925</wp:posOffset>
            </wp:positionV>
            <wp:extent cx="4191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47">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669925</wp:posOffset>
            </wp:positionV>
            <wp:extent cx="4191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48">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669925</wp:posOffset>
            </wp:positionV>
            <wp:extent cx="4191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49">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2000250</wp:posOffset>
            </wp:positionH>
            <wp:positionV relativeFrom="paragraph">
              <wp:posOffset>669925</wp:posOffset>
            </wp:positionV>
            <wp:extent cx="4191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50">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860425</wp:posOffset>
            </wp:positionV>
            <wp:extent cx="4191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51">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1430020</wp:posOffset>
            </wp:positionH>
            <wp:positionV relativeFrom="paragraph">
              <wp:posOffset>860425</wp:posOffset>
            </wp:positionV>
            <wp:extent cx="4191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52">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860425</wp:posOffset>
            </wp:positionV>
            <wp:extent cx="4191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53">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860425</wp:posOffset>
            </wp:positionV>
            <wp:extent cx="4191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54">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2000250</wp:posOffset>
            </wp:positionH>
            <wp:positionV relativeFrom="paragraph">
              <wp:posOffset>860425</wp:posOffset>
            </wp:positionV>
            <wp:extent cx="4191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55">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1050290</wp:posOffset>
            </wp:positionV>
            <wp:extent cx="4191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56">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1430020</wp:posOffset>
            </wp:positionH>
            <wp:positionV relativeFrom="paragraph">
              <wp:posOffset>1050290</wp:posOffset>
            </wp:positionV>
            <wp:extent cx="4191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57">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1050290</wp:posOffset>
            </wp:positionV>
            <wp:extent cx="4191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58">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1050290</wp:posOffset>
            </wp:positionV>
            <wp:extent cx="4191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59">
                      <a:extLst>
                        <a:ext uri="{28A0092B-C50C-407E-A947-70E740481C1C}"/>
                      </a:extLst>
                    </a:blip>
                    <a:srcRect/>
                    <a:stretch>
                      <a:fillRect/>
                    </a:stretch>
                  </pic:blipFill>
                  <pic:spPr bwMode="auto">
                    <a:xfrm>
                      <a:off x="0" y="0"/>
                      <a:ext cx="41910" cy="41910"/>
                    </a:xfrm>
                    <a:prstGeom prst="rect">
                      <a:avLst/>
                    </a:prstGeom>
                    <a:noFill/>
                  </pic:spPr>
                </pic:pic>
              </a:graphicData>
            </a:graphic>
          </wp:anchor>
        </w:drawing>
        <w:drawing>
          <wp:anchor simplePos="0" relativeHeight="251657728" behindDoc="1" locked="0" layoutInCell="0" allowOverlap="1">
            <wp:simplePos x="0" y="0"/>
            <wp:positionH relativeFrom="column">
              <wp:posOffset>2000250</wp:posOffset>
            </wp:positionH>
            <wp:positionV relativeFrom="paragraph">
              <wp:posOffset>1050290</wp:posOffset>
            </wp:positionV>
            <wp:extent cx="4191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60">
                      <a:extLst>
                        <a:ext uri="{28A0092B-C50C-407E-A947-70E740481C1C}"/>
                      </a:extLst>
                    </a:blip>
                    <a:srcRect/>
                    <a:stretch>
                      <a:fillRect/>
                    </a:stretch>
                  </pic:blipFill>
                  <pic:spPr bwMode="auto">
                    <a:xfrm>
                      <a:off x="0" y="0"/>
                      <a:ext cx="41910" cy="41910"/>
                    </a:xfrm>
                    <a:prstGeom prst="rect">
                      <a:avLst/>
                    </a:prstGeom>
                    <a:noFill/>
                  </pic:spPr>
                </pic:pic>
              </a:graphicData>
            </a:graphic>
          </wp:anchor>
        </w:drawing>
      </w:r>
    </w:p>
    <w:p>
      <w:pPr>
        <w:sectPr>
          <w:pgSz w:w="12240" w:h="15840" w:orient="portrait"/>
          <w:cols w:equalWidth="0" w:num="1">
            <w:col w:w="10220"/>
          </w:cols>
          <w:pgMar w:left="1440" w:top="144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500"/>
        <w:spacing w:after="0"/>
        <w:tabs>
          <w:tab w:leader="none" w:pos="1006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91</w:t>
      </w:r>
    </w:p>
    <w:p>
      <w:pPr>
        <w:sectPr>
          <w:pgSz w:w="12240" w:h="15840" w:orient="portrait"/>
          <w:cols w:equalWidth="0" w:num="1">
            <w:col w:w="10220"/>
          </w:cols>
          <w:pgMar w:left="1440" w:top="1440" w:right="580" w:bottom="0" w:gutter="0" w:footer="0" w:header="0"/>
          <w:type w:val="continuous"/>
        </w:sectPr>
      </w:pPr>
    </w:p>
    <w:bookmarkStart w:id="91" w:name="page92"/>
    <w:bookmarkEnd w:id="91"/>
    <w:p>
      <w:pPr>
        <w:ind w:left="320"/>
        <w:spacing w:after="0"/>
        <w:rPr>
          <w:sz w:val="20"/>
          <w:szCs w:val="20"/>
          <w:color w:val="auto"/>
        </w:rPr>
      </w:pPr>
      <w:r>
        <w:rPr>
          <w:rFonts w:ascii="Arial" w:cs="Arial" w:eastAsia="Arial" w:hAnsi="Arial"/>
          <w:sz w:val="32"/>
          <w:szCs w:val="32"/>
          <w:color w:val="262626"/>
        </w:rPr>
        <w:t>15-Year Summary of Financial Data</w:t>
      </w:r>
    </w:p>
    <w:p>
      <w:pPr>
        <w:spacing w:after="0" w:line="98" w:lineRule="exact"/>
        <w:rPr>
          <w:sz w:val="20"/>
          <w:szCs w:val="20"/>
          <w:color w:val="auto"/>
        </w:rPr>
      </w:pPr>
    </w:p>
    <w:tbl>
      <w:tblPr>
        <w:tblLayout w:type="fixed"/>
        <w:tblInd w:w="320" w:type="dxa"/>
        <w:tblCellMar>
          <w:top w:w="0" w:type="dxa"/>
          <w:left w:w="0" w:type="dxa"/>
          <w:bottom w:w="0" w:type="dxa"/>
          <w:right w:w="0" w:type="dxa"/>
        </w:tblCellMar>
      </w:tblPr>
      <w:tr>
        <w:trPr>
          <w:trHeight w:val="308"/>
        </w:trPr>
        <w:tc>
          <w:tcPr>
            <w:tcW w:w="3660" w:type="dxa"/>
            <w:vAlign w:val="bottom"/>
          </w:tcPr>
          <w:p>
            <w:pPr>
              <w:spacing w:after="0"/>
              <w:rPr>
                <w:sz w:val="20"/>
                <w:szCs w:val="20"/>
                <w:color w:val="auto"/>
              </w:rPr>
            </w:pPr>
            <w:r>
              <w:rPr>
                <w:rFonts w:ascii="Arial" w:cs="Arial" w:eastAsia="Arial" w:hAnsi="Arial"/>
                <w:sz w:val="17"/>
                <w:szCs w:val="17"/>
                <w:b w:val="1"/>
                <w:bCs w:val="1"/>
                <w:color w:val="838383"/>
                <w:w w:val="99"/>
              </w:rPr>
              <w:t>SUMMARY OF OPERATIONS FOR THE YEAR</w:t>
            </w: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262626"/>
              </w:rPr>
              <w:t>2022</w:t>
            </w: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262626"/>
              </w:rPr>
              <w:t>2021</w:t>
            </w: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262626"/>
              </w:rPr>
              <w:t>2020</w:t>
            </w: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262626"/>
              </w:rPr>
              <w:t>2019</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262626"/>
              </w:rPr>
              <w:t>2018</w:t>
            </w:r>
          </w:p>
        </w:tc>
        <w:tc>
          <w:tcPr>
            <w:tcW w:w="1880" w:type="dxa"/>
            <w:vAlign w:val="bottom"/>
          </w:tcPr>
          <w:p>
            <w:pPr>
              <w:jc w:val="right"/>
              <w:ind w:right="810"/>
              <w:spacing w:after="0"/>
              <w:rPr>
                <w:sz w:val="20"/>
                <w:szCs w:val="20"/>
                <w:color w:val="auto"/>
              </w:rPr>
            </w:pPr>
            <w:r>
              <w:rPr>
                <w:rFonts w:ascii="Arial" w:cs="Arial" w:eastAsia="Arial" w:hAnsi="Arial"/>
                <w:sz w:val="18"/>
                <w:szCs w:val="18"/>
                <w:b w:val="1"/>
                <w:bCs w:val="1"/>
                <w:color w:val="262626"/>
              </w:rPr>
              <w:t>2017</w:t>
            </w:r>
          </w:p>
        </w:tc>
        <w:tc>
          <w:tcPr>
            <w:tcW w:w="0" w:type="dxa"/>
            <w:vAlign w:val="bottom"/>
          </w:tcPr>
          <w:p>
            <w:pPr>
              <w:spacing w:after="0"/>
              <w:rPr>
                <w:sz w:val="1"/>
                <w:szCs w:val="1"/>
                <w:color w:val="auto"/>
              </w:rPr>
            </w:pPr>
          </w:p>
        </w:tc>
      </w:tr>
      <w:tr>
        <w:trPr>
          <w:trHeight w:val="345"/>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Net Sales</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1,918,958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1,731,170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1,688,189</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1,858,897</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1,834,064</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1,794,873</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Cost of goods sold</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1,309,144</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1,111,462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1,082,746</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1,170,589</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1,143,597</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1,100,344</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Gross profit</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609,814</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619,708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605,444</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688,308</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690,467</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694,528</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Gross profit margin</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31.8%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35.8%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35.9%</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37.0%</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37.6%</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38.7%</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Research and development expenses</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133,309</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117,764</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115,935</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114,687</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107,135</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99,726</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Selling, general &amp; administrative expenses</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106,499</w:t>
            </w:r>
            <w:r>
              <w:rPr>
                <w:rFonts w:ascii="Times New Roman" w:cs="Times New Roman" w:eastAsia="Times New Roman" w:hAnsi="Times New Roman"/>
                <w:sz w:val="20"/>
                <w:szCs w:val="20"/>
                <w:color w:val="262626"/>
                <w:vertAlign w:val="superscript"/>
              </w:rPr>
              <w:t>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92,162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89,952</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85,083</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75,206</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71,443</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Operating income</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370,006</w:t>
            </w:r>
            <w:r>
              <w:rPr>
                <w:rFonts w:ascii="Times New Roman" w:cs="Times New Roman" w:eastAsia="Times New Roman" w:hAnsi="Times New Roman"/>
                <w:sz w:val="20"/>
                <w:szCs w:val="20"/>
                <w:color w:val="262626"/>
                <w:vertAlign w:val="superscript"/>
              </w:rPr>
              <w:t>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409,782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399,556</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488,538</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508,126</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523,358</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ind w:left="180"/>
              <w:spacing w:after="0"/>
              <w:rPr>
                <w:sz w:val="20"/>
                <w:szCs w:val="20"/>
                <w:color w:val="auto"/>
              </w:rPr>
            </w:pPr>
            <w:r>
              <w:rPr>
                <w:rFonts w:ascii="Times New Roman" w:cs="Times New Roman" w:eastAsia="Times New Roman" w:hAnsi="Times New Roman"/>
                <w:sz w:val="18"/>
                <w:szCs w:val="18"/>
                <w:color w:val="262626"/>
              </w:rPr>
              <w:t>Percent of net sales</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19.3%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23.7%</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23.7%</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26.3%</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27.7%</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29.2%</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Interest expense</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174</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181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641</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296</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927</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4,371</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Other income (expense)</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(109)</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6,750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12,898</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12,174</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14,849</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12,809</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Income before taxes</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369,723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416,352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411,813</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500,415</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522,047</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531,797</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ind w:left="180"/>
              <w:spacing w:after="0"/>
              <w:rPr>
                <w:sz w:val="20"/>
                <w:szCs w:val="20"/>
                <w:color w:val="auto"/>
              </w:rPr>
            </w:pPr>
            <w:r>
              <w:rPr>
                <w:rFonts w:ascii="Times New Roman" w:cs="Times New Roman" w:eastAsia="Times New Roman" w:hAnsi="Times New Roman"/>
                <w:sz w:val="18"/>
                <w:szCs w:val="18"/>
                <w:color w:val="262626"/>
              </w:rPr>
              <w:t>Percent of net sales</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19.3%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24.1%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24.4%</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26.9%</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28.5%</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29.6%</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Income taxes</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50,965</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55,555</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64,249</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75,731</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84,164</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125,005</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ind w:left="180"/>
              <w:spacing w:after="0"/>
              <w:rPr>
                <w:sz w:val="20"/>
                <w:szCs w:val="20"/>
                <w:color w:val="auto"/>
              </w:rPr>
            </w:pPr>
            <w:r>
              <w:rPr>
                <w:rFonts w:ascii="Times New Roman" w:cs="Times New Roman" w:eastAsia="Times New Roman" w:hAnsi="Times New Roman"/>
                <w:sz w:val="18"/>
                <w:szCs w:val="18"/>
                <w:color w:val="262626"/>
              </w:rPr>
              <w:t>Tax rate</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13.8%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13.3%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15.6%</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15.1%</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16.1%</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23.5%</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Net income</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318,757</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360,797</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347,564</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424,684</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437,883</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406,792</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ind w:left="180"/>
              <w:spacing w:after="0"/>
              <w:rPr>
                <w:sz w:val="20"/>
                <w:szCs w:val="20"/>
                <w:color w:val="auto"/>
              </w:rPr>
            </w:pPr>
            <w:r>
              <w:rPr>
                <w:rFonts w:ascii="Times New Roman" w:cs="Times New Roman" w:eastAsia="Times New Roman" w:hAnsi="Times New Roman"/>
                <w:sz w:val="18"/>
                <w:szCs w:val="18"/>
                <w:color w:val="262626"/>
              </w:rPr>
              <w:t>Percent of net sales</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16.6%</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20.8%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20.6%</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22.8%</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23.9%</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22.7%</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Return on average equity</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15.9%</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18.5%</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17.8%</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22.4%</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22.4%</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20.5%</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ind w:left="180"/>
              <w:spacing w:after="0"/>
              <w:rPr>
                <w:sz w:val="20"/>
                <w:szCs w:val="20"/>
                <w:color w:val="auto"/>
              </w:rPr>
            </w:pPr>
            <w:r>
              <w:rPr>
                <w:rFonts w:ascii="Times New Roman" w:cs="Times New Roman" w:eastAsia="Times New Roman" w:hAnsi="Times New Roman"/>
                <w:sz w:val="18"/>
                <w:szCs w:val="18"/>
                <w:color w:val="262626"/>
              </w:rPr>
              <w:t>Earnings per share - diluted</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1.36</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1.50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1.41</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1.66</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1.62</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1.41</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Price/earnings ratio range</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27-18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25-20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24-14</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18-12</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15-11</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16-12</w:t>
            </w:r>
          </w:p>
        </w:tc>
        <w:tc>
          <w:tcPr>
            <w:tcW w:w="0" w:type="dxa"/>
            <w:vAlign w:val="bottom"/>
          </w:tcPr>
          <w:p>
            <w:pPr>
              <w:spacing w:after="0"/>
              <w:rPr>
                <w:sz w:val="1"/>
                <w:szCs w:val="1"/>
                <w:color w:val="auto"/>
              </w:rPr>
            </w:pPr>
          </w:p>
        </w:tc>
      </w:tr>
      <w:tr>
        <w:trPr>
          <w:trHeight w:val="261"/>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262626"/>
              </w:rPr>
              <w:t>Weighted average common shares</w:t>
            </w:r>
          </w:p>
        </w:tc>
        <w:tc>
          <w:tcPr>
            <w:tcW w:w="11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262626"/>
              </w:rPr>
              <w:t>231,219</w:t>
            </w: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262626"/>
              </w:rPr>
              <w:t>236,604</w:t>
            </w: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262626"/>
              </w:rPr>
              <w:t>243,682</w:t>
            </w:r>
          </w:p>
        </w:tc>
        <w:tc>
          <w:tcPr>
            <w:tcW w:w="11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262626"/>
              </w:rPr>
              <w:t>253,273</w:t>
            </w:r>
          </w:p>
        </w:tc>
        <w:tc>
          <w:tcPr>
            <w:tcW w:w="11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262626"/>
              </w:rPr>
              <w:t>269,877</w:t>
            </w:r>
          </w:p>
        </w:tc>
        <w:tc>
          <w:tcPr>
            <w:tcW w:w="188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color w:val="262626"/>
              </w:rPr>
              <w:t>288,226</w:t>
            </w:r>
          </w:p>
        </w:tc>
        <w:tc>
          <w:tcPr>
            <w:tcW w:w="0" w:type="dxa"/>
            <w:vAlign w:val="bottom"/>
          </w:tcPr>
          <w:p>
            <w:pPr>
              <w:spacing w:after="0"/>
              <w:rPr>
                <w:sz w:val="1"/>
                <w:szCs w:val="1"/>
                <w:color w:val="auto"/>
              </w:rPr>
            </w:pPr>
          </w:p>
        </w:tc>
      </w:tr>
      <w:tr>
        <w:trPr>
          <w:trHeight w:val="180"/>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262626"/>
              </w:rPr>
              <w:t>outstanding - diluted</w:t>
            </w:r>
          </w:p>
        </w:tc>
        <w:tc>
          <w:tcPr>
            <w:tcW w:w="11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3660" w:type="dxa"/>
            <w:vAlign w:val="bottom"/>
            <w:tcBorders>
              <w:bottom w:val="single" w:sz="8" w:color="838383"/>
            </w:tcBorders>
            <w:vMerge w:val="continue"/>
          </w:tcPr>
          <w:p>
            <w:pPr>
              <w:spacing w:after="0"/>
              <w:rPr>
                <w:sz w:val="6"/>
                <w:szCs w:val="6"/>
                <w:color w:val="auto"/>
              </w:rPr>
            </w:pPr>
          </w:p>
        </w:tc>
        <w:tc>
          <w:tcPr>
            <w:tcW w:w="1180" w:type="dxa"/>
            <w:vAlign w:val="bottom"/>
            <w:tcBorders>
              <w:bottom w:val="single" w:sz="8" w:color="838383"/>
            </w:tcBorders>
          </w:tcPr>
          <w:p>
            <w:pPr>
              <w:spacing w:after="0"/>
              <w:rPr>
                <w:sz w:val="6"/>
                <w:szCs w:val="6"/>
                <w:color w:val="auto"/>
              </w:rPr>
            </w:pPr>
          </w:p>
        </w:tc>
        <w:tc>
          <w:tcPr>
            <w:tcW w:w="1160" w:type="dxa"/>
            <w:vAlign w:val="bottom"/>
            <w:tcBorders>
              <w:bottom w:val="single" w:sz="8" w:color="838383"/>
            </w:tcBorders>
          </w:tcPr>
          <w:p>
            <w:pPr>
              <w:spacing w:after="0"/>
              <w:rPr>
                <w:sz w:val="6"/>
                <w:szCs w:val="6"/>
                <w:color w:val="auto"/>
              </w:rPr>
            </w:pPr>
          </w:p>
        </w:tc>
        <w:tc>
          <w:tcPr>
            <w:tcW w:w="1160" w:type="dxa"/>
            <w:vAlign w:val="bottom"/>
            <w:tcBorders>
              <w:bottom w:val="single" w:sz="8" w:color="838383"/>
            </w:tcBorders>
          </w:tcPr>
          <w:p>
            <w:pPr>
              <w:spacing w:after="0"/>
              <w:rPr>
                <w:sz w:val="6"/>
                <w:szCs w:val="6"/>
                <w:color w:val="auto"/>
              </w:rPr>
            </w:pPr>
          </w:p>
        </w:tc>
        <w:tc>
          <w:tcPr>
            <w:tcW w:w="1180" w:type="dxa"/>
            <w:vAlign w:val="bottom"/>
            <w:tcBorders>
              <w:bottom w:val="single" w:sz="8" w:color="838383"/>
            </w:tcBorders>
          </w:tcPr>
          <w:p>
            <w:pPr>
              <w:spacing w:after="0"/>
              <w:rPr>
                <w:sz w:val="6"/>
                <w:szCs w:val="6"/>
                <w:color w:val="auto"/>
              </w:rPr>
            </w:pPr>
          </w:p>
        </w:tc>
        <w:tc>
          <w:tcPr>
            <w:tcW w:w="1120" w:type="dxa"/>
            <w:vAlign w:val="bottom"/>
            <w:tcBorders>
              <w:bottom w:val="single" w:sz="8" w:color="838383"/>
            </w:tcBorders>
          </w:tcPr>
          <w:p>
            <w:pPr>
              <w:spacing w:after="0"/>
              <w:rPr>
                <w:sz w:val="6"/>
                <w:szCs w:val="6"/>
                <w:color w:val="auto"/>
              </w:rPr>
            </w:pPr>
          </w:p>
        </w:tc>
        <w:tc>
          <w:tcPr>
            <w:tcW w:w="1880" w:type="dxa"/>
            <w:vAlign w:val="bottom"/>
            <w:tcBorders>
              <w:bottom w:val="single" w:sz="8" w:color="838383"/>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Capital expenditures</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146,433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68,835</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51,707</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84,580</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85,991</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104,041</w:t>
            </w:r>
          </w:p>
        </w:tc>
        <w:tc>
          <w:tcPr>
            <w:tcW w:w="0" w:type="dxa"/>
            <w:vAlign w:val="bottom"/>
          </w:tcPr>
          <w:p>
            <w:pPr>
              <w:spacing w:after="0"/>
              <w:rPr>
                <w:sz w:val="1"/>
                <w:szCs w:val="1"/>
                <w:color w:val="auto"/>
              </w:rPr>
            </w:pPr>
          </w:p>
        </w:tc>
      </w:tr>
      <w:tr>
        <w:trPr>
          <w:trHeight w:val="273"/>
        </w:trPr>
        <w:tc>
          <w:tcPr>
            <w:tcW w:w="3660" w:type="dxa"/>
            <w:vAlign w:val="bottom"/>
          </w:tcPr>
          <w:p>
            <w:pPr>
              <w:spacing w:after="0"/>
              <w:rPr>
                <w:sz w:val="20"/>
                <w:szCs w:val="20"/>
                <w:color w:val="auto"/>
              </w:rPr>
            </w:pPr>
            <w:r>
              <w:rPr>
                <w:rFonts w:ascii="Arial" w:cs="Arial" w:eastAsia="Arial" w:hAnsi="Arial"/>
                <w:sz w:val="17"/>
                <w:szCs w:val="17"/>
                <w:b w:val="1"/>
                <w:bCs w:val="1"/>
                <w:color w:val="838383"/>
              </w:rPr>
              <w:t>FINANCIAL POSITION AT YEAR-END</w:t>
            </w:r>
          </w:p>
        </w:tc>
        <w:tc>
          <w:tcPr>
            <w:tcW w:w="1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3660" w:type="dxa"/>
            <w:vAlign w:val="bottom"/>
            <w:tcBorders>
              <w:bottom w:val="single" w:sz="8" w:color="838383"/>
            </w:tcBorders>
          </w:tcPr>
          <w:p>
            <w:pPr>
              <w:spacing w:after="0"/>
              <w:rPr>
                <w:sz w:val="5"/>
                <w:szCs w:val="5"/>
                <w:color w:val="auto"/>
              </w:rPr>
            </w:pPr>
          </w:p>
        </w:tc>
        <w:tc>
          <w:tcPr>
            <w:tcW w:w="1180" w:type="dxa"/>
            <w:vAlign w:val="bottom"/>
            <w:tcBorders>
              <w:bottom w:val="single" w:sz="8" w:color="838383"/>
            </w:tcBorders>
          </w:tcPr>
          <w:p>
            <w:pPr>
              <w:spacing w:after="0"/>
              <w:rPr>
                <w:sz w:val="5"/>
                <w:szCs w:val="5"/>
                <w:color w:val="auto"/>
              </w:rPr>
            </w:pPr>
          </w:p>
        </w:tc>
        <w:tc>
          <w:tcPr>
            <w:tcW w:w="1160" w:type="dxa"/>
            <w:vAlign w:val="bottom"/>
            <w:tcBorders>
              <w:bottom w:val="single" w:sz="8" w:color="838383"/>
            </w:tcBorders>
          </w:tcPr>
          <w:p>
            <w:pPr>
              <w:spacing w:after="0"/>
              <w:rPr>
                <w:sz w:val="5"/>
                <w:szCs w:val="5"/>
                <w:color w:val="auto"/>
              </w:rPr>
            </w:pPr>
          </w:p>
        </w:tc>
        <w:tc>
          <w:tcPr>
            <w:tcW w:w="1160" w:type="dxa"/>
            <w:vAlign w:val="bottom"/>
            <w:tcBorders>
              <w:bottom w:val="single" w:sz="8" w:color="838383"/>
            </w:tcBorders>
          </w:tcPr>
          <w:p>
            <w:pPr>
              <w:spacing w:after="0"/>
              <w:rPr>
                <w:sz w:val="5"/>
                <w:szCs w:val="5"/>
                <w:color w:val="auto"/>
              </w:rPr>
            </w:pPr>
          </w:p>
        </w:tc>
        <w:tc>
          <w:tcPr>
            <w:tcW w:w="1180" w:type="dxa"/>
            <w:vAlign w:val="bottom"/>
            <w:tcBorders>
              <w:bottom w:val="single" w:sz="8" w:color="838383"/>
            </w:tcBorders>
          </w:tcPr>
          <w:p>
            <w:pPr>
              <w:spacing w:after="0"/>
              <w:rPr>
                <w:sz w:val="5"/>
                <w:szCs w:val="5"/>
                <w:color w:val="auto"/>
              </w:rPr>
            </w:pPr>
          </w:p>
        </w:tc>
        <w:tc>
          <w:tcPr>
            <w:tcW w:w="1120" w:type="dxa"/>
            <w:vAlign w:val="bottom"/>
            <w:tcBorders>
              <w:bottom w:val="single" w:sz="8" w:color="838383"/>
            </w:tcBorders>
          </w:tcPr>
          <w:p>
            <w:pPr>
              <w:spacing w:after="0"/>
              <w:rPr>
                <w:sz w:val="5"/>
                <w:szCs w:val="5"/>
                <w:color w:val="auto"/>
              </w:rPr>
            </w:pPr>
          </w:p>
        </w:tc>
        <w:tc>
          <w:tcPr>
            <w:tcW w:w="1880" w:type="dxa"/>
            <w:vAlign w:val="bottom"/>
            <w:tcBorders>
              <w:bottom w:val="single" w:sz="8" w:color="838383"/>
            </w:tcBorders>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Cash and short-term investments</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241,762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267,735</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450,535</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436,706</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386,438</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722,273</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Long-term and Equity Method investments</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202,332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207,693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162,028</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139,909</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137,979</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57,782,418</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Total current assets</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948,652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872,976</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979,331</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950,377</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850,930</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1,184,564</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Total current liabilities</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250,553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181,656</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177,737</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171,847</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169,161</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243,647</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Working capital</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698,100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691,320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801,594</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778,530</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681,769</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940,917</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Plant and equipment - net</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550,033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464,122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468,135</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498,316</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498,474</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492,479</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Total assets</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2,327,230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2,131,391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2,197,941</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2,168,803</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2,085,434</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2,352,054</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Long-term debt, including current maturities</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78,000</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Shareholders’ investment</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2,065,793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1,937,988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1,963,943</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1,938,088</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1,861,752</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2,049,518</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Debt/equity ratio (including current maturities)</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0.04</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Common shares outstanding</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234,169</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236,441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243,693</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251,278</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259,329</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280,281</w:t>
            </w:r>
          </w:p>
        </w:tc>
        <w:tc>
          <w:tcPr>
            <w:tcW w:w="0" w:type="dxa"/>
            <w:vAlign w:val="bottom"/>
          </w:tcPr>
          <w:p>
            <w:pPr>
              <w:spacing w:after="0"/>
              <w:rPr>
                <w:sz w:val="1"/>
                <w:szCs w:val="1"/>
                <w:color w:val="auto"/>
              </w:rPr>
            </w:pPr>
          </w:p>
        </w:tc>
      </w:tr>
      <w:tr>
        <w:trPr>
          <w:trHeight w:val="340"/>
        </w:trPr>
        <w:tc>
          <w:tcPr>
            <w:tcW w:w="3660" w:type="dxa"/>
            <w:vAlign w:val="bottom"/>
            <w:tcBorders>
              <w:bottom w:val="single" w:sz="8" w:color="838383"/>
            </w:tcBorders>
          </w:tcPr>
          <w:p>
            <w:pPr>
              <w:spacing w:after="0"/>
              <w:rPr>
                <w:sz w:val="20"/>
                <w:szCs w:val="20"/>
                <w:color w:val="auto"/>
              </w:rPr>
            </w:pPr>
            <w:r>
              <w:rPr>
                <w:rFonts w:ascii="Times New Roman" w:cs="Times New Roman" w:eastAsia="Times New Roman" w:hAnsi="Times New Roman"/>
                <w:sz w:val="18"/>
                <w:szCs w:val="18"/>
                <w:color w:val="262626"/>
              </w:rPr>
              <w:t>Book value per share</w:t>
            </w:r>
          </w:p>
        </w:tc>
        <w:tc>
          <w:tcPr>
            <w:tcW w:w="11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9</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8</w:t>
            </w:r>
          </w:p>
        </w:tc>
        <w:tc>
          <w:tcPr>
            <w:tcW w:w="1180" w:type="dxa"/>
            <w:vAlign w:val="bottom"/>
            <w:tcBorders>
              <w:bottom w:val="single" w:sz="8" w:color="838383"/>
            </w:tcBorders>
          </w:tcPr>
          <w:p>
            <w:pPr>
              <w:jc w:val="right"/>
              <w:ind w:right="150"/>
              <w:spacing w:after="0"/>
              <w:rPr>
                <w:sz w:val="20"/>
                <w:szCs w:val="20"/>
                <w:color w:val="auto"/>
              </w:rPr>
            </w:pPr>
            <w:r>
              <w:rPr>
                <w:rFonts w:ascii="Times New Roman" w:cs="Times New Roman" w:eastAsia="Times New Roman" w:hAnsi="Times New Roman"/>
                <w:sz w:val="18"/>
                <w:szCs w:val="18"/>
                <w:color w:val="262626"/>
              </w:rPr>
              <w:t>8</w:t>
            </w:r>
          </w:p>
        </w:tc>
        <w:tc>
          <w:tcPr>
            <w:tcW w:w="1120" w:type="dxa"/>
            <w:vAlign w:val="bottom"/>
            <w:tcBorders>
              <w:bottom w:val="single" w:sz="8" w:color="838383"/>
            </w:tcBorders>
          </w:tcPr>
          <w:p>
            <w:pPr>
              <w:jc w:val="right"/>
              <w:ind w:right="90"/>
              <w:spacing w:after="0"/>
              <w:rPr>
                <w:sz w:val="20"/>
                <w:szCs w:val="20"/>
                <w:color w:val="auto"/>
              </w:rPr>
            </w:pPr>
            <w:r>
              <w:rPr>
                <w:rFonts w:ascii="Times New Roman" w:cs="Times New Roman" w:eastAsia="Times New Roman" w:hAnsi="Times New Roman"/>
                <w:sz w:val="18"/>
                <w:szCs w:val="18"/>
                <w:color w:val="262626"/>
              </w:rPr>
              <w:t>7</w:t>
            </w:r>
          </w:p>
        </w:tc>
        <w:tc>
          <w:tcPr>
            <w:tcW w:w="1880" w:type="dxa"/>
            <w:vAlign w:val="bottom"/>
            <w:tcBorders>
              <w:bottom w:val="single" w:sz="8" w:color="838383"/>
            </w:tcBorders>
          </w:tcPr>
          <w:p>
            <w:pPr>
              <w:jc w:val="right"/>
              <w:ind w:right="810"/>
              <w:spacing w:after="0"/>
              <w:rPr>
                <w:sz w:val="20"/>
                <w:szCs w:val="20"/>
                <w:color w:val="auto"/>
              </w:rPr>
            </w:pPr>
            <w:r>
              <w:rPr>
                <w:rFonts w:ascii="Times New Roman" w:cs="Times New Roman" w:eastAsia="Times New Roman" w:hAnsi="Times New Roman"/>
                <w:sz w:val="18"/>
                <w:szCs w:val="18"/>
                <w:color w:val="262626"/>
              </w:rPr>
              <w:t>7</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262626"/>
              </w:rPr>
              <w:t>Cash Dividend declared per share</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62626"/>
              </w:rPr>
              <w:t>0.480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62626"/>
              </w:rPr>
              <w:t>0.480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62626"/>
              </w:rPr>
              <w:t>0.480</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262626"/>
              </w:rPr>
              <w:t>0.460</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262626"/>
              </w:rPr>
              <w:t>0.44</w:t>
            </w:r>
          </w:p>
        </w:tc>
        <w:tc>
          <w:tcPr>
            <w:tcW w:w="18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262626"/>
              </w:rPr>
              <w:t>0.390</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440" w:hanging="120"/>
        <w:spacing w:after="0"/>
        <w:tabs>
          <w:tab w:leader="none" w:pos="440" w:val="left"/>
        </w:tabs>
        <w:numPr>
          <w:ilvl w:val="0"/>
          <w:numId w:val="26"/>
        </w:numPr>
        <w:rPr>
          <w:rFonts w:ascii="Times New Roman" w:cs="Times New Roman" w:eastAsia="Times New Roman" w:hAnsi="Times New Roman"/>
          <w:sz w:val="15"/>
          <w:szCs w:val="15"/>
          <w:color w:val="838383"/>
          <w:vertAlign w:val="superscript"/>
        </w:rPr>
      </w:pPr>
      <w:r>
        <w:rPr>
          <w:rFonts w:ascii="Times New Roman" w:cs="Times New Roman" w:eastAsia="Times New Roman" w:hAnsi="Times New Roman"/>
          <w:sz w:val="13"/>
          <w:szCs w:val="13"/>
          <w:color w:val="838383"/>
        </w:rPr>
        <w:t>Includes an increase in allowance for doubtful accounts of $3,800,000</w:t>
      </w:r>
    </w:p>
    <w:p>
      <w:pPr>
        <w:spacing w:after="0" w:line="41" w:lineRule="exact"/>
        <w:rPr>
          <w:rFonts w:ascii="Times New Roman" w:cs="Times New Roman" w:eastAsia="Times New Roman" w:hAnsi="Times New Roman"/>
          <w:sz w:val="15"/>
          <w:szCs w:val="15"/>
          <w:color w:val="838383"/>
          <w:vertAlign w:val="superscript"/>
        </w:rPr>
      </w:pPr>
    </w:p>
    <w:p>
      <w:pPr>
        <w:ind w:left="440" w:hanging="120"/>
        <w:spacing w:after="0"/>
        <w:tabs>
          <w:tab w:leader="none" w:pos="440" w:val="left"/>
        </w:tabs>
        <w:numPr>
          <w:ilvl w:val="0"/>
          <w:numId w:val="26"/>
        </w:numPr>
        <w:rPr>
          <w:rFonts w:ascii="Times New Roman" w:cs="Times New Roman" w:eastAsia="Times New Roman" w:hAnsi="Times New Roman"/>
          <w:sz w:val="15"/>
          <w:szCs w:val="15"/>
          <w:color w:val="838383"/>
          <w:vertAlign w:val="superscript"/>
        </w:rPr>
      </w:pPr>
      <w:r>
        <w:rPr>
          <w:rFonts w:ascii="Times New Roman" w:cs="Times New Roman" w:eastAsia="Times New Roman" w:hAnsi="Times New Roman"/>
          <w:sz w:val="13"/>
          <w:szCs w:val="13"/>
          <w:color w:val="838383"/>
        </w:rPr>
        <w:t>Includes litigation settlement of $5,000,000 (pre tax) in 2012.</w:t>
      </w:r>
    </w:p>
    <w:p>
      <w:pPr>
        <w:spacing w:after="0" w:line="7" w:lineRule="exact"/>
        <w:rPr>
          <w:rFonts w:ascii="Times New Roman" w:cs="Times New Roman" w:eastAsia="Times New Roman" w:hAnsi="Times New Roman"/>
          <w:sz w:val="15"/>
          <w:szCs w:val="15"/>
          <w:color w:val="838383"/>
          <w:vertAlign w:val="superscript"/>
        </w:rPr>
      </w:pPr>
    </w:p>
    <w:p>
      <w:pPr>
        <w:ind w:left="460" w:hanging="140"/>
        <w:spacing w:after="0"/>
        <w:tabs>
          <w:tab w:leader="none" w:pos="460" w:val="left"/>
        </w:tabs>
        <w:numPr>
          <w:ilvl w:val="0"/>
          <w:numId w:val="26"/>
        </w:numPr>
        <w:rPr>
          <w:rFonts w:ascii="Times New Roman" w:cs="Times New Roman" w:eastAsia="Times New Roman" w:hAnsi="Times New Roman"/>
          <w:sz w:val="16"/>
          <w:szCs w:val="16"/>
          <w:color w:val="838383"/>
          <w:vertAlign w:val="superscript"/>
        </w:rPr>
      </w:pPr>
      <w:r>
        <w:rPr>
          <w:rFonts w:ascii="Times New Roman" w:cs="Times New Roman" w:eastAsia="Times New Roman" w:hAnsi="Times New Roman"/>
          <w:sz w:val="14"/>
          <w:szCs w:val="14"/>
          <w:color w:val="838383"/>
        </w:rPr>
        <w:t>Includes SEC settlement of $4,000,000 (pre tax) in 2022.</w:t>
      </w:r>
    </w:p>
    <w:p>
      <w:pPr>
        <w:sectPr>
          <w:pgSz w:w="12240" w:h="15840" w:orient="portrait"/>
          <w:cols w:equalWidth="0" w:num="1">
            <w:col w:w="11660"/>
          </w:cols>
          <w:pgMar w:left="580" w:top="935" w:right="0" w:bottom="0" w:gutter="0" w:footer="0" w:header="0"/>
        </w:sectPr>
      </w:pPr>
    </w:p>
    <w:p>
      <w:pPr>
        <w:spacing w:after="0" w:line="187" w:lineRule="auto"/>
        <w:tabs>
          <w:tab w:leader="none" w:pos="400" w:val="left"/>
        </w:tabs>
        <w:rPr>
          <w:sz w:val="20"/>
          <w:szCs w:val="20"/>
          <w:color w:val="auto"/>
        </w:rPr>
      </w:pPr>
      <w:r>
        <w:rPr>
          <w:rFonts w:ascii="Arial" w:cs="Arial" w:eastAsia="Arial" w:hAnsi="Arial"/>
          <w:sz w:val="23"/>
          <w:szCs w:val="23"/>
          <w:b w:val="1"/>
          <w:bCs w:val="1"/>
          <w:color w:val="262626"/>
        </w:rPr>
        <w:t>92</w:t>
      </w:r>
      <w:r>
        <w:rPr>
          <w:sz w:val="20"/>
          <w:szCs w:val="20"/>
          <w:color w:val="auto"/>
        </w:rPr>
        <w:tab/>
      </w:r>
      <w:r>
        <w:rPr>
          <w:rFonts w:ascii="Times New Roman" w:cs="Times New Roman" w:eastAsia="Times New Roman" w:hAnsi="Times New Roman"/>
          <w:sz w:val="10"/>
          <w:szCs w:val="10"/>
          <w:color w:val="262626"/>
        </w:rPr>
        <w:t>GENTEX CORPORATION</w:t>
      </w:r>
    </w:p>
    <w:p>
      <w:pPr>
        <w:sectPr>
          <w:pgSz w:w="12240" w:h="15840" w:orient="portrait"/>
          <w:cols w:equalWidth="0" w:num="1">
            <w:col w:w="11660"/>
          </w:cols>
          <w:pgMar w:left="580" w:top="935" w:right="0" w:bottom="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302"/>
        </w:trPr>
        <w:tc>
          <w:tcPr>
            <w:tcW w:w="2280" w:type="dxa"/>
            <w:vAlign w:val="bottom"/>
          </w:tcPr>
          <w:p>
            <w:pPr>
              <w:jc w:val="right"/>
              <w:ind w:right="130"/>
              <w:spacing w:after="0"/>
              <w:rPr>
                <w:sz w:val="20"/>
                <w:szCs w:val="20"/>
                <w:color w:val="auto"/>
              </w:rPr>
            </w:pPr>
            <w:r>
              <w:rPr>
                <w:rFonts w:ascii="Arial" w:cs="Arial" w:eastAsia="Arial" w:hAnsi="Arial"/>
                <w:sz w:val="18"/>
                <w:szCs w:val="18"/>
                <w:b w:val="1"/>
                <w:bCs w:val="1"/>
                <w:color w:val="262626"/>
              </w:rPr>
              <w:t>2016</w:t>
            </w: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262626"/>
              </w:rPr>
              <w:t>2015</w:t>
            </w: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262626"/>
              </w:rPr>
              <w:t>2014</w:t>
            </w: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262626"/>
              </w:rPr>
              <w:t>2013</w:t>
            </w: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262626"/>
              </w:rPr>
              <w:t>2012</w:t>
            </w: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262626"/>
              </w:rPr>
              <w:t>2011</w:t>
            </w: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262626"/>
              </w:rPr>
              <w:t>2010</w:t>
            </w: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262626"/>
              </w:rPr>
              <w:t>2009</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262626"/>
              </w:rPr>
              <w:t>2008</w:t>
            </w:r>
          </w:p>
        </w:tc>
      </w:tr>
      <w:tr>
        <w:trPr>
          <w:trHeight w:val="345"/>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1,678,925</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1,543,618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1,375,501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1,171,864</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1,099,560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1,023,762</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816,263</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544,523</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623,800</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1,010,473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939,842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836,611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741,131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726,741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662,182</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520,573</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366,968</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420,673</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668,452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603,776</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538,890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430,733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372,819</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361,580</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295,690</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177,555</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203,127</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39.8%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39.1%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39.2%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36.8%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33.9%</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35.3%</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36.2%</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32.6%</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32.6%</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94,238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88,393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84,176</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76,495</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85,004</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81,634</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64,100</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47,128</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51,889</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62,471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56,617</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55,880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49,496</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53,360</w:t>
            </w:r>
            <w:r>
              <w:rPr>
                <w:rFonts w:ascii="Times New Roman" w:cs="Times New Roman" w:eastAsia="Times New Roman" w:hAnsi="Times New Roman"/>
                <w:sz w:val="20"/>
                <w:szCs w:val="20"/>
                <w:color w:val="262626"/>
                <w:vertAlign w:val="superscript"/>
              </w:rPr>
              <w:t>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48,578</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40,618</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35,808</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42,425</w:t>
            </w:r>
            <w:r>
              <w:rPr>
                <w:rFonts w:ascii="Times New Roman" w:cs="Times New Roman" w:eastAsia="Times New Roman" w:hAnsi="Times New Roman"/>
                <w:sz w:val="20"/>
                <w:szCs w:val="20"/>
                <w:color w:val="262626"/>
                <w:vertAlign w:val="superscript"/>
              </w:rPr>
              <w:t>1</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511,743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458,766</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398,834</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304,742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234,455</w:t>
            </w:r>
            <w:r>
              <w:rPr>
                <w:rFonts w:ascii="Times New Roman" w:cs="Times New Roman" w:eastAsia="Times New Roman" w:hAnsi="Times New Roman"/>
                <w:sz w:val="20"/>
                <w:szCs w:val="20"/>
                <w:color w:val="262626"/>
                <w:vertAlign w:val="superscript"/>
              </w:rPr>
              <w:t>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231,368</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190,972</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94,619</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108,813</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30.5%</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29.7%</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29.0%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26.0%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21.3%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22.6%</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23.4%</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17.4%</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17.4%</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5,684</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4,439</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3,501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937</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4,501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9,264</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19,993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24,259</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15,170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13,064</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12,468</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1,733</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(16,618)</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510,561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463,591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415,326</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328,064</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249,626</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244,432</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203,440</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96,352</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92,195</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30.4%</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30.0%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30.2%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28.0%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22.7%</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23.9%</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24.9%</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17.7%</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14.8%</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162,969</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145,122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126,722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105,134</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81,039</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79,764</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65,706</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31,715</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30,107</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31.9%</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31.3%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30.5%</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32.0%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32.5%</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32.6%</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32.3%</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32.9%</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32.7%</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347,591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318,470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288,605</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222,930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168,587</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164,668</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137,734</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64,637</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62,088</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20.7%</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20.6%</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21.0%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19.0%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15.3%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16.1%</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16.9%</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11.9%</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10.0%</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19.1%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19.3%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19.9%</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18.2%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15.7%</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17.1%</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16.9%</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9.0%</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8.2%</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1.19</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1.08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0.98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0.77</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0.59</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0.57</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0.49</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0.24</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0.22</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17-11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18-12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19-14</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22-12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27-12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31-19</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31-17</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39-15</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44-15</w:t>
            </w:r>
          </w:p>
        </w:tc>
      </w:tr>
      <w:tr>
        <w:trPr>
          <w:trHeight w:val="447"/>
        </w:trPr>
        <w:tc>
          <w:tcPr>
            <w:tcW w:w="2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62626"/>
              </w:rPr>
              <w:t>291,072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62626"/>
              </w:rPr>
              <w:t>296,238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62626"/>
              </w:rPr>
              <w:t>293,400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62626"/>
              </w:rPr>
              <w:t>288,548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62626"/>
              </w:rPr>
              <w:t>287,936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62626"/>
              </w:rPr>
              <w:t>288,554</w:t>
            </w: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262626"/>
              </w:rPr>
              <w:t>281,472</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262626"/>
              </w:rPr>
              <w:t>275,291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62626"/>
              </w:rPr>
              <w:t>282,010</w:t>
            </w:r>
          </w:p>
        </w:tc>
      </w:tr>
      <w:tr>
        <w:trPr>
          <w:trHeight w:val="73"/>
        </w:trPr>
        <w:tc>
          <w:tcPr>
            <w:tcW w:w="2280" w:type="dxa"/>
            <w:vAlign w:val="bottom"/>
            <w:tcBorders>
              <w:bottom w:val="single" w:sz="8" w:color="838383"/>
            </w:tcBorders>
          </w:tcPr>
          <w:p>
            <w:pPr>
              <w:spacing w:after="0"/>
              <w:rPr>
                <w:sz w:val="6"/>
                <w:szCs w:val="6"/>
                <w:color w:val="auto"/>
              </w:rPr>
            </w:pPr>
          </w:p>
        </w:tc>
        <w:tc>
          <w:tcPr>
            <w:tcW w:w="1160" w:type="dxa"/>
            <w:vAlign w:val="bottom"/>
            <w:tcBorders>
              <w:bottom w:val="single" w:sz="8" w:color="838383"/>
            </w:tcBorders>
          </w:tcPr>
          <w:p>
            <w:pPr>
              <w:spacing w:after="0"/>
              <w:rPr>
                <w:sz w:val="6"/>
                <w:szCs w:val="6"/>
                <w:color w:val="auto"/>
              </w:rPr>
            </w:pPr>
          </w:p>
        </w:tc>
        <w:tc>
          <w:tcPr>
            <w:tcW w:w="1160" w:type="dxa"/>
            <w:vAlign w:val="bottom"/>
            <w:tcBorders>
              <w:bottom w:val="single" w:sz="8" w:color="838383"/>
            </w:tcBorders>
          </w:tcPr>
          <w:p>
            <w:pPr>
              <w:spacing w:after="0"/>
              <w:rPr>
                <w:sz w:val="6"/>
                <w:szCs w:val="6"/>
                <w:color w:val="auto"/>
              </w:rPr>
            </w:pPr>
          </w:p>
        </w:tc>
        <w:tc>
          <w:tcPr>
            <w:tcW w:w="1160" w:type="dxa"/>
            <w:vAlign w:val="bottom"/>
            <w:tcBorders>
              <w:bottom w:val="single" w:sz="8" w:color="838383"/>
            </w:tcBorders>
          </w:tcPr>
          <w:p>
            <w:pPr>
              <w:spacing w:after="0"/>
              <w:rPr>
                <w:sz w:val="6"/>
                <w:szCs w:val="6"/>
                <w:color w:val="auto"/>
              </w:rPr>
            </w:pPr>
          </w:p>
        </w:tc>
        <w:tc>
          <w:tcPr>
            <w:tcW w:w="1160" w:type="dxa"/>
            <w:vAlign w:val="bottom"/>
            <w:tcBorders>
              <w:bottom w:val="single" w:sz="8" w:color="838383"/>
            </w:tcBorders>
          </w:tcPr>
          <w:p>
            <w:pPr>
              <w:spacing w:after="0"/>
              <w:rPr>
                <w:sz w:val="6"/>
                <w:szCs w:val="6"/>
                <w:color w:val="auto"/>
              </w:rPr>
            </w:pPr>
          </w:p>
        </w:tc>
        <w:tc>
          <w:tcPr>
            <w:tcW w:w="1160" w:type="dxa"/>
            <w:vAlign w:val="bottom"/>
            <w:tcBorders>
              <w:bottom w:val="single" w:sz="8" w:color="838383"/>
            </w:tcBorders>
          </w:tcPr>
          <w:p>
            <w:pPr>
              <w:spacing w:after="0"/>
              <w:rPr>
                <w:sz w:val="6"/>
                <w:szCs w:val="6"/>
                <w:color w:val="auto"/>
              </w:rPr>
            </w:pPr>
          </w:p>
        </w:tc>
        <w:tc>
          <w:tcPr>
            <w:tcW w:w="1240" w:type="dxa"/>
            <w:vAlign w:val="bottom"/>
            <w:tcBorders>
              <w:bottom w:val="single" w:sz="8" w:color="838383"/>
            </w:tcBorders>
          </w:tcPr>
          <w:p>
            <w:pPr>
              <w:spacing w:after="0"/>
              <w:rPr>
                <w:sz w:val="6"/>
                <w:szCs w:val="6"/>
                <w:color w:val="auto"/>
              </w:rPr>
            </w:pPr>
          </w:p>
        </w:tc>
        <w:tc>
          <w:tcPr>
            <w:tcW w:w="1140" w:type="dxa"/>
            <w:vAlign w:val="bottom"/>
            <w:tcBorders>
              <w:bottom w:val="single" w:sz="8" w:color="838383"/>
            </w:tcBorders>
          </w:tcPr>
          <w:p>
            <w:pPr>
              <w:spacing w:after="0"/>
              <w:rPr>
                <w:sz w:val="6"/>
                <w:szCs w:val="6"/>
                <w:color w:val="auto"/>
              </w:rPr>
            </w:pPr>
          </w:p>
        </w:tc>
        <w:tc>
          <w:tcPr>
            <w:tcW w:w="880" w:type="dxa"/>
            <w:vAlign w:val="bottom"/>
            <w:tcBorders>
              <w:bottom w:val="single" w:sz="8" w:color="838383"/>
            </w:tcBorders>
          </w:tcPr>
          <w:p>
            <w:pPr>
              <w:spacing w:after="0"/>
              <w:rPr>
                <w:sz w:val="6"/>
                <w:szCs w:val="6"/>
                <w:color w:val="auto"/>
              </w:rPr>
            </w:pPr>
          </w:p>
        </w:tc>
        <w:tc>
          <w:tcPr>
            <w:tcW w:w="20" w:type="dxa"/>
            <w:vAlign w:val="bottom"/>
            <w:tcBorders>
              <w:bottom w:val="single" w:sz="8" w:color="838383"/>
            </w:tcBorders>
          </w:tcPr>
          <w:p>
            <w:pPr>
              <w:spacing w:after="0"/>
              <w:rPr>
                <w:sz w:val="6"/>
                <w:szCs w:val="6"/>
                <w:color w:val="auto"/>
              </w:rPr>
            </w:pP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120,956</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97,942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72,519</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55,380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117,474</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120,178</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46,862</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21,131</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45,524</w:t>
            </w:r>
          </w:p>
        </w:tc>
      </w:tr>
      <w:tr>
        <w:trPr>
          <w:trHeight w:val="340"/>
        </w:trPr>
        <w:tc>
          <w:tcPr>
            <w:tcW w:w="2280" w:type="dxa"/>
            <w:vAlign w:val="bottom"/>
            <w:tcBorders>
              <w:bottom w:val="single" w:sz="8" w:color="838383"/>
            </w:tcBorders>
          </w:tcPr>
          <w:p>
            <w:pPr>
              <w:spacing w:after="0"/>
              <w:rPr>
                <w:sz w:val="24"/>
                <w:szCs w:val="24"/>
                <w:color w:val="auto"/>
              </w:rPr>
            </w:pPr>
          </w:p>
        </w:tc>
        <w:tc>
          <w:tcPr>
            <w:tcW w:w="1160" w:type="dxa"/>
            <w:vAlign w:val="bottom"/>
            <w:tcBorders>
              <w:bottom w:val="single" w:sz="8" w:color="838383"/>
            </w:tcBorders>
          </w:tcPr>
          <w:p>
            <w:pPr>
              <w:spacing w:after="0"/>
              <w:rPr>
                <w:sz w:val="24"/>
                <w:szCs w:val="24"/>
                <w:color w:val="auto"/>
              </w:rPr>
            </w:pPr>
          </w:p>
        </w:tc>
        <w:tc>
          <w:tcPr>
            <w:tcW w:w="1160" w:type="dxa"/>
            <w:vAlign w:val="bottom"/>
            <w:tcBorders>
              <w:bottom w:val="single" w:sz="8" w:color="838383"/>
            </w:tcBorders>
          </w:tcPr>
          <w:p>
            <w:pPr>
              <w:spacing w:after="0"/>
              <w:rPr>
                <w:sz w:val="24"/>
                <w:szCs w:val="24"/>
                <w:color w:val="auto"/>
              </w:rPr>
            </w:pPr>
          </w:p>
        </w:tc>
        <w:tc>
          <w:tcPr>
            <w:tcW w:w="1160" w:type="dxa"/>
            <w:vAlign w:val="bottom"/>
            <w:tcBorders>
              <w:bottom w:val="single" w:sz="8" w:color="838383"/>
            </w:tcBorders>
          </w:tcPr>
          <w:p>
            <w:pPr>
              <w:spacing w:after="0"/>
              <w:rPr>
                <w:sz w:val="24"/>
                <w:szCs w:val="24"/>
                <w:color w:val="auto"/>
              </w:rPr>
            </w:pPr>
          </w:p>
        </w:tc>
        <w:tc>
          <w:tcPr>
            <w:tcW w:w="1160" w:type="dxa"/>
            <w:vAlign w:val="bottom"/>
            <w:tcBorders>
              <w:bottom w:val="single" w:sz="8" w:color="838383"/>
            </w:tcBorders>
          </w:tcPr>
          <w:p>
            <w:pPr>
              <w:spacing w:after="0"/>
              <w:rPr>
                <w:sz w:val="24"/>
                <w:szCs w:val="24"/>
                <w:color w:val="auto"/>
              </w:rPr>
            </w:pPr>
          </w:p>
        </w:tc>
        <w:tc>
          <w:tcPr>
            <w:tcW w:w="1160" w:type="dxa"/>
            <w:vAlign w:val="bottom"/>
            <w:tcBorders>
              <w:bottom w:val="single" w:sz="8" w:color="838383"/>
            </w:tcBorders>
          </w:tcPr>
          <w:p>
            <w:pPr>
              <w:spacing w:after="0"/>
              <w:rPr>
                <w:sz w:val="24"/>
                <w:szCs w:val="24"/>
                <w:color w:val="auto"/>
              </w:rPr>
            </w:pPr>
          </w:p>
        </w:tc>
        <w:tc>
          <w:tcPr>
            <w:tcW w:w="1240" w:type="dxa"/>
            <w:vAlign w:val="bottom"/>
            <w:tcBorders>
              <w:bottom w:val="single" w:sz="8" w:color="838383"/>
            </w:tcBorders>
          </w:tcPr>
          <w:p>
            <w:pPr>
              <w:spacing w:after="0"/>
              <w:rPr>
                <w:sz w:val="24"/>
                <w:szCs w:val="24"/>
                <w:color w:val="auto"/>
              </w:rPr>
            </w:pPr>
          </w:p>
        </w:tc>
        <w:tc>
          <w:tcPr>
            <w:tcW w:w="1140" w:type="dxa"/>
            <w:vAlign w:val="bottom"/>
            <w:tcBorders>
              <w:bottom w:val="single" w:sz="8" w:color="838383"/>
            </w:tcBorders>
          </w:tcPr>
          <w:p>
            <w:pPr>
              <w:spacing w:after="0"/>
              <w:rPr>
                <w:sz w:val="24"/>
                <w:szCs w:val="24"/>
                <w:color w:val="auto"/>
              </w:rPr>
            </w:pPr>
          </w:p>
        </w:tc>
        <w:tc>
          <w:tcPr>
            <w:tcW w:w="880" w:type="dxa"/>
            <w:vAlign w:val="bottom"/>
            <w:tcBorders>
              <w:bottom w:val="single" w:sz="8" w:color="838383"/>
            </w:tcBorders>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723,498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556,105</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497,431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309,592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450,482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418,795</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434,797</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353,232</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323,484</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49,894</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95,157</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114,643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107,006</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141,834</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128,168</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129,091</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109,155</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81,349</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1,154,989</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984,009</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856,638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601,186</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744,663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752,293</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655,269</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505,414</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457,152</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149,858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131,007</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133,431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119,980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87,957</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100,695</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72,089</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58,638</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49,472</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1,005,131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853,002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723,207</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481,206</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656,706</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651,598</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583,181</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446,776</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407,680</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465,822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412,720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373,391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357,021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349,938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282,542</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205,108</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197,530</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214,952</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2,309,620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2,148,673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2,022,540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1,764,088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1,265,691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1,163,772</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1,002,691</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822,603</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763,103</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185,625</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225,625</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258,125</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265,625</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1,910,424</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1,722,517</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1,571,412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1,327,604</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1,120,961</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1,027,119</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893,531</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735,929</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698,596</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0.10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0.15</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0.20</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0.23</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287,738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291,338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295,248</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291,156</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286,152</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288,140</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284,584</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276,678</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275,268</w:t>
            </w:r>
          </w:p>
        </w:tc>
      </w:tr>
      <w:tr>
        <w:trPr>
          <w:trHeight w:val="340"/>
        </w:trPr>
        <w:tc>
          <w:tcPr>
            <w:tcW w:w="228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7</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6</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5</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5</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w:t>
            </w:r>
          </w:p>
        </w:tc>
        <w:tc>
          <w:tcPr>
            <w:tcW w:w="1160" w:type="dxa"/>
            <w:vAlign w:val="bottom"/>
            <w:tcBorders>
              <w:bottom w:val="single" w:sz="8" w:color="838383"/>
            </w:tcBorders>
          </w:tcPr>
          <w:p>
            <w:pPr>
              <w:jc w:val="right"/>
              <w:ind w:right="130"/>
              <w:spacing w:after="0"/>
              <w:rPr>
                <w:sz w:val="20"/>
                <w:szCs w:val="20"/>
                <w:color w:val="auto"/>
              </w:rPr>
            </w:pPr>
            <w:r>
              <w:rPr>
                <w:rFonts w:ascii="Times New Roman" w:cs="Times New Roman" w:eastAsia="Times New Roman" w:hAnsi="Times New Roman"/>
                <w:sz w:val="18"/>
                <w:szCs w:val="18"/>
                <w:color w:val="262626"/>
              </w:rPr>
              <w:t>4</w:t>
            </w:r>
          </w:p>
        </w:tc>
        <w:tc>
          <w:tcPr>
            <w:tcW w:w="1240" w:type="dxa"/>
            <w:vAlign w:val="bottom"/>
            <w:tcBorders>
              <w:bottom w:val="single" w:sz="8" w:color="838383"/>
            </w:tcBorders>
          </w:tcPr>
          <w:p>
            <w:pPr>
              <w:jc w:val="right"/>
              <w:ind w:right="210"/>
              <w:spacing w:after="0"/>
              <w:rPr>
                <w:sz w:val="20"/>
                <w:szCs w:val="20"/>
                <w:color w:val="auto"/>
              </w:rPr>
            </w:pPr>
            <w:r>
              <w:rPr>
                <w:rFonts w:ascii="Times New Roman" w:cs="Times New Roman" w:eastAsia="Times New Roman" w:hAnsi="Times New Roman"/>
                <w:sz w:val="18"/>
                <w:szCs w:val="18"/>
                <w:color w:val="262626"/>
              </w:rPr>
              <w:t>3</w:t>
            </w:r>
          </w:p>
        </w:tc>
        <w:tc>
          <w:tcPr>
            <w:tcW w:w="1140" w:type="dxa"/>
            <w:vAlign w:val="bottom"/>
            <w:tcBorders>
              <w:bottom w:val="single" w:sz="8" w:color="838383"/>
            </w:tcBorders>
          </w:tcPr>
          <w:p>
            <w:pPr>
              <w:jc w:val="right"/>
              <w:ind w:right="190"/>
              <w:spacing w:after="0"/>
              <w:rPr>
                <w:sz w:val="20"/>
                <w:szCs w:val="20"/>
                <w:color w:val="auto"/>
              </w:rPr>
            </w:pPr>
            <w:r>
              <w:rPr>
                <w:rFonts w:ascii="Times New Roman" w:cs="Times New Roman" w:eastAsia="Times New Roman" w:hAnsi="Times New Roman"/>
                <w:sz w:val="18"/>
                <w:szCs w:val="18"/>
                <w:color w:val="262626"/>
              </w:rPr>
              <w:t>3</w:t>
            </w:r>
          </w:p>
        </w:tc>
        <w:tc>
          <w:tcPr>
            <w:tcW w:w="900" w:type="dxa"/>
            <w:vAlign w:val="bottom"/>
            <w:tcBorders>
              <w:bottom w:val="single" w:sz="8" w:color="838383"/>
            </w:tcBorders>
            <w:gridSpan w:val="2"/>
          </w:tcPr>
          <w:p>
            <w:pPr>
              <w:jc w:val="right"/>
              <w:spacing w:after="0"/>
              <w:rPr>
                <w:sz w:val="20"/>
                <w:szCs w:val="20"/>
                <w:color w:val="auto"/>
              </w:rPr>
            </w:pPr>
            <w:r>
              <w:rPr>
                <w:rFonts w:ascii="Times New Roman" w:cs="Times New Roman" w:eastAsia="Times New Roman" w:hAnsi="Times New Roman"/>
                <w:sz w:val="18"/>
                <w:szCs w:val="18"/>
                <w:color w:val="262626"/>
              </w:rPr>
              <w:t>3</w:t>
            </w:r>
          </w:p>
        </w:tc>
      </w:tr>
      <w:tr>
        <w:trPr>
          <w:trHeight w:val="358"/>
        </w:trPr>
        <w:tc>
          <w:tcPr>
            <w:tcW w:w="2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62626"/>
              </w:rPr>
              <w:t>0.355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62626"/>
              </w:rPr>
              <w:t>0.335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62626"/>
              </w:rPr>
              <w:t>0.310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62626"/>
              </w:rPr>
              <w:t>0.280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62626"/>
              </w:rPr>
              <w:t>0.260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62626"/>
              </w:rPr>
              <w:t>0.240</w:t>
            </w: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262626"/>
              </w:rPr>
              <w:t>0.220</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262626"/>
              </w:rPr>
              <w:t>0.220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62626"/>
              </w:rPr>
              <w:t>0.215</w:t>
            </w:r>
          </w:p>
        </w:tc>
      </w:tr>
    </w:tbl>
    <w:p>
      <w:pPr>
        <w:spacing w:after="0" w:line="134" w:lineRule="exact"/>
        <w:rPr>
          <w:sz w:val="20"/>
          <w:szCs w:val="20"/>
          <w:color w:val="auto"/>
        </w:rPr>
      </w:pPr>
    </w:p>
    <w:p>
      <w:pPr>
        <w:ind w:left="900" w:right="440"/>
        <w:spacing w:after="0" w:line="303" w:lineRule="auto"/>
        <w:rPr>
          <w:sz w:val="20"/>
          <w:szCs w:val="20"/>
          <w:color w:val="auto"/>
        </w:rPr>
      </w:pPr>
      <w:r>
        <w:rPr>
          <w:rFonts w:ascii="Times New Roman" w:cs="Times New Roman" w:eastAsia="Times New Roman" w:hAnsi="Times New Roman"/>
          <w:sz w:val="14"/>
          <w:szCs w:val="14"/>
          <w:color w:val="838383"/>
        </w:rPr>
        <w:t>In thousands, except Gross profit margin, Percent of net sales on Income and Net Income, Tax rate, Return on average equity, Per share data, Price/earnings ratio and Debt/Equity ratio. All per share data has been adjusted to reflect the two-for-one stock splits effected in the form of 100 percent common stock dividends issued to shareholders in June 1993, June 1996, June 1998, May 2005 and December 2014.</w:t>
      </w:r>
    </w:p>
    <w:p>
      <w:pPr>
        <w:sectPr>
          <w:pgSz w:w="12240" w:h="15840" w:orient="portrait"/>
          <w:cols w:equalWidth="0" w:num="1">
            <w:col w:w="11660"/>
          </w:cols>
          <w:pgMar w:left="0" w:top="1406" w:right="580" w:bottom="0" w:gutter="0" w:footer="0" w:header="0"/>
        </w:sectPr>
      </w:pPr>
    </w:p>
    <w:p>
      <w:pPr>
        <w:spacing w:after="0" w:line="2" w:lineRule="exact"/>
        <w:rPr>
          <w:sz w:val="20"/>
          <w:szCs w:val="20"/>
          <w:color w:val="auto"/>
        </w:rPr>
      </w:pPr>
    </w:p>
    <w:p>
      <w:pPr>
        <w:ind w:left="9940"/>
        <w:spacing w:after="0"/>
        <w:tabs>
          <w:tab w:leader="none" w:pos="11500" w:val="left"/>
        </w:tabs>
        <w:rPr>
          <w:sz w:val="20"/>
          <w:szCs w:val="20"/>
          <w:color w:val="auto"/>
        </w:rPr>
      </w:pPr>
      <w:r>
        <w:rPr>
          <w:rFonts w:ascii="Times New Roman" w:cs="Times New Roman" w:eastAsia="Times New Roman" w:hAnsi="Times New Roman"/>
          <w:sz w:val="10"/>
          <w:szCs w:val="10"/>
          <w:color w:val="262626"/>
        </w:rPr>
        <w:t>2022 ANNUAL REPORT</w:t>
      </w:r>
      <w:r>
        <w:rPr>
          <w:sz w:val="20"/>
          <w:szCs w:val="20"/>
          <w:color w:val="auto"/>
        </w:rPr>
        <w:tab/>
      </w:r>
      <w:r>
        <w:rPr>
          <w:rFonts w:ascii="Arial" w:cs="Arial" w:eastAsia="Arial" w:hAnsi="Arial"/>
          <w:sz w:val="12"/>
          <w:szCs w:val="12"/>
          <w:b w:val="1"/>
          <w:bCs w:val="1"/>
          <w:color w:val="262626"/>
        </w:rPr>
        <w:t>93</w:t>
      </w:r>
    </w:p>
    <w:p>
      <w:pPr>
        <w:sectPr>
          <w:pgSz w:w="12240" w:h="15840" w:orient="portrait"/>
          <w:cols w:equalWidth="0" w:num="1">
            <w:col w:w="11660"/>
          </w:cols>
          <w:pgMar w:left="0" w:top="1406" w:right="580" w:bottom="0" w:gutter="0" w:footer="0" w:header="0"/>
          <w:type w:val="continuous"/>
        </w:sectPr>
      </w:pPr>
    </w:p>
    <w:bookmarkStart w:id="93" w:name="page94"/>
    <w:bookmarkEnd w:id="93"/>
    <w:p>
      <w:pPr>
        <w:ind w:left="360"/>
        <w:spacing w:after="0"/>
        <w:rPr>
          <w:sz w:val="20"/>
          <w:szCs w:val="20"/>
          <w:color w:val="auto"/>
        </w:rPr>
      </w:pPr>
      <w:r>
        <w:rPr>
          <w:rFonts w:ascii="Arial" w:cs="Arial" w:eastAsia="Arial" w:hAnsi="Arial"/>
          <w:sz w:val="24"/>
          <w:szCs w:val="24"/>
          <w:b w:val="1"/>
          <w:bCs w:val="1"/>
          <w:color w:val="161616"/>
        </w:rPr>
        <w:t>CORPORATE DATA</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161616"/>
        </w:rPr>
        <w:t>CORPORATE HEADQUARTERS</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161616"/>
        </w:rPr>
        <w:t>GENTEX CORPORATION</w:t>
      </w:r>
    </w:p>
    <w:p>
      <w:pPr>
        <w:spacing w:after="0" w:line="9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161616"/>
        </w:rPr>
        <w:t>600 N. Centennial Street</w:t>
      </w:r>
    </w:p>
    <w:p>
      <w:pPr>
        <w:spacing w:after="0" w:line="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161616"/>
        </w:rPr>
        <w:t>Zeeland, Michigan 49464</w:t>
      </w:r>
    </w:p>
    <w:p>
      <w:pPr>
        <w:spacing w:after="0" w:line="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8C8C8C"/>
        </w:rPr>
        <w:t>gentex.com</w:t>
      </w:r>
    </w:p>
    <w:p>
      <w:pPr>
        <w:spacing w:after="0" w:line="287"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161616"/>
        </w:rPr>
        <w:t>TRANSFER AGENT</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161616"/>
        </w:rPr>
        <w:t>BROADRIDGE SHAREHOLDER SERVICES</w:t>
      </w:r>
    </w:p>
    <w:p>
      <w:pPr>
        <w:spacing w:after="0" w:line="9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161616"/>
        </w:rPr>
        <w:t>c/o Broadridge Corporate Issuer Solutions</w:t>
      </w:r>
    </w:p>
    <w:p>
      <w:pPr>
        <w:spacing w:after="0" w:line="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161616"/>
        </w:rPr>
        <w:t>Attn: IWS</w:t>
      </w:r>
    </w:p>
    <w:p>
      <w:pPr>
        <w:spacing w:after="0" w:line="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161616"/>
        </w:rPr>
        <w:t>1155 Long Island Avenue</w:t>
      </w:r>
    </w:p>
    <w:p>
      <w:pPr>
        <w:spacing w:after="0" w:line="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161616"/>
        </w:rPr>
        <w:t>Edgewood, NY 11717-8309</w:t>
      </w:r>
    </w:p>
    <w:p>
      <w:pPr>
        <w:spacing w:after="0" w:line="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8C8C8C"/>
        </w:rPr>
        <w:t>shareholder.broadridge.com</w:t>
      </w:r>
    </w:p>
    <w:p>
      <w:pPr>
        <w:spacing w:after="0" w:line="287"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161616"/>
        </w:rPr>
        <w:t>GENTEX COMMON STOCK</w:t>
      </w:r>
    </w:p>
    <w:p>
      <w:pPr>
        <w:spacing w:after="0" w:line="170" w:lineRule="exact"/>
        <w:rPr>
          <w:sz w:val="20"/>
          <w:szCs w:val="20"/>
          <w:color w:val="auto"/>
        </w:rPr>
      </w:pPr>
    </w:p>
    <w:p>
      <w:pPr>
        <w:ind w:left="140" w:right="240"/>
        <w:spacing w:after="0" w:line="352" w:lineRule="auto"/>
        <w:rPr>
          <w:sz w:val="20"/>
          <w:szCs w:val="20"/>
          <w:color w:val="auto"/>
        </w:rPr>
      </w:pPr>
      <w:r>
        <w:rPr>
          <w:rFonts w:ascii="Times New Roman" w:cs="Times New Roman" w:eastAsia="Times New Roman" w:hAnsi="Times New Roman"/>
          <w:sz w:val="18"/>
          <w:szCs w:val="18"/>
          <w:color w:val="161616"/>
        </w:rPr>
        <w:t>The Company’s stock trades on The NASDAQ Global Select Market under the symbol GNTX. The Company does not have a direct stock purchase plan or dividend reinvestment policy. Shares of the Company’s stock may be purchased through a stock broker or other registered securities representative.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8"/>
          <w:szCs w:val="28"/>
          <w:b w:val="1"/>
          <w:bCs w:val="1"/>
          <w:color w:val="161616"/>
        </w:rPr>
        <w:t>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-1061085</wp:posOffset>
            </wp:positionV>
            <wp:extent cx="7348220" cy="64281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61">
                      <a:extLst>
                        <a:ext uri="{28A0092B-C50C-407E-A947-70E740481C1C}"/>
                      </a:extLst>
                    </a:blip>
                    <a:srcRect/>
                    <a:stretch>
                      <a:fillRect/>
                    </a:stretch>
                  </pic:blipFill>
                  <pic:spPr bwMode="auto">
                    <a:xfrm>
                      <a:off x="0" y="0"/>
                      <a:ext cx="7348220" cy="642810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61616"/>
        </w:rPr>
        <w:t xml:space="preserve">Steve Downing, </w:t>
      </w:r>
      <w:r>
        <w:rPr>
          <w:rFonts w:ascii="Arial" w:cs="Arial" w:eastAsia="Arial" w:hAnsi="Arial"/>
          <w:sz w:val="18"/>
          <w:szCs w:val="18"/>
          <w:i w:val="1"/>
          <w:iCs w:val="1"/>
          <w:color w:val="161616"/>
        </w:rPr>
        <w:t>President &amp; Chief Executive Officer</w:t>
      </w:r>
    </w:p>
    <w:p>
      <w:pPr>
        <w:spacing w:after="0" w:line="97" w:lineRule="exact"/>
        <w:rPr>
          <w:sz w:val="20"/>
          <w:szCs w:val="20"/>
          <w:color w:val="auto"/>
        </w:rPr>
      </w:pPr>
    </w:p>
    <w:p>
      <w:pPr>
        <w:spacing w:after="0" w:line="388" w:lineRule="auto"/>
        <w:rPr>
          <w:sz w:val="20"/>
          <w:szCs w:val="20"/>
          <w:color w:val="auto"/>
        </w:rPr>
      </w:pPr>
      <w:r>
        <w:rPr>
          <w:rFonts w:ascii="Times New Roman" w:cs="Times New Roman" w:eastAsia="Times New Roman" w:hAnsi="Times New Roman"/>
          <w:sz w:val="15"/>
          <w:szCs w:val="15"/>
          <w:color w:val="161616"/>
        </w:rPr>
        <w:t xml:space="preserve">Kevin Nash, </w:t>
      </w:r>
      <w:r>
        <w:rPr>
          <w:rFonts w:ascii="Arial" w:cs="Arial" w:eastAsia="Arial" w:hAnsi="Arial"/>
          <w:sz w:val="15"/>
          <w:szCs w:val="15"/>
          <w:i w:val="1"/>
          <w:iCs w:val="1"/>
          <w:color w:val="161616"/>
        </w:rPr>
        <w:t>Chief Financial Officer, Treasurer, &amp; Vice President of Finance</w:t>
      </w:r>
      <w:r>
        <w:rPr>
          <w:rFonts w:ascii="Times New Roman" w:cs="Times New Roman" w:eastAsia="Times New Roman" w:hAnsi="Times New Roman"/>
          <w:sz w:val="15"/>
          <w:szCs w:val="15"/>
          <w:color w:val="161616"/>
        </w:rPr>
        <w:t xml:space="preserve"> Neil Boehm, </w:t>
      </w:r>
      <w:r>
        <w:rPr>
          <w:rFonts w:ascii="Arial" w:cs="Arial" w:eastAsia="Arial" w:hAnsi="Arial"/>
          <w:sz w:val="15"/>
          <w:szCs w:val="15"/>
          <w:i w:val="1"/>
          <w:iCs w:val="1"/>
          <w:color w:val="161616"/>
        </w:rPr>
        <w:t>Chief Technology Officer &amp; Vice President of Engineering</w:t>
      </w:r>
      <w:r>
        <w:rPr>
          <w:rFonts w:ascii="Times New Roman" w:cs="Times New Roman" w:eastAsia="Times New Roman" w:hAnsi="Times New Roman"/>
          <w:sz w:val="15"/>
          <w:szCs w:val="15"/>
          <w:color w:val="161616"/>
        </w:rPr>
        <w:t xml:space="preserve"> Matt Chiodo, </w:t>
      </w:r>
      <w:r>
        <w:rPr>
          <w:rFonts w:ascii="Arial" w:cs="Arial" w:eastAsia="Arial" w:hAnsi="Arial"/>
          <w:sz w:val="15"/>
          <w:szCs w:val="15"/>
          <w:i w:val="1"/>
          <w:iCs w:val="1"/>
          <w:color w:val="161616"/>
        </w:rPr>
        <w:t>Chief Sales Officer &amp; Senior Vice President of Sales</w:t>
      </w:r>
      <w:r>
        <w:rPr>
          <w:rFonts w:ascii="Times New Roman" w:cs="Times New Roman" w:eastAsia="Times New Roman" w:hAnsi="Times New Roman"/>
          <w:sz w:val="15"/>
          <w:szCs w:val="15"/>
          <w:color w:val="161616"/>
        </w:rPr>
        <w:t xml:space="preserve"> Scott Ryan, </w:t>
      </w:r>
      <w:r>
        <w:rPr>
          <w:rFonts w:ascii="Arial" w:cs="Arial" w:eastAsia="Arial" w:hAnsi="Arial"/>
          <w:sz w:val="15"/>
          <w:szCs w:val="15"/>
          <w:i w:val="1"/>
          <w:iCs w:val="1"/>
          <w:color w:val="161616"/>
        </w:rPr>
        <w:t>Vice President, General Counsel, Corporate Secretary,</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161616"/>
        </w:rPr>
        <w:t>&amp; Sustainability Officer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61616"/>
        </w:rPr>
        <w:t xml:space="preserve">Paul Flynn, </w:t>
      </w:r>
      <w:r>
        <w:rPr>
          <w:rFonts w:ascii="Arial" w:cs="Arial" w:eastAsia="Arial" w:hAnsi="Arial"/>
          <w:sz w:val="18"/>
          <w:szCs w:val="18"/>
          <w:i w:val="1"/>
          <w:iCs w:val="1"/>
          <w:color w:val="161616"/>
        </w:rPr>
        <w:t>Vice President of Operations</w:t>
      </w:r>
    </w:p>
    <w:p>
      <w:pPr>
        <w:spacing w:after="0" w:line="74" w:lineRule="exact"/>
        <w:rPr>
          <w:sz w:val="20"/>
          <w:szCs w:val="20"/>
          <w:color w:val="auto"/>
        </w:rPr>
      </w:pPr>
    </w:p>
    <w:p>
      <w:pPr>
        <w:ind w:right="480"/>
        <w:spacing w:after="0" w:line="323" w:lineRule="auto"/>
        <w:rPr>
          <w:sz w:val="20"/>
          <w:szCs w:val="20"/>
          <w:color w:val="auto"/>
        </w:rPr>
      </w:pPr>
      <w:r>
        <w:rPr>
          <w:rFonts w:ascii="Times New Roman" w:cs="Times New Roman" w:eastAsia="Times New Roman" w:hAnsi="Times New Roman"/>
          <w:sz w:val="18"/>
          <w:szCs w:val="18"/>
          <w:color w:val="161616"/>
        </w:rPr>
        <w:t xml:space="preserve">Ken Horner, </w:t>
      </w:r>
      <w:r>
        <w:rPr>
          <w:rFonts w:ascii="Arial" w:cs="Arial" w:eastAsia="Arial" w:hAnsi="Arial"/>
          <w:sz w:val="18"/>
          <w:szCs w:val="18"/>
          <w:i w:val="1"/>
          <w:iCs w:val="1"/>
          <w:color w:val="161616"/>
        </w:rPr>
        <w:t>Vice President of Program Management &amp; Quality</w:t>
      </w:r>
      <w:r>
        <w:rPr>
          <w:rFonts w:ascii="Times New Roman" w:cs="Times New Roman" w:eastAsia="Times New Roman" w:hAnsi="Times New Roman"/>
          <w:sz w:val="18"/>
          <w:szCs w:val="18"/>
          <w:color w:val="161616"/>
        </w:rPr>
        <w:t xml:space="preserve"> Brian Lorence, </w:t>
      </w:r>
      <w:r>
        <w:rPr>
          <w:rFonts w:ascii="Arial" w:cs="Arial" w:eastAsia="Arial" w:hAnsi="Arial"/>
          <w:sz w:val="18"/>
          <w:szCs w:val="18"/>
          <w:i w:val="1"/>
          <w:iCs w:val="1"/>
          <w:color w:val="161616"/>
        </w:rPr>
        <w:t>Vice President of Sales</w:t>
      </w:r>
    </w:p>
    <w:p>
      <w:pPr>
        <w:spacing w:after="0" w:line="1" w:lineRule="exact"/>
        <w:rPr>
          <w:sz w:val="20"/>
          <w:szCs w:val="20"/>
          <w:color w:val="auto"/>
        </w:rPr>
      </w:pPr>
    </w:p>
    <w:p>
      <w:pPr>
        <w:ind w:right="600"/>
        <w:spacing w:after="0" w:line="404" w:lineRule="auto"/>
        <w:rPr>
          <w:sz w:val="20"/>
          <w:szCs w:val="20"/>
          <w:color w:val="auto"/>
        </w:rPr>
      </w:pPr>
      <w:r>
        <w:rPr>
          <w:rFonts w:ascii="Times New Roman" w:cs="Times New Roman" w:eastAsia="Times New Roman" w:hAnsi="Times New Roman"/>
          <w:sz w:val="16"/>
          <w:szCs w:val="16"/>
          <w:color w:val="161616"/>
        </w:rPr>
        <w:t xml:space="preserve">Joe Matthews, </w:t>
      </w:r>
      <w:r>
        <w:rPr>
          <w:rFonts w:ascii="Arial" w:cs="Arial" w:eastAsia="Arial" w:hAnsi="Arial"/>
          <w:sz w:val="16"/>
          <w:szCs w:val="16"/>
          <w:i w:val="1"/>
          <w:iCs w:val="1"/>
          <w:color w:val="161616"/>
        </w:rPr>
        <w:t>Vice President of Diversity, Equity, &amp; Inclusion</w:t>
      </w:r>
      <w:r>
        <w:rPr>
          <w:rFonts w:ascii="Times New Roman" w:cs="Times New Roman" w:eastAsia="Times New Roman" w:hAnsi="Times New Roman"/>
          <w:sz w:val="16"/>
          <w:szCs w:val="16"/>
          <w:color w:val="161616"/>
        </w:rPr>
        <w:t xml:space="preserve"> Angela Nadeau, </w:t>
      </w:r>
      <w:r>
        <w:rPr>
          <w:rFonts w:ascii="Arial" w:cs="Arial" w:eastAsia="Arial" w:hAnsi="Arial"/>
          <w:sz w:val="16"/>
          <w:szCs w:val="16"/>
          <w:i w:val="1"/>
          <w:iCs w:val="1"/>
          <w:color w:val="161616"/>
        </w:rPr>
        <w:t>Vice President of Commercial Management</w:t>
      </w:r>
      <w:r>
        <w:rPr>
          <w:rFonts w:ascii="Times New Roman" w:cs="Times New Roman" w:eastAsia="Times New Roman" w:hAnsi="Times New Roman"/>
          <w:sz w:val="16"/>
          <w:szCs w:val="16"/>
          <w:color w:val="161616"/>
        </w:rPr>
        <w:t xml:space="preserve"> Randy Pappal, </w:t>
      </w:r>
      <w:r>
        <w:rPr>
          <w:rFonts w:ascii="Arial" w:cs="Arial" w:eastAsia="Arial" w:hAnsi="Arial"/>
          <w:sz w:val="16"/>
          <w:szCs w:val="16"/>
          <w:i w:val="1"/>
          <w:iCs w:val="1"/>
          <w:color w:val="161616"/>
        </w:rPr>
        <w:t>Vice President of Purchasing &amp; Supply Chain</w:t>
      </w:r>
      <w:r>
        <w:rPr>
          <w:rFonts w:ascii="Times New Roman" w:cs="Times New Roman" w:eastAsia="Times New Roman" w:hAnsi="Times New Roman"/>
          <w:sz w:val="16"/>
          <w:szCs w:val="16"/>
          <w:color w:val="161616"/>
        </w:rPr>
        <w:t xml:space="preserve"> Robert Vance, </w:t>
      </w:r>
      <w:r>
        <w:rPr>
          <w:rFonts w:ascii="Arial" w:cs="Arial" w:eastAsia="Arial" w:hAnsi="Arial"/>
          <w:sz w:val="16"/>
          <w:szCs w:val="16"/>
          <w:i w:val="1"/>
          <w:iCs w:val="1"/>
          <w:color w:val="161616"/>
        </w:rPr>
        <w:t>Vice President of New Markets</w:t>
      </w:r>
    </w:p>
    <w:p>
      <w:pPr>
        <w:spacing w:after="0" w:line="88" w:lineRule="exact"/>
        <w:rPr>
          <w:sz w:val="20"/>
          <w:szCs w:val="20"/>
          <w:color w:val="auto"/>
        </w:rPr>
      </w:pPr>
    </w:p>
    <w:p>
      <w:pPr>
        <w:spacing w:after="0"/>
        <w:rPr>
          <w:sz w:val="20"/>
          <w:szCs w:val="20"/>
          <w:color w:val="auto"/>
        </w:rPr>
      </w:pPr>
      <w:r>
        <w:rPr>
          <w:rFonts w:ascii="Arial" w:cs="Arial" w:eastAsia="Arial" w:hAnsi="Arial"/>
          <w:sz w:val="28"/>
          <w:szCs w:val="28"/>
          <w:b w:val="1"/>
          <w:bCs w:val="1"/>
          <w:color w:val="161616"/>
        </w:rPr>
        <w:t>EXECUTIVE MANAGEMENT</w:t>
      </w:r>
    </w:p>
    <w:p>
      <w:pPr>
        <w:spacing w:after="0" w:line="170" w:lineRule="exact"/>
        <w:rPr>
          <w:sz w:val="20"/>
          <w:szCs w:val="20"/>
          <w:color w:val="auto"/>
        </w:rPr>
      </w:pPr>
    </w:p>
    <w:p>
      <w:pPr>
        <w:ind w:right="440"/>
        <w:spacing w:after="0" w:line="374" w:lineRule="auto"/>
        <w:rPr>
          <w:sz w:val="20"/>
          <w:szCs w:val="20"/>
          <w:color w:val="auto"/>
        </w:rPr>
      </w:pPr>
      <w:r>
        <w:rPr>
          <w:rFonts w:ascii="Times New Roman" w:cs="Times New Roman" w:eastAsia="Times New Roman" w:hAnsi="Times New Roman"/>
          <w:sz w:val="16"/>
          <w:szCs w:val="16"/>
          <w:color w:val="161616"/>
        </w:rPr>
        <w:t xml:space="preserve">Brad Bosma, </w:t>
      </w:r>
      <w:r>
        <w:rPr>
          <w:rFonts w:ascii="Arial" w:cs="Arial" w:eastAsia="Arial" w:hAnsi="Arial"/>
          <w:sz w:val="16"/>
          <w:szCs w:val="16"/>
          <w:i w:val="1"/>
          <w:iCs w:val="1"/>
          <w:color w:val="161616"/>
        </w:rPr>
        <w:t>Vice President of Vision Systems &amp; Dimmable Glass</w:t>
      </w:r>
      <w:r>
        <w:rPr>
          <w:rFonts w:ascii="Times New Roman" w:cs="Times New Roman" w:eastAsia="Times New Roman" w:hAnsi="Times New Roman"/>
          <w:sz w:val="16"/>
          <w:szCs w:val="16"/>
          <w:color w:val="161616"/>
        </w:rPr>
        <w:t xml:space="preserve"> Cliff Burgess, </w:t>
      </w:r>
      <w:r>
        <w:rPr>
          <w:rFonts w:ascii="Arial" w:cs="Arial" w:eastAsia="Arial" w:hAnsi="Arial"/>
          <w:sz w:val="16"/>
          <w:szCs w:val="16"/>
          <w:i w:val="1"/>
          <w:iCs w:val="1"/>
          <w:color w:val="161616"/>
        </w:rPr>
        <w:t>Vice President of Information Technology</w:t>
      </w:r>
      <w:r>
        <w:rPr>
          <w:rFonts w:ascii="Times New Roman" w:cs="Times New Roman" w:eastAsia="Times New Roman" w:hAnsi="Times New Roman"/>
          <w:sz w:val="16"/>
          <w:szCs w:val="16"/>
          <w:color w:val="161616"/>
        </w:rPr>
        <w:t xml:space="preserve"> Matt Fox, </w:t>
      </w:r>
      <w:r>
        <w:rPr>
          <w:rFonts w:ascii="Arial" w:cs="Arial" w:eastAsia="Arial" w:hAnsi="Arial"/>
          <w:sz w:val="16"/>
          <w:szCs w:val="16"/>
          <w:i w:val="1"/>
          <w:iCs w:val="1"/>
          <w:color w:val="161616"/>
        </w:rPr>
        <w:t>Vice President of Mechanical Engineering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61616"/>
        </w:rPr>
        <w:t xml:space="preserve">Sue Franz, </w:t>
      </w:r>
      <w:r>
        <w:rPr>
          <w:rFonts w:ascii="Arial" w:cs="Arial" w:eastAsia="Arial" w:hAnsi="Arial"/>
          <w:sz w:val="18"/>
          <w:szCs w:val="18"/>
          <w:i w:val="1"/>
          <w:iCs w:val="1"/>
          <w:color w:val="161616"/>
        </w:rPr>
        <w:t>Vice President of Chemical Technologies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161616"/>
        </w:rPr>
        <w:t xml:space="preserve">Craig Piersma, </w:t>
      </w:r>
      <w:r>
        <w:rPr>
          <w:rFonts w:ascii="Arial" w:cs="Arial" w:eastAsia="Arial" w:hAnsi="Arial"/>
          <w:sz w:val="15"/>
          <w:szCs w:val="15"/>
          <w:i w:val="1"/>
          <w:iCs w:val="1"/>
          <w:color w:val="161616"/>
        </w:rPr>
        <w:t>Vice President of Marketing &amp; Corporate Communications</w:t>
      </w:r>
    </w:p>
    <w:p>
      <w:pPr>
        <w:spacing w:after="0" w:line="211" w:lineRule="exact"/>
        <w:rPr>
          <w:sz w:val="20"/>
          <w:szCs w:val="20"/>
          <w:color w:val="auto"/>
        </w:rPr>
      </w:pPr>
    </w:p>
    <w:p>
      <w:pPr>
        <w:sectPr>
          <w:pgSz w:w="12240" w:h="15840" w:orient="portrait"/>
          <w:cols w:equalWidth="0" w:num="2">
            <w:col w:w="4940" w:space="720"/>
            <w:col w:w="4940"/>
          </w:cols>
          <w:pgMar w:left="580" w:top="454" w:right="1060" w:bottom="0" w:gutter="0" w:footer="0" w:header="0"/>
        </w:sectPr>
      </w:pPr>
    </w:p>
    <w:p>
      <w:pPr>
        <w:ind w:left="140"/>
        <w:spacing w:after="0"/>
        <w:rPr>
          <w:sz w:val="20"/>
          <w:szCs w:val="20"/>
          <w:color w:val="auto"/>
        </w:rPr>
      </w:pPr>
      <w:r>
        <w:rPr>
          <w:rFonts w:ascii="Arial" w:cs="Arial" w:eastAsia="Arial" w:hAnsi="Arial"/>
          <w:sz w:val="28"/>
          <w:szCs w:val="28"/>
          <w:b w:val="1"/>
          <w:bCs w:val="1"/>
          <w:color w:val="161616"/>
        </w:rPr>
        <w:t>IR AND MEDIA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78740</wp:posOffset>
            </wp:positionV>
            <wp:extent cx="3683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62">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7263130</wp:posOffset>
            </wp:positionH>
            <wp:positionV relativeFrom="paragraph">
              <wp:posOffset>78740</wp:posOffset>
            </wp:positionV>
            <wp:extent cx="3683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63">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1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161616"/>
        </w:rPr>
        <w:t xml:space="preserve">Josh O’Berski, </w:t>
      </w:r>
      <w:r>
        <w:rPr>
          <w:rFonts w:ascii="Arial" w:cs="Arial" w:eastAsia="Arial" w:hAnsi="Arial"/>
          <w:sz w:val="18"/>
          <w:szCs w:val="18"/>
          <w:i w:val="1"/>
          <w:iCs w:val="1"/>
          <w:color w:val="161616"/>
        </w:rPr>
        <w:t>Director of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0</wp:posOffset>
            </wp:positionV>
            <wp:extent cx="3683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64">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7263130</wp:posOffset>
            </wp:positionH>
            <wp:positionV relativeFrom="paragraph">
              <wp:posOffset>0</wp:posOffset>
            </wp:positionV>
            <wp:extent cx="3683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65">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161616"/>
        </w:rPr>
        <w:t>616.772.1590 x5814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-33020</wp:posOffset>
            </wp:positionV>
            <wp:extent cx="36830"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66">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7263130</wp:posOffset>
            </wp:positionH>
            <wp:positionV relativeFrom="paragraph">
              <wp:posOffset>-33020</wp:posOffset>
            </wp:positionV>
            <wp:extent cx="36830"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67">
                      <a:extLst>
                        <a:ext uri="{28A0092B-C50C-407E-A947-70E740481C1C}"/>
                      </a:extLst>
                    </a:blip>
                    <a:srcRect/>
                    <a:stretch>
                      <a:fillRect/>
                    </a:stretch>
                  </pic:blipFill>
                  <pic:spPr bwMode="auto">
                    <a:xfrm>
                      <a:off x="0" y="0"/>
                      <a:ext cx="36830" cy="36830"/>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8C8C8C"/>
        </w:rPr>
        <w:t>ir.gentex.com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108585</wp:posOffset>
            </wp:positionV>
            <wp:extent cx="3683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68">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7263130</wp:posOffset>
            </wp:positionH>
            <wp:positionV relativeFrom="paragraph">
              <wp:posOffset>108585</wp:posOffset>
            </wp:positionV>
            <wp:extent cx="3683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69">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-50800</wp:posOffset>
            </wp:positionV>
            <wp:extent cx="36830"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70">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7263130</wp:posOffset>
            </wp:positionH>
            <wp:positionV relativeFrom="paragraph">
              <wp:posOffset>-50800</wp:posOffset>
            </wp:positionV>
            <wp:extent cx="3683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71">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268605</wp:posOffset>
            </wp:positionV>
            <wp:extent cx="3683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72">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268605</wp:posOffset>
            </wp:positionV>
            <wp:extent cx="7772400" cy="40601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73">
                      <a:extLst>
                        <a:ext uri="{28A0092B-C50C-407E-A947-70E740481C1C}"/>
                      </a:extLst>
                    </a:blip>
                    <a:srcRect/>
                    <a:stretch>
                      <a:fillRect/>
                    </a:stretch>
                  </pic:blipFill>
                  <pic:spPr bwMode="auto">
                    <a:xfrm>
                      <a:off x="0" y="0"/>
                      <a:ext cx="7772400" cy="4060190"/>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268605</wp:posOffset>
            </wp:positionV>
            <wp:extent cx="7772400" cy="40601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74">
                      <a:extLst>
                        <a:ext uri="{28A0092B-C50C-407E-A947-70E740481C1C}"/>
                      </a:extLst>
                    </a:blip>
                    <a:srcRect/>
                    <a:stretch>
                      <a:fillRect/>
                    </a:stretch>
                  </pic:blipFill>
                  <pic:spPr bwMode="auto">
                    <a:xfrm>
                      <a:off x="0" y="0"/>
                      <a:ext cx="7772400" cy="4060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FFFFFF"/>
        </w:rPr>
        <w:t>ANNUAL MEETING OF SHAREHOLDERS</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FFFFFF"/>
        </w:rPr>
        <w:t>THURSDAY, MAY 18, 2023 @ 4:30 PM</w:t>
      </w:r>
    </w:p>
    <w:p>
      <w:pPr>
        <w:spacing w:after="0" w:line="1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FFFFFF"/>
        </w:rPr>
        <w:t>The Pinnacle Center</w:t>
      </w:r>
    </w:p>
    <w:p>
      <w:pPr>
        <w:spacing w:after="0" w:line="9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FFFFFF"/>
        </w:rPr>
        <w:t>3330 Highland Drive, Hudsonville, Michigan</w:t>
      </w:r>
    </w:p>
    <w:p>
      <w:pPr>
        <w:spacing w:after="0" w:line="1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FFFFFF"/>
        </w:rPr>
        <w:t>Please refer to the Gentex IR site for updated event information at ir.gentex.com.</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20"/>
        <w:spacing w:after="0"/>
        <w:rPr>
          <w:sz w:val="20"/>
          <w:szCs w:val="20"/>
          <w:color w:val="auto"/>
        </w:rPr>
      </w:pPr>
      <w:r>
        <w:rPr>
          <w:rFonts w:ascii="Arial" w:cs="Arial" w:eastAsia="Arial" w:hAnsi="Arial"/>
          <w:sz w:val="18"/>
          <w:szCs w:val="18"/>
          <w:color w:val="FFFFFF"/>
        </w:rPr>
        <w:t>Vote Your Shares</w:t>
      </w:r>
    </w:p>
    <w:p>
      <w:pPr>
        <w:spacing w:after="0" w:line="33" w:lineRule="exact"/>
        <w:rPr>
          <w:sz w:val="20"/>
          <w:szCs w:val="20"/>
          <w:color w:val="auto"/>
        </w:rPr>
      </w:pPr>
    </w:p>
    <w:p>
      <w:pPr>
        <w:ind w:left="1320"/>
        <w:spacing w:after="0"/>
        <w:rPr>
          <w:sz w:val="20"/>
          <w:szCs w:val="20"/>
          <w:color w:val="auto"/>
        </w:rPr>
      </w:pPr>
      <w:r>
        <w:rPr>
          <w:rFonts w:ascii="Arial" w:cs="Arial" w:eastAsia="Arial" w:hAnsi="Arial"/>
          <w:sz w:val="18"/>
          <w:szCs w:val="18"/>
          <w:color w:val="FFFFFF"/>
        </w:rPr>
        <w:t>Online @ proxyvote.com</w:t>
      </w:r>
    </w:p>
    <w:p>
      <w:pPr>
        <w:spacing w:after="0" w:line="33" w:lineRule="exact"/>
        <w:rPr>
          <w:sz w:val="20"/>
          <w:szCs w:val="20"/>
          <w:color w:val="auto"/>
        </w:rPr>
      </w:pPr>
    </w:p>
    <w:p>
      <w:pPr>
        <w:ind w:left="1320"/>
        <w:spacing w:after="0"/>
        <w:rPr>
          <w:sz w:val="20"/>
          <w:szCs w:val="20"/>
          <w:color w:val="auto"/>
        </w:rPr>
      </w:pPr>
      <w:r>
        <w:rPr>
          <w:rFonts w:ascii="Arial" w:cs="Arial" w:eastAsia="Arial" w:hAnsi="Arial"/>
          <w:sz w:val="18"/>
          <w:szCs w:val="18"/>
          <w:color w:val="FFFFFF"/>
        </w:rPr>
        <w:t>or Scan this COde</w:t>
      </w:r>
    </w:p>
    <w:p>
      <w:pPr>
        <w:sectPr>
          <w:pgSz w:w="12240" w:h="15840" w:orient="portrait"/>
          <w:cols w:equalWidth="0" w:num="1">
            <w:col w:w="10600"/>
          </w:cols>
          <w:pgMar w:left="580" w:top="454" w:right="1060" w:bottom="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FFFFFF"/>
        </w:rPr>
        <w:t>94</w:t>
      </w:r>
      <w:r>
        <w:rPr>
          <w:sz w:val="20"/>
          <w:szCs w:val="20"/>
          <w:color w:val="auto"/>
        </w:rPr>
        <w:tab/>
      </w:r>
      <w:r>
        <w:rPr>
          <w:rFonts w:ascii="Times New Roman" w:cs="Times New Roman" w:eastAsia="Times New Roman" w:hAnsi="Times New Roman"/>
          <w:sz w:val="10"/>
          <w:szCs w:val="10"/>
          <w:color w:val="FFFFFF"/>
        </w:rPr>
        <w:t>GENTEX CORPORATION</w:t>
      </w:r>
    </w:p>
    <w:p>
      <w:pPr>
        <w:sectPr>
          <w:pgSz w:w="12240" w:h="15840" w:orient="portrait"/>
          <w:cols w:equalWidth="0" w:num="1">
            <w:col w:w="10600"/>
          </w:cols>
          <w:pgMar w:left="580" w:top="454" w:right="1060" w:bottom="0" w:gutter="0" w:footer="0" w:header="0"/>
          <w:type w:val="continuous"/>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75">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FFFFFF"/>
                <w:w w:val="92"/>
              </w:rPr>
              <w:t>Nominating</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580" w:type="dxa"/>
            <w:vAlign w:val="bottom"/>
          </w:tcPr>
          <w:p>
            <w:pPr>
              <w:spacing w:after="0"/>
              <w:rPr>
                <w:sz w:val="20"/>
                <w:szCs w:val="20"/>
                <w:color w:val="auto"/>
              </w:rPr>
            </w:pPr>
          </w:p>
        </w:tc>
        <w:tc>
          <w:tcPr>
            <w:tcW w:w="760" w:type="dxa"/>
            <w:vAlign w:val="bottom"/>
            <w:vMerge w:val="restart"/>
          </w:tcPr>
          <w:p>
            <w:pPr>
              <w:jc w:val="center"/>
              <w:spacing w:after="0"/>
              <w:rPr>
                <w:sz w:val="20"/>
                <w:szCs w:val="20"/>
                <w:color w:val="auto"/>
              </w:rPr>
            </w:pPr>
            <w:r>
              <w:rPr>
                <w:rFonts w:ascii="Arial" w:cs="Arial" w:eastAsia="Arial" w:hAnsi="Arial"/>
                <w:sz w:val="18"/>
                <w:szCs w:val="18"/>
                <w:b w:val="1"/>
                <w:bCs w:val="1"/>
                <w:color w:val="FFFFFF"/>
                <w:w w:val="92"/>
              </w:rPr>
              <w:t>Director</w:t>
            </w:r>
          </w:p>
        </w:tc>
        <w:tc>
          <w:tcPr>
            <w:tcW w:w="1220" w:type="dxa"/>
            <w:vAlign w:val="bottom"/>
            <w:vMerge w:val="restart"/>
          </w:tcPr>
          <w:p>
            <w:pPr>
              <w:jc w:val="center"/>
              <w:spacing w:after="0"/>
              <w:rPr>
                <w:sz w:val="20"/>
                <w:szCs w:val="20"/>
                <w:color w:val="auto"/>
              </w:rPr>
            </w:pPr>
            <w:r>
              <w:rPr>
                <w:rFonts w:ascii="Arial" w:cs="Arial" w:eastAsia="Arial" w:hAnsi="Arial"/>
                <w:sz w:val="18"/>
                <w:szCs w:val="18"/>
                <w:b w:val="1"/>
                <w:bCs w:val="1"/>
                <w:color w:val="FFFFFF"/>
                <w:w w:val="86"/>
              </w:rPr>
              <w:t>Compensation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FFFFFF"/>
                <w:w w:val="87"/>
              </w:rPr>
              <w:t>and Corporate</w:t>
            </w: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FFFFFF"/>
                <w:w w:val="91"/>
              </w:rPr>
              <w:t>Audit</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5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FFFFFF"/>
                <w:w w:val="88"/>
              </w:rPr>
              <w:t>Governance</w:t>
            </w:r>
          </w:p>
        </w:tc>
        <w:tc>
          <w:tcPr>
            <w:tcW w:w="1000" w:type="dxa"/>
            <w:vAlign w:val="bottom"/>
            <w:vMerge w:val="continue"/>
          </w:tcPr>
          <w:p>
            <w:pPr>
              <w:spacing w:after="0"/>
              <w:rPr>
                <w:sz w:val="20"/>
                <w:szCs w:val="20"/>
                <w:color w:val="auto"/>
              </w:rPr>
            </w:pPr>
          </w:p>
        </w:tc>
        <w:tc>
          <w:tcPr>
            <w:tcW w:w="360" w:type="dxa"/>
            <w:vAlign w:val="bottom"/>
            <w:vMerge w:val="restart"/>
          </w:tcPr>
          <w:p>
            <w:pPr>
              <w:jc w:val="center"/>
              <w:spacing w:after="0"/>
              <w:rPr>
                <w:sz w:val="20"/>
                <w:szCs w:val="20"/>
                <w:color w:val="auto"/>
              </w:rPr>
            </w:pPr>
            <w:r>
              <w:rPr>
                <w:rFonts w:ascii="Arial" w:cs="Arial" w:eastAsia="Arial" w:hAnsi="Arial"/>
                <w:sz w:val="18"/>
                <w:szCs w:val="18"/>
                <w:b w:val="1"/>
                <w:bCs w:val="1"/>
                <w:color w:val="FFFFFF"/>
                <w:w w:val="88"/>
              </w:rPr>
              <w:t>Age</w:t>
            </w: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FFFFFF"/>
                <w:w w:val="83"/>
              </w:rPr>
              <w:t>Since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FFFFFF"/>
                <w:w w:val="88"/>
              </w:rPr>
              <w:t>Committee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FFFFFF"/>
                <w:w w:val="94"/>
              </w:rPr>
              <w:t>Committee</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FFFFFF"/>
                <w:w w:val="90"/>
              </w:rPr>
              <w:t>Committee</w:t>
            </w: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FFFFFF"/>
              </w:rPr>
              <w:t>Mr. Richard Schaum</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99"/>
              </w:rPr>
              <w:t>2011</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rPr>
              <w:t>Chair</w:t>
            </w:r>
          </w:p>
        </w:tc>
        <w:tc>
          <w:tcPr>
            <w:tcW w:w="1240" w:type="dxa"/>
            <w:vAlign w:val="bottom"/>
          </w:tcPr>
          <w:p>
            <w:pPr>
              <w:spacing w:after="0"/>
              <w:rPr>
                <w:sz w:val="24"/>
                <w:szCs w:val="24"/>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rPr>
              <w:t>Member</w:t>
            </w: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99"/>
              </w:rPr>
              <w:t>76</w:t>
            </w:r>
          </w:p>
        </w:tc>
        <w:tc>
          <w:tcPr>
            <w:tcW w:w="0" w:type="dxa"/>
            <w:vAlign w:val="bottom"/>
          </w:tcPr>
          <w:p>
            <w:pPr>
              <w:spacing w:after="0"/>
              <w:rPr>
                <w:sz w:val="1"/>
                <w:szCs w:val="1"/>
                <w:color w:val="auto"/>
              </w:rPr>
            </w:pPr>
          </w:p>
        </w:tc>
      </w:tr>
      <w:tr>
        <w:trPr>
          <w:trHeight w:val="180"/>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FFFFFF"/>
              </w:rPr>
              <w:t>(Chair)</w:t>
            </w:r>
          </w:p>
        </w:tc>
        <w:tc>
          <w:tcPr>
            <w:tcW w:w="7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58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FFFFFF"/>
              </w:rPr>
              <w:t>Mr. Joseph Anderson</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99"/>
              </w:rPr>
              <w:t>2022</w:t>
            </w:r>
          </w:p>
        </w:tc>
        <w:tc>
          <w:tcPr>
            <w:tcW w:w="1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FFFFFF"/>
              </w:rPr>
              <w:t>Member</w:t>
            </w:r>
          </w:p>
        </w:tc>
        <w:tc>
          <w:tcPr>
            <w:tcW w:w="10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99"/>
              </w:rPr>
              <w:t>80</w:t>
            </w:r>
          </w:p>
        </w:tc>
        <w:tc>
          <w:tcPr>
            <w:tcW w:w="0" w:type="dxa"/>
            <w:vAlign w:val="bottom"/>
          </w:tcPr>
          <w:p>
            <w:pPr>
              <w:spacing w:after="0"/>
              <w:rPr>
                <w:sz w:val="1"/>
                <w:szCs w:val="1"/>
                <w:color w:val="auto"/>
              </w:rPr>
            </w:pPr>
          </w:p>
        </w:tc>
      </w:tr>
      <w:tr>
        <w:trPr>
          <w:trHeight w:val="36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FFFFFF"/>
              </w:rPr>
              <w:t>Ms. Leslie Brown</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99"/>
              </w:rPr>
              <w:t>2016</w:t>
            </w:r>
          </w:p>
        </w:tc>
        <w:tc>
          <w:tcPr>
            <w:tcW w:w="1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99"/>
              </w:rPr>
              <w:t>Chair</w:t>
            </w:r>
          </w:p>
        </w:tc>
        <w:tc>
          <w:tcPr>
            <w:tcW w:w="10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99"/>
              </w:rPr>
              <w:t>69</w:t>
            </w:r>
          </w:p>
        </w:tc>
        <w:tc>
          <w:tcPr>
            <w:tcW w:w="0" w:type="dxa"/>
            <w:vAlign w:val="bottom"/>
          </w:tcPr>
          <w:p>
            <w:pPr>
              <w:spacing w:after="0"/>
              <w:rPr>
                <w:sz w:val="1"/>
                <w:szCs w:val="1"/>
                <w:color w:val="auto"/>
              </w:rPr>
            </w:pPr>
          </w:p>
        </w:tc>
      </w:tr>
      <w:tr>
        <w:trPr>
          <w:trHeight w:val="26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FFFFFF"/>
              </w:rPr>
              <w:t>Mr. Garth Deur</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99"/>
              </w:rPr>
              <w:t>2023</w:t>
            </w: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99"/>
              </w:rPr>
              <w:t>66</w:t>
            </w:r>
          </w:p>
        </w:tc>
        <w:tc>
          <w:tcPr>
            <w:tcW w:w="0" w:type="dxa"/>
            <w:vAlign w:val="bottom"/>
          </w:tcPr>
          <w:p>
            <w:pPr>
              <w:spacing w:after="0"/>
              <w:rPr>
                <w:sz w:val="1"/>
                <w:szCs w:val="1"/>
                <w:color w:val="auto"/>
              </w:rPr>
            </w:pPr>
          </w:p>
        </w:tc>
      </w:tr>
      <w:tr>
        <w:trPr>
          <w:trHeight w:val="180"/>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FFFFFF"/>
              </w:rPr>
              <w:t>(Nominee)</w:t>
            </w:r>
          </w:p>
        </w:tc>
        <w:tc>
          <w:tcPr>
            <w:tcW w:w="76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58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FFFFFF"/>
              </w:rPr>
              <w:t>Mr. Steve Downing</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99"/>
              </w:rPr>
              <w:t>2020</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99"/>
              </w:rPr>
              <w:t>45</w:t>
            </w:r>
          </w:p>
        </w:tc>
        <w:tc>
          <w:tcPr>
            <w:tcW w:w="0" w:type="dxa"/>
            <w:vAlign w:val="bottom"/>
          </w:tcPr>
          <w:p>
            <w:pPr>
              <w:spacing w:after="0"/>
              <w:rPr>
                <w:sz w:val="1"/>
                <w:szCs w:val="1"/>
                <w:color w:val="auto"/>
              </w:rPr>
            </w:pPr>
          </w:p>
        </w:tc>
      </w:tr>
      <w:tr>
        <w:trPr>
          <w:trHeight w:val="36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FFFFFF"/>
              </w:rPr>
              <w:t>Mr. Gary Goode</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99"/>
              </w:rPr>
              <w:t>2003</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FFFFFF"/>
              </w:rPr>
              <w:t>Member</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FFFFFF"/>
              </w:rPr>
              <w:t>Member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FFFFFF"/>
              </w:rPr>
              <w:t>Chair</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99"/>
              </w:rPr>
              <w:t>77</w:t>
            </w:r>
          </w:p>
        </w:tc>
        <w:tc>
          <w:tcPr>
            <w:tcW w:w="0" w:type="dxa"/>
            <w:vAlign w:val="bottom"/>
          </w:tcPr>
          <w:p>
            <w:pPr>
              <w:spacing w:after="0"/>
              <w:rPr>
                <w:sz w:val="1"/>
                <w:szCs w:val="1"/>
                <w:color w:val="auto"/>
              </w:rPr>
            </w:pPr>
          </w:p>
        </w:tc>
      </w:tr>
      <w:tr>
        <w:trPr>
          <w:trHeight w:val="36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FFFFFF"/>
              </w:rPr>
              <w:t>Mr. James Hollars*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99"/>
              </w:rPr>
              <w:t>2014</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99"/>
              </w:rPr>
              <w:t>78</w:t>
            </w:r>
          </w:p>
        </w:tc>
        <w:tc>
          <w:tcPr>
            <w:tcW w:w="0" w:type="dxa"/>
            <w:vAlign w:val="bottom"/>
          </w:tcPr>
          <w:p>
            <w:pPr>
              <w:spacing w:after="0"/>
              <w:rPr>
                <w:sz w:val="1"/>
                <w:szCs w:val="1"/>
                <w:color w:val="auto"/>
              </w:rPr>
            </w:pPr>
          </w:p>
        </w:tc>
      </w:tr>
      <w:tr>
        <w:trPr>
          <w:trHeight w:val="36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FFFFFF"/>
              </w:rPr>
              <w:t>Ms. Kathy Starkoff</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99"/>
              </w:rPr>
              <w:t>2018</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FFFFFF"/>
              </w:rPr>
              <w:t>Member</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99"/>
              </w:rPr>
              <w:t>65</w:t>
            </w:r>
          </w:p>
        </w:tc>
        <w:tc>
          <w:tcPr>
            <w:tcW w:w="0" w:type="dxa"/>
            <w:vAlign w:val="bottom"/>
          </w:tcPr>
          <w:p>
            <w:pPr>
              <w:spacing w:after="0"/>
              <w:rPr>
                <w:sz w:val="1"/>
                <w:szCs w:val="1"/>
                <w:color w:val="auto"/>
              </w:rPr>
            </w:pPr>
          </w:p>
        </w:tc>
      </w:tr>
      <w:tr>
        <w:trPr>
          <w:trHeight w:val="358"/>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FFFFFF"/>
              </w:rPr>
              <w:t>Mr. Brian Walker</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99"/>
              </w:rPr>
              <w:t>2018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FFFFFF"/>
              </w:rPr>
              <w:t>Member</w:t>
            </w:r>
          </w:p>
        </w:tc>
        <w:tc>
          <w:tcPr>
            <w:tcW w:w="12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FFFFFF"/>
              </w:rPr>
              <w:t>Member</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99"/>
              </w:rPr>
              <w:t>61</w:t>
            </w:r>
          </w:p>
        </w:tc>
        <w:tc>
          <w:tcPr>
            <w:tcW w:w="0" w:type="dxa"/>
            <w:vAlign w:val="bottom"/>
          </w:tcPr>
          <w:p>
            <w:pPr>
              <w:spacing w:after="0"/>
              <w:rPr>
                <w:sz w:val="1"/>
                <w:szCs w:val="1"/>
                <w:color w:val="auto"/>
              </w:rPr>
            </w:pPr>
          </w:p>
        </w:tc>
      </w:tr>
      <w:tr>
        <w:trPr>
          <w:trHeight w:val="36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FFFFFF"/>
              </w:rPr>
              <w:t>Mr. Dr. Ling Zang</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99"/>
              </w:rPr>
              <w:t>2021</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99"/>
              </w:rPr>
              <w:t>54</w:t>
            </w:r>
          </w:p>
        </w:tc>
        <w:tc>
          <w:tcPr>
            <w:tcW w:w="0" w:type="dxa"/>
            <w:vAlign w:val="bottom"/>
          </w:tcPr>
          <w:p>
            <w:pPr>
              <w:spacing w:after="0"/>
              <w:rPr>
                <w:sz w:val="1"/>
                <w:szCs w:val="1"/>
                <w:color w:val="auto"/>
              </w:rPr>
            </w:pPr>
          </w:p>
        </w:tc>
      </w:tr>
    </w:tbl>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FFFF"/>
        </w:rPr>
        <w:t>* Not standing for re-election.</w:t>
      </w:r>
    </w:p>
    <w:p>
      <w:pPr>
        <w:spacing w:after="0" w:line="20" w:lineRule="exact"/>
        <w:rPr>
          <w:sz w:val="20"/>
          <w:szCs w:val="20"/>
          <w:color w:val="auto"/>
        </w:rPr>
      </w:pPr>
      <w:r>
        <w:rPr>
          <w:sz w:val="20"/>
          <w:szCs w:val="20"/>
          <w:color w:val="auto"/>
        </w:rPr>
        <w:br w:type="column"/>
      </w:r>
    </w:p>
    <w:p>
      <w:pPr>
        <w:ind w:left="2660"/>
        <w:spacing w:after="0"/>
        <w:rPr>
          <w:sz w:val="20"/>
          <w:szCs w:val="20"/>
          <w:color w:val="auto"/>
        </w:rPr>
      </w:pPr>
      <w:r>
        <w:rPr>
          <w:rFonts w:ascii="Arial" w:cs="Arial" w:eastAsia="Arial" w:hAnsi="Arial"/>
          <w:sz w:val="13"/>
          <w:szCs w:val="13"/>
          <w:b w:val="1"/>
          <w:bCs w:val="1"/>
          <w:color w:val="FFFFFF"/>
        </w:rPr>
        <w:t>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FFFFFF"/>
              </w:rPr>
              <w:t>Non-</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FFFFFF"/>
                <w:w w:val="96"/>
              </w:rPr>
              <w:t>Did not</w:t>
            </w:r>
          </w:p>
        </w:tc>
        <w:tc>
          <w:tcPr>
            <w:tcW w:w="0" w:type="dxa"/>
            <w:vAlign w:val="bottom"/>
          </w:tcPr>
          <w:p>
            <w:pPr>
              <w:spacing w:after="0"/>
              <w:rPr>
                <w:sz w:val="1"/>
                <w:szCs w:val="1"/>
                <w:color w:val="auto"/>
              </w:rPr>
            </w:pPr>
          </w:p>
        </w:tc>
      </w:tr>
      <w:tr>
        <w:trPr>
          <w:trHeight w:val="240"/>
        </w:trPr>
        <w:tc>
          <w:tcPr>
            <w:tcW w:w="1400" w:type="dxa"/>
            <w:vAlign w:val="bottom"/>
            <w:vMerge w:val="restart"/>
          </w:tcPr>
          <w:p>
            <w:pPr>
              <w:spacing w:after="0"/>
              <w:rPr>
                <w:sz w:val="20"/>
                <w:szCs w:val="20"/>
                <w:color w:val="auto"/>
              </w:rPr>
            </w:pPr>
            <w:r>
              <w:rPr>
                <w:rFonts w:ascii="Arial" w:cs="Arial" w:eastAsia="Arial" w:hAnsi="Arial"/>
                <w:sz w:val="18"/>
                <w:szCs w:val="18"/>
                <w:b w:val="1"/>
                <w:bCs w:val="1"/>
                <w:color w:val="FFFFFF"/>
                <w:w w:val="94"/>
              </w:rPr>
              <w:t>Gender Identity**</w:t>
            </w:r>
          </w:p>
        </w:tc>
        <w:tc>
          <w:tcPr>
            <w:tcW w:w="8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FFFFFF"/>
                <w:w w:val="90"/>
              </w:rPr>
              <w:t>Female</w:t>
            </w: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FFFFFF"/>
                <w:w w:val="99"/>
              </w:rPr>
              <w:t>Male</w:t>
            </w:r>
          </w:p>
        </w:tc>
        <w:tc>
          <w:tcPr>
            <w:tcW w:w="700" w:type="dxa"/>
            <w:vAlign w:val="bottom"/>
            <w:vMerge w:val="continue"/>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FFFFFF"/>
                <w:w w:val="86"/>
              </w:rPr>
              <w:t>Disclose</w:t>
            </w:r>
          </w:p>
        </w:tc>
        <w:tc>
          <w:tcPr>
            <w:tcW w:w="0" w:type="dxa"/>
            <w:vAlign w:val="bottom"/>
          </w:tcPr>
          <w:p>
            <w:pPr>
              <w:spacing w:after="0"/>
              <w:rPr>
                <w:sz w:val="1"/>
                <w:szCs w:val="1"/>
                <w:color w:val="auto"/>
              </w:rPr>
            </w:pPr>
          </w:p>
        </w:tc>
      </w:tr>
      <w:tr>
        <w:trPr>
          <w:trHeight w:val="303"/>
        </w:trPr>
        <w:tc>
          <w:tcPr>
            <w:tcW w:w="140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FFFFFF"/>
                <w:w w:val="89"/>
              </w:rPr>
              <w:t>Binary</w:t>
            </w:r>
          </w:p>
        </w:tc>
        <w:tc>
          <w:tcPr>
            <w:tcW w:w="720" w:type="dxa"/>
            <w:vAlign w:val="bottom"/>
          </w:tcPr>
          <w:p>
            <w:pPr>
              <w:jc w:val="center"/>
              <w:ind w:left="10"/>
              <w:spacing w:after="0"/>
              <w:rPr>
                <w:sz w:val="20"/>
                <w:szCs w:val="20"/>
                <w:color w:val="auto"/>
              </w:rPr>
            </w:pPr>
            <w:r>
              <w:rPr>
                <w:rFonts w:ascii="Arial" w:cs="Arial" w:eastAsia="Arial" w:hAnsi="Arial"/>
                <w:sz w:val="18"/>
                <w:szCs w:val="18"/>
                <w:b w:val="1"/>
                <w:bCs w:val="1"/>
                <w:color w:val="FFFFFF"/>
                <w:w w:val="91"/>
              </w:rPr>
              <w:t>Gender</w:t>
            </w:r>
          </w:p>
        </w:tc>
        <w:tc>
          <w:tcPr>
            <w:tcW w:w="0" w:type="dxa"/>
            <w:vAlign w:val="bottom"/>
          </w:tcPr>
          <w:p>
            <w:pPr>
              <w:spacing w:after="0"/>
              <w:rPr>
                <w:sz w:val="1"/>
                <w:szCs w:val="1"/>
                <w:color w:val="auto"/>
              </w:rPr>
            </w:pPr>
          </w:p>
        </w:tc>
      </w:tr>
      <w:tr>
        <w:trPr>
          <w:trHeight w:val="476"/>
        </w:trPr>
        <w:tc>
          <w:tcPr>
            <w:tcW w:w="1400" w:type="dxa"/>
            <w:vAlign w:val="bottom"/>
          </w:tcPr>
          <w:p>
            <w:pPr>
              <w:spacing w:after="0"/>
              <w:rPr>
                <w:sz w:val="24"/>
                <w:szCs w:val="24"/>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FFFFFF"/>
                <w:w w:val="88"/>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88"/>
              </w:rPr>
              <w:t>7</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0" w:type="dxa"/>
            <w:vAlign w:val="bottom"/>
          </w:tcPr>
          <w:p>
            <w:pPr>
              <w:spacing w:after="0"/>
              <w:rPr>
                <w:sz w:val="1"/>
                <w:szCs w:val="1"/>
                <w:color w:val="auto"/>
              </w:rPr>
            </w:pPr>
          </w:p>
        </w:tc>
      </w:tr>
      <w:tr>
        <w:trPr>
          <w:trHeight w:val="446"/>
        </w:trPr>
        <w:tc>
          <w:tcPr>
            <w:tcW w:w="2200" w:type="dxa"/>
            <w:vAlign w:val="bottom"/>
            <w:gridSpan w:val="2"/>
          </w:tcPr>
          <w:p>
            <w:pPr>
              <w:spacing w:after="0"/>
              <w:rPr>
                <w:sz w:val="20"/>
                <w:szCs w:val="20"/>
                <w:color w:val="auto"/>
              </w:rPr>
            </w:pPr>
            <w:r>
              <w:rPr>
                <w:rFonts w:ascii="Arial" w:cs="Arial" w:eastAsia="Arial" w:hAnsi="Arial"/>
                <w:sz w:val="18"/>
                <w:szCs w:val="18"/>
                <w:b w:val="1"/>
                <w:bCs w:val="1"/>
                <w:color w:val="FFFFFF"/>
                <w:w w:val="91"/>
              </w:rPr>
              <w:t>Demographic Background**</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FFFFFF"/>
              </w:rPr>
              <w:t>African American</w:t>
            </w:r>
          </w:p>
        </w:tc>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FFFFFF"/>
                <w:w w:val="88"/>
              </w:rPr>
              <w:t>0</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88"/>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0" w:type="dxa"/>
            <w:vAlign w:val="bottom"/>
          </w:tcPr>
          <w:p>
            <w:pPr>
              <w:spacing w:after="0"/>
              <w:rPr>
                <w:sz w:val="1"/>
                <w:szCs w:val="1"/>
                <w:color w:val="auto"/>
              </w:rPr>
            </w:pPr>
          </w:p>
        </w:tc>
      </w:tr>
      <w:tr>
        <w:trPr>
          <w:trHeight w:val="180"/>
        </w:trPr>
        <w:tc>
          <w:tcPr>
            <w:tcW w:w="1400" w:type="dxa"/>
            <w:vAlign w:val="bottom"/>
            <w:vMerge w:val="restart"/>
          </w:tcPr>
          <w:p>
            <w:pPr>
              <w:spacing w:after="0"/>
              <w:rPr>
                <w:sz w:val="20"/>
                <w:szCs w:val="20"/>
                <w:color w:val="auto"/>
              </w:rPr>
            </w:pPr>
            <w:r>
              <w:rPr>
                <w:rFonts w:ascii="Times New Roman" w:cs="Times New Roman" w:eastAsia="Times New Roman" w:hAnsi="Times New Roman"/>
                <w:sz w:val="18"/>
                <w:szCs w:val="18"/>
                <w:color w:val="FFFFFF"/>
              </w:rPr>
              <w:t>or Black</w:t>
            </w:r>
          </w:p>
        </w:tc>
        <w:tc>
          <w:tcPr>
            <w:tcW w:w="8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14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FFFFFF"/>
              </w:rPr>
              <w:t>Alaskan Native or</w:t>
            </w:r>
          </w:p>
        </w:tc>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FFFFFF"/>
                <w:w w:val="88"/>
              </w:rPr>
              <w:t>0</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0" w:type="dxa"/>
            <w:vAlign w:val="bottom"/>
          </w:tcPr>
          <w:p>
            <w:pPr>
              <w:spacing w:after="0"/>
              <w:rPr>
                <w:sz w:val="1"/>
                <w:szCs w:val="1"/>
                <w:color w:val="auto"/>
              </w:rPr>
            </w:pPr>
          </w:p>
        </w:tc>
      </w:tr>
      <w:tr>
        <w:trPr>
          <w:trHeight w:val="180"/>
        </w:trPr>
        <w:tc>
          <w:tcPr>
            <w:tcW w:w="1400" w:type="dxa"/>
            <w:vAlign w:val="bottom"/>
            <w:vMerge w:val="restart"/>
          </w:tcPr>
          <w:p>
            <w:pPr>
              <w:spacing w:after="0"/>
              <w:rPr>
                <w:sz w:val="20"/>
                <w:szCs w:val="20"/>
                <w:color w:val="auto"/>
              </w:rPr>
            </w:pPr>
            <w:r>
              <w:rPr>
                <w:rFonts w:ascii="Times New Roman" w:cs="Times New Roman" w:eastAsia="Times New Roman" w:hAnsi="Times New Roman"/>
                <w:sz w:val="18"/>
                <w:szCs w:val="18"/>
                <w:color w:val="FFFFFF"/>
              </w:rPr>
              <w:t>Native American</w:t>
            </w:r>
          </w:p>
        </w:tc>
        <w:tc>
          <w:tcPr>
            <w:tcW w:w="8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FFFFFF"/>
              </w:rPr>
              <w:t>Asian</w:t>
            </w: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FFFFFF"/>
                <w:w w:val="88"/>
              </w:rPr>
              <w:t>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88"/>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0" w:type="dxa"/>
            <w:vAlign w:val="bottom"/>
          </w:tcPr>
          <w:p>
            <w:pPr>
              <w:spacing w:after="0"/>
              <w:rPr>
                <w:sz w:val="1"/>
                <w:szCs w:val="1"/>
                <w:color w:val="auto"/>
              </w:rPr>
            </w:pPr>
          </w:p>
        </w:tc>
      </w:tr>
      <w:tr>
        <w:trPr>
          <w:trHeight w:val="26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FFFFFF"/>
              </w:rPr>
              <w:t>Hispanic</w:t>
            </w:r>
          </w:p>
        </w:tc>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FFFFFF"/>
                <w:w w:val="88"/>
              </w:rPr>
              <w:t>0</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0" w:type="dxa"/>
            <w:vAlign w:val="bottom"/>
          </w:tcPr>
          <w:p>
            <w:pPr>
              <w:spacing w:after="0"/>
              <w:rPr>
                <w:sz w:val="1"/>
                <w:szCs w:val="1"/>
                <w:color w:val="auto"/>
              </w:rPr>
            </w:pPr>
          </w:p>
        </w:tc>
      </w:tr>
      <w:tr>
        <w:trPr>
          <w:trHeight w:val="180"/>
        </w:trPr>
        <w:tc>
          <w:tcPr>
            <w:tcW w:w="1400" w:type="dxa"/>
            <w:vAlign w:val="bottom"/>
            <w:vMerge w:val="restart"/>
          </w:tcPr>
          <w:p>
            <w:pPr>
              <w:spacing w:after="0"/>
              <w:rPr>
                <w:sz w:val="20"/>
                <w:szCs w:val="20"/>
                <w:color w:val="auto"/>
              </w:rPr>
            </w:pPr>
            <w:r>
              <w:rPr>
                <w:rFonts w:ascii="Times New Roman" w:cs="Times New Roman" w:eastAsia="Times New Roman" w:hAnsi="Times New Roman"/>
                <w:sz w:val="18"/>
                <w:szCs w:val="18"/>
                <w:color w:val="FFFFFF"/>
              </w:rPr>
              <w:t>or Latinx</w:t>
            </w:r>
          </w:p>
        </w:tc>
        <w:tc>
          <w:tcPr>
            <w:tcW w:w="8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14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FFFFFF"/>
              </w:rPr>
              <w:t>Native Hawaiian</w:t>
            </w:r>
          </w:p>
        </w:tc>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FFFFFF"/>
                <w:w w:val="88"/>
              </w:rPr>
              <w:t>0</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0" w:type="dxa"/>
            <w:vAlign w:val="bottom"/>
          </w:tcPr>
          <w:p>
            <w:pPr>
              <w:spacing w:after="0"/>
              <w:rPr>
                <w:sz w:val="1"/>
                <w:szCs w:val="1"/>
                <w:color w:val="auto"/>
              </w:rPr>
            </w:pPr>
          </w:p>
        </w:tc>
      </w:tr>
      <w:tr>
        <w:trPr>
          <w:trHeight w:val="180"/>
        </w:trPr>
        <w:tc>
          <w:tcPr>
            <w:tcW w:w="1400" w:type="dxa"/>
            <w:vAlign w:val="bottom"/>
            <w:vMerge w:val="restart"/>
          </w:tcPr>
          <w:p>
            <w:pPr>
              <w:spacing w:after="0"/>
              <w:rPr>
                <w:sz w:val="20"/>
                <w:szCs w:val="20"/>
                <w:color w:val="auto"/>
              </w:rPr>
            </w:pPr>
            <w:r>
              <w:rPr>
                <w:rFonts w:ascii="Times New Roman" w:cs="Times New Roman" w:eastAsia="Times New Roman" w:hAnsi="Times New Roman"/>
                <w:sz w:val="18"/>
                <w:szCs w:val="18"/>
                <w:color w:val="FFFFFF"/>
              </w:rPr>
              <w:t>or Pacific Islander</w:t>
            </w:r>
          </w:p>
        </w:tc>
        <w:tc>
          <w:tcPr>
            <w:tcW w:w="8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14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FFFFFF"/>
              </w:rPr>
              <w:t>White or</w:t>
            </w:r>
          </w:p>
        </w:tc>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FFFFFF"/>
                <w:w w:val="88"/>
              </w:rPr>
              <w:t>2</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88"/>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0" w:type="dxa"/>
            <w:vAlign w:val="bottom"/>
          </w:tcPr>
          <w:p>
            <w:pPr>
              <w:spacing w:after="0"/>
              <w:rPr>
                <w:sz w:val="1"/>
                <w:szCs w:val="1"/>
                <w:color w:val="auto"/>
              </w:rPr>
            </w:pPr>
          </w:p>
        </w:tc>
      </w:tr>
      <w:tr>
        <w:trPr>
          <w:trHeight w:val="180"/>
        </w:trPr>
        <w:tc>
          <w:tcPr>
            <w:tcW w:w="1400" w:type="dxa"/>
            <w:vAlign w:val="bottom"/>
            <w:vMerge w:val="restart"/>
          </w:tcPr>
          <w:p>
            <w:pPr>
              <w:spacing w:after="0"/>
              <w:rPr>
                <w:sz w:val="20"/>
                <w:szCs w:val="20"/>
                <w:color w:val="auto"/>
              </w:rPr>
            </w:pPr>
            <w:r>
              <w:rPr>
                <w:rFonts w:ascii="Times New Roman" w:cs="Times New Roman" w:eastAsia="Times New Roman" w:hAnsi="Times New Roman"/>
                <w:sz w:val="18"/>
                <w:szCs w:val="18"/>
                <w:color w:val="FFFFFF"/>
              </w:rPr>
              <w:t>Caucasian</w:t>
            </w:r>
          </w:p>
        </w:tc>
        <w:tc>
          <w:tcPr>
            <w:tcW w:w="8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14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FFFFFF"/>
              </w:rPr>
              <w:t>Two or</w:t>
            </w:r>
          </w:p>
        </w:tc>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FFFFFF"/>
                <w:w w:val="88"/>
              </w:rPr>
              <w:t>0</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0" w:type="dxa"/>
            <w:vAlign w:val="bottom"/>
          </w:tcPr>
          <w:p>
            <w:pPr>
              <w:spacing w:after="0"/>
              <w:rPr>
                <w:sz w:val="1"/>
                <w:szCs w:val="1"/>
                <w:color w:val="auto"/>
              </w:rPr>
            </w:pPr>
          </w:p>
        </w:tc>
      </w:tr>
      <w:tr>
        <w:trPr>
          <w:trHeight w:val="24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FFFFFF"/>
              </w:rPr>
              <w:t>More Races</w:t>
            </w:r>
          </w:p>
        </w:tc>
        <w:tc>
          <w:tcPr>
            <w:tcW w:w="80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FFFFFF"/>
              </w:rPr>
              <w:t>or Ethnicities</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FFFFFF"/>
              </w:rPr>
              <w:t>LGBTQ+</w:t>
            </w: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FFFFFF"/>
                <w:w w:val="88"/>
              </w:rPr>
              <w:t>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0" w:type="dxa"/>
            <w:vAlign w:val="bottom"/>
          </w:tcPr>
          <w:p>
            <w:pPr>
              <w:spacing w:after="0"/>
              <w:rPr>
                <w:sz w:val="1"/>
                <w:szCs w:val="1"/>
                <w:color w:val="auto"/>
              </w:rPr>
            </w:pPr>
          </w:p>
        </w:tc>
      </w:tr>
      <w:tr>
        <w:trPr>
          <w:trHeight w:val="26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FFFFFF"/>
              </w:rPr>
              <w:t>Did Not Disclose</w:t>
            </w:r>
          </w:p>
        </w:tc>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FFFFFF"/>
                <w:w w:val="88"/>
              </w:rPr>
              <w:t>0</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FFFF"/>
                <w:w w:val="88"/>
              </w:rPr>
              <w:t>0</w:t>
            </w:r>
          </w:p>
        </w:tc>
        <w:tc>
          <w:tcPr>
            <w:tcW w:w="0" w:type="dxa"/>
            <w:vAlign w:val="bottom"/>
          </w:tcPr>
          <w:p>
            <w:pPr>
              <w:spacing w:after="0"/>
              <w:rPr>
                <w:sz w:val="1"/>
                <w:szCs w:val="1"/>
                <w:color w:val="auto"/>
              </w:rPr>
            </w:pPr>
          </w:p>
        </w:tc>
      </w:tr>
      <w:tr>
        <w:trPr>
          <w:trHeight w:val="24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FFFFFF"/>
              </w:rPr>
              <w:t>Demographic</w:t>
            </w:r>
          </w:p>
        </w:tc>
        <w:tc>
          <w:tcPr>
            <w:tcW w:w="80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FFFFFF"/>
              </w:rPr>
              <w:t>Background</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 Includes board members for 2022-2023. Does not include board nominees.</w:t>
      </w:r>
    </w:p>
    <w:p>
      <w:pPr>
        <w:spacing w:after="0" w:line="200" w:lineRule="exact"/>
        <w:rPr>
          <w:sz w:val="20"/>
          <w:szCs w:val="20"/>
          <w:color w:val="auto"/>
        </w:rPr>
      </w:pPr>
    </w:p>
    <w:p>
      <w:pPr>
        <w:sectPr>
          <w:pgSz w:w="12240" w:h="15840" w:orient="portrait"/>
          <w:cols w:equalWidth="0" w:num="2">
            <w:col w:w="6160" w:space="420"/>
            <w:col w:w="4360"/>
          </w:cols>
          <w:pgMar w:left="720" w:top="454"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220"/>
        <w:spacing w:after="0"/>
        <w:tabs>
          <w:tab w:leader="none" w:pos="10780" w:val="left"/>
        </w:tabs>
        <w:rPr>
          <w:sz w:val="20"/>
          <w:szCs w:val="20"/>
          <w:color w:val="auto"/>
        </w:rPr>
      </w:pPr>
      <w:r>
        <w:rPr>
          <w:rFonts w:ascii="Times New Roman" w:cs="Times New Roman" w:eastAsia="Times New Roman" w:hAnsi="Times New Roman"/>
          <w:sz w:val="10"/>
          <w:szCs w:val="10"/>
          <w:color w:val="FFFFFF"/>
        </w:rPr>
        <w:t>2022 ANNUAL REPORT</w:t>
      </w:r>
      <w:r>
        <w:rPr>
          <w:sz w:val="20"/>
          <w:szCs w:val="20"/>
          <w:color w:val="auto"/>
        </w:rPr>
        <w:tab/>
      </w:r>
      <w:r>
        <w:rPr>
          <w:rFonts w:ascii="Arial" w:cs="Arial" w:eastAsia="Arial" w:hAnsi="Arial"/>
          <w:sz w:val="12"/>
          <w:szCs w:val="12"/>
          <w:b w:val="1"/>
          <w:bCs w:val="1"/>
          <w:color w:val="FFFFFF"/>
        </w:rPr>
        <w:t>95</w:t>
      </w:r>
    </w:p>
    <w:p>
      <w:pPr>
        <w:sectPr>
          <w:pgSz w:w="12240" w:h="15840" w:orient="portrait"/>
          <w:cols w:equalWidth="0" w:num="1">
            <w:col w:w="10940"/>
          </w:cols>
          <w:pgMar w:left="720" w:top="454" w:right="580" w:bottom="0" w:gutter="0" w:footer="0" w:header="0"/>
          <w:type w:val="continuous"/>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76">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808080"/>
        </w:rPr>
        <w:t>600 N. Centennial Street,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808080"/>
        </w:rPr>
        <w:t>Zeeland, Michigan 49464</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808080"/>
        </w:rPr>
        <w:t>616.772.1800</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808080"/>
        </w:rPr>
        <w:t>gentex.com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FFFFFF"/>
        </w:rPr>
        <w:t>© 2023 Gentex Corporation</w:t>
      </w:r>
    </w:p>
    <w:p>
      <w:pPr>
        <w:spacing w:after="0" w:line="155" w:lineRule="exact"/>
        <w:rPr>
          <w:sz w:val="20"/>
          <w:szCs w:val="20"/>
          <w:color w:val="auto"/>
        </w:rPr>
      </w:pPr>
    </w:p>
    <w:p>
      <w:pPr>
        <w:ind w:right="4660"/>
        <w:spacing w:after="0" w:line="376" w:lineRule="auto"/>
        <w:rPr>
          <w:sz w:val="20"/>
          <w:szCs w:val="20"/>
          <w:color w:val="auto"/>
        </w:rPr>
      </w:pPr>
      <w:r>
        <w:rPr>
          <w:rFonts w:ascii="Times New Roman" w:cs="Times New Roman" w:eastAsia="Times New Roman" w:hAnsi="Times New Roman"/>
          <w:sz w:val="12"/>
          <w:szCs w:val="12"/>
          <w:color w:val="FFFFFF"/>
        </w:rPr>
        <w:t>Gentex®, A Smarter Vision®, Full Display Mirror®, FDM®, ITM®, Integrated Toll Module®, ITM (design)™, HomeLink®, HomeLink (house design)®, HomeLink Connect®, ReVu™, SmartBeam®, and Vaporsens™ are all trademarks of Gentex Corporation. The products referenced in this report may not be approved in all jurisdictions. PayByCar™ is a registered trademark of PayByCar, Inc. Simplenight® is a registered trademark of Simplenight Inc.</w:t>
      </w:r>
    </w:p>
    <w:sectPr>
      <w:pgSz w:w="12240" w:h="15840" w:orient="portrait"/>
      <w:cols w:equalWidth="0" w:num="1">
        <w:col w:w="9900"/>
      </w:cols>
      <w:pgMar w:left="900" w:top="1440" w:right="1440" w:bottom="17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A"/>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
      <w:numFmt w:val="bullet"/>
      <w:start w:val="1"/>
    </w:lvl>
  </w:abstractNum>
  <w:abstractNum w:abstractNumId="6">
    <w:nsid w:val="4E6AFB66"/>
    <w:multiLevelType w:val="hybridMultilevel"/>
    <w:lvl w:ilvl="0">
      <w:lvlJc w:val="left"/>
      <w:lvlText w:val=" "/>
      <w:numFmt w:val="bullet"/>
      <w:start w:val="1"/>
    </w:lvl>
  </w:abstractNum>
  <w:abstractNum w:abstractNumId="7">
    <w:nsid w:val="25E45D32"/>
    <w:multiLevelType w:val="hybridMultilevel"/>
    <w:lvl w:ilvl="0">
      <w:lvlJc w:val="left"/>
      <w:lvlText w:val=" "/>
      <w:numFmt w:val="bullet"/>
      <w:start w:val="1"/>
    </w:lvl>
  </w:abstractNum>
  <w:abstractNum w:abstractNumId="8">
    <w:nsid w:val="519B500D"/>
    <w:multiLevelType w:val="hybridMultilevel"/>
    <w:lvl w:ilvl="0">
      <w:lvlJc w:val="left"/>
      <w:lvlText w:val=" "/>
      <w:numFmt w:val="bullet"/>
      <w:start w:val="1"/>
    </w:lvl>
  </w:abstractNum>
  <w:abstractNum w:abstractNumId="9">
    <w:nsid w:val="431BD7B7"/>
    <w:multiLevelType w:val="hybridMultilevel"/>
    <w:lvl w:ilvl="0">
      <w:lvlJc w:val="left"/>
      <w:lvlText w:val=" "/>
      <w:numFmt w:val="bullet"/>
      <w:start w:val="1"/>
    </w:lvl>
  </w:abstractNum>
  <w:abstractNum w:abstractNumId="10">
    <w:nsid w:val="3F2DBA31"/>
    <w:multiLevelType w:val="hybridMultilevel"/>
    <w:lvl w:ilvl="0">
      <w:lvlJc w:val="left"/>
      <w:lvlText w:val=" "/>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endash "/>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32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241"/>
    </w:lvl>
  </w:abstractNum>
  <w:abstractNum w:abstractNumId="22">
    <w:nsid w:val="8EDBDAB"/>
    <w:multiLevelType w:val="hybridMultilevel"/>
    <w:lvl w:ilvl="0">
      <w:lvlJc w:val="left"/>
      <w:lvlText w:val="(%1)"/>
      <w:numFmt w:val="decimal"/>
      <w:start w:val="386"/>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2023-04-06T18:25:00Z</dcterms:created>
  <dcterms:modified xsi:type="dcterms:W3CDTF">2023-04-06T18:25:00Z</dcterms:modified>
</cp:coreProperties>
</file>