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Pink Billy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600 NORTH CENTENNIAL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ZEELAND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49464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15,329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vest 100% one year from grant award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Scott Ryan for Billy P Pink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Kevin Nash, any successor as Chief Financial Officer of Gentex Corporation (the "Corporation"), and Scott Ryan, any successor as General counsel of Gentex Corporation, and any of their respective designees, signing singly, the undersigned's true and lawful attorney-in-fact to:</w:t>
      </w:r>
    </w:p>
    <w:p>
      <w:pPr>
        <w:spacing w:after="0" w:line="85" w:lineRule="exact"/>
        <w:rPr>
          <w:sz w:val="20"/>
          <w:szCs w:val="20"/>
          <w:color w:val="auto"/>
        </w:rPr>
      </w:pPr>
    </w:p>
    <w:p>
      <w:pPr>
        <w:ind w:right="2919" w:firstLine="1254"/>
        <w:spacing w:after="0" w:line="29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919" w:firstLine="1254"/>
        <w:spacing w:after="0" w:line="273"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919" w:firstLine="1254"/>
        <w:spacing w:after="0" w:line="266"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719" w:firstLine="624"/>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firstLine="624"/>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76"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8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16th day of May,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7"/>
          <w:szCs w:val="17"/>
          <w:color w:val="auto"/>
        </w:rPr>
        <w:t>Bill Pink</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705" TargetMode="External"/><Relationship Id="rId14"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2026-05-22T11:04:04Z</dcterms:created>
  <dcterms:modified xsi:type="dcterms:W3CDTF">2026-05-22T11:04:04Z</dcterms:modified>
</cp:coreProperties>
</file>