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jc w:val="center"/>
        <w:ind w:right="321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1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10-K</w:t>
      </w:r>
    </w:p>
    <w:p>
      <w:pPr>
        <w:spacing w:after="0" w:line="173" w:lineRule="exact"/>
        <w:rPr>
          <w:sz w:val="24"/>
          <w:szCs w:val="24"/>
          <w:color w:val="auto"/>
        </w:rPr>
      </w:pPr>
    </w:p>
    <w:p>
      <w:pPr>
        <w:ind w:left="440" w:right="3499" w:hanging="430"/>
        <w:spacing w:after="0" w:line="23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 FOR FISCAL YEAR ENDED DECEMBER 31, 1998.</w:t>
      </w:r>
    </w:p>
    <w:p>
      <w:pPr>
        <w:spacing w:after="0" w:line="173" w:lineRule="exact"/>
        <w:rPr>
          <w:sz w:val="24"/>
          <w:szCs w:val="24"/>
          <w:color w:val="auto"/>
        </w:rPr>
      </w:pPr>
    </w:p>
    <w:p>
      <w:pPr>
        <w:ind w:left="440" w:right="3939" w:hanging="430"/>
        <w:spacing w:after="0" w:line="234" w:lineRule="auto"/>
        <w:tabs>
          <w:tab w:leader="none" w:pos="17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(NO FEE REQUIRED)</w:t>
      </w:r>
    </w:p>
    <w:p>
      <w:pPr>
        <w:sectPr>
          <w:pgSz w:w="11900" w:h="16838" w:orient="portrait"/>
          <w:cols w:equalWidth="0" w:num="1">
            <w:col w:w="10239"/>
          </w:cols>
          <w:pgMar w:left="220" w:top="225" w:right="1440" w:bottom="1440" w:gutter="0" w:footer="0" w:header="0"/>
        </w:sectPr>
      </w:pPr>
    </w:p>
    <w:p>
      <w:pPr>
        <w:ind w:left="440"/>
        <w:spacing w:after="0" w:line="237" w:lineRule="auto"/>
        <w:tabs>
          <w:tab w:leader="none" w:pos="5060" w:val="left"/>
        </w:tabs>
        <w:rPr>
          <w:sz w:val="20"/>
          <w:szCs w:val="20"/>
          <w:color w:val="auto"/>
        </w:rPr>
      </w:pPr>
      <w:r>
        <w:rPr>
          <w:rFonts w:ascii="Courier New" w:cs="Courier New" w:eastAsia="Courier New" w:hAnsi="Courier New"/>
          <w:sz w:val="15"/>
          <w:szCs w:val="15"/>
          <w:color w:val="auto"/>
        </w:rPr>
        <w:t>For the transition period from</w:t>
      </w:r>
      <w:r>
        <w:rPr>
          <w:sz w:val="20"/>
          <w:szCs w:val="20"/>
          <w:color w:val="auto"/>
        </w:rPr>
        <w:tab/>
      </w:r>
      <w:r>
        <w:rPr>
          <w:rFonts w:ascii="Courier New" w:cs="Courier New" w:eastAsia="Courier New" w:hAnsi="Courier New"/>
          <w:sz w:val="15"/>
          <w:szCs w:val="15"/>
          <w:color w:val="auto"/>
        </w:rPr>
        <w:t>to</w:t>
      </w:r>
    </w:p>
    <w:p>
      <w:pPr>
        <w:sectPr>
          <w:pgSz w:w="11900" w:h="16838" w:orient="portrait"/>
          <w:cols w:equalWidth="0" w:num="1">
            <w:col w:w="10239"/>
          </w:cols>
          <w:pgMar w:left="220" w:top="225" w:right="1440" w:bottom="1440" w:gutter="0" w:footer="0" w:header="0"/>
          <w:type w:val="continuous"/>
        </w:sectPr>
      </w:pPr>
    </w:p>
    <w:p>
      <w:pPr>
        <w:spacing w:after="0" w:line="5" w:lineRule="exact"/>
        <w:rPr>
          <w:sz w:val="24"/>
          <w:szCs w:val="24"/>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sectPr>
          <w:pgSz w:w="11900" w:h="16838" w:orient="portrait"/>
          <w:cols w:equalWidth="0" w:num="2">
            <w:col w:w="4900" w:space="440"/>
            <w:col w:w="4899"/>
          </w:cols>
          <w:pgMar w:left="220" w:top="22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Commission 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0-10235</w:t>
      </w:r>
    </w:p>
    <w:p>
      <w:pPr>
        <w:spacing w:after="0" w:line="171" w:lineRule="exact"/>
        <w:rPr>
          <w:sz w:val="24"/>
          <w:szCs w:val="24"/>
          <w:color w:val="auto"/>
        </w:rPr>
      </w:pPr>
    </w:p>
    <w:p>
      <w:pPr>
        <w:sectPr>
          <w:pgSz w:w="11900" w:h="16838" w:orient="portrait"/>
          <w:cols w:equalWidth="0" w:num="2">
            <w:col w:w="1760" w:space="340"/>
            <w:col w:w="8139"/>
          </w:cols>
          <w:pgMar w:left="220" w:top="225" w:right="1440" w:bottom="1440" w:gutter="0" w:footer="0" w:header="0"/>
          <w:type w:val="continuous"/>
        </w:sectPr>
      </w:pPr>
    </w:p>
    <w:p>
      <w:pPr>
        <w:jc w:val="center"/>
        <w:ind w:right="3239"/>
        <w:spacing w:after="0"/>
        <w:rPr>
          <w:sz w:val="20"/>
          <w:szCs w:val="20"/>
          <w:color w:val="auto"/>
        </w:rPr>
      </w:pPr>
      <w:r>
        <w:rPr>
          <w:rFonts w:ascii="Courier New" w:cs="Courier New" w:eastAsia="Courier New" w:hAnsi="Courier New"/>
          <w:sz w:val="15"/>
          <w:szCs w:val="15"/>
          <w:color w:val="auto"/>
        </w:rPr>
        <w:t>GENTEX CORPORATION</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25" w:right="1440" w:bottom="1440" w:gutter="0" w:footer="0" w:header="0"/>
          <w:type w:val="continuous"/>
        </w:sectPr>
      </w:pPr>
    </w:p>
    <w:p>
      <w:pPr>
        <w:spacing w:after="0" w:line="171"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MICHIGAN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0"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38-2030505</w:t>
      </w:r>
    </w:p>
    <w:p>
      <w:pPr>
        <w:ind w:left="8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2">
            <w:col w:w="4540" w:space="720"/>
            <w:col w:w="4979"/>
          </w:cols>
          <w:pgMar w:left="220" w:top="225" w:right="1440" w:bottom="1440" w:gutter="0" w:footer="0" w:header="0"/>
          <w:type w:val="continuous"/>
        </w:sectPr>
      </w:pPr>
    </w:p>
    <w:p>
      <w:pPr>
        <w:spacing w:after="0" w:line="146" w:lineRule="exact"/>
        <w:rPr>
          <w:sz w:val="24"/>
          <w:szCs w:val="24"/>
          <w:color w:val="auto"/>
        </w:rPr>
      </w:pPr>
    </w:p>
    <w:p>
      <w:pPr>
        <w:ind w:left="100" w:right="1100" w:hanging="86"/>
        <w:spacing w:after="0" w:line="261" w:lineRule="auto"/>
        <w:rPr>
          <w:sz w:val="20"/>
          <w:szCs w:val="20"/>
          <w:color w:val="auto"/>
        </w:rPr>
      </w:pPr>
      <w:r>
        <w:rPr>
          <w:rFonts w:ascii="Courier New" w:cs="Courier New" w:eastAsia="Courier New" w:hAnsi="Courier New"/>
          <w:sz w:val="14"/>
          <w:szCs w:val="14"/>
          <w:color w:val="auto"/>
        </w:rPr>
        <w:t>600 N. CENTENNIAL STREET, ZEELAND, MICHIGAN (Address of principal executive offices)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49464</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18" w:lineRule="exact"/>
        <w:rPr>
          <w:sz w:val="24"/>
          <w:szCs w:val="24"/>
          <w:color w:val="auto"/>
        </w:rPr>
      </w:pPr>
    </w:p>
    <w:p>
      <w:pPr>
        <w:sectPr>
          <w:pgSz w:w="11900" w:h="16838" w:orient="portrait"/>
          <w:cols w:equalWidth="0" w:num="2">
            <w:col w:w="4880" w:space="720"/>
            <w:col w:w="4639"/>
          </w:cols>
          <w:pgMar w:left="220" w:top="225" w:right="1440" w:bottom="1440" w:gutter="0" w:footer="0" w:header="0"/>
          <w:type w:val="continuous"/>
        </w:sectPr>
      </w:pPr>
    </w:p>
    <w:p>
      <w:pPr>
        <w:spacing w:after="0" w:line="128" w:lineRule="exact"/>
        <w:rPr>
          <w:sz w:val="24"/>
          <w:szCs w:val="24"/>
          <w:color w:val="auto"/>
        </w:rPr>
      </w:pPr>
    </w:p>
    <w:p>
      <w:pPr>
        <w:ind w:left="2900"/>
        <w:spacing w:after="0"/>
        <w:rPr>
          <w:sz w:val="20"/>
          <w:szCs w:val="20"/>
          <w:color w:val="auto"/>
        </w:rPr>
      </w:pPr>
      <w:r>
        <w:rPr>
          <w:rFonts w:ascii="Courier New" w:cs="Courier New" w:eastAsia="Courier New" w:hAnsi="Courier New"/>
          <w:sz w:val="14"/>
          <w:szCs w:val="14"/>
          <w:color w:val="auto"/>
        </w:rPr>
        <w:t>(616) 772-1800</w:t>
      </w:r>
    </w:p>
    <w:p>
      <w:pPr>
        <w:sectPr>
          <w:pgSz w:w="11900" w:h="16838" w:orient="portrait"/>
          <w:cols w:equalWidth="0" w:num="1">
            <w:col w:w="10239"/>
          </w:cols>
          <w:pgMar w:left="220" w:top="225" w:right="1440" w:bottom="1440" w:gutter="0" w:footer="0" w:header="0"/>
          <w:type w:val="continuous"/>
        </w:sectPr>
      </w:pPr>
    </w:p>
    <w:p>
      <w:pPr>
        <w:spacing w:after="0" w:line="10" w:lineRule="exact"/>
        <w:rPr>
          <w:sz w:val="24"/>
          <w:szCs w:val="24"/>
          <w:color w:val="auto"/>
        </w:rPr>
      </w:pPr>
    </w:p>
    <w:p>
      <w:pPr>
        <w:ind w:left="1240"/>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34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39"/>
          </w:cols>
          <w:pgMar w:left="220" w:top="225" w:right="1440" w:bottom="1440" w:gutter="0" w:footer="0" w:header="0"/>
          <w:type w:val="continuous"/>
        </w:sectPr>
      </w:pPr>
    </w:p>
    <w:p>
      <w:pPr>
        <w:spacing w:after="0" w:line="341"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Title of each Class</w:t>
      </w:r>
    </w:p>
    <w:p>
      <w:pPr>
        <w:spacing w:after="0" w:line="3"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NONE</w:t>
      </w:r>
    </w:p>
    <w:p>
      <w:pPr>
        <w:spacing w:after="0" w:line="20" w:lineRule="exact"/>
        <w:rPr>
          <w:sz w:val="24"/>
          <w:szCs w:val="24"/>
          <w:color w:val="auto"/>
        </w:rPr>
      </w:pPr>
      <w:r>
        <w:rPr>
          <w:sz w:val="24"/>
          <w:szCs w:val="24"/>
          <w:color w:val="auto"/>
        </w:rPr>
        <w:br w:type="column"/>
      </w:r>
    </w:p>
    <w:p>
      <w:pPr>
        <w:spacing w:after="0" w:line="32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4" w:lineRule="exact"/>
        <w:rPr>
          <w:sz w:val="24"/>
          <w:szCs w:val="24"/>
          <w:color w:val="auto"/>
        </w:rPr>
      </w:pPr>
    </w:p>
    <w:p>
      <w:pPr>
        <w:sectPr>
          <w:pgSz w:w="11900" w:h="16838" w:orient="portrait"/>
          <w:cols w:equalWidth="0" w:num="2">
            <w:col w:w="2700" w:space="720"/>
            <w:col w:w="6819"/>
          </w:cols>
          <w:pgMar w:left="220" w:top="225" w:right="1440" w:bottom="1440" w:gutter="0" w:footer="0" w:header="0"/>
          <w:type w:val="continuous"/>
        </w:sectPr>
      </w:pPr>
    </w:p>
    <w:p>
      <w:pPr>
        <w:spacing w:after="0" w:line="1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COMMON STOCK, PAR VALUE $.06 PER SHARE</w:t>
      </w:r>
    </w:p>
    <w:p>
      <w:pPr>
        <w:jc w:val="center"/>
        <w:ind w:right="3239"/>
        <w:spacing w:after="0" w:line="237" w:lineRule="auto"/>
        <w:rPr>
          <w:sz w:val="20"/>
          <w:szCs w:val="20"/>
          <w:color w:val="auto"/>
        </w:rPr>
      </w:pPr>
      <w:r>
        <w:rPr>
          <w:rFonts w:ascii="Courier New" w:cs="Courier New" w:eastAsia="Courier New" w:hAnsi="Courier New"/>
          <w:sz w:val="15"/>
          <w:szCs w:val="15"/>
          <w:color w:val="auto"/>
        </w:rPr>
        <w:t>(Title of Class)</w:t>
      </w:r>
    </w:p>
    <w:p>
      <w:pPr>
        <w:spacing w:after="0" w:line="342"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225" w:right="1440" w:bottom="1440" w:gutter="0" w:footer="0" w:header="0"/>
          <w:type w:val="continuous"/>
        </w:sectPr>
      </w:pPr>
    </w:p>
    <w:p>
      <w:pPr>
        <w:spacing w:after="0" w:line="6" w:lineRule="exact"/>
        <w:rPr>
          <w:sz w:val="24"/>
          <w:szCs w:val="24"/>
          <w:color w:val="auto"/>
        </w:rPr>
      </w:pPr>
    </w:p>
    <w:p>
      <w:pPr>
        <w:ind w:left="1140" w:hanging="349"/>
        <w:spacing w:after="0"/>
        <w:tabs>
          <w:tab w:leader="none" w:pos="1120" w:val="left"/>
        </w:tabs>
        <w:rPr>
          <w:sz w:val="20"/>
          <w:szCs w:val="20"/>
          <w:color w:val="auto"/>
        </w:rPr>
      </w:pPr>
      <w:r>
        <w:rPr>
          <w:rFonts w:ascii="Courier New" w:cs="Courier New" w:eastAsia="Courier New" w:hAnsi="Courier New"/>
          <w:sz w:val="15"/>
          <w:szCs w:val="15"/>
          <w:color w:val="auto"/>
        </w:rPr>
        <w:t>Yes</w:t>
        <w:tab/>
        <w:t>X No ---</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sectPr>
          <w:pgSz w:w="11900" w:h="16838" w:orient="portrait"/>
          <w:cols w:equalWidth="0" w:num="2">
            <w:col w:w="2720" w:space="80"/>
            <w:col w:w="7439"/>
          </w:cols>
          <w:pgMar w:left="220" w:top="225" w:right="1440" w:bottom="1440" w:gutter="0" w:footer="0" w:header="0"/>
          <w:type w:val="continuous"/>
        </w:sectPr>
      </w:pPr>
    </w:p>
    <w:p>
      <w:pPr>
        <w:ind w:right="3239"/>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4"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of March 1, 1999, 72,477,316 shares of the registrant's common stock, par value $.06 per share, were outstanding. The aggregate market value of the common stock held by non-affiliates of the registrant (i.e., excluding shares held by executive officers, directors, and control persons as defined in Rule 405, 17 CFR 203.405) on that date was $1,479,504,480 computed at the closing price on that date.</w:t>
      </w:r>
    </w:p>
    <w:p>
      <w:pPr>
        <w:spacing w:after="0" w:line="175" w:lineRule="exact"/>
        <w:rPr>
          <w:sz w:val="24"/>
          <w:szCs w:val="24"/>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Portions of the Company's Proxy Statement for its 1999 Annual Meeting of Shareholders are incorporated by reference into Part III.</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Exhibit Index located at Page 31</w:t>
      </w:r>
    </w:p>
    <w:p>
      <w:pPr>
        <w:spacing w:after="0" w:line="166"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Page 1 of 34</w:t>
      </w:r>
    </w:p>
    <w:p>
      <w:pPr>
        <w:sectPr>
          <w:pgSz w:w="11900" w:h="16838" w:orient="portrait"/>
          <w:cols w:equalWidth="0" w:num="1">
            <w:col w:w="1023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9"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Statements in this Annual Report on Form 10-K which express "belief", "anticipation" or "expectation" as well as other statements which are not historical fact, are forward-looking statements and involve risks and uncertainties described below under the headings "Business" and "Management's Discussion and Analysis of Results of Operations and Financial Condition" that could cause actual results to differ materially from those projected. All forward-looking statements in this Annual Report are based on information available to the Company on the date hereof, and the Company assumes no obligation to update any such forward-looking statements.</w:t>
      </w:r>
    </w:p>
    <w:p>
      <w:pPr>
        <w:spacing w:after="0" w:line="200" w:lineRule="exact"/>
        <w:rPr>
          <w:sz w:val="20"/>
          <w:szCs w:val="20"/>
          <w:color w:val="auto"/>
        </w:rPr>
      </w:pPr>
    </w:p>
    <w:p>
      <w:pPr>
        <w:spacing w:after="0" w:line="29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66" w:lineRule="exact"/>
        <w:rPr>
          <w:sz w:val="20"/>
          <w:szCs w:val="20"/>
          <w:color w:val="auto"/>
        </w:rPr>
      </w:pPr>
    </w:p>
    <w:p>
      <w:pPr>
        <w:ind w:left="440" w:hanging="430"/>
        <w:spacing w:after="0"/>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DEVELOPMENT OF BUSINESS</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Gentex Corporation (the "Company") designs, develops, manufactures and markets proprietary products employing electro-optic technology: automatic-dimming rearview mirrors and fire protection products.</w:t>
      </w:r>
    </w:p>
    <w:p>
      <w:pPr>
        <w:spacing w:after="0" w:line="17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The Company was organized in 1974 to manufacture residential smoke detectors, a product line that has since evolved into a more sophisticated group of fire protection products for commercial applications. In 1982, the Company introduced an automatic interior rearview mirror that was the first commercially successful glare-control product offered as an alternative to the conventional, manual day/night mirror. In 1987, the Company introduced its interior Night Vision Safety(TM) (NVS(R)) Mirror, an electrochromic automatic-dimming interior rearview mirror, providing the first successful commercial application of electrochromic technology in the automotive industry and world. Through the use of electrochromic technology, this mirror is continually variable and automatically darkens to the degree required to eliminate rearview headlight glare. In 1991, the Company introduced its exterior Night Vision Safety(TM) Mirror Sub-Assembly, which works as a complete glare-control system with the interior NVS(R) Mirror. In 1997, the Company began making volume shipments of three new exterior mirror sub-assembly products: thin glass flat, convex and aspheric.</w:t>
      </w:r>
    </w:p>
    <w:p>
      <w:pPr>
        <w:spacing w:after="0" w:line="168" w:lineRule="exact"/>
        <w:rPr>
          <w:sz w:val="20"/>
          <w:szCs w:val="20"/>
          <w:color w:val="auto"/>
        </w:rPr>
      </w:pPr>
    </w:p>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INFORMATION ABOUT INDUSTRY SEGMENTS</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See Note (9) to the Consolidated Financial Statements filed with this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NARRATIVE DESCRIPTION OF BUSINESS</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The Company currently manufactures electro-optic products, including automatic-dimming rearview mirrors for the automotive industry and fire protection products for the commercial building industry.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AUTOMATIC REARVIEW MIRRORS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Interior NVS(R) Mirrors. In 1987, the Company achieved a significant technological breakthrough by applying electrochromic technology to the glare-sensing capabilities of its Motorized Mirror. Through the use of this technology, the mirror gradually darkens to the degree necessary to eliminate rearview glare from following vehicle headlights. The NVS(R) Mirror offers all of the continuous reflectance levels between its approximate 75% full-reflectance state and its 7% least-reflectance state, taking just a few seconds to span the entire range. Special electro-optic sensors in the mirror detect glare and electronic circuitry supplies electricity to darken the mirror to only the precise level required to eliminate glare, allowing the driver to maintain maximum vision. This is accomplished by the utilization of two layers of precision glass with special conductive coatings that are separated by the Company's proprietary electrochromic materials. When the appropriate light differential is detected, an electric current causes the electrochromic material to darken, decreasing the mirror's reflectance, thereby eliminating glare.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During 1991, the Company began shipping the first advanced-feature interior NVS(R) Mirror, the NVS(R) Headlamp Control Mirror, an automatic-dimming mirror that automatically turns car head- and taillamps "on" and "off" in response to the level of light observed. During 1992, the Company began shipping its NVS(R) Lighted Mirror, with map/reading lights, and during 1993, the Company began shipping its NVS(R) Compass Mirror, with an electronic compass that automatically compensates for changes in the earth's magnetic field. During 1997, the Company began shipping a third-generation NVS(R) Headlamp Control Mirror, a second-generation NVS(R) Compass Mirror, and a new interior NVS(R) Mirror that digitally displays either a compass or outside temperature reading. The compass and outside temperature display technology was developed and patented by Johnson Controls, Inc. During 1998, the Company began shipping new compass mirrors with integral LED map lamps, a major improvement over mirrors with standard incandescent map lamps.</w:t>
      </w:r>
    </w:p>
    <w:p>
      <w:pPr>
        <w:spacing w:after="0" w:line="174" w:lineRule="exact"/>
        <w:rPr>
          <w:sz w:val="20"/>
          <w:szCs w:val="20"/>
          <w:color w:val="auto"/>
        </w:rPr>
      </w:pPr>
    </w:p>
    <w:p>
      <w:pPr>
        <w:ind w:right="3579" w:firstLine="787"/>
        <w:spacing w:after="0" w:line="261" w:lineRule="auto"/>
        <w:rPr>
          <w:sz w:val="20"/>
          <w:szCs w:val="20"/>
          <w:color w:val="auto"/>
        </w:rPr>
      </w:pPr>
      <w:r>
        <w:rPr>
          <w:rFonts w:ascii="Courier New" w:cs="Courier New" w:eastAsia="Courier New" w:hAnsi="Courier New"/>
          <w:sz w:val="14"/>
          <w:szCs w:val="14"/>
          <w:color w:val="auto"/>
        </w:rPr>
        <w:t>The Company sold approximately 2,423,000 interior NVS(R) Mirrors in 1996, approximately 2,799,000 in 1997, and approximately 3,320,000 in 1998.</w:t>
      </w:r>
    </w:p>
    <w:p>
      <w:pPr>
        <w:spacing w:after="0" w:line="160"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During 1998, the unit growth primarily continued as a result of increased penetration of a number of high-volume light vehicles manufactured in North America, including pickup trucks and sport/utility vehicles from the Big Three auto manufacturers, as well as increased penetration of light vehicle models manufactured outside North America, including new, higher-volume vehicles in Europe. The Company's interior NVS(R) Mirrors are standard equipment or factory or distributor/dealer-installed options on the following 1999 and 1999-1/2 vehicle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33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TABLE 1.</w:t>
      </w:r>
      <w:r>
        <w:rPr>
          <w:sz w:val="20"/>
          <w:szCs w:val="20"/>
          <w:color w:val="auto"/>
        </w:rPr>
        <w:tab/>
      </w:r>
      <w:r>
        <w:rPr>
          <w:rFonts w:ascii="Courier New" w:cs="Courier New" w:eastAsia="Courier New" w:hAnsi="Courier New"/>
          <w:sz w:val="14"/>
          <w:szCs w:val="14"/>
          <w:color w:val="auto"/>
        </w:rPr>
        <w:t>INTERIOR NVS(R) MIRROR AVAILABILITY BY VEHICLE LINE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20"/>
                <w:szCs w:val="20"/>
                <w:color w:val="auto"/>
              </w:rPr>
            </w:pPr>
            <w:r>
              <w:rPr>
                <w:rFonts w:ascii="Courier New" w:cs="Courier New" w:eastAsia="Courier New" w:hAnsi="Courier New"/>
                <w:sz w:val="15"/>
                <w:szCs w:val="15"/>
                <w:color w:val="auto"/>
              </w:rPr>
              <w:t>GM/Cadillac</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w w:val="95"/>
              </w:rPr>
              <w:t>Deville</w:t>
            </w:r>
          </w:p>
        </w:tc>
        <w:tc>
          <w:tcPr>
            <w:tcW w:w="166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(ECC)</w:t>
            </w:r>
          </w:p>
        </w:tc>
        <w:tc>
          <w:tcPr>
            <w:tcW w:w="960" w:type="dxa"/>
            <w:vAlign w:val="bottom"/>
          </w:tcPr>
          <w:p>
            <w:pPr>
              <w:ind w:left="320"/>
              <w:spacing w:after="0"/>
              <w:rPr>
                <w:sz w:val="20"/>
                <w:szCs w:val="20"/>
                <w:color w:val="auto"/>
              </w:rPr>
            </w:pPr>
            <w:r>
              <w:rPr>
                <w:rFonts w:ascii="Courier New" w:cs="Courier New" w:eastAsia="Courier New" w:hAnsi="Courier New"/>
                <w:sz w:val="15"/>
                <w:szCs w:val="15"/>
                <w:color w:val="auto"/>
              </w:rPr>
              <w:t>S</w:t>
            </w:r>
          </w:p>
        </w:tc>
        <w:tc>
          <w:tcPr>
            <w:tcW w:w="1980" w:type="dxa"/>
            <w:vAlign w:val="bottom"/>
          </w:tcPr>
          <w:p>
            <w:pPr>
              <w:ind w:left="480"/>
              <w:spacing w:after="0"/>
              <w:rPr>
                <w:sz w:val="20"/>
                <w:szCs w:val="20"/>
                <w:color w:val="auto"/>
              </w:rPr>
            </w:pPr>
            <w:r>
              <w:rPr>
                <w:rFonts w:ascii="Courier New" w:cs="Courier New" w:eastAsia="Courier New" w:hAnsi="Courier New"/>
                <w:sz w:val="15"/>
                <w:szCs w:val="15"/>
                <w:color w:val="auto"/>
              </w:rPr>
              <w:t>Audi</w:t>
            </w: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A8</w:t>
            </w:r>
          </w:p>
        </w:tc>
        <w:tc>
          <w:tcPr>
            <w:tcW w:w="92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S</w:t>
            </w:r>
          </w:p>
        </w:tc>
      </w:tr>
      <w:tr>
        <w:trPr>
          <w:trHeight w:val="168"/>
        </w:trPr>
        <w:tc>
          <w:tcPr>
            <w:tcW w:w="1500" w:type="dxa"/>
            <w:vAlign w:val="bottom"/>
          </w:tcPr>
          <w:p>
            <w:pPr>
              <w:spacing w:after="0"/>
              <w:rPr>
                <w:sz w:val="14"/>
                <w:szCs w:val="14"/>
                <w:color w:val="auto"/>
              </w:rPr>
            </w:pP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D'Elegance</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(ECC)</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w:t>
            </w:r>
          </w:p>
        </w:tc>
        <w:tc>
          <w:tcPr>
            <w:tcW w:w="19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Bentley</w:t>
            </w:r>
          </w:p>
        </w:tc>
        <w:tc>
          <w:tcPr>
            <w:tcW w:w="1840" w:type="dxa"/>
            <w:vAlign w:val="bottom"/>
          </w:tcPr>
          <w:p>
            <w:pPr>
              <w:spacing w:after="0"/>
              <w:rPr>
                <w:sz w:val="14"/>
                <w:szCs w:val="14"/>
                <w:color w:val="auto"/>
              </w:rPr>
            </w:pPr>
          </w:p>
        </w:tc>
        <w:tc>
          <w:tcPr>
            <w:tcW w:w="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(RKE)</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S</w:t>
            </w:r>
          </w:p>
        </w:tc>
      </w:tr>
      <w:tr>
        <w:trPr>
          <w:trHeight w:val="168"/>
        </w:trPr>
        <w:tc>
          <w:tcPr>
            <w:tcW w:w="150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Catera</w:t>
            </w:r>
          </w:p>
        </w:tc>
        <w:tc>
          <w:tcPr>
            <w:tcW w:w="1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w:t>
            </w:r>
          </w:p>
        </w:tc>
        <w:tc>
          <w:tcPr>
            <w:tcW w:w="19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BMW</w:t>
            </w: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800 Series</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S</w:t>
            </w:r>
          </w:p>
        </w:tc>
      </w:tr>
      <w:tr>
        <w:trPr>
          <w:trHeight w:val="168"/>
        </w:trPr>
        <w:tc>
          <w:tcPr>
            <w:tcW w:w="1500" w:type="dxa"/>
            <w:vAlign w:val="bottom"/>
          </w:tcPr>
          <w:p>
            <w:pPr>
              <w:spacing w:after="0"/>
              <w:rPr>
                <w:sz w:val="14"/>
                <w:szCs w:val="14"/>
                <w:color w:val="auto"/>
              </w:rPr>
            </w:pP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Concours</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(ECC)</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700 Series</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S</w:t>
            </w:r>
          </w:p>
        </w:tc>
      </w:tr>
      <w:tr>
        <w:trPr>
          <w:trHeight w:val="168"/>
        </w:trPr>
        <w:tc>
          <w:tcPr>
            <w:tcW w:w="1500" w:type="dxa"/>
            <w:vAlign w:val="bottom"/>
          </w:tcPr>
          <w:p>
            <w:pPr>
              <w:spacing w:after="0"/>
              <w:rPr>
                <w:sz w:val="14"/>
                <w:szCs w:val="14"/>
                <w:color w:val="auto"/>
              </w:rPr>
            </w:pP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Eldorado</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(ECC)</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500 Series</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O</w:t>
            </w:r>
          </w:p>
        </w:tc>
      </w:tr>
      <w:tr>
        <w:trPr>
          <w:trHeight w:val="168"/>
        </w:trPr>
        <w:tc>
          <w:tcPr>
            <w:tcW w:w="1500" w:type="dxa"/>
            <w:vAlign w:val="bottom"/>
          </w:tcPr>
          <w:p>
            <w:pPr>
              <w:spacing w:after="0"/>
              <w:rPr>
                <w:sz w:val="14"/>
                <w:szCs w:val="14"/>
                <w:color w:val="auto"/>
              </w:rPr>
            </w:pP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Eldorado Touring Coupe</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(ECC)</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300 Series</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O</w:t>
            </w:r>
          </w:p>
        </w:tc>
      </w:tr>
      <w:tr>
        <w:trPr>
          <w:trHeight w:val="168"/>
        </w:trPr>
        <w:tc>
          <w:tcPr>
            <w:tcW w:w="1500" w:type="dxa"/>
            <w:vAlign w:val="bottom"/>
          </w:tcPr>
          <w:p>
            <w:pPr>
              <w:spacing w:after="0"/>
              <w:rPr>
                <w:sz w:val="14"/>
                <w:szCs w:val="14"/>
                <w:color w:val="auto"/>
              </w:rPr>
            </w:pP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Escalade</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(EH/ECC/T)</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w:t>
            </w:r>
          </w:p>
        </w:tc>
        <w:tc>
          <w:tcPr>
            <w:tcW w:w="19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Daewoo</w:t>
            </w: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Brougham</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O</w:t>
            </w:r>
          </w:p>
        </w:tc>
      </w:tr>
      <w:tr>
        <w:trPr>
          <w:trHeight w:val="168"/>
        </w:trPr>
        <w:tc>
          <w:tcPr>
            <w:tcW w:w="150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Seville</w:t>
            </w:r>
          </w:p>
        </w:tc>
        <w:tc>
          <w:tcPr>
            <w:tcW w:w="1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Chairman</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S</w:t>
            </w:r>
          </w:p>
        </w:tc>
      </w:tr>
      <w:tr>
        <w:trPr>
          <w:trHeight w:val="168"/>
        </w:trPr>
        <w:tc>
          <w:tcPr>
            <w:tcW w:w="1500" w:type="dxa"/>
            <w:vAlign w:val="bottom"/>
          </w:tcPr>
          <w:p>
            <w:pPr>
              <w:spacing w:after="0"/>
              <w:rPr>
                <w:sz w:val="14"/>
                <w:szCs w:val="14"/>
                <w:color w:val="auto"/>
              </w:rPr>
            </w:pP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Seville STS</w:t>
            </w:r>
          </w:p>
        </w:tc>
        <w:tc>
          <w:tcPr>
            <w:tcW w:w="1260" w:type="dxa"/>
            <w:vAlign w:val="bottom"/>
          </w:tcPr>
          <w:p>
            <w:pPr>
              <w:spacing w:after="0"/>
              <w:rPr>
                <w:sz w:val="14"/>
                <w:szCs w:val="14"/>
                <w:color w:val="auto"/>
              </w:rPr>
            </w:pP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Musso SUV</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S</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GM/Buick</w:t>
            </w: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LeSabre Limited</w:t>
            </w:r>
          </w:p>
        </w:tc>
        <w:tc>
          <w:tcPr>
            <w:tcW w:w="1260" w:type="dxa"/>
            <w:vAlign w:val="bottom"/>
          </w:tcPr>
          <w:p>
            <w:pPr>
              <w:spacing w:after="0"/>
              <w:rPr>
                <w:sz w:val="14"/>
                <w:szCs w:val="14"/>
                <w:color w:val="auto"/>
              </w:rPr>
            </w:pP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O*</w:t>
            </w:r>
          </w:p>
        </w:tc>
        <w:tc>
          <w:tcPr>
            <w:tcW w:w="19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Fiat</w:t>
            </w: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Lancia Dedra</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O</w:t>
            </w:r>
          </w:p>
        </w:tc>
      </w:tr>
      <w:tr>
        <w:trPr>
          <w:trHeight w:val="168"/>
        </w:trPr>
        <w:tc>
          <w:tcPr>
            <w:tcW w:w="1500" w:type="dxa"/>
            <w:vAlign w:val="bottom"/>
          </w:tcPr>
          <w:p>
            <w:pPr>
              <w:spacing w:after="0"/>
              <w:rPr>
                <w:sz w:val="14"/>
                <w:szCs w:val="14"/>
                <w:color w:val="auto"/>
              </w:rPr>
            </w:pP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Park Avenue</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(ECC)</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O</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Lancia Kappa</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O</w:t>
            </w:r>
          </w:p>
        </w:tc>
      </w:tr>
      <w:tr>
        <w:trPr>
          <w:trHeight w:val="168"/>
        </w:trPr>
        <w:tc>
          <w:tcPr>
            <w:tcW w:w="1500" w:type="dxa"/>
            <w:vAlign w:val="bottom"/>
          </w:tcPr>
          <w:p>
            <w:pPr>
              <w:spacing w:after="0"/>
              <w:rPr>
                <w:sz w:val="14"/>
                <w:szCs w:val="14"/>
                <w:color w:val="auto"/>
              </w:rPr>
            </w:pP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Park Avenue-Ultra</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(ECC)</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Alfa Romeo 166</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O</w:t>
            </w:r>
          </w:p>
        </w:tc>
      </w:tr>
      <w:tr>
        <w:trPr>
          <w:trHeight w:val="168"/>
        </w:trPr>
        <w:tc>
          <w:tcPr>
            <w:tcW w:w="150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Riviera</w:t>
            </w:r>
          </w:p>
        </w:tc>
        <w:tc>
          <w:tcPr>
            <w:tcW w:w="1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w:t>
            </w:r>
          </w:p>
        </w:tc>
        <w:tc>
          <w:tcPr>
            <w:tcW w:w="19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Hyundai/Hyundai</w:t>
            </w:r>
          </w:p>
        </w:tc>
        <w:tc>
          <w:tcPr>
            <w:tcW w:w="1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8"/>
        </w:trPr>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Precision</w:t>
            </w: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Dynasty</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S</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GM/Oldsmobile</w:t>
            </w: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88 Anniversary Edition</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(ECC)</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Grandeur</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S</w:t>
            </w:r>
          </w:p>
        </w:tc>
      </w:tr>
      <w:tr>
        <w:trPr>
          <w:trHeight w:val="168"/>
        </w:trPr>
        <w:tc>
          <w:tcPr>
            <w:tcW w:w="150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88 LSS</w:t>
            </w:r>
          </w:p>
        </w:tc>
        <w:tc>
          <w:tcPr>
            <w:tcW w:w="1660" w:type="dxa"/>
            <w:vAlign w:val="bottom"/>
          </w:tcPr>
          <w:p>
            <w:pPr>
              <w:spacing w:after="0"/>
              <w:rPr>
                <w:sz w:val="14"/>
                <w:szCs w:val="14"/>
                <w:color w:val="auto"/>
              </w:rPr>
            </w:pP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(ECC)</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Sonata</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S</w:t>
            </w:r>
          </w:p>
        </w:tc>
      </w:tr>
      <w:tr>
        <w:trPr>
          <w:trHeight w:val="168"/>
        </w:trPr>
        <w:tc>
          <w:tcPr>
            <w:tcW w:w="150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Aurora</w:t>
            </w:r>
          </w:p>
        </w:tc>
        <w:tc>
          <w:tcPr>
            <w:tcW w:w="1660" w:type="dxa"/>
            <w:vAlign w:val="bottom"/>
          </w:tcPr>
          <w:p>
            <w:pPr>
              <w:spacing w:after="0"/>
              <w:rPr>
                <w:sz w:val="14"/>
                <w:szCs w:val="14"/>
                <w:color w:val="auto"/>
              </w:rPr>
            </w:pP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(ECC)</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Marcia</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S</w:t>
            </w:r>
          </w:p>
        </w:tc>
      </w:tr>
      <w:tr>
        <w:trPr>
          <w:trHeight w:val="168"/>
        </w:trPr>
        <w:tc>
          <w:tcPr>
            <w:tcW w:w="150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Bravada</w:t>
            </w:r>
          </w:p>
        </w:tc>
        <w:tc>
          <w:tcPr>
            <w:tcW w:w="1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Tiburon</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O</w:t>
            </w:r>
          </w:p>
        </w:tc>
      </w:tr>
      <w:tr>
        <w:trPr>
          <w:trHeight w:val="168"/>
        </w:trPr>
        <w:tc>
          <w:tcPr>
            <w:tcW w:w="1500" w:type="dxa"/>
            <w:vAlign w:val="bottom"/>
          </w:tcPr>
          <w:p>
            <w:pPr>
              <w:spacing w:after="0"/>
              <w:rPr>
                <w:sz w:val="14"/>
                <w:szCs w:val="14"/>
                <w:color w:val="auto"/>
              </w:rPr>
            </w:pP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Intrigue GLS</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(ECC/LED)</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w:t>
            </w:r>
          </w:p>
        </w:tc>
        <w:tc>
          <w:tcPr>
            <w:tcW w:w="19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Infiniti</w:t>
            </w: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Q45</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S</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GM/Pontiac</w:t>
            </w: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Bonneville SSE</w:t>
            </w:r>
          </w:p>
        </w:tc>
        <w:tc>
          <w:tcPr>
            <w:tcW w:w="1260" w:type="dxa"/>
            <w:vAlign w:val="bottom"/>
          </w:tcPr>
          <w:p>
            <w:pPr>
              <w:spacing w:after="0"/>
              <w:rPr>
                <w:sz w:val="14"/>
                <w:szCs w:val="14"/>
                <w:color w:val="auto"/>
              </w:rPr>
            </w:pP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I30</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O</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GM/Chevrolet</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Blazer</w:t>
            </w:r>
          </w:p>
        </w:tc>
        <w:tc>
          <w:tcPr>
            <w:tcW w:w="1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O</w:t>
            </w:r>
          </w:p>
        </w:tc>
        <w:tc>
          <w:tcPr>
            <w:tcW w:w="19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KIA Motors Corp.</w:t>
            </w: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Potentia (3.0 L)</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S</w:t>
            </w:r>
          </w:p>
        </w:tc>
      </w:tr>
      <w:tr>
        <w:trPr>
          <w:trHeight w:val="168"/>
        </w:trPr>
        <w:tc>
          <w:tcPr>
            <w:tcW w:w="1500" w:type="dxa"/>
            <w:vAlign w:val="bottom"/>
          </w:tcPr>
          <w:p>
            <w:pPr>
              <w:spacing w:after="0"/>
              <w:rPr>
                <w:sz w:val="14"/>
                <w:szCs w:val="14"/>
                <w:color w:val="auto"/>
              </w:rPr>
            </w:pP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Silverado Pickup</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(ECC)O</w:t>
            </w:r>
          </w:p>
        </w:tc>
        <w:tc>
          <w:tcPr>
            <w:tcW w:w="960" w:type="dxa"/>
            <w:vAlign w:val="bottom"/>
          </w:tcPr>
          <w:p>
            <w:pPr>
              <w:spacing w:after="0"/>
              <w:rPr>
                <w:sz w:val="14"/>
                <w:szCs w:val="14"/>
                <w:color w:val="auto"/>
              </w:rPr>
            </w:pPr>
          </w:p>
        </w:tc>
        <w:tc>
          <w:tcPr>
            <w:tcW w:w="19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(Korea)</w:t>
            </w: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Potentia (2.2 L)</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O</w:t>
            </w:r>
          </w:p>
        </w:tc>
      </w:tr>
      <w:tr>
        <w:trPr>
          <w:trHeight w:val="168"/>
        </w:trPr>
        <w:tc>
          <w:tcPr>
            <w:tcW w:w="1500" w:type="dxa"/>
            <w:vAlign w:val="bottom"/>
          </w:tcPr>
          <w:p>
            <w:pPr>
              <w:spacing w:after="0"/>
              <w:rPr>
                <w:sz w:val="14"/>
                <w:szCs w:val="14"/>
                <w:color w:val="auto"/>
              </w:rPr>
            </w:pP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Silverado Crew Cab Pickup</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(ECC)</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O</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Credos</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S</w:t>
            </w:r>
          </w:p>
        </w:tc>
      </w:tr>
      <w:tr>
        <w:trPr>
          <w:trHeight w:val="168"/>
        </w:trPr>
        <w:tc>
          <w:tcPr>
            <w:tcW w:w="1500" w:type="dxa"/>
            <w:vAlign w:val="bottom"/>
          </w:tcPr>
          <w:p>
            <w:pPr>
              <w:spacing w:after="0"/>
              <w:rPr>
                <w:sz w:val="14"/>
                <w:szCs w:val="14"/>
                <w:color w:val="auto"/>
              </w:rPr>
            </w:pP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Suburban</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(ECC/T)</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Enterprise</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O</w:t>
            </w:r>
          </w:p>
        </w:tc>
      </w:tr>
      <w:tr>
        <w:trPr>
          <w:trHeight w:val="168"/>
        </w:trPr>
        <w:tc>
          <w:tcPr>
            <w:tcW w:w="1500" w:type="dxa"/>
            <w:vAlign w:val="bottom"/>
          </w:tcPr>
          <w:p>
            <w:pPr>
              <w:spacing w:after="0"/>
              <w:rPr>
                <w:sz w:val="14"/>
                <w:szCs w:val="14"/>
                <w:color w:val="auto"/>
              </w:rPr>
            </w:pP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Tahoe (2-Door)</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(ECC/T)</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O</w:t>
            </w:r>
          </w:p>
        </w:tc>
        <w:tc>
          <w:tcPr>
            <w:tcW w:w="19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Lexus</w:t>
            </w: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GS300</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O</w:t>
            </w:r>
          </w:p>
        </w:tc>
      </w:tr>
      <w:tr>
        <w:trPr>
          <w:trHeight w:val="168"/>
        </w:trPr>
        <w:tc>
          <w:tcPr>
            <w:tcW w:w="1500" w:type="dxa"/>
            <w:vAlign w:val="bottom"/>
          </w:tcPr>
          <w:p>
            <w:pPr>
              <w:spacing w:after="0"/>
              <w:rPr>
                <w:sz w:val="14"/>
                <w:szCs w:val="14"/>
                <w:color w:val="auto"/>
              </w:rPr>
            </w:pP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Tahoe (4-Door)</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(ECC/T)</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GS400</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S</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GM/GMC</w:t>
            </w: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Sierra Pickup</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(ECC)</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O</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LS400</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S</w:t>
            </w:r>
          </w:p>
        </w:tc>
      </w:tr>
      <w:tr>
        <w:trPr>
          <w:trHeight w:val="168"/>
        </w:trPr>
        <w:tc>
          <w:tcPr>
            <w:tcW w:w="1500" w:type="dxa"/>
            <w:vAlign w:val="bottom"/>
          </w:tcPr>
          <w:p>
            <w:pPr>
              <w:spacing w:after="0"/>
              <w:rPr>
                <w:sz w:val="14"/>
                <w:szCs w:val="14"/>
                <w:color w:val="auto"/>
              </w:rPr>
            </w:pP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Sierra Crew Cab Pickup</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(ECC)</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O</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RX300</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O</w:t>
            </w:r>
          </w:p>
        </w:tc>
      </w:tr>
      <w:tr>
        <w:trPr>
          <w:trHeight w:val="168"/>
        </w:trPr>
        <w:tc>
          <w:tcPr>
            <w:tcW w:w="150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Denali</w:t>
            </w:r>
          </w:p>
        </w:tc>
        <w:tc>
          <w:tcPr>
            <w:tcW w:w="1660" w:type="dxa"/>
            <w:vAlign w:val="bottom"/>
          </w:tcPr>
          <w:p>
            <w:pPr>
              <w:spacing w:after="0"/>
              <w:rPr>
                <w:sz w:val="14"/>
                <w:szCs w:val="14"/>
                <w:color w:val="auto"/>
              </w:rPr>
            </w:pP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(EH/ECC/T)</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SC300</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S</w:t>
            </w:r>
          </w:p>
        </w:tc>
      </w:tr>
      <w:tr>
        <w:trPr>
          <w:trHeight w:val="168"/>
        </w:trPr>
        <w:tc>
          <w:tcPr>
            <w:tcW w:w="150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Jimmy</w:t>
            </w:r>
          </w:p>
        </w:tc>
        <w:tc>
          <w:tcPr>
            <w:tcW w:w="1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O</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LX470</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S</w:t>
            </w:r>
          </w:p>
        </w:tc>
      </w:tr>
      <w:tr>
        <w:trPr>
          <w:trHeight w:val="168"/>
        </w:trPr>
        <w:tc>
          <w:tcPr>
            <w:tcW w:w="1500" w:type="dxa"/>
            <w:vAlign w:val="bottom"/>
          </w:tcPr>
          <w:p>
            <w:pPr>
              <w:spacing w:after="0"/>
              <w:rPr>
                <w:sz w:val="14"/>
                <w:szCs w:val="14"/>
                <w:color w:val="auto"/>
              </w:rPr>
            </w:pP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Suburban</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(ECC/T)</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SC400</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S</w:t>
            </w:r>
          </w:p>
        </w:tc>
      </w:tr>
      <w:tr>
        <w:trPr>
          <w:trHeight w:val="168"/>
        </w:trPr>
        <w:tc>
          <w:tcPr>
            <w:tcW w:w="150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Yukon</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(2-Door)</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(ECC/T)</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O</w:t>
            </w:r>
          </w:p>
        </w:tc>
        <w:tc>
          <w:tcPr>
            <w:tcW w:w="19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DaimlerChrysler/</w:t>
            </w: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 Class Coupe</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S</w:t>
            </w:r>
          </w:p>
        </w:tc>
      </w:tr>
      <w:tr>
        <w:trPr>
          <w:trHeight w:val="168"/>
        </w:trPr>
        <w:tc>
          <w:tcPr>
            <w:tcW w:w="150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Yukon</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(4-Door)</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(ECC/T)</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w:t>
            </w:r>
          </w:p>
        </w:tc>
        <w:tc>
          <w:tcPr>
            <w:tcW w:w="19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Mercedes-Benz</w:t>
            </w: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 Class Sedan</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S</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Ford/Lincoln</w:t>
            </w: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Town Car Cartier</w:t>
            </w:r>
          </w:p>
        </w:tc>
        <w:tc>
          <w:tcPr>
            <w:tcW w:w="1260" w:type="dxa"/>
            <w:vAlign w:val="bottom"/>
          </w:tcPr>
          <w:p>
            <w:pPr>
              <w:spacing w:after="0"/>
              <w:rPr>
                <w:sz w:val="14"/>
                <w:szCs w:val="14"/>
                <w:color w:val="auto"/>
              </w:rPr>
            </w:pP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SL Roadster</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O</w:t>
            </w:r>
          </w:p>
        </w:tc>
      </w:tr>
      <w:tr>
        <w:trPr>
          <w:trHeight w:val="168"/>
        </w:trPr>
        <w:tc>
          <w:tcPr>
            <w:tcW w:w="1500" w:type="dxa"/>
            <w:vAlign w:val="bottom"/>
          </w:tcPr>
          <w:p>
            <w:pPr>
              <w:spacing w:after="0"/>
              <w:rPr>
                <w:sz w:val="14"/>
                <w:szCs w:val="14"/>
                <w:color w:val="auto"/>
              </w:rPr>
            </w:pP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Town Car Executive</w:t>
            </w:r>
          </w:p>
        </w:tc>
        <w:tc>
          <w:tcPr>
            <w:tcW w:w="1260" w:type="dxa"/>
            <w:vAlign w:val="bottom"/>
          </w:tcPr>
          <w:p>
            <w:pPr>
              <w:spacing w:after="0"/>
              <w:rPr>
                <w:sz w:val="14"/>
                <w:szCs w:val="14"/>
                <w:color w:val="auto"/>
              </w:rPr>
            </w:pP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O</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 Class Sedan</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O</w:t>
            </w:r>
          </w:p>
        </w:tc>
      </w:tr>
      <w:tr>
        <w:trPr>
          <w:trHeight w:val="168"/>
        </w:trPr>
        <w:tc>
          <w:tcPr>
            <w:tcW w:w="1500" w:type="dxa"/>
            <w:vAlign w:val="bottom"/>
          </w:tcPr>
          <w:p>
            <w:pPr>
              <w:spacing w:after="0"/>
              <w:rPr>
                <w:sz w:val="14"/>
                <w:szCs w:val="14"/>
                <w:color w:val="auto"/>
              </w:rPr>
            </w:pP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Town Car Signature</w:t>
            </w:r>
          </w:p>
        </w:tc>
        <w:tc>
          <w:tcPr>
            <w:tcW w:w="1260" w:type="dxa"/>
            <w:vAlign w:val="bottom"/>
          </w:tcPr>
          <w:p>
            <w:pPr>
              <w:spacing w:after="0"/>
              <w:rPr>
                <w:sz w:val="14"/>
                <w:szCs w:val="14"/>
                <w:color w:val="auto"/>
              </w:rPr>
            </w:pP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 Class Sedan</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O</w:t>
            </w:r>
          </w:p>
        </w:tc>
      </w:tr>
      <w:tr>
        <w:trPr>
          <w:trHeight w:val="168"/>
        </w:trPr>
        <w:tc>
          <w:tcPr>
            <w:tcW w:w="1500" w:type="dxa"/>
            <w:vAlign w:val="bottom"/>
          </w:tcPr>
          <w:p>
            <w:pPr>
              <w:spacing w:after="0"/>
              <w:rPr>
                <w:sz w:val="14"/>
                <w:szCs w:val="14"/>
                <w:color w:val="auto"/>
              </w:rPr>
            </w:pP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Navigator</w:t>
            </w:r>
          </w:p>
        </w:tc>
        <w:tc>
          <w:tcPr>
            <w:tcW w:w="1260" w:type="dxa"/>
            <w:vAlign w:val="bottom"/>
          </w:tcPr>
          <w:p>
            <w:pPr>
              <w:spacing w:after="0"/>
              <w:rPr>
                <w:sz w:val="14"/>
                <w:szCs w:val="14"/>
                <w:color w:val="auto"/>
              </w:rPr>
            </w:pP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CLK Coupe</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O</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Ford</w:t>
            </w: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Crown Victoria</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(ECC)</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O</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CLK Convertible</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O</w:t>
            </w:r>
          </w:p>
        </w:tc>
      </w:tr>
      <w:tr>
        <w:trPr>
          <w:trHeight w:val="168"/>
        </w:trPr>
        <w:tc>
          <w:tcPr>
            <w:tcW w:w="1500" w:type="dxa"/>
            <w:vAlign w:val="bottom"/>
          </w:tcPr>
          <w:p>
            <w:pPr>
              <w:spacing w:after="0"/>
              <w:rPr>
                <w:sz w:val="14"/>
                <w:szCs w:val="14"/>
                <w:color w:val="auto"/>
              </w:rPr>
            </w:pP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Explorer (Limited, EB)</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(EH)</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w:t>
            </w:r>
          </w:p>
        </w:tc>
        <w:tc>
          <w:tcPr>
            <w:tcW w:w="19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Nissan</w:t>
            </w: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Cima</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O</w:t>
            </w:r>
          </w:p>
        </w:tc>
      </w:tr>
      <w:tr>
        <w:trPr>
          <w:trHeight w:val="168"/>
        </w:trPr>
        <w:tc>
          <w:tcPr>
            <w:tcW w:w="1500" w:type="dxa"/>
            <w:vAlign w:val="bottom"/>
          </w:tcPr>
          <w:p>
            <w:pPr>
              <w:spacing w:after="0"/>
              <w:rPr>
                <w:sz w:val="14"/>
                <w:szCs w:val="14"/>
                <w:color w:val="auto"/>
              </w:rPr>
            </w:pP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Explorer (Sport, XLT)</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(EH)</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O</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Cedric</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O</w:t>
            </w:r>
          </w:p>
        </w:tc>
      </w:tr>
      <w:tr>
        <w:trPr>
          <w:trHeight w:val="168"/>
        </w:trPr>
        <w:tc>
          <w:tcPr>
            <w:tcW w:w="1500" w:type="dxa"/>
            <w:vAlign w:val="bottom"/>
          </w:tcPr>
          <w:p>
            <w:pPr>
              <w:spacing w:after="0"/>
              <w:rPr>
                <w:sz w:val="14"/>
                <w:szCs w:val="14"/>
                <w:color w:val="auto"/>
              </w:rPr>
            </w:pP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Windstar SEL</w:t>
            </w:r>
          </w:p>
        </w:tc>
        <w:tc>
          <w:tcPr>
            <w:tcW w:w="1260" w:type="dxa"/>
            <w:vAlign w:val="bottom"/>
          </w:tcPr>
          <w:p>
            <w:pPr>
              <w:spacing w:after="0"/>
              <w:rPr>
                <w:sz w:val="14"/>
                <w:szCs w:val="14"/>
                <w:color w:val="auto"/>
              </w:rPr>
            </w:pP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Cefiro</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O</w:t>
            </w:r>
          </w:p>
        </w:tc>
      </w:tr>
      <w:tr>
        <w:trPr>
          <w:trHeight w:val="168"/>
        </w:trPr>
        <w:tc>
          <w:tcPr>
            <w:tcW w:w="1500" w:type="dxa"/>
            <w:vAlign w:val="bottom"/>
          </w:tcPr>
          <w:p>
            <w:pPr>
              <w:spacing w:after="0"/>
              <w:rPr>
                <w:sz w:val="14"/>
                <w:szCs w:val="14"/>
                <w:color w:val="auto"/>
              </w:rPr>
            </w:pP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Windstar SE</w:t>
            </w:r>
          </w:p>
        </w:tc>
        <w:tc>
          <w:tcPr>
            <w:tcW w:w="1260" w:type="dxa"/>
            <w:vAlign w:val="bottom"/>
          </w:tcPr>
          <w:p>
            <w:pPr>
              <w:spacing w:after="0"/>
              <w:rPr>
                <w:sz w:val="14"/>
                <w:szCs w:val="14"/>
                <w:color w:val="auto"/>
              </w:rPr>
            </w:pP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O</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Gloria</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O</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Ford/Mercury</w:t>
            </w: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Grand Marquis</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(ECC)</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O</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Leopard</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O</w:t>
            </w:r>
          </w:p>
        </w:tc>
      </w:tr>
      <w:tr>
        <w:trPr>
          <w:trHeight w:val="168"/>
        </w:trPr>
        <w:tc>
          <w:tcPr>
            <w:tcW w:w="1500" w:type="dxa"/>
            <w:vAlign w:val="bottom"/>
          </w:tcPr>
          <w:p>
            <w:pPr>
              <w:spacing w:after="0"/>
              <w:rPr>
                <w:sz w:val="14"/>
                <w:szCs w:val="14"/>
                <w:color w:val="auto"/>
              </w:rPr>
            </w:pP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Mountaineer</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(EH)</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O</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Laurel</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O</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DaimlerChrysler/</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LHS</w:t>
            </w:r>
          </w:p>
        </w:tc>
        <w:tc>
          <w:tcPr>
            <w:tcW w:w="1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w:t>
            </w:r>
          </w:p>
        </w:tc>
        <w:tc>
          <w:tcPr>
            <w:tcW w:w="19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Opel</w:t>
            </w: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Omega</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O</w:t>
            </w:r>
          </w:p>
        </w:tc>
      </w:tr>
      <w:tr>
        <w:trPr>
          <w:trHeight w:val="168"/>
        </w:trPr>
        <w:tc>
          <w:tcPr>
            <w:tcW w:w="1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Chrysler</w:t>
            </w: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Concorde</w:t>
            </w:r>
          </w:p>
        </w:tc>
        <w:tc>
          <w:tcPr>
            <w:tcW w:w="1260" w:type="dxa"/>
            <w:vAlign w:val="bottom"/>
          </w:tcPr>
          <w:p>
            <w:pPr>
              <w:spacing w:after="0"/>
              <w:rPr>
                <w:sz w:val="14"/>
                <w:szCs w:val="14"/>
                <w:color w:val="auto"/>
              </w:rPr>
            </w:pP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O</w:t>
            </w:r>
          </w:p>
        </w:tc>
        <w:tc>
          <w:tcPr>
            <w:tcW w:w="19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Porsche</w:t>
            </w: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911</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O</w:t>
            </w:r>
          </w:p>
        </w:tc>
      </w:tr>
      <w:tr>
        <w:trPr>
          <w:trHeight w:val="168"/>
        </w:trPr>
        <w:tc>
          <w:tcPr>
            <w:tcW w:w="150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300</w:t>
            </w:r>
          </w:p>
        </w:tc>
        <w:tc>
          <w:tcPr>
            <w:tcW w:w="1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Boxster</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O</w:t>
            </w:r>
          </w:p>
        </w:tc>
      </w:tr>
      <w:tr>
        <w:trPr>
          <w:trHeight w:val="168"/>
        </w:trPr>
        <w:tc>
          <w:tcPr>
            <w:tcW w:w="1500" w:type="dxa"/>
            <w:vAlign w:val="bottom"/>
          </w:tcPr>
          <w:p>
            <w:pPr>
              <w:spacing w:after="0"/>
              <w:rPr>
                <w:sz w:val="14"/>
                <w:szCs w:val="14"/>
                <w:color w:val="auto"/>
              </w:rPr>
            </w:pP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Town &amp; Country Limited</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(EH)</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w:t>
            </w:r>
          </w:p>
        </w:tc>
        <w:tc>
          <w:tcPr>
            <w:tcW w:w="19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Rolls Royce</w:t>
            </w:r>
          </w:p>
        </w:tc>
        <w:tc>
          <w:tcPr>
            <w:tcW w:w="1840" w:type="dxa"/>
            <w:vAlign w:val="bottom"/>
          </w:tcPr>
          <w:p>
            <w:pPr>
              <w:spacing w:after="0"/>
              <w:rPr>
                <w:sz w:val="14"/>
                <w:szCs w:val="14"/>
                <w:color w:val="auto"/>
              </w:rPr>
            </w:pPr>
          </w:p>
        </w:tc>
        <w:tc>
          <w:tcPr>
            <w:tcW w:w="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(RKE)</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S</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DaimlerChrysler/</w:t>
            </w: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Intrepid</w:t>
            </w:r>
          </w:p>
        </w:tc>
        <w:tc>
          <w:tcPr>
            <w:tcW w:w="1260" w:type="dxa"/>
            <w:vAlign w:val="bottom"/>
          </w:tcPr>
          <w:p>
            <w:pPr>
              <w:spacing w:after="0"/>
              <w:rPr>
                <w:sz w:val="14"/>
                <w:szCs w:val="14"/>
                <w:color w:val="auto"/>
              </w:rPr>
            </w:pP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O</w:t>
            </w:r>
          </w:p>
        </w:tc>
        <w:tc>
          <w:tcPr>
            <w:tcW w:w="19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Samsung</w:t>
            </w: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SM5</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0</w:t>
            </w:r>
          </w:p>
        </w:tc>
      </w:tr>
      <w:tr>
        <w:trPr>
          <w:trHeight w:val="168"/>
        </w:trPr>
        <w:tc>
          <w:tcPr>
            <w:tcW w:w="1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Dodge</w:t>
            </w: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Grand Caravan ES</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(EH)</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w:t>
            </w:r>
          </w:p>
        </w:tc>
        <w:tc>
          <w:tcPr>
            <w:tcW w:w="19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Toyota</w:t>
            </w: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4-Runner**</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O</w:t>
            </w:r>
          </w:p>
        </w:tc>
      </w:tr>
      <w:tr>
        <w:trPr>
          <w:trHeight w:val="168"/>
        </w:trPr>
        <w:tc>
          <w:tcPr>
            <w:tcW w:w="1500" w:type="dxa"/>
            <w:vAlign w:val="bottom"/>
          </w:tcPr>
          <w:p>
            <w:pPr>
              <w:spacing w:after="0"/>
              <w:rPr>
                <w:sz w:val="14"/>
                <w:szCs w:val="14"/>
                <w:color w:val="auto"/>
              </w:rPr>
            </w:pP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Ram Pickup</w:t>
            </w:r>
          </w:p>
        </w:tc>
        <w:tc>
          <w:tcPr>
            <w:tcW w:w="1260" w:type="dxa"/>
            <w:vAlign w:val="bottom"/>
          </w:tcPr>
          <w:p>
            <w:pPr>
              <w:spacing w:after="0"/>
              <w:rPr>
                <w:sz w:val="14"/>
                <w:szCs w:val="14"/>
                <w:color w:val="auto"/>
              </w:rPr>
            </w:pP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O</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Avalon XL**</w:t>
            </w:r>
          </w:p>
        </w:tc>
        <w:tc>
          <w:tcPr>
            <w:tcW w:w="114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6"/>
              </w:rPr>
              <w:t>(ECC/T) O</w:t>
            </w:r>
          </w:p>
        </w:tc>
      </w:tr>
      <w:tr>
        <w:trPr>
          <w:trHeight w:val="168"/>
        </w:trPr>
        <w:tc>
          <w:tcPr>
            <w:tcW w:w="1500" w:type="dxa"/>
            <w:vAlign w:val="bottom"/>
          </w:tcPr>
          <w:p>
            <w:pPr>
              <w:spacing w:after="0"/>
              <w:rPr>
                <w:sz w:val="14"/>
                <w:szCs w:val="14"/>
                <w:color w:val="auto"/>
              </w:rPr>
            </w:pP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Dakota Pickup</w:t>
            </w:r>
          </w:p>
        </w:tc>
        <w:tc>
          <w:tcPr>
            <w:tcW w:w="1260" w:type="dxa"/>
            <w:vAlign w:val="bottom"/>
          </w:tcPr>
          <w:p>
            <w:pPr>
              <w:spacing w:after="0"/>
              <w:rPr>
                <w:sz w:val="14"/>
                <w:szCs w:val="14"/>
                <w:color w:val="auto"/>
              </w:rPr>
            </w:pP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O</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Avalon XLS**</w:t>
            </w:r>
          </w:p>
        </w:tc>
        <w:tc>
          <w:tcPr>
            <w:tcW w:w="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(ECC)</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O</w:t>
            </w:r>
          </w:p>
        </w:tc>
      </w:tr>
      <w:tr>
        <w:trPr>
          <w:trHeight w:val="168"/>
        </w:trPr>
        <w:tc>
          <w:tcPr>
            <w:tcW w:w="150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Durango</w:t>
            </w:r>
          </w:p>
        </w:tc>
        <w:tc>
          <w:tcPr>
            <w:tcW w:w="1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O</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Camry**</w:t>
            </w:r>
          </w:p>
        </w:tc>
        <w:tc>
          <w:tcPr>
            <w:tcW w:w="114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6"/>
              </w:rPr>
              <w:t>(ECC/T) O</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DaimlerChrysler/</w:t>
            </w: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Grand Cherokee Limited</w:t>
            </w:r>
          </w:p>
        </w:tc>
        <w:tc>
          <w:tcPr>
            <w:tcW w:w="1260" w:type="dxa"/>
            <w:vAlign w:val="bottom"/>
          </w:tcPr>
          <w:p>
            <w:pPr>
              <w:spacing w:after="0"/>
              <w:rPr>
                <w:sz w:val="14"/>
                <w:szCs w:val="14"/>
                <w:color w:val="auto"/>
              </w:rPr>
            </w:pP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Land Cruiser**</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O</w:t>
            </w:r>
          </w:p>
        </w:tc>
      </w:tr>
      <w:tr>
        <w:trPr>
          <w:trHeight w:val="168"/>
        </w:trPr>
        <w:tc>
          <w:tcPr>
            <w:tcW w:w="1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Jeep</w:t>
            </w: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Grand Cherokee Laredo</w:t>
            </w:r>
          </w:p>
        </w:tc>
        <w:tc>
          <w:tcPr>
            <w:tcW w:w="1260" w:type="dxa"/>
            <w:vAlign w:val="bottom"/>
          </w:tcPr>
          <w:p>
            <w:pPr>
              <w:spacing w:after="0"/>
              <w:rPr>
                <w:sz w:val="14"/>
                <w:szCs w:val="14"/>
                <w:color w:val="auto"/>
              </w:rPr>
            </w:pP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O</w:t>
            </w: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Solara</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O</w:t>
            </w:r>
          </w:p>
        </w:tc>
      </w:tr>
      <w:tr>
        <w:trPr>
          <w:trHeight w:val="168"/>
        </w:trPr>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T-100**</w:t>
            </w:r>
          </w:p>
        </w:tc>
        <w:tc>
          <w:tcPr>
            <w:tcW w:w="9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O</w:t>
            </w:r>
          </w:p>
        </w:tc>
      </w:tr>
    </w:tbl>
    <w:p>
      <w:pPr>
        <w:spacing w:after="0" w:line="33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KEY:</w:t>
      </w:r>
      <w:r>
        <w:rPr>
          <w:sz w:val="20"/>
          <w:szCs w:val="20"/>
          <w:color w:val="auto"/>
        </w:rPr>
        <w:tab/>
      </w:r>
      <w:r>
        <w:rPr>
          <w:rFonts w:ascii="Courier New" w:cs="Courier New" w:eastAsia="Courier New" w:hAnsi="Courier New"/>
          <w:sz w:val="15"/>
          <w:szCs w:val="15"/>
          <w:color w:val="auto"/>
        </w:rPr>
        <w:t>S = Standard equipment</w:t>
      </w:r>
    </w:p>
    <w:p>
      <w:pPr>
        <w:ind w:left="700"/>
        <w:spacing w:after="0" w:line="237" w:lineRule="auto"/>
        <w:rPr>
          <w:sz w:val="20"/>
          <w:szCs w:val="20"/>
          <w:color w:val="auto"/>
        </w:rPr>
      </w:pPr>
      <w:r>
        <w:rPr>
          <w:rFonts w:ascii="Courier New" w:cs="Courier New" w:eastAsia="Courier New" w:hAnsi="Courier New"/>
          <w:sz w:val="15"/>
          <w:szCs w:val="15"/>
          <w:color w:val="auto"/>
        </w:rPr>
        <w:t>O = Optional equipment</w:t>
      </w:r>
    </w:p>
    <w:p>
      <w:pPr>
        <w:spacing w:after="0" w:line="335" w:lineRule="exact"/>
        <w:rPr>
          <w:sz w:val="20"/>
          <w:szCs w:val="20"/>
          <w:color w:val="auto"/>
        </w:rPr>
      </w:pPr>
    </w:p>
    <w:p>
      <w:pPr>
        <w:ind w:left="440" w:hanging="430"/>
        <w:spacing w:after="0"/>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ECC offered as upgrade option</w:t>
      </w:r>
    </w:p>
    <w:p>
      <w:pPr>
        <w:spacing w:after="0" w:line="5" w:lineRule="exact"/>
        <w:rPr>
          <w:sz w:val="20"/>
          <w:szCs w:val="20"/>
          <w:color w:val="auto"/>
        </w:rPr>
      </w:pPr>
    </w:p>
    <w:p>
      <w:pPr>
        <w:ind w:left="440" w:right="4040" w:hanging="430"/>
        <w:spacing w:after="0" w:line="235"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NVS(R) Mirrors are offered as optional equipment through Southeast Toyota Distributors in the states of FL, GA, NC, SC and AL, and Gulf States Toyota in the states of TX, MS, AR, LA and OK.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EH = NVS(R) Mirror with Automatic Headlamp Control</w:t>
      </w:r>
    </w:p>
    <w:p>
      <w:pPr>
        <w:spacing w:after="0" w:line="237" w:lineRule="auto"/>
        <w:rPr>
          <w:sz w:val="20"/>
          <w:szCs w:val="20"/>
          <w:color w:val="auto"/>
        </w:rPr>
      </w:pPr>
      <w:r>
        <w:rPr>
          <w:rFonts w:ascii="Courier New" w:cs="Courier New" w:eastAsia="Courier New" w:hAnsi="Courier New"/>
          <w:sz w:val="15"/>
          <w:szCs w:val="15"/>
          <w:color w:val="auto"/>
        </w:rPr>
        <w:t>EL = NVS(R)Mirror with Map Lights</w:t>
      </w:r>
    </w:p>
    <w:p>
      <w:pPr>
        <w:spacing w:after="0" w:line="238" w:lineRule="auto"/>
        <w:rPr>
          <w:sz w:val="20"/>
          <w:szCs w:val="20"/>
          <w:color w:val="auto"/>
        </w:rPr>
      </w:pPr>
      <w:r>
        <w:rPr>
          <w:rFonts w:ascii="Courier New" w:cs="Courier New" w:eastAsia="Courier New" w:hAnsi="Courier New"/>
          <w:sz w:val="15"/>
          <w:szCs w:val="15"/>
          <w:color w:val="auto"/>
        </w:rPr>
        <w:t>ECC = NVS(R) Mirror with Electronic Compass Display</w:t>
      </w:r>
    </w:p>
    <w:p>
      <w:pPr>
        <w:spacing w:after="0" w:line="5" w:lineRule="exact"/>
        <w:rPr>
          <w:sz w:val="20"/>
          <w:szCs w:val="20"/>
          <w:color w:val="auto"/>
        </w:rPr>
      </w:pPr>
    </w:p>
    <w:p>
      <w:pPr>
        <w:ind w:right="5260"/>
        <w:spacing w:after="0" w:line="235" w:lineRule="auto"/>
        <w:rPr>
          <w:sz w:val="20"/>
          <w:szCs w:val="20"/>
          <w:color w:val="auto"/>
        </w:rPr>
      </w:pPr>
      <w:r>
        <w:rPr>
          <w:rFonts w:ascii="Courier New" w:cs="Courier New" w:eastAsia="Courier New" w:hAnsi="Courier New"/>
          <w:sz w:val="15"/>
          <w:szCs w:val="15"/>
          <w:color w:val="auto"/>
        </w:rPr>
        <w:t>ECC/T = NVS(R) Mirror w/Electronic Compass and Temperature Display RKE = NVS(R)Mirror with Remote Keyless Entry LED = LED Map Lights</w:t>
      </w:r>
    </w:p>
    <w:p>
      <w:pPr>
        <w:ind w:left="3420"/>
        <w:spacing w:after="0" w:line="238" w:lineRule="auto"/>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040"/>
          </w:cols>
          <w:pgMar w:left="220" w:top="281" w:right="639"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341" w:lineRule="exact"/>
        <w:rPr>
          <w:sz w:val="20"/>
          <w:szCs w:val="20"/>
          <w:color w:val="auto"/>
        </w:rPr>
      </w:pPr>
    </w:p>
    <w:p>
      <w:pPr>
        <w:ind w:right="4200" w:firstLine="787"/>
        <w:spacing w:after="0" w:line="255" w:lineRule="auto"/>
        <w:rPr>
          <w:sz w:val="20"/>
          <w:szCs w:val="20"/>
          <w:color w:val="auto"/>
        </w:rPr>
      </w:pPr>
      <w:r>
        <w:rPr>
          <w:rFonts w:ascii="Courier New" w:cs="Courier New" w:eastAsia="Courier New" w:hAnsi="Courier New"/>
          <w:sz w:val="14"/>
          <w:szCs w:val="14"/>
          <w:color w:val="auto"/>
        </w:rPr>
        <w:t>Exterior NVS(R) Mirror Sub-Assemblies. The Company has devoted substantial research and development efforts to the development of its electrochromic technology to permit its use in exterior rearview mirrors. Exterior NVS(R) mirrors are controlled by the sensors and electronic circuitry in the interior NVS(R) Mirror, and both the interior and exterior mirrors dim simultaneously. During 1991, the Company's efforts culminated in a design that is intended to provide acceptable long-term performance in all environments likely to be encountered. In 1994, the Company began shipments of its complete three-mirror system, including the convex (curved glass) wide-angle NVS(R) Mirror to BMW. During 1997, the Company began making volume shipments of three new exterior mirror products - - thin glass flat, convex and aspheric. The Company currently sells its exterior NVS(R) Mirror Sub-Assemblies to eight exterior mirror suppliers to General Motors, Chrysler, Ford, BMW and Mercedes-Benz, who assemble the exterior NVS(R) Mirror Sub-Assemblies into full mirror units for subsequent resale to the automakers.</w:t>
      </w:r>
    </w:p>
    <w:p>
      <w:pPr>
        <w:spacing w:after="0" w:line="163" w:lineRule="exact"/>
        <w:rPr>
          <w:sz w:val="20"/>
          <w:szCs w:val="20"/>
          <w:color w:val="auto"/>
        </w:rPr>
      </w:pPr>
    </w:p>
    <w:p>
      <w:pPr>
        <w:ind w:right="4280" w:firstLine="787"/>
        <w:spacing w:after="0" w:line="235" w:lineRule="auto"/>
        <w:rPr>
          <w:sz w:val="20"/>
          <w:szCs w:val="20"/>
          <w:color w:val="auto"/>
        </w:rPr>
      </w:pPr>
      <w:r>
        <w:rPr>
          <w:rFonts w:ascii="Courier New" w:cs="Courier New" w:eastAsia="Courier New" w:hAnsi="Courier New"/>
          <w:sz w:val="15"/>
          <w:szCs w:val="15"/>
          <w:color w:val="auto"/>
        </w:rPr>
        <w:t>The Company sold approximately 656,000 exterior NVS(R) Mirror Sub-Assemblies during 1996, approximately 1,079,000 in 1997, and approximately 1,582,000 in 1998. During 1998, unit growth continued primarily as a result of the Company's three newer exterior mirror products.</w:t>
      </w:r>
    </w:p>
    <w:p>
      <w:pPr>
        <w:spacing w:after="0" w:line="175" w:lineRule="exact"/>
        <w:rPr>
          <w:sz w:val="20"/>
          <w:szCs w:val="20"/>
          <w:color w:val="auto"/>
        </w:rPr>
      </w:pPr>
    </w:p>
    <w:p>
      <w:pPr>
        <w:ind w:right="4120" w:firstLine="787"/>
        <w:spacing w:after="0" w:line="234" w:lineRule="auto"/>
        <w:rPr>
          <w:sz w:val="20"/>
          <w:szCs w:val="20"/>
          <w:color w:val="auto"/>
        </w:rPr>
      </w:pPr>
      <w:r>
        <w:rPr>
          <w:rFonts w:ascii="Courier New" w:cs="Courier New" w:eastAsia="Courier New" w:hAnsi="Courier New"/>
          <w:sz w:val="15"/>
          <w:szCs w:val="15"/>
          <w:color w:val="auto"/>
        </w:rPr>
        <w:t>The exterior NVS(R) Mirror is standard equipment or a factory-installed option on the following 1999 and 1999-1/2 vehicle models.</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TABLE 2.</w:t>
      </w:r>
      <w:r>
        <w:rPr>
          <w:sz w:val="20"/>
          <w:szCs w:val="20"/>
          <w:color w:val="auto"/>
        </w:rPr>
        <w:tab/>
      </w:r>
      <w:r>
        <w:rPr>
          <w:rFonts w:ascii="Courier New" w:cs="Courier New" w:eastAsia="Courier New" w:hAnsi="Courier New"/>
          <w:sz w:val="14"/>
          <w:szCs w:val="14"/>
          <w:color w:val="auto"/>
        </w:rPr>
        <w:t>EXTERIOR NVS(R) MIRROR AVAILABILITY BY VEHICLE LINE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GM/Cadillac</w:t>
            </w:r>
          </w:p>
        </w:tc>
        <w:tc>
          <w:tcPr>
            <w:tcW w:w="1880" w:type="dxa"/>
            <w:vAlign w:val="bottom"/>
          </w:tcPr>
          <w:p>
            <w:pPr>
              <w:ind w:left="300"/>
              <w:spacing w:after="0"/>
              <w:rPr>
                <w:sz w:val="20"/>
                <w:szCs w:val="20"/>
                <w:color w:val="auto"/>
              </w:rPr>
            </w:pPr>
            <w:r>
              <w:rPr>
                <w:rFonts w:ascii="Courier New" w:cs="Courier New" w:eastAsia="Courier New" w:hAnsi="Courier New"/>
                <w:sz w:val="15"/>
                <w:szCs w:val="15"/>
                <w:color w:val="auto"/>
              </w:rPr>
              <w:t>Concours</w:t>
            </w:r>
          </w:p>
        </w:tc>
        <w:tc>
          <w:tcPr>
            <w:tcW w:w="88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S</w:t>
            </w:r>
          </w:p>
        </w:tc>
        <w:tc>
          <w:tcPr>
            <w:tcW w:w="1880" w:type="dxa"/>
            <w:vAlign w:val="bottom"/>
          </w:tcPr>
          <w:p>
            <w:pPr>
              <w:ind w:left="440"/>
              <w:spacing w:after="0"/>
              <w:rPr>
                <w:sz w:val="20"/>
                <w:szCs w:val="20"/>
                <w:color w:val="auto"/>
              </w:rPr>
            </w:pPr>
            <w:r>
              <w:rPr>
                <w:rFonts w:ascii="Courier New" w:cs="Courier New" w:eastAsia="Courier New" w:hAnsi="Courier New"/>
                <w:sz w:val="15"/>
                <w:szCs w:val="15"/>
                <w:color w:val="auto"/>
              </w:rPr>
              <w:t>Audi</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A4</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(F/C/A)</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2420" w:type="dxa"/>
            <w:vAlign w:val="bottom"/>
          </w:tcPr>
          <w:p>
            <w:pPr>
              <w:spacing w:after="0"/>
              <w:rPr>
                <w:sz w:val="14"/>
                <w:szCs w:val="14"/>
                <w:color w:val="auto"/>
              </w:rPr>
            </w:pPr>
          </w:p>
        </w:tc>
        <w:tc>
          <w:tcPr>
            <w:tcW w:w="18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D'Elegance</w:t>
            </w:r>
          </w:p>
        </w:tc>
        <w:tc>
          <w:tcPr>
            <w:tcW w:w="880" w:type="dxa"/>
            <w:vAlign w:val="bottom"/>
          </w:tcPr>
          <w:p>
            <w:pPr>
              <w:spacing w:after="0"/>
              <w:rPr>
                <w:sz w:val="14"/>
                <w:szCs w:val="14"/>
                <w:color w:val="auto"/>
              </w:rPr>
            </w:pP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w:t>
            </w:r>
          </w:p>
        </w:tc>
        <w:tc>
          <w:tcPr>
            <w:tcW w:w="18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A6</w:t>
            </w: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rPr>
              <w:t>(F/C/A)</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2420" w:type="dxa"/>
            <w:vAlign w:val="bottom"/>
          </w:tcPr>
          <w:p>
            <w:pPr>
              <w:spacing w:after="0"/>
              <w:rPr>
                <w:sz w:val="14"/>
                <w:szCs w:val="14"/>
                <w:color w:val="auto"/>
              </w:rPr>
            </w:pPr>
          </w:p>
        </w:tc>
        <w:tc>
          <w:tcPr>
            <w:tcW w:w="18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Deville</w:t>
            </w:r>
          </w:p>
        </w:tc>
        <w:tc>
          <w:tcPr>
            <w:tcW w:w="880" w:type="dxa"/>
            <w:vAlign w:val="bottom"/>
          </w:tcPr>
          <w:p>
            <w:pPr>
              <w:spacing w:after="0"/>
              <w:rPr>
                <w:sz w:val="14"/>
                <w:szCs w:val="14"/>
                <w:color w:val="auto"/>
              </w:rPr>
            </w:pP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w:t>
            </w:r>
          </w:p>
        </w:tc>
        <w:tc>
          <w:tcPr>
            <w:tcW w:w="18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A8</w:t>
            </w: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rPr>
              <w:t>(F/C/A)</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2420" w:type="dxa"/>
            <w:vAlign w:val="bottom"/>
          </w:tcPr>
          <w:p>
            <w:pPr>
              <w:spacing w:after="0"/>
              <w:rPr>
                <w:sz w:val="14"/>
                <w:szCs w:val="14"/>
                <w:color w:val="auto"/>
              </w:rPr>
            </w:pPr>
          </w:p>
        </w:tc>
        <w:tc>
          <w:tcPr>
            <w:tcW w:w="18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Eldorado</w:t>
            </w:r>
          </w:p>
        </w:tc>
        <w:tc>
          <w:tcPr>
            <w:tcW w:w="880" w:type="dxa"/>
            <w:vAlign w:val="bottom"/>
          </w:tcPr>
          <w:p>
            <w:pPr>
              <w:spacing w:after="0"/>
              <w:rPr>
                <w:sz w:val="14"/>
                <w:szCs w:val="14"/>
                <w:color w:val="auto"/>
              </w:rPr>
            </w:pP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w:t>
            </w:r>
          </w:p>
        </w:tc>
        <w:tc>
          <w:tcPr>
            <w:tcW w:w="1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BMW</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500 Series</w:t>
            </w: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rPr>
              <w:t>(F &amp; C)</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2420" w:type="dxa"/>
            <w:vAlign w:val="bottom"/>
          </w:tcPr>
          <w:p>
            <w:pPr>
              <w:spacing w:after="0"/>
              <w:rPr>
                <w:sz w:val="14"/>
                <w:szCs w:val="14"/>
                <w:color w:val="auto"/>
              </w:rPr>
            </w:pPr>
          </w:p>
        </w:tc>
        <w:tc>
          <w:tcPr>
            <w:tcW w:w="27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Eldorado Touring Coupe</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w:t>
            </w:r>
          </w:p>
        </w:tc>
        <w:tc>
          <w:tcPr>
            <w:tcW w:w="18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700 Series</w:t>
            </w: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rPr>
              <w:t>(F &amp; C)</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2420" w:type="dxa"/>
            <w:vAlign w:val="bottom"/>
          </w:tcPr>
          <w:p>
            <w:pPr>
              <w:spacing w:after="0"/>
              <w:rPr>
                <w:sz w:val="14"/>
                <w:szCs w:val="14"/>
                <w:color w:val="auto"/>
              </w:rPr>
            </w:pPr>
          </w:p>
        </w:tc>
        <w:tc>
          <w:tcPr>
            <w:tcW w:w="18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Escalade</w:t>
            </w:r>
          </w:p>
        </w:tc>
        <w:tc>
          <w:tcPr>
            <w:tcW w:w="880" w:type="dxa"/>
            <w:vAlign w:val="bottom"/>
          </w:tcPr>
          <w:p>
            <w:pPr>
              <w:spacing w:after="0"/>
              <w:rPr>
                <w:sz w:val="14"/>
                <w:szCs w:val="14"/>
                <w:color w:val="auto"/>
              </w:rPr>
            </w:pP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w:t>
            </w:r>
          </w:p>
        </w:tc>
        <w:tc>
          <w:tcPr>
            <w:tcW w:w="1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DaimlerChrysler/</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CLK Coupe</w:t>
            </w: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rPr>
              <w:t>(F/A)</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2420" w:type="dxa"/>
            <w:vAlign w:val="bottom"/>
          </w:tcPr>
          <w:p>
            <w:pPr>
              <w:spacing w:after="0"/>
              <w:rPr>
                <w:sz w:val="14"/>
                <w:szCs w:val="14"/>
                <w:color w:val="auto"/>
              </w:rPr>
            </w:pPr>
          </w:p>
        </w:tc>
        <w:tc>
          <w:tcPr>
            <w:tcW w:w="18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Seville</w:t>
            </w:r>
          </w:p>
        </w:tc>
        <w:tc>
          <w:tcPr>
            <w:tcW w:w="880" w:type="dxa"/>
            <w:vAlign w:val="bottom"/>
          </w:tcPr>
          <w:p>
            <w:pPr>
              <w:spacing w:after="0"/>
              <w:rPr>
                <w:sz w:val="14"/>
                <w:szCs w:val="14"/>
                <w:color w:val="auto"/>
              </w:rPr>
            </w:pP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w:t>
            </w:r>
          </w:p>
        </w:tc>
        <w:tc>
          <w:tcPr>
            <w:tcW w:w="1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9"/>
              </w:rPr>
              <w:t>Mercedes-Benz</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CLK Convertible</w:t>
            </w:r>
          </w:p>
        </w:tc>
        <w:tc>
          <w:tcPr>
            <w:tcW w:w="1080" w:type="dxa"/>
            <w:vAlign w:val="bottom"/>
          </w:tcPr>
          <w:p>
            <w:pPr>
              <w:spacing w:after="0"/>
              <w:rPr>
                <w:sz w:val="14"/>
                <w:szCs w:val="14"/>
                <w:color w:val="auto"/>
              </w:rPr>
            </w:pP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2420" w:type="dxa"/>
            <w:vAlign w:val="bottom"/>
          </w:tcPr>
          <w:p>
            <w:pPr>
              <w:spacing w:after="0"/>
              <w:rPr>
                <w:sz w:val="14"/>
                <w:szCs w:val="14"/>
                <w:color w:val="auto"/>
              </w:rPr>
            </w:pPr>
          </w:p>
        </w:tc>
        <w:tc>
          <w:tcPr>
            <w:tcW w:w="18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Seville STS</w:t>
            </w:r>
          </w:p>
        </w:tc>
        <w:tc>
          <w:tcPr>
            <w:tcW w:w="880" w:type="dxa"/>
            <w:vAlign w:val="bottom"/>
          </w:tcPr>
          <w:p>
            <w:pPr>
              <w:spacing w:after="0"/>
              <w:rPr>
                <w:sz w:val="14"/>
                <w:szCs w:val="14"/>
                <w:color w:val="auto"/>
              </w:rPr>
            </w:pP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w:t>
            </w:r>
          </w:p>
        </w:tc>
        <w:tc>
          <w:tcPr>
            <w:tcW w:w="18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 Class</w:t>
            </w: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rPr>
              <w:t>(F/A)</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GM/Buick</w:t>
            </w:r>
          </w:p>
        </w:tc>
        <w:tc>
          <w:tcPr>
            <w:tcW w:w="18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Century</w:t>
            </w:r>
          </w:p>
        </w:tc>
        <w:tc>
          <w:tcPr>
            <w:tcW w:w="880" w:type="dxa"/>
            <w:vAlign w:val="bottom"/>
          </w:tcPr>
          <w:p>
            <w:pPr>
              <w:spacing w:after="0"/>
              <w:rPr>
                <w:sz w:val="14"/>
                <w:szCs w:val="14"/>
                <w:color w:val="auto"/>
              </w:rPr>
            </w:pP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8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 Class Coupe</w:t>
            </w: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rPr>
              <w:t>(F/A)</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S</w:t>
            </w:r>
          </w:p>
        </w:tc>
      </w:tr>
      <w:tr>
        <w:trPr>
          <w:trHeight w:val="168"/>
        </w:trPr>
        <w:tc>
          <w:tcPr>
            <w:tcW w:w="2420" w:type="dxa"/>
            <w:vAlign w:val="bottom"/>
          </w:tcPr>
          <w:p>
            <w:pPr>
              <w:spacing w:after="0"/>
              <w:rPr>
                <w:sz w:val="14"/>
                <w:szCs w:val="14"/>
                <w:color w:val="auto"/>
              </w:rPr>
            </w:pPr>
          </w:p>
        </w:tc>
        <w:tc>
          <w:tcPr>
            <w:tcW w:w="18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LeSabre Limited</w:t>
            </w:r>
          </w:p>
        </w:tc>
        <w:tc>
          <w:tcPr>
            <w:tcW w:w="880" w:type="dxa"/>
            <w:vAlign w:val="bottom"/>
          </w:tcPr>
          <w:p>
            <w:pPr>
              <w:spacing w:after="0"/>
              <w:rPr>
                <w:sz w:val="14"/>
                <w:szCs w:val="14"/>
                <w:color w:val="auto"/>
              </w:rPr>
            </w:pP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8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 Class Sedan</w:t>
            </w: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rPr>
              <w:t>(F/A)</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S</w:t>
            </w:r>
          </w:p>
        </w:tc>
      </w:tr>
      <w:tr>
        <w:trPr>
          <w:trHeight w:val="168"/>
        </w:trPr>
        <w:tc>
          <w:tcPr>
            <w:tcW w:w="2420" w:type="dxa"/>
            <w:vAlign w:val="bottom"/>
          </w:tcPr>
          <w:p>
            <w:pPr>
              <w:spacing w:after="0"/>
              <w:rPr>
                <w:sz w:val="14"/>
                <w:szCs w:val="14"/>
                <w:color w:val="auto"/>
              </w:rPr>
            </w:pPr>
          </w:p>
        </w:tc>
        <w:tc>
          <w:tcPr>
            <w:tcW w:w="18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Park Avenue</w:t>
            </w:r>
          </w:p>
        </w:tc>
        <w:tc>
          <w:tcPr>
            <w:tcW w:w="880" w:type="dxa"/>
            <w:vAlign w:val="bottom"/>
          </w:tcPr>
          <w:p>
            <w:pPr>
              <w:spacing w:after="0"/>
              <w:rPr>
                <w:sz w:val="14"/>
                <w:szCs w:val="14"/>
                <w:color w:val="auto"/>
              </w:rPr>
            </w:pP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8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SL Roadster</w:t>
            </w: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rPr>
              <w:t>(F/A)</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2420" w:type="dxa"/>
            <w:vAlign w:val="bottom"/>
          </w:tcPr>
          <w:p>
            <w:pPr>
              <w:spacing w:after="0"/>
              <w:rPr>
                <w:sz w:val="14"/>
                <w:szCs w:val="14"/>
                <w:color w:val="auto"/>
              </w:rPr>
            </w:pPr>
          </w:p>
        </w:tc>
        <w:tc>
          <w:tcPr>
            <w:tcW w:w="18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Park Avenue Ultra</w:t>
            </w:r>
          </w:p>
        </w:tc>
        <w:tc>
          <w:tcPr>
            <w:tcW w:w="880" w:type="dxa"/>
            <w:vAlign w:val="bottom"/>
          </w:tcPr>
          <w:p>
            <w:pPr>
              <w:spacing w:after="0"/>
              <w:rPr>
                <w:sz w:val="14"/>
                <w:szCs w:val="14"/>
                <w:color w:val="auto"/>
              </w:rPr>
            </w:pP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w:t>
            </w:r>
          </w:p>
        </w:tc>
        <w:tc>
          <w:tcPr>
            <w:tcW w:w="1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420" w:type="dxa"/>
            <w:vAlign w:val="bottom"/>
          </w:tcPr>
          <w:p>
            <w:pPr>
              <w:spacing w:after="0"/>
              <w:rPr>
                <w:sz w:val="14"/>
                <w:szCs w:val="14"/>
                <w:color w:val="auto"/>
              </w:rPr>
            </w:pPr>
          </w:p>
        </w:tc>
        <w:tc>
          <w:tcPr>
            <w:tcW w:w="18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Regal</w:t>
            </w:r>
          </w:p>
        </w:tc>
        <w:tc>
          <w:tcPr>
            <w:tcW w:w="880" w:type="dxa"/>
            <w:vAlign w:val="bottom"/>
          </w:tcPr>
          <w:p>
            <w:pPr>
              <w:spacing w:after="0"/>
              <w:rPr>
                <w:sz w:val="14"/>
                <w:szCs w:val="14"/>
                <w:color w:val="auto"/>
              </w:rPr>
            </w:pP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420" w:type="dxa"/>
            <w:vAlign w:val="bottom"/>
          </w:tcPr>
          <w:p>
            <w:pPr>
              <w:spacing w:after="0"/>
              <w:rPr>
                <w:sz w:val="14"/>
                <w:szCs w:val="14"/>
                <w:color w:val="auto"/>
              </w:rPr>
            </w:pPr>
          </w:p>
        </w:tc>
        <w:tc>
          <w:tcPr>
            <w:tcW w:w="18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Riviera</w:t>
            </w:r>
          </w:p>
        </w:tc>
        <w:tc>
          <w:tcPr>
            <w:tcW w:w="880" w:type="dxa"/>
            <w:vAlign w:val="bottom"/>
          </w:tcPr>
          <w:p>
            <w:pPr>
              <w:spacing w:after="0"/>
              <w:rPr>
                <w:sz w:val="14"/>
                <w:szCs w:val="14"/>
                <w:color w:val="auto"/>
              </w:rPr>
            </w:pP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w:t>
            </w:r>
          </w:p>
        </w:tc>
        <w:tc>
          <w:tcPr>
            <w:tcW w:w="1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KEY:</w:t>
            </w:r>
          </w:p>
        </w:tc>
        <w:tc>
          <w:tcPr>
            <w:tcW w:w="2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S = Standard Equipment</w:t>
            </w:r>
          </w:p>
        </w:tc>
        <w:tc>
          <w:tcPr>
            <w:tcW w:w="58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GM/Chevrolet</w:t>
            </w:r>
          </w:p>
        </w:tc>
        <w:tc>
          <w:tcPr>
            <w:tcW w:w="18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Blazer</w:t>
            </w:r>
          </w:p>
        </w:tc>
        <w:tc>
          <w:tcPr>
            <w:tcW w:w="880" w:type="dxa"/>
            <w:vAlign w:val="bottom"/>
          </w:tcPr>
          <w:p>
            <w:pPr>
              <w:spacing w:after="0"/>
              <w:rPr>
                <w:sz w:val="14"/>
                <w:szCs w:val="14"/>
                <w:color w:val="auto"/>
              </w:rPr>
            </w:pP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880" w:type="dxa"/>
            <w:vAlign w:val="bottom"/>
          </w:tcPr>
          <w:p>
            <w:pPr>
              <w:spacing w:after="0"/>
              <w:rPr>
                <w:sz w:val="14"/>
                <w:szCs w:val="14"/>
                <w:color w:val="auto"/>
              </w:rPr>
            </w:pPr>
          </w:p>
        </w:tc>
        <w:tc>
          <w:tcPr>
            <w:tcW w:w="2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 = Optional Equipment</w:t>
            </w:r>
          </w:p>
        </w:tc>
        <w:tc>
          <w:tcPr>
            <w:tcW w:w="580" w:type="dxa"/>
            <w:vAlign w:val="bottom"/>
          </w:tcPr>
          <w:p>
            <w:pPr>
              <w:spacing w:after="0"/>
              <w:rPr>
                <w:sz w:val="14"/>
                <w:szCs w:val="14"/>
                <w:color w:val="auto"/>
              </w:rPr>
            </w:pPr>
          </w:p>
        </w:tc>
      </w:tr>
      <w:tr>
        <w:trPr>
          <w:trHeight w:val="168"/>
        </w:trPr>
        <w:tc>
          <w:tcPr>
            <w:tcW w:w="2420" w:type="dxa"/>
            <w:vAlign w:val="bottom"/>
          </w:tcPr>
          <w:p>
            <w:pPr>
              <w:spacing w:after="0"/>
              <w:rPr>
                <w:sz w:val="14"/>
                <w:szCs w:val="14"/>
                <w:color w:val="auto"/>
              </w:rPr>
            </w:pPr>
          </w:p>
        </w:tc>
        <w:tc>
          <w:tcPr>
            <w:tcW w:w="18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Suburban</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(F &amp; C)</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420" w:type="dxa"/>
            <w:vAlign w:val="bottom"/>
          </w:tcPr>
          <w:p>
            <w:pPr>
              <w:spacing w:after="0"/>
              <w:rPr>
                <w:sz w:val="14"/>
                <w:szCs w:val="14"/>
                <w:color w:val="auto"/>
              </w:rPr>
            </w:pPr>
          </w:p>
        </w:tc>
        <w:tc>
          <w:tcPr>
            <w:tcW w:w="18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Tahoe (2-Door)</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(F &amp; C)</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8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 = Flat Glass</w:t>
            </w: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420" w:type="dxa"/>
            <w:vAlign w:val="bottom"/>
          </w:tcPr>
          <w:p>
            <w:pPr>
              <w:spacing w:after="0"/>
              <w:rPr>
                <w:sz w:val="14"/>
                <w:szCs w:val="14"/>
                <w:color w:val="auto"/>
              </w:rPr>
            </w:pPr>
          </w:p>
        </w:tc>
        <w:tc>
          <w:tcPr>
            <w:tcW w:w="18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Tahoe (4-Door)</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(F &amp; C)</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8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 = Convex Glass</w:t>
            </w: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GM/GMC</w:t>
            </w:r>
          </w:p>
        </w:tc>
        <w:tc>
          <w:tcPr>
            <w:tcW w:w="18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Denali</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(F &amp; C)</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w:t>
            </w:r>
          </w:p>
        </w:tc>
        <w:tc>
          <w:tcPr>
            <w:tcW w:w="18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A = Aspheric Glass</w:t>
            </w: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420" w:type="dxa"/>
            <w:vAlign w:val="bottom"/>
          </w:tcPr>
          <w:p>
            <w:pPr>
              <w:spacing w:after="0"/>
              <w:rPr>
                <w:sz w:val="14"/>
                <w:szCs w:val="14"/>
                <w:color w:val="auto"/>
              </w:rPr>
            </w:pPr>
          </w:p>
        </w:tc>
        <w:tc>
          <w:tcPr>
            <w:tcW w:w="18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Jimmy</w:t>
            </w:r>
          </w:p>
        </w:tc>
        <w:tc>
          <w:tcPr>
            <w:tcW w:w="880" w:type="dxa"/>
            <w:vAlign w:val="bottom"/>
          </w:tcPr>
          <w:p>
            <w:pPr>
              <w:spacing w:after="0"/>
              <w:rPr>
                <w:sz w:val="14"/>
                <w:szCs w:val="14"/>
                <w:color w:val="auto"/>
              </w:rPr>
            </w:pP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420" w:type="dxa"/>
            <w:vAlign w:val="bottom"/>
          </w:tcPr>
          <w:p>
            <w:pPr>
              <w:spacing w:after="0"/>
              <w:rPr>
                <w:sz w:val="14"/>
                <w:szCs w:val="14"/>
                <w:color w:val="auto"/>
              </w:rPr>
            </w:pPr>
          </w:p>
        </w:tc>
        <w:tc>
          <w:tcPr>
            <w:tcW w:w="18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Suburban</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(F &amp; C)</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420" w:type="dxa"/>
            <w:vAlign w:val="bottom"/>
          </w:tcPr>
          <w:p>
            <w:pPr>
              <w:spacing w:after="0"/>
              <w:rPr>
                <w:sz w:val="14"/>
                <w:szCs w:val="14"/>
                <w:color w:val="auto"/>
              </w:rPr>
            </w:pPr>
          </w:p>
        </w:tc>
        <w:tc>
          <w:tcPr>
            <w:tcW w:w="18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Yukon (2-Door)</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(F &amp; C)</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420" w:type="dxa"/>
            <w:vAlign w:val="bottom"/>
          </w:tcPr>
          <w:p>
            <w:pPr>
              <w:spacing w:after="0"/>
              <w:rPr>
                <w:sz w:val="14"/>
                <w:szCs w:val="14"/>
                <w:color w:val="auto"/>
              </w:rPr>
            </w:pPr>
          </w:p>
        </w:tc>
        <w:tc>
          <w:tcPr>
            <w:tcW w:w="18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Yukon (4-Door)</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(F &amp; C)</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GM/Oldsmobile</w:t>
            </w:r>
          </w:p>
        </w:tc>
        <w:tc>
          <w:tcPr>
            <w:tcW w:w="27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88 Anniversary Edition</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w:t>
            </w:r>
          </w:p>
        </w:tc>
        <w:tc>
          <w:tcPr>
            <w:tcW w:w="1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420" w:type="dxa"/>
            <w:vAlign w:val="bottom"/>
          </w:tcPr>
          <w:p>
            <w:pPr>
              <w:spacing w:after="0"/>
              <w:rPr>
                <w:sz w:val="14"/>
                <w:szCs w:val="14"/>
                <w:color w:val="auto"/>
              </w:rPr>
            </w:pPr>
          </w:p>
        </w:tc>
        <w:tc>
          <w:tcPr>
            <w:tcW w:w="18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Bravada</w:t>
            </w:r>
          </w:p>
        </w:tc>
        <w:tc>
          <w:tcPr>
            <w:tcW w:w="880" w:type="dxa"/>
            <w:vAlign w:val="bottom"/>
          </w:tcPr>
          <w:p>
            <w:pPr>
              <w:spacing w:after="0"/>
              <w:rPr>
                <w:sz w:val="14"/>
                <w:szCs w:val="14"/>
                <w:color w:val="auto"/>
              </w:rPr>
            </w:pP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Ford/Lincoln</w:t>
            </w:r>
          </w:p>
        </w:tc>
        <w:tc>
          <w:tcPr>
            <w:tcW w:w="18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Continental</w:t>
            </w:r>
          </w:p>
        </w:tc>
        <w:tc>
          <w:tcPr>
            <w:tcW w:w="880" w:type="dxa"/>
            <w:vAlign w:val="bottom"/>
          </w:tcPr>
          <w:p>
            <w:pPr>
              <w:spacing w:after="0"/>
              <w:rPr>
                <w:sz w:val="14"/>
                <w:szCs w:val="14"/>
                <w:color w:val="auto"/>
              </w:rPr>
            </w:pP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420" w:type="dxa"/>
            <w:vAlign w:val="bottom"/>
          </w:tcPr>
          <w:p>
            <w:pPr>
              <w:spacing w:after="0"/>
              <w:rPr>
                <w:sz w:val="14"/>
                <w:szCs w:val="14"/>
                <w:color w:val="auto"/>
              </w:rPr>
            </w:pPr>
          </w:p>
        </w:tc>
        <w:tc>
          <w:tcPr>
            <w:tcW w:w="18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Town Car Cartier</w:t>
            </w:r>
          </w:p>
        </w:tc>
        <w:tc>
          <w:tcPr>
            <w:tcW w:w="880" w:type="dxa"/>
            <w:vAlign w:val="bottom"/>
          </w:tcPr>
          <w:p>
            <w:pPr>
              <w:spacing w:after="0"/>
              <w:rPr>
                <w:sz w:val="14"/>
                <w:szCs w:val="14"/>
                <w:color w:val="auto"/>
              </w:rPr>
            </w:pP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w:t>
            </w:r>
          </w:p>
        </w:tc>
        <w:tc>
          <w:tcPr>
            <w:tcW w:w="1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420" w:type="dxa"/>
            <w:vAlign w:val="bottom"/>
          </w:tcPr>
          <w:p>
            <w:pPr>
              <w:spacing w:after="0"/>
              <w:rPr>
                <w:sz w:val="14"/>
                <w:szCs w:val="14"/>
                <w:color w:val="auto"/>
              </w:rPr>
            </w:pPr>
          </w:p>
        </w:tc>
        <w:tc>
          <w:tcPr>
            <w:tcW w:w="18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6"/>
              </w:rPr>
              <w:t>Town Car Executive</w:t>
            </w:r>
          </w:p>
        </w:tc>
        <w:tc>
          <w:tcPr>
            <w:tcW w:w="880" w:type="dxa"/>
            <w:vAlign w:val="bottom"/>
          </w:tcPr>
          <w:p>
            <w:pPr>
              <w:spacing w:after="0"/>
              <w:rPr>
                <w:sz w:val="14"/>
                <w:szCs w:val="14"/>
                <w:color w:val="auto"/>
              </w:rPr>
            </w:pP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420" w:type="dxa"/>
            <w:vAlign w:val="bottom"/>
          </w:tcPr>
          <w:p>
            <w:pPr>
              <w:spacing w:after="0"/>
              <w:rPr>
                <w:sz w:val="14"/>
                <w:szCs w:val="14"/>
                <w:color w:val="auto"/>
              </w:rPr>
            </w:pPr>
          </w:p>
        </w:tc>
        <w:tc>
          <w:tcPr>
            <w:tcW w:w="18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6"/>
              </w:rPr>
              <w:t>Town Car Signature</w:t>
            </w:r>
          </w:p>
        </w:tc>
        <w:tc>
          <w:tcPr>
            <w:tcW w:w="880" w:type="dxa"/>
            <w:vAlign w:val="bottom"/>
          </w:tcPr>
          <w:p>
            <w:pPr>
              <w:spacing w:after="0"/>
              <w:rPr>
                <w:sz w:val="14"/>
                <w:szCs w:val="14"/>
                <w:color w:val="auto"/>
              </w:rPr>
            </w:pP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w:t>
            </w:r>
          </w:p>
        </w:tc>
        <w:tc>
          <w:tcPr>
            <w:tcW w:w="1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DaimlerChrysler/Chrysler</w:t>
            </w:r>
          </w:p>
        </w:tc>
        <w:tc>
          <w:tcPr>
            <w:tcW w:w="27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Town &amp; Country Limited</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w:t>
            </w:r>
          </w:p>
        </w:tc>
        <w:tc>
          <w:tcPr>
            <w:tcW w:w="1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DaimlerChrysler/Dodge</w:t>
            </w:r>
          </w:p>
        </w:tc>
        <w:tc>
          <w:tcPr>
            <w:tcW w:w="18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Grand Caravan ES</w:t>
            </w:r>
          </w:p>
        </w:tc>
        <w:tc>
          <w:tcPr>
            <w:tcW w:w="880" w:type="dxa"/>
            <w:vAlign w:val="bottom"/>
          </w:tcPr>
          <w:p>
            <w:pPr>
              <w:spacing w:after="0"/>
              <w:rPr>
                <w:sz w:val="14"/>
                <w:szCs w:val="14"/>
                <w:color w:val="auto"/>
              </w:rPr>
            </w:pP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w:t>
            </w:r>
          </w:p>
        </w:tc>
        <w:tc>
          <w:tcPr>
            <w:tcW w:w="1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DaimlerChrysler/Jeep</w:t>
            </w:r>
          </w:p>
        </w:tc>
        <w:tc>
          <w:tcPr>
            <w:tcW w:w="27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Grand Cherokee Ltd.</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w:t>
            </w:r>
          </w:p>
        </w:tc>
        <w:tc>
          <w:tcPr>
            <w:tcW w:w="1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r>
    </w:tbl>
    <w:p>
      <w:pPr>
        <w:spacing w:after="0" w:line="200" w:lineRule="exact"/>
        <w:rPr>
          <w:sz w:val="20"/>
          <w:szCs w:val="20"/>
          <w:color w:val="auto"/>
        </w:rPr>
      </w:pPr>
    </w:p>
    <w:p>
      <w:pPr>
        <w:spacing w:after="0" w:line="309" w:lineRule="exact"/>
        <w:rPr>
          <w:sz w:val="20"/>
          <w:szCs w:val="20"/>
          <w:color w:val="auto"/>
        </w:rPr>
      </w:pPr>
    </w:p>
    <w:p>
      <w:pPr>
        <w:ind w:right="4200" w:firstLine="787"/>
        <w:spacing w:after="0" w:line="236" w:lineRule="auto"/>
        <w:rPr>
          <w:sz w:val="20"/>
          <w:szCs w:val="20"/>
          <w:color w:val="auto"/>
        </w:rPr>
      </w:pPr>
      <w:r>
        <w:rPr>
          <w:rFonts w:ascii="Courier New" w:cs="Courier New" w:eastAsia="Courier New" w:hAnsi="Courier New"/>
          <w:sz w:val="15"/>
          <w:szCs w:val="15"/>
          <w:color w:val="auto"/>
        </w:rPr>
        <w:t>Product Development. The Company plans to continue introducing additional advanced-feature NVS(R) Mirrors. These models currently include the third-generation NVS(R) Headlamp Control Mirror, the NVS(R) Lighted Mirror with incandescent and LED map lamps, the third-generation NVS(R) Compass Mirror, the NVS(R) Mirror with Remote Keyless Entry, and the NVS(R) Compass/Temperature Mirror. Also in 1993, the Company introduced an NVS(R) Base Feature Mirror to target the high-volume,</w:t>
      </w:r>
    </w:p>
    <w:p>
      <w:pPr>
        <w:sectPr>
          <w:pgSz w:w="11900" w:h="16838" w:orient="portrait"/>
          <w:cols w:equalWidth="0" w:num="1">
            <w:col w:w="11120"/>
          </w:cols>
          <w:pgMar w:left="220" w:top="281"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1120"/>
          </w:cols>
          <w:pgMar w:left="220" w:top="281" w:right="559" w:bottom="1440" w:gutter="0" w:footer="0" w:header="0"/>
          <w:type w:val="continuous"/>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09"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mid-priced vehicle segments, and larger-size interior and exterior NVS(R) Mirrors for use on vans and light trucks. A second-generation Base Feature Mirror was introduced in 1996. In 1996, Gentex introduced the first automatic-dimming "aspheric" exterior mirror. Aspheric mirrors are wide-angle exterior mirrors that virtually eliminate the "blind spot." During 1997, the Company introduced thin glass flat and convex exterior mirrors.</w:t>
      </w:r>
    </w:p>
    <w:p>
      <w:pPr>
        <w:spacing w:after="0" w:line="17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Of particular importance to the Company has been the development of its electrochromic technology for use in complete 3-mirror systems. In these systems, both the driver and passenger-side exterior NVS(R) Mirrors are controlled by the sensors and electronic circuitry in the interior rearview mirror, and the interior and both exterior mirrors dim simultaneously. The sale of complete mirror systems will increase the size of the available worldwide market, and the Company has been devoting substantial research and development efforts to this project, which resulted in its first shipments, including NVS(R) convex exterior mirrors, to BMW in 1994, and volume shipments, including thin flat and convex, to GM in 1997. At the end of 1996, the Company began shipping NVS(R) aspheric exterior mirrors to Mercedes-Benz, followed by volume shipments during 1997.</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Company's success with electrochromic technology provides an opportunity for other potential commercial applications, which the Company expects to explore in the future as resources permit. Examples of possible applications of electrochromic technology include windows for both the automotive and architectural markets, sunroofs and sunglasses. Progress in adapting electrochromic technology to the specialized requirements of the window market continued in 1998. However, achieving the rigorous performance standards needed for launching a commercial product still could require several years of additional work.</w:t>
      </w:r>
    </w:p>
    <w:p>
      <w:pPr>
        <w:spacing w:after="0" w:line="178"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Markets and Marketing. The Company markets its automatic rearview mirrors to domestic and foreign automotive manufacturers under the trade name "Night Vision Safety(TM)" or NVS(R) Mirrors. In North America, the Company markets these products primarily through a direct sales force of seven persons. The Company currently supplies NVS(R) Mirrors to Ford Motor Company, General Motors Corporation and DaimlerChrysler AG (North America) under long-term agreements. During 1997, the Company negotiated a new five-year, lifetime contract for inside mirrors with General Motors through the 2002 model year. The term of the Ford contract is through December 1999, and the long-term supply agreement with DaimlerChrysler AG has been extended through the 2003 model year. The Company's exterior NVS(R) Mirror Sub-Assemblies are supplied to General Motors, Ford and DaimlerChrysler AG by means of sales to six exterior mirror suppliers.</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During 1993, the Company established a sales and engineering office in Germany and hired its first employee in Europe. During 1994, the Company formed a German limited liability company, Gentex GmbH, to expand its sales and engineering support activities. The Company's marketing efforts in Europe are conducted through Gentex GmbH with the assistance of independent manufacturers' representatives. The Company is currently supplying mirrors to Audi, Bavarian Motor Works, A.G. (BMW), Fiat, Mercedes-Benz, Opel, Porsche and Rolls Royce.</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During 1992, the Company negotiated a replacement reciprocal distribution agreement with Ichikoh Industries, Ltd. (Ichikoh), a major Japanese supplier of automotive products. Under this agreement, Ichikoh markets the Company's automatic mirrors to certain Japanese automakers and their subsidiaries with manufacturing facilities in Asia. The arrangement involves very limited technology transfer by the Company and does not include the Company's proprietary electrochromic gel formulation. The Company has been shipping electrochromic mirror assemblies under the original agreement since 1991 for Nissan Motor Co., Ltd.</w:t>
      </w:r>
    </w:p>
    <w:p>
      <w:pPr>
        <w:spacing w:after="0" w:line="178"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During 1993, the Company hired sales agent Continental Far East to market NVS(R) Mirrors to other Japanese automakers beyond Nissan. During 1994 and 1995, the Company began making mirror shipments to Tokai Rika Co., Ltd. for Toyota Lexus vehicle models. The Company began making direct mirror shipments to Honda and Mitsubishi, in 1995 and 1996, respectively. During 1998, the Company established a sales and engineering office and hired its first employees in Japan.</w:t>
      </w:r>
    </w:p>
    <w:p>
      <w:pPr>
        <w:spacing w:after="0" w:line="200" w:lineRule="exact"/>
        <w:rPr>
          <w:sz w:val="20"/>
          <w:szCs w:val="20"/>
          <w:color w:val="auto"/>
        </w:rPr>
      </w:pPr>
    </w:p>
    <w:p>
      <w:pPr>
        <w:spacing w:after="0" w:line="3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09"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Historically, new safety and comfort options have entered the original equipment automotive market at relatively low rates on "top of the line" or luxury model automobiles. As the selection rates for the options on the luxury models increase, they generally become available on more models throughout the product line and may become standard equipment. The recent trend of domestic and foreign automakers is to offer several options as a package. As consumer demand increases for a particular option, the mirror tends to be offered on more vehicles and in higher option rate packages. The Company anticipates that its NVS(R) Mirrors will be offered as standard equipment, in higher option rate packages and on more models as consumer awareness of the safety and comfort features becomes more well-known and acceptance grows.</w:t>
      </w:r>
    </w:p>
    <w:p>
      <w:pPr>
        <w:spacing w:after="0" w:line="16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In 1998, Gentex Corporation contracted with MITO Corporation to sell several of its most popular automatic-dimming mirrors directly to consumers in the automotive aftermarket; however, currently the Company directs no other efforts to the sale of NVS(R) mirrors to the automotive aftermarket. It is management's belief that such efforts are of limited value until the Company achieves a significantly higher penetration of the original equipment manufacturing market.</w:t>
      </w:r>
    </w:p>
    <w:p>
      <w:pPr>
        <w:spacing w:after="0" w:line="176"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Competition. Gentex is the leading producer of automatic rearview mirrors in the world and currently is the dominant supplier to the automotive industry with an approximate 87% market share worldwide. While the Company believes it will retain a dominant position, one other U.S. manufacturer (Donnelly Corporation) is offering for sale to domestic and foreign vehicle manufacturers and is supplying a number of domestic and foreign vehicle models with its hybrid version of electrochromic mirrors. In addition, two Japanese manufacturers are currently supplying a number of vehicle models in Japan with solid-state electrochromic mirrors.</w:t>
      </w:r>
    </w:p>
    <w:p>
      <w:pPr>
        <w:spacing w:after="0" w:line="178"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Company believes its electrochromic automatic mirrors offer significant performance advantages. The Company also believes that Donnelly shipped approximately 400,000 of its electrochromic mirrors to automotive customers in 1998. However, Gentex recognizes that Donnelly Corporation is considerably larger than the Company and presents a significant competitive threat by using pricing as its primary means to attempt to gain additional electrochromic mirror business. In the past, Gentex has been involved in patent litigation with Donnelly Corporation (see Note 8 to the Consolidated Financial Statements filed with this report).</w:t>
      </w:r>
    </w:p>
    <w:p>
      <w:pPr>
        <w:spacing w:after="0" w:line="178"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There are numerous other companies in the world conducting research on various technologies, including electrochromics, for controlling light transmission and reflection. Gentex believes that the electrochromic materials and manufacturing process it uses for automotive mirrors remains the most efficient and cost-effective way to produce such products. While automatic-dimming mirrors using solid-state or hybrid electrochromics and liquid crystal displays may eliminate glare, each of these technologies have inherent cost or performance limitations.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FIRE PROTECTION PRODUCTS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Company manufactures over 60 different models of smoke detectors and over 160 different models of signaling appliances. All of the smoke detectors operate on a photoelectric principle to detect smoke. While the use of photoelectric technology entails greater manufacturing costs, the Company believes that these detectors are superior in performance to competitive devices that operate through an ionization process, and are preferred in most commercial residential occupancies. Photoelectric detectors feature low light-level detection, while ionization detectors utilize an ionized atmosphere, the electrical conductivity of which varies with changes in the composition of the atmosphere. Photoelectric detectors are widely recognized to respond more quickly to slow, smoldering fires, a common form of dwelling unit fire and a frequent cause of fire-related deaths. In addition, photoelectric detectors are less prone to nuisance alarms and do not require the use of radioactive materials necessary for ionization detectors. Photoelectric smoke detectors are now being required by an increasing number of city and state laws.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Company's fire protection products provide the flexibility to be wired as part of multiple-function systems and consequently are generally used in fire detection systems common to large office buildings, hotels, motels, military bases, college dormitories and other commercial establishments. However, the Company also offers single-station detectors for both commercial and residential applications. While the Company does not emphasize the residential market, some of its fire protection products are used in single-family residences that utilize fire protection and security systems. The Company's detectors emit audible and/or visual signals in the immediate location of the device and/or communicate with monitored remote stations.</w:t>
      </w:r>
    </w:p>
    <w:p>
      <w:pPr>
        <w:spacing w:after="0" w:line="16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recent years, the Company introduced further improvements to its line of smoke detectors, including submersibility to enhance maintenance, and a new design feature that permits greater ease in sensitivity testing. The Company offers the only detection device that may be completely submersed in water for cleaning purposes. This feature permits more effective and convenient cleaning of the product, thereby enhancing reliability. In addition, the patented sensitivity test feature permits the user to check the calibration of the least and most sensitive detection levels of the detector with the simple turn of a knob. In 1995, the National Fire Protection Association changed their code to require that all single station smoke alarms installed in dwellings larger than 1-2 family must annually conduct this sensitivity test.</w:t>
      </w:r>
    </w:p>
    <w:p>
      <w:pPr>
        <w:spacing w:after="0" w:line="165" w:lineRule="exact"/>
        <w:rPr>
          <w:sz w:val="20"/>
          <w:szCs w:val="20"/>
          <w:color w:val="auto"/>
        </w:rPr>
      </w:pPr>
    </w:p>
    <w:p>
      <w:pPr>
        <w:ind w:right="3579" w:firstLine="787"/>
        <w:spacing w:after="0" w:line="256" w:lineRule="auto"/>
        <w:rPr>
          <w:sz w:val="20"/>
          <w:szCs w:val="20"/>
          <w:color w:val="auto"/>
        </w:rPr>
      </w:pPr>
      <w:r>
        <w:rPr>
          <w:rFonts w:ascii="Courier New" w:cs="Courier New" w:eastAsia="Courier New" w:hAnsi="Courier New"/>
          <w:sz w:val="14"/>
          <w:szCs w:val="14"/>
          <w:color w:val="auto"/>
        </w:rPr>
        <w:t>During 1996, the Company made numerous revisions to its products to include weather-proofing the mechanical horn and strobe for outdoor use, increasing the power taps on their speaker series, adding three new candela ratings to their visual signals (strobe warning lights), and adding terminal blocks to the remote signaling appliances to meet new code requirements.</w:t>
      </w:r>
    </w:p>
    <w:p>
      <w:pPr>
        <w:spacing w:after="0" w:line="16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During 1997, the Company introduced a new visual and audible signaling line. The visual (strobe) was designed to meet the Underwriters Laboratories standard without any loss of efficiency. This product draws one of the lowest amount of current consumption in the industry. It is also available with the largest array of visual intensities offered to meet virtually all room sizes and configurations.</w:t>
      </w:r>
    </w:p>
    <w:p>
      <w:pPr>
        <w:spacing w:after="0" w:line="17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Also, during 1997, the Company became one of the first companies in the fire alarm market to implement the temporal code 3 pattern on the smoke detection products.</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Markets and Marketing. The Company's fire protection products are sold directly to fire protection and security product distributors under the Company's brand name, electrical wholesale houses, and to original equipment manufacturers of fire protection systems under both the Company's brand name and private labels. The Company markets its fire protection products throughout the United States through four regional sales managers and manufacturer representative organizations.</w:t>
      </w:r>
    </w:p>
    <w:p>
      <w:pPr>
        <w:spacing w:after="0" w:line="17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Competition. The fire protection products industry is highly competitive in terms of both the smoke detectors and signaling device markets. The Company estimates that it competes principally with eleven manufacturers of smoke detection products for commercial use and approximately four manufacturers within the residential market, three of which produce photoelectric smoke detectors. In the signaling device markets, the Company estimates it competes with approximately eight manufacturers. While the Company faces significant competition in the sale of smoke detectors and signaling devices, it believes that the recent introduction of new products, improvements to its existing products, its diversified product line, and the availability of special features will permit the Company to maintain its competitive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TRADEMARKS AND PATENTS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Company owns 3 trademarks and 35 U.S. patents, 33 of which relate to electrochromic technology and/or automotive rearview mirrors. These patents expire between 2002 and 2017. The Company believes that these patents provide the Company a significant competitive advantage in the automotive rearview mirror market; however, none of these patents is required for the success of any of the Company's products. The remaining two U.S. patents relate to the Company's fire protection products, and the Company believes that the competitive advantage provided by these patents is relatively small.</w:t>
      </w:r>
    </w:p>
    <w:p>
      <w:pPr>
        <w:spacing w:after="0" w:line="177"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Company also owns 26 foreign patents, which relate to automotive rearview mirrors. These patents expire at various times between 1999 and 2018. The Company believes that the competitive advantage derived in the relevant foreign markets for these patents is comparable to that experienced in the U.S. market.</w:t>
      </w:r>
    </w:p>
    <w:p>
      <w:pPr>
        <w:spacing w:after="0" w:line="174"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The Company also has in process 66 U.S. patent applications, 42 foreign patent applications, and 2 trademark applications. The Company continuously seeks to improve its core technologies and apply those technologies to new and existing products. As those efforts produce patentable inventions, the Company expects to file appropriate patent applications.</w:t>
      </w:r>
    </w:p>
    <w:p>
      <w:pPr>
        <w:spacing w:after="0" w:line="163"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During 1998, the Company settled all patent litigation with respect to its rearview mirrors (see Note 8 to the Consolidated Financial Statements filed with this report).</w:t>
      </w:r>
    </w:p>
    <w:p>
      <w:pPr>
        <w:spacing w:after="0" w:line="174" w:lineRule="exact"/>
        <w:rPr>
          <w:sz w:val="20"/>
          <w:szCs w:val="20"/>
          <w:color w:val="auto"/>
        </w:rPr>
      </w:pPr>
    </w:p>
    <w:p>
      <w:pPr>
        <w:ind w:right="3239" w:firstLine="787"/>
        <w:spacing w:after="0" w:line="261" w:lineRule="auto"/>
        <w:rPr>
          <w:sz w:val="20"/>
          <w:szCs w:val="20"/>
          <w:color w:val="auto"/>
        </w:rPr>
      </w:pPr>
      <w:r>
        <w:rPr>
          <w:rFonts w:ascii="Courier New" w:cs="Courier New" w:eastAsia="Courier New" w:hAnsi="Courier New"/>
          <w:sz w:val="14"/>
          <w:szCs w:val="14"/>
          <w:color w:val="auto"/>
        </w:rPr>
        <w:t>"Night Vision Safety(TM)" and "A Smarter Vision(TM)" are trademarks of Gentex Corporation and "NVS(R)" is a registered trademark of Gentex Corporation.</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Company considers itself to be engaged in the manufacture and sale of automatic rearview mirrors for the automotive industry and fire protection products for the commercial building industry. The Company has three important customers within the automotive industry, each of which accounts for approximately 10% or more of the Company's annual sales: General Motors Corporation, DaimlerChrysler AG and Ford Motor Company. The loss of any of these customers could have a material adverse effect on the Company. The Company's backlog of unshipped orders was $63,735,000 and $52,881,000 at March 1, 1999 and 1998, respectively.</w:t>
      </w:r>
    </w:p>
    <w:p>
      <w:pPr>
        <w:spacing w:after="0" w:line="178"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At March 1, 1999, the Company had 1,342 full-time employees. None of the Company's employees are represented by a labor union or other collective bargaining representative. The Company believes that its relations with its employees are good.</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Company operates out of three office/manufacturing facilities in Zeeland, Michigan, approximately 25 miles southwest of Grand Rapids. The office and production facility for the Fire Protection Products Group is a</w:t>
      </w:r>
    </w:p>
    <w:p>
      <w:pPr>
        <w:spacing w:after="0" w:line="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25,000-square-foot, one-story building leased by the Company since 1978 from related parties (see Part III, Item 13, of this report).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corporate office and production facility for the Company's Automotive Products Group is a modern, two-story, 130,000-square-foot building of steel and masonry construction situated on a 40-acre site in a well-kept industrial park, providing ample opportunity for expansion. An additional 128,000-square-foot office/manufacturing facility on this site was opened during 1996, to meet the Company's current and near term future automotive production needs. The Company will be expanding its automotive production facilities and has begun construction of a third 170,000 square-foot facility at a cost of approximately $12,000,000 on its current site which is currently scheduled for completion by spring 2000.</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None that are material.</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173" w:lineRule="exact"/>
        <w:rPr>
          <w:sz w:val="20"/>
          <w:szCs w:val="20"/>
          <w:color w:val="auto"/>
        </w:rPr>
      </w:pPr>
    </w:p>
    <w:p>
      <w:pPr>
        <w:ind w:right="4020" w:firstLine="787"/>
        <w:spacing w:after="0" w:line="235" w:lineRule="auto"/>
        <w:rPr>
          <w:sz w:val="20"/>
          <w:szCs w:val="20"/>
          <w:color w:val="auto"/>
        </w:rPr>
      </w:pPr>
      <w:r>
        <w:rPr>
          <w:rFonts w:ascii="Courier New" w:cs="Courier New" w:eastAsia="Courier New" w:hAnsi="Courier New"/>
          <w:sz w:val="15"/>
          <w:szCs w:val="15"/>
          <w:color w:val="auto"/>
        </w:rPr>
        <w:t>The following table lists the names, ages, and positions of all of the Company's executive officers. Officers are elected at the first meeting of the Board of Directors following the annual meeting of shareholders.</w:t>
      </w:r>
    </w:p>
    <w:p>
      <w:pPr>
        <w:spacing w:after="0" w:line="200" w:lineRule="exact"/>
        <w:rPr>
          <w:sz w:val="20"/>
          <w:szCs w:val="20"/>
          <w:color w:val="auto"/>
        </w:rPr>
      </w:pPr>
    </w:p>
    <w:p>
      <w:pPr>
        <w:spacing w:after="0" w:line="304" w:lineRule="exact"/>
        <w:rPr>
          <w:sz w:val="20"/>
          <w:szCs w:val="20"/>
          <w:color w:val="auto"/>
        </w:rPr>
      </w:pPr>
    </w:p>
    <w:p>
      <w:pPr>
        <w:spacing w:after="0"/>
        <w:tabs>
          <w:tab w:leader="none" w:pos="2260" w:val="left"/>
          <w:tab w:leader="none" w:pos="4460" w:val="left"/>
          <w:tab w:leader="none" w:pos="77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AGE</w:t>
      </w:r>
      <w:r>
        <w:rPr>
          <w:sz w:val="20"/>
          <w:szCs w:val="20"/>
          <w:color w:val="auto"/>
        </w:rPr>
        <w:tab/>
      </w:r>
      <w:r>
        <w:rPr>
          <w:rFonts w:ascii="Courier New" w:cs="Courier New" w:eastAsia="Courier New" w:hAnsi="Courier New"/>
          <w:sz w:val="15"/>
          <w:szCs w:val="15"/>
          <w:color w:val="auto"/>
        </w:rPr>
        <w:t>POSITION</w:t>
      </w:r>
      <w:r>
        <w:rPr>
          <w:sz w:val="20"/>
          <w:szCs w:val="20"/>
          <w:color w:val="auto"/>
        </w:rPr>
        <w:tab/>
      </w:r>
      <w:r>
        <w:rPr>
          <w:rFonts w:ascii="Courier New" w:cs="Courier New" w:eastAsia="Courier New" w:hAnsi="Courier New"/>
          <w:sz w:val="14"/>
          <w:szCs w:val="14"/>
          <w:color w:val="auto"/>
        </w:rPr>
        <w:t>POSITION HELD SINCE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rPr>
              <w:t>Fred Bauer</w:t>
            </w:r>
          </w:p>
        </w:tc>
        <w:tc>
          <w:tcPr>
            <w:tcW w:w="12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56</w:t>
            </w:r>
          </w:p>
        </w:tc>
        <w:tc>
          <w:tcPr>
            <w:tcW w:w="4760" w:type="dxa"/>
            <w:vAlign w:val="bottom"/>
          </w:tcPr>
          <w:p>
            <w:pPr>
              <w:ind w:left="620"/>
              <w:spacing w:after="0"/>
              <w:rPr>
                <w:sz w:val="20"/>
                <w:szCs w:val="20"/>
                <w:color w:val="auto"/>
              </w:rPr>
            </w:pPr>
            <w:r>
              <w:rPr>
                <w:rFonts w:ascii="Courier New" w:cs="Courier New" w:eastAsia="Courier New" w:hAnsi="Courier New"/>
                <w:sz w:val="15"/>
                <w:szCs w:val="15"/>
                <w:color w:val="auto"/>
              </w:rPr>
              <w:t>Chief Executive Officer</w:t>
            </w:r>
          </w:p>
        </w:tc>
        <w:tc>
          <w:tcPr>
            <w:tcW w:w="1620" w:type="dxa"/>
            <w:vAlign w:val="bottom"/>
          </w:tcPr>
          <w:p>
            <w:pPr>
              <w:ind w:left="400"/>
              <w:spacing w:after="0"/>
              <w:rPr>
                <w:sz w:val="20"/>
                <w:szCs w:val="20"/>
                <w:color w:val="auto"/>
              </w:rPr>
            </w:pPr>
            <w:r>
              <w:rPr>
                <w:rFonts w:ascii="Courier New" w:cs="Courier New" w:eastAsia="Courier New" w:hAnsi="Courier New"/>
                <w:sz w:val="15"/>
                <w:szCs w:val="15"/>
                <w:color w:val="auto"/>
              </w:rPr>
              <w:t>May 1986</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Kenneth La Grand</w:t>
            </w:r>
          </w:p>
        </w:tc>
        <w:tc>
          <w:tcPr>
            <w:tcW w:w="12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58</w:t>
            </w:r>
          </w:p>
        </w:tc>
        <w:tc>
          <w:tcPr>
            <w:tcW w:w="47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Executive Vice President</w:t>
            </w:r>
          </w:p>
        </w:tc>
        <w:tc>
          <w:tcPr>
            <w:tcW w:w="16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5"/>
              </w:rPr>
              <w:t>September 1987</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Mulder</w:t>
            </w:r>
          </w:p>
        </w:tc>
        <w:tc>
          <w:tcPr>
            <w:tcW w:w="12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62</w:t>
            </w:r>
          </w:p>
        </w:tc>
        <w:tc>
          <w:tcPr>
            <w:tcW w:w="47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Senior Vice President, Automotive Marketing</w:t>
            </w:r>
          </w:p>
        </w:tc>
        <w:tc>
          <w:tcPr>
            <w:tcW w:w="16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5"/>
              </w:rPr>
              <w:t>September 1998</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Enoch Jen</w:t>
            </w:r>
          </w:p>
        </w:tc>
        <w:tc>
          <w:tcPr>
            <w:tcW w:w="12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47</w:t>
            </w:r>
          </w:p>
        </w:tc>
        <w:tc>
          <w:tcPr>
            <w:tcW w:w="47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Vice President-Finance, Treasurer</w:t>
            </w:r>
          </w:p>
        </w:tc>
        <w:tc>
          <w:tcPr>
            <w:tcW w:w="16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February 1991</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4" w:lineRule="exact"/>
        <w:rPr>
          <w:sz w:val="20"/>
          <w:szCs w:val="20"/>
          <w:color w:val="auto"/>
        </w:rPr>
      </w:pPr>
    </w:p>
    <w:p>
      <w:pPr>
        <w:ind w:right="4380" w:firstLine="787"/>
        <w:spacing w:after="0" w:line="234" w:lineRule="auto"/>
        <w:rPr>
          <w:sz w:val="20"/>
          <w:szCs w:val="20"/>
          <w:color w:val="auto"/>
        </w:rPr>
      </w:pPr>
      <w:r>
        <w:rPr>
          <w:rFonts w:ascii="Courier New" w:cs="Courier New" w:eastAsia="Courier New" w:hAnsi="Courier New"/>
          <w:sz w:val="15"/>
          <w:szCs w:val="15"/>
          <w:color w:val="auto"/>
        </w:rPr>
        <w:t>There are no family relationships among the officers listed in the preceding table.</w:t>
      </w:r>
    </w:p>
    <w:p>
      <w:pPr>
        <w:spacing w:after="0" w:line="173" w:lineRule="exact"/>
        <w:rPr>
          <w:sz w:val="20"/>
          <w:szCs w:val="20"/>
          <w:color w:val="auto"/>
        </w:rPr>
      </w:pPr>
    </w:p>
    <w:p>
      <w:pPr>
        <w:jc w:val="both"/>
        <w:ind w:right="4100" w:firstLine="787"/>
        <w:spacing w:after="0" w:line="258" w:lineRule="auto"/>
        <w:rPr>
          <w:sz w:val="20"/>
          <w:szCs w:val="20"/>
          <w:color w:val="auto"/>
        </w:rPr>
      </w:pPr>
      <w:r>
        <w:rPr>
          <w:rFonts w:ascii="Courier New" w:cs="Courier New" w:eastAsia="Courier New" w:hAnsi="Courier New"/>
          <w:sz w:val="14"/>
          <w:szCs w:val="14"/>
          <w:color w:val="auto"/>
        </w:rPr>
        <w:t>John Mulder has served as Senior Vice President, Automotive Marketing of the Company since September 1998. Prior to that time, Mr. Mulder served as Vice President, Automotive Marketing, of the Company since July 1988.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940"/>
          </w:cols>
          <w:pgMar w:left="220" w:top="281" w:right="739"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II</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THE REGISTRANT'S COMMON STOCK AND RELATED SECURITY HOLDER</w:t>
      </w:r>
    </w:p>
    <w:p>
      <w:pPr>
        <w:ind w:left="700"/>
        <w:spacing w:after="0" w:line="237" w:lineRule="auto"/>
        <w:rPr>
          <w:sz w:val="20"/>
          <w:szCs w:val="20"/>
          <w:color w:val="auto"/>
        </w:rPr>
      </w:pPr>
      <w:r>
        <w:rPr>
          <w:rFonts w:ascii="Courier New" w:cs="Courier New" w:eastAsia="Courier New" w:hAnsi="Courier New"/>
          <w:sz w:val="15"/>
          <w:szCs w:val="15"/>
          <w:color w:val="auto"/>
        </w:rPr>
        <w:t>MATTERS.</w:t>
      </w:r>
    </w:p>
    <w:p>
      <w:pPr>
        <w:spacing w:after="0" w:line="173" w:lineRule="exact"/>
        <w:rPr>
          <w:sz w:val="20"/>
          <w:szCs w:val="20"/>
          <w:color w:val="auto"/>
        </w:rPr>
      </w:pPr>
    </w:p>
    <w:p>
      <w:pPr>
        <w:ind w:right="4020" w:firstLine="787"/>
        <w:spacing w:after="0" w:line="236" w:lineRule="auto"/>
        <w:rPr>
          <w:sz w:val="20"/>
          <w:szCs w:val="20"/>
          <w:color w:val="auto"/>
        </w:rPr>
      </w:pPr>
      <w:r>
        <w:rPr>
          <w:rFonts w:ascii="Courier New" w:cs="Courier New" w:eastAsia="Courier New" w:hAnsi="Courier New"/>
          <w:sz w:val="15"/>
          <w:szCs w:val="15"/>
          <w:color w:val="auto"/>
        </w:rPr>
        <w:t>The Company's common stock trades on the National Market tier of The Nasdaq Stock MarketSM. As of March 1, 1999, there were 2,273 record holders of the Company's common stock. Ranges of high and low sale prices of the Company's common stock (adjusted for the 2-for-1 stock split in June 1998) reported through The Nasdaq Stock Market for the past two fiscal years appear in the following table.</w:t>
      </w:r>
    </w:p>
    <w:p>
      <w:pPr>
        <w:spacing w:after="0" w:line="200" w:lineRule="exact"/>
        <w:rPr>
          <w:sz w:val="20"/>
          <w:szCs w:val="20"/>
          <w:color w:val="auto"/>
        </w:rPr>
      </w:pPr>
    </w:p>
    <w:p>
      <w:pPr>
        <w:spacing w:after="0" w:line="305" w:lineRule="exact"/>
        <w:rPr>
          <w:sz w:val="20"/>
          <w:szCs w:val="20"/>
          <w:color w:val="auto"/>
        </w:rPr>
      </w:pPr>
    </w:p>
    <w:p>
      <w:pPr>
        <w:ind w:left="1760"/>
        <w:spacing w:after="0"/>
        <w:tabs>
          <w:tab w:leader="none" w:pos="2880" w:val="left"/>
          <w:tab w:leader="none" w:pos="5680" w:val="left"/>
          <w:tab w:leader="none" w:pos="7340" w:val="left"/>
        </w:tabs>
        <w:rPr>
          <w:sz w:val="20"/>
          <w:szCs w:val="20"/>
          <w:color w:val="auto"/>
        </w:rPr>
      </w:pP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5"/>
          <w:szCs w:val="15"/>
          <w:color w:val="auto"/>
        </w:rPr>
        <w:t>QUARTER</w:t>
      </w:r>
      <w:r>
        <w:rPr>
          <w:sz w:val="20"/>
          <w:szCs w:val="20"/>
          <w:color w:val="auto"/>
        </w:rPr>
        <w:tab/>
      </w: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4"/>
          <w:szCs w:val="14"/>
          <w:color w:val="auto"/>
        </w:rPr>
        <w:t>LOW</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1997</w:t>
            </w:r>
          </w:p>
        </w:tc>
        <w:tc>
          <w:tcPr>
            <w:tcW w:w="2140" w:type="dxa"/>
            <w:vAlign w:val="bottom"/>
          </w:tcPr>
          <w:p>
            <w:pPr>
              <w:ind w:left="480"/>
              <w:spacing w:after="0"/>
              <w:rPr>
                <w:sz w:val="20"/>
                <w:szCs w:val="20"/>
                <w:color w:val="auto"/>
              </w:rPr>
            </w:pPr>
            <w:r>
              <w:rPr>
                <w:rFonts w:ascii="Courier New" w:cs="Courier New" w:eastAsia="Courier New" w:hAnsi="Courier New"/>
                <w:sz w:val="15"/>
                <w:szCs w:val="15"/>
                <w:color w:val="auto"/>
              </w:rPr>
              <w:t>First</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13/16</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w:t>
            </w:r>
          </w:p>
        </w:tc>
        <w:tc>
          <w:tcPr>
            <w:tcW w:w="520" w:type="dxa"/>
            <w:vAlign w:val="bottom"/>
          </w:tcPr>
          <w:p>
            <w:pPr>
              <w:ind w:left="100"/>
              <w:spacing w:after="0"/>
              <w:rPr>
                <w:sz w:val="20"/>
                <w:szCs w:val="20"/>
                <w:color w:val="auto"/>
              </w:rPr>
            </w:pPr>
            <w:r>
              <w:rPr>
                <w:rFonts w:ascii="Courier New" w:cs="Courier New" w:eastAsia="Courier New" w:hAnsi="Courier New"/>
                <w:sz w:val="15"/>
                <w:szCs w:val="15"/>
                <w:color w:val="auto"/>
              </w:rPr>
              <w:t>3/4</w:t>
            </w:r>
          </w:p>
        </w:tc>
      </w:tr>
      <w:tr>
        <w:trPr>
          <w:trHeight w:val="168"/>
        </w:trPr>
        <w:tc>
          <w:tcPr>
            <w:tcW w:w="840" w:type="dxa"/>
            <w:vAlign w:val="bottom"/>
          </w:tcPr>
          <w:p>
            <w:pPr>
              <w:spacing w:after="0"/>
              <w:rPr>
                <w:sz w:val="14"/>
                <w:szCs w:val="14"/>
                <w:color w:val="auto"/>
              </w:rPr>
            </w:pPr>
          </w:p>
        </w:tc>
        <w:tc>
          <w:tcPr>
            <w:tcW w:w="21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Second</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w:t>
            </w: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1/16</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c>
          <w:tcPr>
            <w:tcW w:w="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840" w:type="dxa"/>
            <w:vAlign w:val="bottom"/>
          </w:tcPr>
          <w:p>
            <w:pPr>
              <w:spacing w:after="0"/>
              <w:rPr>
                <w:sz w:val="14"/>
                <w:szCs w:val="14"/>
                <w:color w:val="auto"/>
              </w:rPr>
            </w:pPr>
          </w:p>
        </w:tc>
        <w:tc>
          <w:tcPr>
            <w:tcW w:w="21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Third</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w:t>
            </w:r>
          </w:p>
        </w:tc>
        <w:tc>
          <w:tcPr>
            <w:tcW w:w="8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c>
          <w:tcPr>
            <w:tcW w:w="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5/16</w:t>
            </w:r>
          </w:p>
        </w:tc>
      </w:tr>
      <w:tr>
        <w:trPr>
          <w:trHeight w:val="168"/>
        </w:trPr>
        <w:tc>
          <w:tcPr>
            <w:tcW w:w="840" w:type="dxa"/>
            <w:vAlign w:val="bottom"/>
          </w:tcPr>
          <w:p>
            <w:pPr>
              <w:spacing w:after="0"/>
              <w:rPr>
                <w:sz w:val="14"/>
                <w:szCs w:val="14"/>
                <w:color w:val="auto"/>
              </w:rPr>
            </w:pPr>
          </w:p>
        </w:tc>
        <w:tc>
          <w:tcPr>
            <w:tcW w:w="21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Fourth</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1/8</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c>
          <w:tcPr>
            <w:tcW w:w="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3/8</w:t>
            </w:r>
          </w:p>
        </w:tc>
      </w:tr>
      <w:tr>
        <w:trPr>
          <w:trHeight w:val="336"/>
        </w:trPr>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1998</w:t>
            </w:r>
          </w:p>
        </w:tc>
        <w:tc>
          <w:tcPr>
            <w:tcW w:w="2140" w:type="dxa"/>
            <w:vAlign w:val="bottom"/>
          </w:tcPr>
          <w:p>
            <w:pPr>
              <w:ind w:left="480"/>
              <w:spacing w:after="0"/>
              <w:rPr>
                <w:sz w:val="20"/>
                <w:szCs w:val="20"/>
                <w:color w:val="auto"/>
              </w:rPr>
            </w:pPr>
            <w:r>
              <w:rPr>
                <w:rFonts w:ascii="Courier New" w:cs="Courier New" w:eastAsia="Courier New" w:hAnsi="Courier New"/>
                <w:sz w:val="15"/>
                <w:szCs w:val="15"/>
                <w:color w:val="auto"/>
              </w:rPr>
              <w:t>First</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1/16</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w:t>
            </w:r>
          </w:p>
        </w:tc>
        <w:tc>
          <w:tcPr>
            <w:tcW w:w="520" w:type="dxa"/>
            <w:vAlign w:val="bottom"/>
          </w:tcPr>
          <w:p>
            <w:pPr>
              <w:ind w:left="100"/>
              <w:spacing w:after="0"/>
              <w:rPr>
                <w:sz w:val="20"/>
                <w:szCs w:val="20"/>
                <w:color w:val="auto"/>
              </w:rPr>
            </w:pPr>
            <w:r>
              <w:rPr>
                <w:rFonts w:ascii="Courier New" w:cs="Courier New" w:eastAsia="Courier New" w:hAnsi="Courier New"/>
                <w:sz w:val="15"/>
                <w:szCs w:val="15"/>
                <w:color w:val="auto"/>
                <w:w w:val="88"/>
              </w:rPr>
              <w:t>29/32</w:t>
            </w:r>
          </w:p>
        </w:tc>
      </w:tr>
      <w:tr>
        <w:trPr>
          <w:trHeight w:val="168"/>
        </w:trPr>
        <w:tc>
          <w:tcPr>
            <w:tcW w:w="840" w:type="dxa"/>
            <w:vAlign w:val="bottom"/>
          </w:tcPr>
          <w:p>
            <w:pPr>
              <w:spacing w:after="0"/>
              <w:rPr>
                <w:sz w:val="14"/>
                <w:szCs w:val="14"/>
                <w:color w:val="auto"/>
              </w:rPr>
            </w:pPr>
          </w:p>
        </w:tc>
        <w:tc>
          <w:tcPr>
            <w:tcW w:w="21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Second</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w:t>
            </w: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1/2</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c>
          <w:tcPr>
            <w:tcW w:w="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840" w:type="dxa"/>
            <w:vAlign w:val="bottom"/>
          </w:tcPr>
          <w:p>
            <w:pPr>
              <w:spacing w:after="0"/>
              <w:rPr>
                <w:sz w:val="14"/>
                <w:szCs w:val="14"/>
                <w:color w:val="auto"/>
              </w:rPr>
            </w:pPr>
          </w:p>
        </w:tc>
        <w:tc>
          <w:tcPr>
            <w:tcW w:w="21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Third</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w:t>
            </w: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3/4</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c>
          <w:tcPr>
            <w:tcW w:w="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840" w:type="dxa"/>
            <w:vAlign w:val="bottom"/>
          </w:tcPr>
          <w:p>
            <w:pPr>
              <w:spacing w:after="0"/>
              <w:rPr>
                <w:sz w:val="14"/>
                <w:szCs w:val="14"/>
                <w:color w:val="auto"/>
              </w:rPr>
            </w:pPr>
          </w:p>
        </w:tc>
        <w:tc>
          <w:tcPr>
            <w:tcW w:w="21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Fourth</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w:t>
            </w:r>
          </w:p>
        </w:tc>
        <w:tc>
          <w:tcPr>
            <w:tcW w:w="8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c>
          <w:tcPr>
            <w:tcW w:w="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1/2</w:t>
            </w:r>
          </w:p>
        </w:tc>
      </w:tr>
    </w:tbl>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020" w:firstLine="787"/>
        <w:spacing w:after="0" w:line="235" w:lineRule="auto"/>
        <w:rPr>
          <w:sz w:val="20"/>
          <w:szCs w:val="20"/>
          <w:color w:val="auto"/>
        </w:rPr>
      </w:pPr>
      <w:r>
        <w:rPr>
          <w:rFonts w:ascii="Courier New" w:cs="Courier New" w:eastAsia="Courier New" w:hAnsi="Courier New"/>
          <w:sz w:val="15"/>
          <w:szCs w:val="15"/>
          <w:color w:val="auto"/>
        </w:rPr>
        <w:t>The Company has never paid any cash dividends on its common stock, and management does not anticipate paying any cash dividends in the foreseeable future.</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200" w:lineRule="exact"/>
        <w:rPr>
          <w:sz w:val="20"/>
          <w:szCs w:val="20"/>
          <w:color w:val="auto"/>
        </w:rPr>
      </w:pPr>
    </w:p>
    <w:p>
      <w:pPr>
        <w:spacing w:after="0" w:line="303"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2540"/>
        <w:spacing w:after="0"/>
        <w:tabs>
          <w:tab w:leader="none" w:pos="4100" w:val="left"/>
          <w:tab w:leader="none" w:pos="5680" w:val="left"/>
          <w:tab w:leader="none" w:pos="7160" w:val="left"/>
          <w:tab w:leader="none" w:pos="864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Sales</w:t>
            </w:r>
          </w:p>
        </w:tc>
        <w:tc>
          <w:tcPr>
            <w:tcW w:w="1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$222,292</w:t>
            </w: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$186,328</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$148,708</w:t>
            </w:r>
          </w:p>
        </w:tc>
        <w:tc>
          <w:tcPr>
            <w:tcW w:w="15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$111,566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$89,762</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Net</w:t>
            </w:r>
          </w:p>
        </w:tc>
        <w:tc>
          <w:tcPr>
            <w:tcW w:w="1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Income</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50,307</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35,230</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23,963</w:t>
            </w:r>
          </w:p>
        </w:tc>
        <w:tc>
          <w:tcPr>
            <w:tcW w:w="15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18,895</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16,466</w:t>
            </w:r>
          </w:p>
        </w:tc>
      </w:tr>
    </w:tbl>
    <w:p>
      <w:pPr>
        <w:spacing w:after="0" w:line="5" w:lineRule="exact"/>
        <w:rPr>
          <w:sz w:val="20"/>
          <w:szCs w:val="20"/>
          <w:color w:val="auto"/>
        </w:rPr>
      </w:pPr>
    </w:p>
    <w:p>
      <w:pPr>
        <w:ind w:left="180" w:hanging="170"/>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Earnings</w:t>
      </w:r>
    </w:p>
    <w:tbl>
      <w:tblPr>
        <w:tblLayout w:type="fixed"/>
        <w:tblInd w:w="180" w:type="dxa"/>
        <w:tblCellMar>
          <w:top w:w="0" w:type="dxa"/>
          <w:left w:w="0" w:type="dxa"/>
          <w:bottom w:w="0" w:type="dxa"/>
          <w:right w:w="0" w:type="dxa"/>
        </w:tblCellMar>
      </w:tblPr>
      <w:tr>
        <w:trPr>
          <w:trHeight w:val="169"/>
        </w:trPr>
        <w:tc>
          <w:tcPr>
            <w:tcW w:w="1760" w:type="dxa"/>
            <w:vAlign w:val="bottom"/>
          </w:tcPr>
          <w:p>
            <w:pPr>
              <w:spacing w:after="0" w:line="169" w:lineRule="exact"/>
              <w:rPr>
                <w:sz w:val="20"/>
                <w:szCs w:val="20"/>
                <w:color w:val="auto"/>
              </w:rPr>
            </w:pPr>
            <w:r>
              <w:rPr>
                <w:rFonts w:ascii="Courier New" w:cs="Courier New" w:eastAsia="Courier New" w:hAnsi="Courier New"/>
                <w:sz w:val="15"/>
                <w:szCs w:val="15"/>
                <w:color w:val="auto"/>
              </w:rPr>
              <w:t>Per Share*</w:t>
            </w:r>
          </w:p>
        </w:tc>
        <w:tc>
          <w:tcPr>
            <w:tcW w:w="1780" w:type="dxa"/>
            <w:vAlign w:val="bottom"/>
          </w:tcPr>
          <w:p>
            <w:pPr>
              <w:jc w:val="right"/>
              <w:ind w:right="487"/>
              <w:spacing w:after="0" w:line="169" w:lineRule="exact"/>
              <w:rPr>
                <w:sz w:val="20"/>
                <w:szCs w:val="20"/>
                <w:color w:val="auto"/>
              </w:rPr>
            </w:pPr>
            <w:r>
              <w:rPr>
                <w:rFonts w:ascii="Courier New" w:cs="Courier New" w:eastAsia="Courier New" w:hAnsi="Courier New"/>
                <w:sz w:val="15"/>
                <w:szCs w:val="15"/>
                <w:color w:val="auto"/>
              </w:rPr>
              <w:t>0.68</w:t>
            </w:r>
          </w:p>
        </w:tc>
        <w:tc>
          <w:tcPr>
            <w:tcW w:w="1540" w:type="dxa"/>
            <w:vAlign w:val="bottom"/>
          </w:tcPr>
          <w:p>
            <w:pPr>
              <w:jc w:val="right"/>
              <w:ind w:right="547"/>
              <w:spacing w:after="0" w:line="169" w:lineRule="exact"/>
              <w:rPr>
                <w:sz w:val="20"/>
                <w:szCs w:val="20"/>
                <w:color w:val="auto"/>
              </w:rPr>
            </w:pPr>
            <w:r>
              <w:rPr>
                <w:rFonts w:ascii="Courier New" w:cs="Courier New" w:eastAsia="Courier New" w:hAnsi="Courier New"/>
                <w:sz w:val="15"/>
                <w:szCs w:val="15"/>
                <w:color w:val="auto"/>
              </w:rPr>
              <w:t>0.49</w:t>
            </w:r>
          </w:p>
        </w:tc>
        <w:tc>
          <w:tcPr>
            <w:tcW w:w="1520" w:type="dxa"/>
            <w:vAlign w:val="bottom"/>
          </w:tcPr>
          <w:p>
            <w:pPr>
              <w:jc w:val="right"/>
              <w:ind w:right="487"/>
              <w:spacing w:after="0" w:line="169" w:lineRule="exact"/>
              <w:rPr>
                <w:sz w:val="20"/>
                <w:szCs w:val="20"/>
                <w:color w:val="auto"/>
              </w:rPr>
            </w:pPr>
            <w:r>
              <w:rPr>
                <w:rFonts w:ascii="Courier New" w:cs="Courier New" w:eastAsia="Courier New" w:hAnsi="Courier New"/>
                <w:sz w:val="15"/>
                <w:szCs w:val="15"/>
                <w:color w:val="auto"/>
              </w:rPr>
              <w:t>0.34</w:t>
            </w:r>
          </w:p>
        </w:tc>
        <w:tc>
          <w:tcPr>
            <w:tcW w:w="1540" w:type="dxa"/>
            <w:vAlign w:val="bottom"/>
          </w:tcPr>
          <w:p>
            <w:pPr>
              <w:jc w:val="right"/>
              <w:ind w:right="547"/>
              <w:spacing w:after="0" w:line="169" w:lineRule="exact"/>
              <w:rPr>
                <w:sz w:val="20"/>
                <w:szCs w:val="20"/>
                <w:color w:val="auto"/>
              </w:rPr>
            </w:pPr>
            <w:r>
              <w:rPr>
                <w:rFonts w:ascii="Courier New" w:cs="Courier New" w:eastAsia="Courier New" w:hAnsi="Courier New"/>
                <w:sz w:val="15"/>
                <w:szCs w:val="15"/>
                <w:color w:val="auto"/>
              </w:rPr>
              <w:t>0.28</w:t>
            </w:r>
          </w:p>
        </w:tc>
        <w:tc>
          <w:tcPr>
            <w:tcW w:w="9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0.24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$254,890</w:t>
            </w: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$189,783</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$140,378</w:t>
            </w:r>
          </w:p>
        </w:tc>
        <w:tc>
          <w:tcPr>
            <w:tcW w:w="15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$109,244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$80,739</w:t>
            </w:r>
          </w:p>
        </w:tc>
      </w:tr>
    </w:tbl>
    <w:p>
      <w:pPr>
        <w:spacing w:after="0" w:line="5" w:lineRule="exact"/>
        <w:rPr>
          <w:sz w:val="20"/>
          <w:szCs w:val="20"/>
          <w:color w:val="auto"/>
        </w:rPr>
      </w:pPr>
    </w:p>
    <w:p>
      <w:pPr>
        <w:ind w:left="180" w:hanging="170"/>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Long-Term Debt</w:t>
      </w:r>
    </w:p>
    <w:p>
      <w:pPr>
        <w:ind w:left="180"/>
        <w:spacing w:after="0" w:line="238" w:lineRule="auto"/>
        <w:rPr>
          <w:sz w:val="20"/>
          <w:szCs w:val="20"/>
          <w:color w:val="auto"/>
        </w:rPr>
      </w:pPr>
      <w:r>
        <w:rPr>
          <w:rFonts w:ascii="Courier New" w:cs="Courier New" w:eastAsia="Courier New" w:hAnsi="Courier New"/>
          <w:sz w:val="15"/>
          <w:szCs w:val="15"/>
          <w:color w:val="auto"/>
        </w:rPr>
        <w:t>Outstanding at</w:t>
      </w:r>
    </w:p>
    <w:p>
      <w:pPr>
        <w:ind w:left="180"/>
        <w:spacing w:after="0"/>
        <w:tabs>
          <w:tab w:leader="none" w:pos="2440" w:val="left"/>
          <w:tab w:leader="none" w:pos="3060" w:val="left"/>
          <w:tab w:leader="none" w:pos="3760" w:val="left"/>
          <w:tab w:leader="none" w:pos="4540" w:val="left"/>
          <w:tab w:leader="none" w:pos="5320" w:val="left"/>
          <w:tab w:leader="none" w:pos="6120" w:val="left"/>
          <w:tab w:leader="none" w:pos="6720" w:val="left"/>
          <w:tab w:leader="none" w:pos="7600" w:val="left"/>
          <w:tab w:leader="none" w:pos="8380" w:val="left"/>
          <w:tab w:leader="none" w:pos="9180" w:val="left"/>
        </w:tabs>
        <w:rPr>
          <w:sz w:val="20"/>
          <w:szCs w:val="20"/>
          <w:color w:val="auto"/>
        </w:rPr>
      </w:pPr>
      <w:r>
        <w:rPr>
          <w:rFonts w:ascii="Courier New" w:cs="Courier New" w:eastAsia="Courier New" w:hAnsi="Courier New"/>
          <w:sz w:val="15"/>
          <w:szCs w:val="15"/>
          <w:color w:val="auto"/>
        </w:rPr>
        <w:t>Year End</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2"/>
          <w:szCs w:val="12"/>
          <w:color w:val="auto"/>
        </w:rPr>
        <w:t>-</w:t>
      </w:r>
    </w:p>
    <w:p>
      <w:pPr>
        <w:spacing w:after="0" w:line="5" w:lineRule="exact"/>
        <w:rPr>
          <w:sz w:val="20"/>
          <w:szCs w:val="20"/>
          <w:color w:val="auto"/>
        </w:rPr>
      </w:pPr>
    </w:p>
    <w:p>
      <w:pPr>
        <w:ind w:left="180" w:hanging="170"/>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*Diluted; adjusted for 2-for-1 stock splits in June 1998 and 1996.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940"/>
          </w:cols>
          <w:pgMar w:left="220" w:top="281" w:right="739"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ind w:left="800" w:right="1040"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7.</w:t>
        <w:tab/>
        <w:t>MANAGEMENT'S DISCUSSION AND ANALYSIS OF RESULTS OF OPERATIONS AND FINANCIAL CONDITION.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600" w:firstLine="787"/>
        <w:spacing w:after="0" w:line="235" w:lineRule="auto"/>
        <w:rPr>
          <w:sz w:val="20"/>
          <w:szCs w:val="20"/>
          <w:color w:val="auto"/>
        </w:rPr>
      </w:pPr>
      <w:r>
        <w:rPr>
          <w:rFonts w:ascii="Courier New" w:cs="Courier New" w:eastAsia="Courier New" w:hAnsi="Courier New"/>
          <w:sz w:val="15"/>
          <w:szCs w:val="15"/>
          <w:color w:val="auto"/>
        </w:rPr>
        <w:t>The following table sets forth for the periods indicated certain items from the Company's Consolidated Statements of Income expressed as a percentage of net sales and the percentage change of each such item from that in the indicated previous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280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5"/>
              </w:rPr>
              <w:t>Percentage of Net Sales</w:t>
            </w:r>
          </w:p>
        </w:tc>
        <w:tc>
          <w:tcPr>
            <w:tcW w:w="52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280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w w:val="95"/>
              </w:rPr>
              <w:t>-----------------------</w:t>
            </w:r>
          </w:p>
        </w:tc>
        <w:tc>
          <w:tcPr>
            <w:tcW w:w="52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280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w w:val="99"/>
              </w:rPr>
              <w:t>Year Ended December 31</w:t>
            </w:r>
          </w:p>
        </w:tc>
        <w:tc>
          <w:tcPr>
            <w:tcW w:w="52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33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1998</w:t>
            </w:r>
          </w:p>
        </w:tc>
        <w:tc>
          <w:tcPr>
            <w:tcW w:w="14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1997</w:t>
            </w: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1996</w:t>
            </w:r>
          </w:p>
        </w:tc>
      </w:tr>
      <w:tr>
        <w:trPr>
          <w:trHeight w:val="168"/>
        </w:trPr>
        <w:tc>
          <w:tcPr>
            <w:tcW w:w="368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100.0%</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100.0%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100.0%</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Goods Sold</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59.3</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63.8</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62.9</w:t>
            </w:r>
          </w:p>
        </w:tc>
      </w:tr>
      <w:tr>
        <w:trPr>
          <w:trHeight w:val="168"/>
        </w:trPr>
        <w:tc>
          <w:tcPr>
            <w:tcW w:w="368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Gross Profit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40.7</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36.2</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37.1</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4.9</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5.4</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5.8</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Patent Settlement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368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10.4</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10.7</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15.7</w:t>
            </w:r>
          </w:p>
        </w:tc>
      </w:tr>
      <w:tr>
        <w:trPr>
          <w:trHeight w:val="168"/>
        </w:trPr>
        <w:tc>
          <w:tcPr>
            <w:tcW w:w="368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Income</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30.3</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25.5</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2.5</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368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Before Federal Income Taxes</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33.6</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28.0</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23.9</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Federal Income Taxes</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11.0</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9.1</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368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22.6%</w:t>
            </w: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18.9%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w:t>
            </w:r>
          </w:p>
        </w:tc>
      </w:tr>
      <w:tr>
        <w:trPr>
          <w:trHeight w:val="168"/>
        </w:trPr>
        <w:tc>
          <w:tcPr>
            <w:tcW w:w="368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200" w:lineRule="exact"/>
        <w:rPr>
          <w:sz w:val="20"/>
          <w:szCs w:val="20"/>
          <w:color w:val="auto"/>
        </w:rPr>
      </w:pPr>
    </w:p>
    <w:p>
      <w:pPr>
        <w:spacing w:after="0" w:line="303"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5"/>
          <w:szCs w:val="15"/>
          <w:color w:val="auto"/>
        </w:rPr>
        <w:t>RESULTS OF OPERATIONS:</w:t>
      </w:r>
      <w:r>
        <w:rPr>
          <w:sz w:val="20"/>
          <w:szCs w:val="20"/>
          <w:color w:val="auto"/>
        </w:rPr>
        <w:tab/>
      </w:r>
      <w:r>
        <w:rPr>
          <w:rFonts w:ascii="Courier New" w:cs="Courier New" w:eastAsia="Courier New" w:hAnsi="Courier New"/>
          <w:sz w:val="14"/>
          <w:szCs w:val="14"/>
          <w:color w:val="auto"/>
        </w:rPr>
        <w:t>1998 TO 1997</w:t>
      </w:r>
    </w:p>
    <w:p>
      <w:pPr>
        <w:spacing w:after="0" w:line="173" w:lineRule="exact"/>
        <w:rPr>
          <w:sz w:val="20"/>
          <w:szCs w:val="20"/>
          <w:color w:val="auto"/>
        </w:rPr>
      </w:pPr>
    </w:p>
    <w:p>
      <w:pPr>
        <w:ind w:right="680" w:firstLine="787"/>
        <w:spacing w:after="0" w:line="255" w:lineRule="auto"/>
        <w:rPr>
          <w:sz w:val="20"/>
          <w:szCs w:val="20"/>
          <w:color w:val="auto"/>
        </w:rPr>
      </w:pPr>
      <w:r>
        <w:rPr>
          <w:rFonts w:ascii="Courier New" w:cs="Courier New" w:eastAsia="Courier New" w:hAnsi="Courier New"/>
          <w:sz w:val="14"/>
          <w:szCs w:val="14"/>
          <w:color w:val="auto"/>
        </w:rPr>
        <w:t>Net Sales. Automotive net sales increased by 22% and mirror shipments increased by 26%, from 3,878,000 to 4,902,000 units, primarily reflecting new thin glass flat, convex and aspheric exterior mirrors, as well as increased penetration on domestic and foreign 1998 and 1999 model year vehicles for interior and exterior electrochromic Night Vision Safety(TM) (NVS(R)) Mirrors. North American unit shipments increased by 30%, despite the impact of the General Motors' strikes, while overseas unit shipments increased by 18% during 1998. Net sales of the Company's fire protection products were basically flat, as increased sales of its AC/DC smoke detectors offset a decrease in sales of certain strobe related products.</w:t>
      </w:r>
    </w:p>
    <w:p>
      <w:pPr>
        <w:spacing w:after="0" w:line="165" w:lineRule="exact"/>
        <w:rPr>
          <w:sz w:val="20"/>
          <w:szCs w:val="20"/>
          <w:color w:val="auto"/>
        </w:rPr>
      </w:pPr>
    </w:p>
    <w:p>
      <w:pPr>
        <w:ind w:right="520" w:firstLine="787"/>
        <w:spacing w:after="0" w:line="236" w:lineRule="auto"/>
        <w:rPr>
          <w:sz w:val="20"/>
          <w:szCs w:val="20"/>
          <w:color w:val="auto"/>
        </w:rPr>
      </w:pPr>
      <w:r>
        <w:rPr>
          <w:rFonts w:ascii="Courier New" w:cs="Courier New" w:eastAsia="Courier New" w:hAnsi="Courier New"/>
          <w:sz w:val="15"/>
          <w:szCs w:val="15"/>
          <w:color w:val="auto"/>
        </w:rPr>
        <w:t>Cost of Goods Sold. As a percentage of net sales, cost of goods sold decreased from 64% to 59%, primarily reflecting improved glass yields and product cost reductions in connection with the production ramp-up of the new exterior mirror products and the Company's new in-house glass coating equipment, and increased sales volume spread over fixed overhead expenses, partially offset by automotive customer price reductions.</w:t>
      </w:r>
    </w:p>
    <w:p>
      <w:pPr>
        <w:spacing w:after="0" w:line="175" w:lineRule="exact"/>
        <w:rPr>
          <w:sz w:val="20"/>
          <w:szCs w:val="20"/>
          <w:color w:val="auto"/>
        </w:rPr>
      </w:pPr>
    </w:p>
    <w:p>
      <w:pPr>
        <w:ind w:right="680" w:firstLine="787"/>
        <w:spacing w:after="0" w:line="236" w:lineRule="auto"/>
        <w:rPr>
          <w:sz w:val="20"/>
          <w:szCs w:val="20"/>
          <w:color w:val="auto"/>
        </w:rPr>
      </w:pPr>
      <w:r>
        <w:rPr>
          <w:rFonts w:ascii="Courier New" w:cs="Courier New" w:eastAsia="Courier New" w:hAnsi="Courier New"/>
          <w:sz w:val="15"/>
          <w:szCs w:val="15"/>
          <w:color w:val="auto"/>
        </w:rPr>
        <w:t>Operating Expenses. Research and development expenses increased approximately $1,904,000, but remained at 5% of net sales, primarily due to additional staffing for new product development. Selling, general and administrative expenses increased approximately $1,240,000, but decreased from 6% to 5% of net sales, primarily reflecting the establishment of an European warehouse operation, the opening of a sales office in Japan and a $200,000 patent settlement payment.</w:t>
      </w:r>
    </w:p>
    <w:p>
      <w:pPr>
        <w:spacing w:after="0" w:line="176" w:lineRule="exact"/>
        <w:rPr>
          <w:sz w:val="20"/>
          <w:szCs w:val="20"/>
          <w:color w:val="auto"/>
        </w:rPr>
      </w:pPr>
    </w:p>
    <w:p>
      <w:pPr>
        <w:ind w:right="860" w:firstLine="787"/>
        <w:spacing w:after="0" w:line="235" w:lineRule="auto"/>
        <w:rPr>
          <w:sz w:val="20"/>
          <w:szCs w:val="20"/>
          <w:color w:val="auto"/>
        </w:rPr>
      </w:pPr>
      <w:r>
        <w:rPr>
          <w:rFonts w:ascii="Courier New" w:cs="Courier New" w:eastAsia="Courier New" w:hAnsi="Courier New"/>
          <w:sz w:val="15"/>
          <w:szCs w:val="15"/>
          <w:color w:val="auto"/>
        </w:rPr>
        <w:t>Other Income - Net. Investment income increased $1,485,000 in 1998, primarily due to higher investable fund balances, and other income increased $1,128,000 in 1998, primarily due to realized gains on the sale of equity investments.</w:t>
      </w:r>
    </w:p>
    <w:p>
      <w:pPr>
        <w:spacing w:after="0" w:line="175" w:lineRule="exact"/>
        <w:rPr>
          <w:sz w:val="20"/>
          <w:szCs w:val="20"/>
          <w:color w:val="auto"/>
        </w:rPr>
      </w:pPr>
    </w:p>
    <w:p>
      <w:pPr>
        <w:jc w:val="both"/>
        <w:ind w:right="520" w:firstLine="787"/>
        <w:spacing w:after="0" w:line="258" w:lineRule="auto"/>
        <w:rPr>
          <w:sz w:val="20"/>
          <w:szCs w:val="20"/>
          <w:color w:val="auto"/>
        </w:rPr>
      </w:pPr>
      <w:r>
        <w:rPr>
          <w:rFonts w:ascii="Courier New" w:cs="Courier New" w:eastAsia="Courier New" w:hAnsi="Courier New"/>
          <w:sz w:val="14"/>
          <w:szCs w:val="14"/>
          <w:color w:val="auto"/>
        </w:rPr>
        <w:t>Taxes. The provision for federal income taxes varied from the statutory rate in 1998, primarily due to Foreign Sales Corporation exempted taxable income from increased foreign sales, as well as tax-exempt interest income.</w:t>
      </w:r>
    </w:p>
    <w:p>
      <w:pPr>
        <w:spacing w:after="0" w:line="161" w:lineRule="exact"/>
        <w:rPr>
          <w:sz w:val="20"/>
          <w:szCs w:val="20"/>
          <w:color w:val="auto"/>
        </w:rPr>
      </w:pPr>
    </w:p>
    <w:p>
      <w:pPr>
        <w:ind w:right="1040" w:firstLine="787"/>
        <w:spacing w:after="0" w:line="234" w:lineRule="auto"/>
        <w:rPr>
          <w:sz w:val="20"/>
          <w:szCs w:val="20"/>
          <w:color w:val="auto"/>
        </w:rPr>
      </w:pPr>
      <w:r>
        <w:rPr>
          <w:rFonts w:ascii="Courier New" w:cs="Courier New" w:eastAsia="Courier New" w:hAnsi="Courier New"/>
          <w:sz w:val="15"/>
          <w:szCs w:val="15"/>
          <w:color w:val="auto"/>
        </w:rPr>
        <w:t>Net Income. Net income increased by 43%, primarily reflecting the increased sales level and improved gross margin in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 Change</w:t>
      </w:r>
    </w:p>
    <w:p>
      <w:pPr>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9"/>
        </w:trPr>
        <w:tc>
          <w:tcPr>
            <w:tcW w:w="820" w:type="dxa"/>
            <w:vAlign w:val="bottom"/>
          </w:tcPr>
          <w:p>
            <w:pPr>
              <w:jc w:val="center"/>
              <w:ind w:right="407"/>
              <w:spacing w:after="0" w:line="169" w:lineRule="exact"/>
              <w:rPr>
                <w:sz w:val="20"/>
                <w:szCs w:val="20"/>
                <w:color w:val="auto"/>
              </w:rPr>
            </w:pPr>
            <w:r>
              <w:rPr>
                <w:rFonts w:ascii="Courier New" w:cs="Courier New" w:eastAsia="Courier New" w:hAnsi="Courier New"/>
                <w:sz w:val="15"/>
                <w:szCs w:val="15"/>
                <w:color w:val="auto"/>
                <w:w w:val="94"/>
              </w:rPr>
              <w:t>1998</w:t>
            </w:r>
          </w:p>
        </w:tc>
        <w:tc>
          <w:tcPr>
            <w:tcW w:w="840" w:type="dxa"/>
            <w:vAlign w:val="bottom"/>
          </w:tcPr>
          <w:p>
            <w:pPr>
              <w:jc w:val="center"/>
              <w:ind w:left="47"/>
              <w:spacing w:after="0" w:line="169" w:lineRule="exact"/>
              <w:rPr>
                <w:sz w:val="20"/>
                <w:szCs w:val="20"/>
                <w:color w:val="auto"/>
              </w:rPr>
            </w:pPr>
            <w:r>
              <w:rPr>
                <w:rFonts w:ascii="Courier New" w:cs="Courier New" w:eastAsia="Courier New" w:hAnsi="Courier New"/>
                <w:sz w:val="15"/>
                <w:szCs w:val="15"/>
                <w:color w:val="auto"/>
                <w:w w:val="99"/>
              </w:rPr>
              <w:t>1997</w:t>
            </w:r>
          </w:p>
        </w:tc>
      </w:tr>
      <w:tr>
        <w:trPr>
          <w:trHeight w:val="168"/>
        </w:trPr>
        <w:tc>
          <w:tcPr>
            <w:tcW w:w="82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9"/>
              </w:rPr>
              <w:t>to</w:t>
            </w:r>
          </w:p>
        </w:tc>
        <w:tc>
          <w:tcPr>
            <w:tcW w:w="84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to</w:t>
            </w:r>
          </w:p>
        </w:tc>
      </w:tr>
      <w:tr>
        <w:trPr>
          <w:trHeight w:val="168"/>
        </w:trPr>
        <w:tc>
          <w:tcPr>
            <w:tcW w:w="82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4"/>
              </w:rPr>
              <w:t>1997</w:t>
            </w:r>
          </w:p>
        </w:tc>
        <w:tc>
          <w:tcPr>
            <w:tcW w:w="84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1996</w:t>
            </w:r>
          </w:p>
        </w:tc>
      </w:tr>
      <w:tr>
        <w:trPr>
          <w:trHeight w:val="168"/>
        </w:trPr>
        <w:tc>
          <w:tcPr>
            <w:tcW w:w="82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84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19.3%</w:t>
            </w: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w w:val="93"/>
              </w:rPr>
              <w:t>25.3%</w:t>
            </w:r>
          </w:p>
        </w:tc>
      </w:tr>
      <w:tr>
        <w:trPr>
          <w:trHeight w:val="168"/>
        </w:trPr>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10.9</w:t>
            </w:r>
          </w:p>
        </w:tc>
        <w:tc>
          <w:tcPr>
            <w:tcW w:w="8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27.1</w:t>
            </w:r>
          </w:p>
        </w:tc>
      </w:tr>
    </w:tbl>
    <w:p>
      <w:pPr>
        <w:ind w:left="1040" w:hanging="961"/>
        <w:spacing w:after="0" w:line="237" w:lineRule="auto"/>
        <w:tabs>
          <w:tab w:leader="none" w:pos="10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0"/>
        <w:spacing w:after="0"/>
        <w:tabs>
          <w:tab w:leader="none" w:pos="1200" w:val="left"/>
        </w:tabs>
        <w:rPr>
          <w:sz w:val="20"/>
          <w:szCs w:val="20"/>
          <w:color w:val="auto"/>
        </w:rPr>
      </w:pPr>
      <w:r>
        <w:rPr>
          <w:rFonts w:ascii="Courier New" w:cs="Courier New" w:eastAsia="Courier New" w:hAnsi="Courier New"/>
          <w:sz w:val="15"/>
          <w:szCs w:val="15"/>
          <w:color w:val="auto"/>
        </w:rPr>
        <w:t>34.1</w:t>
      </w:r>
      <w:r>
        <w:rPr>
          <w:sz w:val="20"/>
          <w:szCs w:val="20"/>
          <w:color w:val="auto"/>
        </w:rPr>
        <w:tab/>
      </w:r>
      <w:r>
        <w:rPr>
          <w:rFonts w:ascii="Courier New" w:cs="Courier New" w:eastAsia="Courier New" w:hAnsi="Courier New"/>
          <w:sz w:val="14"/>
          <w:szCs w:val="14"/>
          <w:color w:val="auto"/>
        </w:rPr>
        <w:t>22.2</w:t>
      </w:r>
    </w:p>
    <w:p>
      <w:pPr>
        <w:spacing w:after="0" w:line="167"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21.0</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20.5</w:t>
            </w:r>
          </w:p>
        </w:tc>
      </w:tr>
      <w:tr>
        <w:trPr>
          <w:trHeight w:val="168"/>
        </w:trPr>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88"/>
              </w:rPr>
              <w:t>11.5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N/A</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bl>
    <w:p>
      <w:pPr>
        <w:ind w:left="1040" w:hanging="961"/>
        <w:spacing w:after="0" w:line="237" w:lineRule="auto"/>
        <w:tabs>
          <w:tab w:leader="none" w:pos="10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0"/>
        <w:spacing w:after="0"/>
        <w:tabs>
          <w:tab w:leader="none" w:pos="1200" w:val="left"/>
        </w:tabs>
        <w:rPr>
          <w:sz w:val="20"/>
          <w:szCs w:val="20"/>
          <w:color w:val="auto"/>
        </w:rPr>
      </w:pPr>
      <w:r>
        <w:rPr>
          <w:rFonts w:ascii="Courier New" w:cs="Courier New" w:eastAsia="Courier New" w:hAnsi="Courier New"/>
          <w:sz w:val="15"/>
          <w:szCs w:val="15"/>
          <w:color w:val="auto"/>
        </w:rPr>
        <w:t>15.8</w:t>
      </w:r>
      <w:r>
        <w:rPr>
          <w:sz w:val="20"/>
          <w:szCs w:val="20"/>
          <w:color w:val="auto"/>
        </w:rPr>
        <w:tab/>
      </w:r>
      <w:r>
        <w:rPr>
          <w:rFonts w:ascii="Courier New" w:cs="Courier New" w:eastAsia="Courier New" w:hAnsi="Courier New"/>
          <w:sz w:val="14"/>
          <w:szCs w:val="14"/>
          <w:color w:val="auto"/>
        </w:rPr>
        <w:t>14.5</w:t>
      </w:r>
    </w:p>
    <w:p>
      <w:pPr>
        <w:ind w:left="1040" w:hanging="961"/>
        <w:spacing w:after="0" w:line="237" w:lineRule="auto"/>
        <w:tabs>
          <w:tab w:leader="none" w:pos="10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tbl>
      <w:tblPr>
        <w:tblLayout w:type="fixed"/>
        <w:tblInd w:w="80" w:type="dxa"/>
        <w:tblCellMar>
          <w:top w:w="0" w:type="dxa"/>
          <w:left w:w="0" w:type="dxa"/>
          <w:bottom w:w="0" w:type="dxa"/>
          <w:right w:w="0" w:type="dxa"/>
        </w:tblCellMar>
      </w:tblPr>
      <w:tr>
        <w:trPr>
          <w:trHeight w:val="169"/>
        </w:trPr>
        <w:tc>
          <w:tcPr>
            <w:tcW w:w="74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w w:val="88"/>
              </w:rPr>
              <w:t>41.8</w:t>
            </w:r>
          </w:p>
        </w:tc>
        <w:tc>
          <w:tcPr>
            <w:tcW w:w="7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49.1</w:t>
            </w:r>
          </w:p>
        </w:tc>
      </w:tr>
      <w:tr>
        <w:trPr>
          <w:trHeight w:val="168"/>
        </w:trPr>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55.5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29.2</w:t>
            </w:r>
          </w:p>
        </w:tc>
      </w:tr>
    </w:tbl>
    <w:p>
      <w:pPr>
        <w:ind w:left="1040" w:hanging="961"/>
        <w:spacing w:after="0" w:line="237" w:lineRule="auto"/>
        <w:tabs>
          <w:tab w:leader="none" w:pos="10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tbl>
      <w:tblPr>
        <w:tblLayout w:type="fixed"/>
        <w:tblInd w:w="80" w:type="dxa"/>
        <w:tblCellMar>
          <w:top w:w="0" w:type="dxa"/>
          <w:left w:w="0" w:type="dxa"/>
          <w:bottom w:w="0" w:type="dxa"/>
          <w:right w:w="0" w:type="dxa"/>
        </w:tblCellMar>
      </w:tblPr>
      <w:tr>
        <w:trPr>
          <w:trHeight w:val="169"/>
        </w:trPr>
        <w:tc>
          <w:tcPr>
            <w:tcW w:w="74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w w:val="88"/>
              </w:rPr>
              <w:t>43.1</w:t>
            </w:r>
          </w:p>
        </w:tc>
        <w:tc>
          <w:tcPr>
            <w:tcW w:w="7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47.1</w:t>
            </w:r>
          </w:p>
        </w:tc>
      </w:tr>
      <w:tr>
        <w:trPr>
          <w:trHeight w:val="168"/>
        </w:trPr>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43.6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47.2</w:t>
            </w:r>
          </w:p>
        </w:tc>
      </w:tr>
    </w:tbl>
    <w:p>
      <w:pPr>
        <w:ind w:left="1040" w:hanging="961"/>
        <w:spacing w:after="0" w:line="237" w:lineRule="auto"/>
        <w:tabs>
          <w:tab w:leader="none" w:pos="10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42.8%</w:t>
      </w:r>
      <w:r>
        <w:rPr>
          <w:rFonts w:ascii="Courier New" w:cs="Courier New" w:eastAsia="Courier New" w:hAnsi="Courier New"/>
          <w:sz w:val="14"/>
          <w:szCs w:val="14"/>
          <w:color w:val="auto"/>
        </w:rPr>
        <w:t>47.0%</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t>
      </w:r>
    </w:p>
    <w:p>
      <w:pPr>
        <w:spacing w:after="0" w:line="7264" w:lineRule="exact"/>
        <w:rPr>
          <w:sz w:val="20"/>
          <w:szCs w:val="20"/>
          <w:color w:val="auto"/>
        </w:rPr>
      </w:pPr>
    </w:p>
    <w:p>
      <w:pPr>
        <w:sectPr>
          <w:pgSz w:w="11900" w:h="16838" w:orient="portrait"/>
          <w:cols w:equalWidth="0" w:num="2">
            <w:col w:w="7520" w:space="720"/>
            <w:col w:w="1999"/>
          </w:cols>
          <w:pgMar w:left="220" w:top="281" w:right="1440" w:bottom="6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1" w:right="1440" w:bottom="69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5"/>
          <w:szCs w:val="15"/>
          <w:color w:val="auto"/>
        </w:rPr>
        <w:t>RESULTS OF OPERATIONS:</w:t>
      </w:r>
      <w:r>
        <w:rPr>
          <w:sz w:val="20"/>
          <w:szCs w:val="20"/>
          <w:color w:val="auto"/>
        </w:rPr>
        <w:tab/>
      </w:r>
      <w:r>
        <w:rPr>
          <w:rFonts w:ascii="Courier New" w:cs="Courier New" w:eastAsia="Courier New" w:hAnsi="Courier New"/>
          <w:sz w:val="14"/>
          <w:szCs w:val="14"/>
          <w:color w:val="auto"/>
        </w:rPr>
        <w:t>1997 TO 1996</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Net Sales. Automotive net sales increased by 28% and mirror shipments increased by 26%, from 3,079,000 to 3,878,000 units, primarily reflecting new thin glass flat, convex and aspheric exterior mirrors, as well as increased penetration on domestic and foreign 1997 and 1998 model year vehicles for interior and exterior electrochromic Night Vision Safety(TM) (NVS(R)) Mirrors. North American unit shipments increased by 17%, while overseas unit shipments increased by 50% during 1997. Net sales of the Company's fire protection products increased 6%, primarily due to increased sales of its AC/DC smoke detectors and certain strobe related products.</w:t>
      </w:r>
    </w:p>
    <w:p>
      <w:pPr>
        <w:spacing w:after="0" w:line="16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Cost of Goods Sold. As a percentage of net sales, cost of goods sold increased from 63% to 64%, primarily reflecting automotive customer price reductions, lower glass yields in connection with the production ramp-up of the new exterior mirror products, and temporary capacity under-utilization at the new mirror manufacturing facility, partially offset by product cost reductions and increased sales volume spread over fixed overhead expenses.</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Operating Expenses. Research and development expenses increased approximately $1,542,000, but remained at 5% of net sales, primarily due to additional staffing for new product development. Selling, general and administrative expenses decreased approximately $923,000, and decreased from 8% to 6% of net sales, primarily reflecting a reduction in patent litigation expense of $1,440,000, as a result of the patent litigation settlement at the end of the first quarter 1996.</w:t>
      </w:r>
    </w:p>
    <w:p>
      <w:pPr>
        <w:spacing w:after="0" w:line="176"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Other Income - Net. Investment income increased $968,000 in 1997, primarily due to higher investable fund balances and higher average interest rates.</w:t>
      </w:r>
    </w:p>
    <w:p>
      <w:pPr>
        <w:spacing w:after="0" w:line="174" w:lineRule="exact"/>
        <w:rPr>
          <w:sz w:val="20"/>
          <w:szCs w:val="20"/>
          <w:color w:val="auto"/>
        </w:rPr>
      </w:pPr>
    </w:p>
    <w:p>
      <w:pPr>
        <w:ind w:right="3239" w:firstLine="787"/>
        <w:spacing w:after="0" w:line="258" w:lineRule="auto"/>
        <w:rPr>
          <w:sz w:val="20"/>
          <w:szCs w:val="20"/>
          <w:color w:val="auto"/>
        </w:rPr>
      </w:pPr>
      <w:r>
        <w:rPr>
          <w:rFonts w:ascii="Courier New" w:cs="Courier New" w:eastAsia="Courier New" w:hAnsi="Courier New"/>
          <w:sz w:val="14"/>
          <w:szCs w:val="14"/>
          <w:color w:val="auto"/>
        </w:rPr>
        <w:t>Taxes. The provision for federal income taxes varied from the statutory rates in 1997, primarily due to Foreign Sales Corporation exempted taxable income from increased foreign sales, as well as tax-exempt interest income.</w:t>
      </w:r>
    </w:p>
    <w:p>
      <w:pPr>
        <w:spacing w:after="0" w:line="161" w:lineRule="exact"/>
        <w:rPr>
          <w:sz w:val="20"/>
          <w:szCs w:val="20"/>
          <w:color w:val="auto"/>
        </w:rPr>
      </w:pPr>
    </w:p>
    <w:p>
      <w:pPr>
        <w:ind w:right="3579" w:firstLine="787"/>
        <w:spacing w:after="0" w:line="261" w:lineRule="auto"/>
        <w:rPr>
          <w:sz w:val="20"/>
          <w:szCs w:val="20"/>
          <w:color w:val="auto"/>
        </w:rPr>
      </w:pPr>
      <w:r>
        <w:rPr>
          <w:rFonts w:ascii="Courier New" w:cs="Courier New" w:eastAsia="Courier New" w:hAnsi="Courier New"/>
          <w:sz w:val="14"/>
          <w:szCs w:val="14"/>
          <w:color w:val="auto"/>
        </w:rPr>
        <w:t>Net Income. Net income increased by 47%, primarily reflecting the increased sales level in 1997, and the patent litigation settlement in 1996.</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The Company's financial condition throughout the periods presented has remained very strong.</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The Company's current ratio increased from 5.2 to 7.8, primarily as a result of increased cash and short-term investments.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Management considers the Company's working capital of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$100,511,000 and long-term investments of approximately $78,744,000 at December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1998, together with internally generated cash flow and an unsecured</w:t>
      </w:r>
    </w:p>
    <w:p>
      <w:pPr>
        <w:spacing w:after="0" w:line="237" w:lineRule="auto"/>
        <w:rPr>
          <w:sz w:val="20"/>
          <w:szCs w:val="20"/>
          <w:color w:val="auto"/>
        </w:rPr>
      </w:pPr>
      <w:r>
        <w:rPr>
          <w:rFonts w:ascii="Courier New" w:cs="Courier New" w:eastAsia="Courier New" w:hAnsi="Courier New"/>
          <w:sz w:val="15"/>
          <w:szCs w:val="15"/>
          <w:color w:val="auto"/>
        </w:rPr>
        <w:t>$5,000,000 line of credit from a bank, to be sufficient to cover anticipated</w:t>
      </w:r>
    </w:p>
    <w:p>
      <w:pPr>
        <w:spacing w:after="0" w:line="238" w:lineRule="auto"/>
        <w:rPr>
          <w:sz w:val="20"/>
          <w:szCs w:val="20"/>
          <w:color w:val="auto"/>
        </w:rPr>
      </w:pPr>
      <w:r>
        <w:rPr>
          <w:rFonts w:ascii="Courier New" w:cs="Courier New" w:eastAsia="Courier New" w:hAnsi="Courier New"/>
          <w:sz w:val="15"/>
          <w:szCs w:val="15"/>
          <w:color w:val="auto"/>
        </w:rPr>
        <w:t>cash needs for the foreseeable future.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 CHANGING PRICES AND OTHER</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In addition to price reductions over the life of its long-term agreements, the Company continues to experience pricing pressures from its automotive customers, which have affected, and which will continue to affect, its margins to the extent that the Company is unable to offset the price reductions with productivity and yield improvements, engineering and purchasing cost reductions, and increases in sales volume. In addition, the Company continues to experience some pressure for raw material cost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341"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Company currently supplies NVS(R) Mirrors to DaimlerChrysler AG (North America), Ford Motor Company and General Motors Corporation under long-term agreements. The long-term supply agreement with DaimlerChrysler AG runs through the 2003 Model Year. The term of the Ford contract is through December 1999, while the GM contract runs through the 2002 Model Year for inside mirrors.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READINESS DISCLOSURE</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Company has developed a plan to address its computer systems' compliance with the Year 2000. All internal remediation activities have been completed, and the Company expects that all internal acceptance testing will be completed by mid-1999. The Company is in the process of ascertaining the status of its suppliers' Year 2000 compliance efforts, and plans to develop contingency plans by mid-1999 for any key suppliers that will not be compliant on a timely basis. The Company currently believes that the cost of addressing the Year 2000 issue will not be material to the Company's business, operations or financial condition.</w:t>
      </w:r>
    </w:p>
    <w:p>
      <w:pPr>
        <w:spacing w:after="0" w:line="178"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While the Company believes all necessary work will be completed, there can be no guarantee that all systems will be in compliance by the year 2000 or that the systems of other companies on which the Company relies will be converted in a timely manner. Such failure to complete the necessary work by the year 2000 could cause delays in the Company's ability to produce or ship its products, process transactions, or otherwise conduct business in its markets, resulting in material financial risk.</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The following financial statements are filed with this report as pages 18 through 30 following the signature page:</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Consolidated Balance Sheets as of December 31, 1998 and 1997</w:t>
      </w:r>
    </w:p>
    <w:p>
      <w:pPr>
        <w:spacing w:after="0" w:line="173"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Consolidated Statements of Income for the years ended December 31, 1998, 1997 and 1996</w:t>
      </w:r>
    </w:p>
    <w:p>
      <w:pPr>
        <w:spacing w:after="0" w:line="17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Consolidated Statements of Shareholders' Investment for the years ended December 31, 1998, 1997 and 1996</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Consolidated Statements of Cash Flows for the years ended December 31, 1998, 1997 and 1996</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Selected quarterly financial data for the past two years appears in the following table.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Quarterly Results of Operations</w:t>
      </w:r>
    </w:p>
    <w:p>
      <w:pPr>
        <w:ind w:left="3600"/>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228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12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First</w:t>
            </w:r>
          </w:p>
        </w:tc>
        <w:tc>
          <w:tcPr>
            <w:tcW w:w="700" w:type="dxa"/>
            <w:vAlign w:val="bottom"/>
          </w:tcPr>
          <w:p>
            <w:pPr>
              <w:spacing w:after="0"/>
              <w:rPr>
                <w:sz w:val="14"/>
                <w:szCs w:val="14"/>
                <w:color w:val="auto"/>
              </w:rPr>
            </w:pPr>
          </w:p>
        </w:tc>
        <w:tc>
          <w:tcPr>
            <w:tcW w:w="1400" w:type="dxa"/>
            <w:vAlign w:val="bottom"/>
          </w:tcPr>
          <w:p>
            <w:pPr>
              <w:jc w:val="right"/>
              <w:ind w:right="787"/>
              <w:spacing w:after="0"/>
              <w:rPr>
                <w:sz w:val="20"/>
                <w:szCs w:val="20"/>
                <w:color w:val="auto"/>
              </w:rPr>
            </w:pPr>
            <w:r>
              <w:rPr>
                <w:rFonts w:ascii="Courier New" w:cs="Courier New" w:eastAsia="Courier New" w:hAnsi="Courier New"/>
                <w:sz w:val="15"/>
                <w:szCs w:val="15"/>
                <w:color w:val="auto"/>
                <w:w w:val="96"/>
              </w:rPr>
              <w:t>Second</w:t>
            </w:r>
          </w:p>
        </w:tc>
        <w:tc>
          <w:tcPr>
            <w:tcW w:w="880" w:type="dxa"/>
            <w:vAlign w:val="bottom"/>
          </w:tcPr>
          <w:p>
            <w:pPr>
              <w:spacing w:after="0"/>
              <w:rPr>
                <w:sz w:val="14"/>
                <w:szCs w:val="14"/>
                <w:color w:val="auto"/>
              </w:rPr>
            </w:pPr>
          </w:p>
        </w:tc>
        <w:tc>
          <w:tcPr>
            <w:tcW w:w="1320" w:type="dxa"/>
            <w:vAlign w:val="bottom"/>
          </w:tcPr>
          <w:p>
            <w:pPr>
              <w:jc w:val="right"/>
              <w:ind w:right="807"/>
              <w:spacing w:after="0"/>
              <w:rPr>
                <w:sz w:val="20"/>
                <w:szCs w:val="20"/>
                <w:color w:val="auto"/>
              </w:rPr>
            </w:pPr>
            <w:r>
              <w:rPr>
                <w:rFonts w:ascii="Courier New" w:cs="Courier New" w:eastAsia="Courier New" w:hAnsi="Courier New"/>
                <w:sz w:val="15"/>
                <w:szCs w:val="15"/>
                <w:color w:val="auto"/>
                <w:w w:val="93"/>
              </w:rPr>
              <w:t>Third</w:t>
            </w:r>
          </w:p>
        </w:tc>
        <w:tc>
          <w:tcPr>
            <w:tcW w:w="82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Fourth</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1998</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1998</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Sales</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$56,979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2"/>
              </w:rPr>
              <w:t>41,902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51,372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2"/>
              </w:rPr>
              <w:t>44,873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49,596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46,968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64,345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52,584</w:t>
            </w:r>
          </w:p>
        </w:tc>
      </w:tr>
      <w:tr>
        <w:trPr>
          <w:trHeight w:val="168"/>
        </w:trPr>
        <w:tc>
          <w:tcPr>
            <w:tcW w:w="1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22,639</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14,732</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19,803</w:t>
            </w:r>
          </w:p>
        </w:tc>
        <w:tc>
          <w:tcPr>
            <w:tcW w:w="2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15,805</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19,184</w:t>
            </w: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16,703</w:t>
            </w:r>
          </w:p>
        </w:tc>
        <w:tc>
          <w:tcPr>
            <w:tcW w:w="3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28,766</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20,147</w:t>
            </w:r>
          </w:p>
        </w:tc>
      </w:tr>
      <w:tr>
        <w:trPr>
          <w:trHeight w:val="168"/>
        </w:trPr>
        <w:tc>
          <w:tcPr>
            <w:tcW w:w="1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17,024</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9,965</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14,036</w:t>
            </w:r>
          </w:p>
        </w:tc>
        <w:tc>
          <w:tcPr>
            <w:tcW w:w="2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10,619</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13,277</w:t>
            </w: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11,710</w:t>
            </w:r>
          </w:p>
        </w:tc>
        <w:tc>
          <w:tcPr>
            <w:tcW w:w="3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23,005</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15,189</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Net</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Income</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12,501</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7,384</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10,765</w:t>
            </w:r>
          </w:p>
        </w:tc>
        <w:tc>
          <w:tcPr>
            <w:tcW w:w="2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8,001</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9,901</w:t>
            </w: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8,667</w:t>
            </w:r>
          </w:p>
        </w:tc>
        <w:tc>
          <w:tcPr>
            <w:tcW w:w="3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17,140</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11,178</w:t>
            </w:r>
          </w:p>
        </w:tc>
      </w:tr>
      <w:tr>
        <w:trPr>
          <w:trHeight w:val="168"/>
        </w:trPr>
        <w:tc>
          <w:tcPr>
            <w:tcW w:w="1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Earnings Per Share*$</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bl>
    <w:p>
      <w:pPr>
        <w:spacing w:after="0" w:line="5" w:lineRule="exact"/>
        <w:rPr>
          <w:sz w:val="20"/>
          <w:szCs w:val="20"/>
          <w:color w:val="auto"/>
        </w:rPr>
      </w:pPr>
    </w:p>
    <w:p>
      <w:pPr>
        <w:ind w:left="180" w:hanging="170"/>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*Diluted; adjusted for 2-for-1 stock split in June 1998.</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CHANGES AND DISAGREEMENTS WITH ACCOUNTANTS ON ACCOUNTING AND FINANCIAL</w:t>
      </w:r>
    </w:p>
    <w:p>
      <w:pPr>
        <w:ind w:left="800"/>
        <w:spacing w:after="0" w:line="237" w:lineRule="auto"/>
        <w:rPr>
          <w:sz w:val="20"/>
          <w:szCs w:val="20"/>
          <w:color w:val="auto"/>
        </w:rPr>
      </w:pPr>
      <w:r>
        <w:rPr>
          <w:rFonts w:ascii="Courier New" w:cs="Courier New" w:eastAsia="Courier New" w:hAnsi="Courier New"/>
          <w:sz w:val="15"/>
          <w:szCs w:val="15"/>
          <w:color w:val="auto"/>
        </w:rPr>
        <w:t>DISCLOSURE.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1" w:right="1440" w:bottom="1440"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Information relating to executive officers is included in this report in the last section of Part I under the caption "Executive Officers of the Registrant". Information relating to directors appearing under the caption "Election of Directors" in the definitive Proxy Statement for the 1999 Annual Meeting of Shareholders and filed with the Commission is hereby incorporated herein by reference. Information concerning compliance with Section 16(a) of the Securities and Exchange Act of 1934 appearing under the caption "Section 16(A) Beneficial Ownership Reporting Compliance" in the definitive Proxy Statement for the 1999 Annual Meeting of Shareholders and filed with the Commission is hereby incorporated herein by reference.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The information contained under the caption "Executive Compensation" contained in the definitive Proxy Statement for the 1999 Annual Meeting of Shareholders and filed with the Commission is hereby incorporated herein by reference.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information contained under the captions "Securities Ownership of Management" and "Securities Ownership of Certain Beneficial Owners" contained in the definitive Proxy Statement for the 1999 Annual Meeting of Shareholders and filed with the Commission is hereby incorporated herein by reference.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3"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The information contained under the caption "Transactions with Management" contained in the definitive Proxy Statement for the 1999 Annual Meeting of Shareholders and filed with the Commission is hereby incorporated herein by reference.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66" w:lineRule="exact"/>
        <w:rPr>
          <w:sz w:val="20"/>
          <w:szCs w:val="20"/>
          <w:color w:val="auto"/>
        </w:rPr>
      </w:pPr>
    </w:p>
    <w:p>
      <w:pPr>
        <w:ind w:left="1140" w:hanging="780"/>
        <w:spacing w:after="0"/>
        <w:tabs>
          <w:tab w:leader="none" w:pos="11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w:t>
      </w:r>
      <w:r>
        <w:rPr>
          <w:rFonts w:ascii="Courier New" w:cs="Courier New" w:eastAsia="Courier New" w:hAnsi="Courier New"/>
          <w:sz w:val="14"/>
          <w:szCs w:val="14"/>
          <w:color w:val="auto"/>
        </w:rPr>
        <w:t>Financial Statements.   See Item 8.</w:t>
      </w:r>
    </w:p>
    <w:p>
      <w:pPr>
        <w:ind w:left="1680" w:hanging="533"/>
        <w:spacing w:after="0" w:line="237" w:lineRule="auto"/>
        <w:tabs>
          <w:tab w:leader="none" w:pos="168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Schedules.   Not applicable.</w:t>
      </w:r>
    </w:p>
    <w:p>
      <w:pPr>
        <w:ind w:left="1680" w:hanging="533"/>
        <w:spacing w:after="0" w:line="237" w:lineRule="auto"/>
        <w:tabs>
          <w:tab w:leader="none" w:pos="168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See Exhibit Index located on page 31.</w:t>
      </w:r>
    </w:p>
    <w:p>
      <w:pPr>
        <w:spacing w:after="0" w:line="173" w:lineRule="exact"/>
        <w:rPr>
          <w:rFonts w:ascii="Courier New" w:cs="Courier New" w:eastAsia="Courier New" w:hAnsi="Courier New"/>
          <w:sz w:val="15"/>
          <w:szCs w:val="15"/>
          <w:color w:val="auto"/>
        </w:rPr>
      </w:pPr>
    </w:p>
    <w:p>
      <w:pPr>
        <w:ind w:right="3319" w:firstLine="360"/>
        <w:spacing w:after="0" w:line="234" w:lineRule="auto"/>
        <w:tabs>
          <w:tab w:leader="none" w:pos="113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were filed for the three-month period ended December 31,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341"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Pursuant to the requirements of Section 13 of 15(d) of the Securities Exchange Act of 1934, the Registrant has duly caused this report to be signed on this behalf by the undersigned thereunto duly authorized.</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12, 1999</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GENTEX CORPORATION</w:t>
      </w:r>
    </w:p>
    <w:p>
      <w:pPr>
        <w:spacing w:after="0" w:line="204" w:lineRule="exact"/>
        <w:rPr>
          <w:sz w:val="20"/>
          <w:szCs w:val="20"/>
          <w:color w:val="auto"/>
        </w:rPr>
      </w:pPr>
    </w:p>
    <w:p>
      <w:pPr>
        <w:sectPr>
          <w:pgSz w:w="11900" w:h="16838" w:orient="portrait"/>
          <w:cols w:equalWidth="0" w:num="3">
            <w:col w:w="540" w:space="160"/>
            <w:col w:w="1380" w:space="720"/>
            <w:col w:w="7439"/>
          </w:cols>
          <w:pgMar w:left="220" w:top="281" w:right="1440" w:bottom="1440" w:gutter="0" w:footer="0" w:header="0"/>
          <w:type w:val="continuous"/>
        </w:sect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Fred Bauer</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Fred Bauer, Chairman and Principal Executive</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Officer</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and</w:t>
      </w:r>
    </w:p>
    <w:p>
      <w:pPr>
        <w:ind w:left="3160"/>
        <w:spacing w:after="0" w:line="237" w:lineRule="auto"/>
        <w:rPr>
          <w:sz w:val="20"/>
          <w:szCs w:val="20"/>
          <w:color w:val="auto"/>
        </w:rPr>
      </w:pPr>
      <w:r>
        <w:rPr>
          <w:rFonts w:ascii="Courier New" w:cs="Courier New" w:eastAsia="Courier New" w:hAnsi="Courier New"/>
          <w:sz w:val="15"/>
          <w:szCs w:val="15"/>
          <w:color w:val="auto"/>
        </w:rPr>
        <w:t>/s/ Enoch Jen</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Enoch Jen, Vice President-Finance and</w:t>
      </w:r>
    </w:p>
    <w:p>
      <w:pPr>
        <w:ind w:left="3160"/>
        <w:spacing w:after="0" w:line="237" w:lineRule="auto"/>
        <w:rPr>
          <w:sz w:val="20"/>
          <w:szCs w:val="20"/>
          <w:color w:val="auto"/>
        </w:rPr>
      </w:pPr>
      <w:r>
        <w:rPr>
          <w:rFonts w:ascii="Courier New" w:cs="Courier New" w:eastAsia="Courier New" w:hAnsi="Courier New"/>
          <w:sz w:val="15"/>
          <w:szCs w:val="15"/>
          <w:color w:val="auto"/>
        </w:rPr>
        <w:t>Principal Financial and Accounting Officer</w:t>
      </w:r>
    </w:p>
    <w:p>
      <w:pPr>
        <w:sectPr>
          <w:pgSz w:w="11900" w:h="16838" w:orient="portrait"/>
          <w:cols w:equalWidth="0" w:num="1">
            <w:col w:w="10239"/>
          </w:cols>
          <w:pgMar w:left="220" w:top="281" w:right="1440" w:bottom="1440" w:gutter="0" w:footer="0" w:header="0"/>
          <w:type w:val="continuous"/>
        </w:sectPr>
      </w:pPr>
    </w:p>
    <w:p>
      <w:pPr>
        <w:spacing w:after="0" w:line="342" w:lineRule="exact"/>
        <w:rPr>
          <w:sz w:val="20"/>
          <w:szCs w:val="20"/>
          <w:color w:val="auto"/>
        </w:rPr>
      </w:pPr>
    </w:p>
    <w:p>
      <w:pPr>
        <w:ind w:right="3399" w:firstLine="787"/>
        <w:spacing w:after="0" w:line="258"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on this 12th day of March, 1999, by the following persons on behalf of the Registrant and in the capacities indicated.</w:t>
      </w:r>
    </w:p>
    <w:p>
      <w:pPr>
        <w:spacing w:after="0" w:line="161"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Each Director of the Registrant whose signature appears below hereby appoints Enoch Jen and Kenneth La Grand, each of them individually, as his attorney-in-fact to sign in his name and on his behalf, and to file with the Commission any and all amendments to this report on Form 10-K to the same extent and with the same effect as if done personally.</w:t>
      </w:r>
    </w:p>
    <w:p>
      <w:pPr>
        <w:spacing w:after="0" w:line="335"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5"/>
          <w:szCs w:val="15"/>
          <w:color w:val="auto"/>
        </w:rPr>
        <w:t>/s/ Fred Bauer</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Fred Bauer</w:t>
      </w:r>
    </w:p>
    <w:p>
      <w:pPr>
        <w:spacing w:after="0" w:line="335"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5"/>
          <w:szCs w:val="15"/>
          <w:color w:val="auto"/>
        </w:rPr>
        <w:t>/s/ Mickey E. Fouts</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Mickey E. Fouts</w:t>
      </w:r>
    </w:p>
    <w:p>
      <w:pPr>
        <w:spacing w:after="0" w:line="335"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5"/>
          <w:szCs w:val="15"/>
          <w:color w:val="auto"/>
        </w:rPr>
        <w:t>/s/ Kenneth La Grand</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Kenneth La Grand</w:t>
      </w:r>
    </w:p>
    <w:p>
      <w:pPr>
        <w:spacing w:after="0" w:line="335"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5"/>
          <w:szCs w:val="15"/>
          <w:color w:val="auto"/>
        </w:rPr>
        <w:t>/s/ Arlyn Lanting</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Arlyn Lanting</w:t>
      </w:r>
    </w:p>
    <w:p>
      <w:pPr>
        <w:spacing w:after="0" w:line="335"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5"/>
          <w:szCs w:val="15"/>
          <w:color w:val="auto"/>
        </w:rPr>
        <w:t>/s/ John Mulder</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John Mulder</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Director</w:t>
      </w:r>
    </w:p>
    <w:p>
      <w:pPr>
        <w:ind w:left="180" w:hanging="170"/>
        <w:spacing w:after="0" w:line="237" w:lineRule="auto"/>
        <w:tabs>
          <w:tab w:leader="none" w:pos="1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Ted Thompson</w:t>
      </w:r>
    </w:p>
    <w:p>
      <w:pPr>
        <w:spacing w:after="0" w:line="335"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5"/>
          <w:szCs w:val="15"/>
          <w:color w:val="auto"/>
        </w:rPr>
        <w:t>/s/ Leo Weber</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Leo Weber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type w:val="continuous"/>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33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To the Shareholders of Gentex Corporation:</w:t>
      </w:r>
    </w:p>
    <w:p>
      <w:pPr>
        <w:spacing w:after="0" w:line="173" w:lineRule="exact"/>
        <w:rPr>
          <w:sz w:val="20"/>
          <w:szCs w:val="20"/>
          <w:color w:val="auto"/>
        </w:rPr>
      </w:pPr>
    </w:p>
    <w:p>
      <w:pPr>
        <w:ind w:left="340" w:right="3319" w:firstLine="175"/>
        <w:spacing w:after="0" w:line="255" w:lineRule="auto"/>
        <w:rPr>
          <w:sz w:val="20"/>
          <w:szCs w:val="20"/>
          <w:color w:val="auto"/>
        </w:rPr>
      </w:pPr>
      <w:r>
        <w:rPr>
          <w:rFonts w:ascii="Courier New" w:cs="Courier New" w:eastAsia="Courier New" w:hAnsi="Courier New"/>
          <w:sz w:val="14"/>
          <w:szCs w:val="14"/>
          <w:color w:val="auto"/>
        </w:rPr>
        <w:t>We have audited the accompanying consolidated balance sheets of GENTEX CORPORATION (a Michigan corporation) and subsidiaries as of December 31, 1998 and 1997, and the related consolidated statements on income, shareholders' investment and cash flows for each of the three years in the period ended December 31, 1998. These financial statements are the responsibility of the Company's management. Our responsibility is to express an opinion on these financial statements based on our audits.</w:t>
      </w:r>
    </w:p>
    <w:p>
      <w:pPr>
        <w:spacing w:after="0" w:line="166" w:lineRule="exact"/>
        <w:rPr>
          <w:sz w:val="20"/>
          <w:szCs w:val="20"/>
          <w:color w:val="auto"/>
        </w:rPr>
      </w:pPr>
    </w:p>
    <w:p>
      <w:pPr>
        <w:ind w:left="340" w:right="3319" w:firstLine="175"/>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5" w:lineRule="exact"/>
        <w:rPr>
          <w:sz w:val="20"/>
          <w:szCs w:val="20"/>
          <w:color w:val="auto"/>
        </w:rPr>
      </w:pPr>
    </w:p>
    <w:p>
      <w:pPr>
        <w:ind w:left="340" w:right="3239" w:firstLine="175"/>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Gentex Corporation and subsidiaries as of December 31, 1998 and 1997, and the results of their operations and their cash flows for each of the three years in the period ended December 31, 1998, in conformity with generally accepted accounting principles.</w:t>
      </w:r>
    </w:p>
    <w:p>
      <w:pPr>
        <w:spacing w:after="0" w:line="337" w:lineRule="exact"/>
        <w:rPr>
          <w:sz w:val="20"/>
          <w:szCs w:val="20"/>
          <w:color w:val="auto"/>
        </w:rPr>
      </w:pPr>
    </w:p>
    <w:p>
      <w:pPr>
        <w:jc w:val="center"/>
        <w:ind w:right="-180"/>
        <w:spacing w:after="0"/>
        <w:tabs>
          <w:tab w:leader="none" w:pos="16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Arthur Andersen LLP</w:t>
      </w:r>
    </w:p>
    <w:p>
      <w:pPr>
        <w:spacing w:after="0" w:line="33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Grand Rapids, Michigan</w:t>
      </w:r>
    </w:p>
    <w:p>
      <w:pPr>
        <w:spacing w:after="0" w:line="16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January 21,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959"/>
          </w:cols>
          <w:pgMar w:left="50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jc w:val="center"/>
        <w:ind w:right="3139"/>
        <w:spacing w:after="0" w:line="237" w:lineRule="auto"/>
        <w:rPr>
          <w:sz w:val="20"/>
          <w:szCs w:val="20"/>
          <w:color w:val="auto"/>
        </w:rPr>
      </w:pPr>
      <w:r>
        <w:rPr>
          <w:rFonts w:ascii="Courier New" w:cs="Courier New" w:eastAsia="Courier New" w:hAnsi="Courier New"/>
          <w:sz w:val="15"/>
          <w:szCs w:val="15"/>
          <w:color w:val="auto"/>
        </w:rPr>
        <w:t>GENTEX CORPORATION AND SUBSIDIARIES</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CONSOLIDATED BALANCE SHEETS</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AS OF DECEMBER 31, 1998 AND 1997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0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1998</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4560" w:type="dxa"/>
            <w:vAlign w:val="bottom"/>
          </w:tcPr>
          <w:p>
            <w:pPr>
              <w:spacing w:after="0"/>
              <w:rPr>
                <w:sz w:val="14"/>
                <w:szCs w:val="14"/>
                <w:color w:val="auto"/>
              </w:rPr>
            </w:pP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0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$ 50,027,747</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$ 26,768,647</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2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24,034,876</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14,362,736</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 less allowances</w:t>
            </w:r>
          </w:p>
        </w:tc>
        <w:tc>
          <w:tcPr>
            <w:tcW w:w="20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of $275,000 and $225,000 in 1998 &amp; 1997</w:t>
            </w:r>
          </w:p>
        </w:tc>
        <w:tc>
          <w:tcPr>
            <w:tcW w:w="2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30,256,795</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24,515,525</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Inventories</w:t>
            </w:r>
          </w:p>
        </w:tc>
        <w:tc>
          <w:tcPr>
            <w:tcW w:w="2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8,726,420</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8,787,689</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2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2,311,581</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1,484,839</w:t>
            </w:r>
          </w:p>
        </w:tc>
      </w:tr>
      <w:tr>
        <w:trPr>
          <w:trHeight w:val="168"/>
        </w:trPr>
        <w:tc>
          <w:tcPr>
            <w:tcW w:w="4560" w:type="dxa"/>
            <w:vAlign w:val="bottom"/>
          </w:tcPr>
          <w:p>
            <w:pPr>
              <w:spacing w:after="0"/>
              <w:rPr>
                <w:sz w:val="14"/>
                <w:szCs w:val="14"/>
                <w:color w:val="auto"/>
              </w:rPr>
            </w:pPr>
          </w:p>
        </w:tc>
        <w:tc>
          <w:tcPr>
            <w:tcW w:w="2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ind w:left="540"/>
              <w:spacing w:after="0"/>
              <w:rPr>
                <w:sz w:val="20"/>
                <w:szCs w:val="20"/>
                <w:color w:val="auto"/>
              </w:rPr>
            </w:pPr>
            <w:r>
              <w:rPr>
                <w:rFonts w:ascii="Courier New" w:cs="Courier New" w:eastAsia="Courier New" w:hAnsi="Courier New"/>
                <w:sz w:val="15"/>
                <w:szCs w:val="15"/>
                <w:color w:val="auto"/>
              </w:rPr>
              <w:t>Total current assets</w:t>
            </w:r>
          </w:p>
        </w:tc>
        <w:tc>
          <w:tcPr>
            <w:tcW w:w="2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115,357,419</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75,919,436</w:t>
            </w:r>
          </w:p>
        </w:tc>
      </w:tr>
      <w:tr>
        <w:trPr>
          <w:trHeight w:val="505"/>
        </w:trPr>
        <w:tc>
          <w:tcPr>
            <w:tcW w:w="4560" w:type="dxa"/>
            <w:vAlign w:val="bottom"/>
          </w:tcPr>
          <w:p>
            <w:pPr>
              <w:spacing w:after="0"/>
              <w:rPr>
                <w:sz w:val="20"/>
                <w:szCs w:val="20"/>
                <w:color w:val="auto"/>
              </w:rPr>
            </w:pPr>
            <w:r>
              <w:rPr>
                <w:rFonts w:ascii="Courier New" w:cs="Courier New" w:eastAsia="Courier New" w:hAnsi="Courier New"/>
                <w:sz w:val="15"/>
                <w:szCs w:val="15"/>
                <w:color w:val="auto"/>
              </w:rPr>
              <w:t>PLANT AND EQUIPMENT:</w:t>
            </w:r>
          </w:p>
        </w:tc>
        <w:tc>
          <w:tcPr>
            <w:tcW w:w="20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Land, building and improvements</w:t>
            </w:r>
          </w:p>
        </w:tc>
        <w:tc>
          <w:tcPr>
            <w:tcW w:w="2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24,004,557</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19,689,743</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2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58,255,550</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37,158,968</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Construction-in-process</w:t>
            </w:r>
          </w:p>
        </w:tc>
        <w:tc>
          <w:tcPr>
            <w:tcW w:w="2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4,974,025</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6,166,893</w:t>
            </w:r>
          </w:p>
        </w:tc>
      </w:tr>
      <w:tr>
        <w:trPr>
          <w:trHeight w:val="168"/>
        </w:trPr>
        <w:tc>
          <w:tcPr>
            <w:tcW w:w="4560" w:type="dxa"/>
            <w:vAlign w:val="bottom"/>
          </w:tcPr>
          <w:p>
            <w:pPr>
              <w:spacing w:after="0"/>
              <w:rPr>
                <w:sz w:val="14"/>
                <w:szCs w:val="14"/>
                <w:color w:val="auto"/>
              </w:rPr>
            </w:pPr>
          </w:p>
        </w:tc>
        <w:tc>
          <w:tcPr>
            <w:tcW w:w="2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rPr>
                <w:sz w:val="14"/>
                <w:szCs w:val="14"/>
                <w:color w:val="auto"/>
              </w:rPr>
            </w:pPr>
          </w:p>
        </w:tc>
        <w:tc>
          <w:tcPr>
            <w:tcW w:w="2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87,234,132</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63,015,604</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Less-Accumulated depreciation</w:t>
            </w:r>
          </w:p>
        </w:tc>
        <w:tc>
          <w:tcPr>
            <w:tcW w:w="20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and amortization</w:t>
            </w:r>
          </w:p>
        </w:tc>
        <w:tc>
          <w:tcPr>
            <w:tcW w:w="2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(27,874,247)</w:t>
            </w:r>
          </w:p>
        </w:tc>
        <w:tc>
          <w:tcPr>
            <w:tcW w:w="1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(20,776,719)</w:t>
            </w:r>
          </w:p>
        </w:tc>
      </w:tr>
      <w:tr>
        <w:trPr>
          <w:trHeight w:val="168"/>
        </w:trPr>
        <w:tc>
          <w:tcPr>
            <w:tcW w:w="4560" w:type="dxa"/>
            <w:vAlign w:val="bottom"/>
          </w:tcPr>
          <w:p>
            <w:pPr>
              <w:spacing w:after="0"/>
              <w:rPr>
                <w:sz w:val="14"/>
                <w:szCs w:val="14"/>
                <w:color w:val="auto"/>
              </w:rPr>
            </w:pPr>
          </w:p>
        </w:tc>
        <w:tc>
          <w:tcPr>
            <w:tcW w:w="2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4"/>
                <w:szCs w:val="24"/>
                <w:color w:val="auto"/>
              </w:rPr>
            </w:pPr>
          </w:p>
        </w:tc>
        <w:tc>
          <w:tcPr>
            <w:tcW w:w="2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59,359,885</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42,238,885</w:t>
            </w:r>
          </w:p>
        </w:tc>
      </w:tr>
      <w:tr>
        <w:trPr>
          <w:trHeight w:val="505"/>
        </w:trPr>
        <w:tc>
          <w:tcPr>
            <w:tcW w:w="45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0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Long-term investments</w:t>
            </w:r>
          </w:p>
        </w:tc>
        <w:tc>
          <w:tcPr>
            <w:tcW w:w="2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78,744,138</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70,291,142</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Patents and other assets, net</w:t>
            </w:r>
          </w:p>
        </w:tc>
        <w:tc>
          <w:tcPr>
            <w:tcW w:w="2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1,428,116</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1,333,384</w:t>
            </w:r>
          </w:p>
        </w:tc>
      </w:tr>
      <w:tr>
        <w:trPr>
          <w:trHeight w:val="168"/>
        </w:trPr>
        <w:tc>
          <w:tcPr>
            <w:tcW w:w="4560" w:type="dxa"/>
            <w:vAlign w:val="bottom"/>
          </w:tcPr>
          <w:p>
            <w:pPr>
              <w:spacing w:after="0"/>
              <w:rPr>
                <w:sz w:val="14"/>
                <w:szCs w:val="14"/>
                <w:color w:val="auto"/>
              </w:rPr>
            </w:pPr>
          </w:p>
        </w:tc>
        <w:tc>
          <w:tcPr>
            <w:tcW w:w="2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rPr>
                <w:sz w:val="14"/>
                <w:szCs w:val="14"/>
                <w:color w:val="auto"/>
              </w:rPr>
            </w:pPr>
          </w:p>
        </w:tc>
        <w:tc>
          <w:tcPr>
            <w:tcW w:w="2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80,172,254</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71,624,526</w:t>
            </w:r>
          </w:p>
        </w:tc>
      </w:tr>
      <w:tr>
        <w:trPr>
          <w:trHeight w:val="168"/>
        </w:trPr>
        <w:tc>
          <w:tcPr>
            <w:tcW w:w="4560" w:type="dxa"/>
            <w:vAlign w:val="bottom"/>
          </w:tcPr>
          <w:p>
            <w:pPr>
              <w:spacing w:after="0"/>
              <w:rPr>
                <w:sz w:val="14"/>
                <w:szCs w:val="14"/>
                <w:color w:val="auto"/>
              </w:rPr>
            </w:pPr>
          </w:p>
        </w:tc>
        <w:tc>
          <w:tcPr>
            <w:tcW w:w="2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4"/>
                <w:szCs w:val="24"/>
                <w:color w:val="auto"/>
              </w:rPr>
            </w:pPr>
          </w:p>
        </w:tc>
        <w:tc>
          <w:tcPr>
            <w:tcW w:w="2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$254,889,558</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$189,782,847</w:t>
            </w:r>
          </w:p>
        </w:tc>
      </w:tr>
      <w:tr>
        <w:trPr>
          <w:trHeight w:val="168"/>
        </w:trPr>
        <w:tc>
          <w:tcPr>
            <w:tcW w:w="4560" w:type="dxa"/>
            <w:vAlign w:val="bottom"/>
          </w:tcPr>
          <w:p>
            <w:pPr>
              <w:spacing w:after="0"/>
              <w:rPr>
                <w:sz w:val="14"/>
                <w:szCs w:val="14"/>
                <w:color w:val="auto"/>
              </w:rPr>
            </w:pPr>
          </w:p>
        </w:tc>
        <w:tc>
          <w:tcPr>
            <w:tcW w:w="2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4560" w:type="dxa"/>
            <w:vAlign w:val="bottom"/>
          </w:tcPr>
          <w:p>
            <w:pPr>
              <w:ind w:left="360"/>
              <w:spacing w:after="0"/>
              <w:rPr>
                <w:sz w:val="20"/>
                <w:szCs w:val="20"/>
                <w:color w:val="auto"/>
              </w:rPr>
            </w:pPr>
            <w:r>
              <w:rPr>
                <w:rFonts w:ascii="Courier New" w:cs="Courier New" w:eastAsia="Courier New" w:hAnsi="Courier New"/>
                <w:sz w:val="15"/>
                <w:szCs w:val="15"/>
                <w:color w:val="auto"/>
              </w:rPr>
              <w:t>LIABILITIES AND SHAREHOLDERS' INVESTMENT</w:t>
            </w:r>
          </w:p>
        </w:tc>
        <w:tc>
          <w:tcPr>
            <w:tcW w:w="20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505"/>
        </w:trPr>
        <w:tc>
          <w:tcPr>
            <w:tcW w:w="4560" w:type="dxa"/>
            <w:vAlign w:val="bottom"/>
          </w:tcPr>
          <w:p>
            <w:pPr>
              <w:spacing w:after="0"/>
              <w:rPr>
                <w:sz w:val="24"/>
                <w:szCs w:val="24"/>
                <w:color w:val="auto"/>
              </w:rPr>
            </w:pPr>
          </w:p>
        </w:tc>
        <w:tc>
          <w:tcPr>
            <w:tcW w:w="2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1998</w:t>
            </w:r>
          </w:p>
        </w:tc>
        <w:tc>
          <w:tcPr>
            <w:tcW w:w="17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4560" w:type="dxa"/>
            <w:vAlign w:val="bottom"/>
          </w:tcPr>
          <w:p>
            <w:pPr>
              <w:spacing w:after="0"/>
              <w:rPr>
                <w:sz w:val="14"/>
                <w:szCs w:val="14"/>
                <w:color w:val="auto"/>
              </w:rPr>
            </w:pPr>
          </w:p>
        </w:tc>
        <w:tc>
          <w:tcPr>
            <w:tcW w:w="2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ind w:left="620"/>
              <w:spacing w:after="0"/>
              <w:rPr>
                <w:sz w:val="20"/>
                <w:szCs w:val="20"/>
                <w:color w:val="auto"/>
              </w:rPr>
            </w:pPr>
            <w:r>
              <w:rPr>
                <w:rFonts w:ascii="Courier New" w:cs="Courier New" w:eastAsia="Courier New" w:hAnsi="Courier New"/>
                <w:sz w:val="15"/>
                <w:szCs w:val="15"/>
                <w:color w:val="auto"/>
              </w:rPr>
              <w:t>Accounts payable</w:t>
            </w:r>
          </w:p>
        </w:tc>
        <w:tc>
          <w:tcPr>
            <w:tcW w:w="2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7,602,933</w:t>
            </w:r>
          </w:p>
        </w:tc>
        <w:tc>
          <w:tcPr>
            <w:tcW w:w="1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8,760,256</w:t>
            </w:r>
          </w:p>
        </w:tc>
      </w:tr>
      <w:tr>
        <w:trPr>
          <w:trHeight w:val="168"/>
        </w:trPr>
        <w:tc>
          <w:tcPr>
            <w:tcW w:w="45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20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45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Salaries, wages and vacation</w:t>
            </w:r>
          </w:p>
        </w:tc>
        <w:tc>
          <w:tcPr>
            <w:tcW w:w="2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1,349,182</w:t>
            </w: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1,567,395</w:t>
            </w:r>
          </w:p>
        </w:tc>
      </w:tr>
      <w:tr>
        <w:trPr>
          <w:trHeight w:val="168"/>
        </w:trPr>
        <w:tc>
          <w:tcPr>
            <w:tcW w:w="45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Taxes</w:t>
            </w:r>
          </w:p>
        </w:tc>
        <w:tc>
          <w:tcPr>
            <w:tcW w:w="2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3,339,052</w:t>
            </w: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2,347,284</w:t>
            </w:r>
          </w:p>
        </w:tc>
      </w:tr>
      <w:tr>
        <w:trPr>
          <w:trHeight w:val="168"/>
        </w:trPr>
        <w:tc>
          <w:tcPr>
            <w:tcW w:w="45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Other</w:t>
            </w:r>
          </w:p>
        </w:tc>
        <w:tc>
          <w:tcPr>
            <w:tcW w:w="2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2,555,723</w:t>
            </w: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1,916,289</w:t>
            </w:r>
          </w:p>
        </w:tc>
      </w:tr>
      <w:tr>
        <w:trPr>
          <w:trHeight w:val="168"/>
        </w:trPr>
        <w:tc>
          <w:tcPr>
            <w:tcW w:w="4560" w:type="dxa"/>
            <w:vAlign w:val="bottom"/>
          </w:tcPr>
          <w:p>
            <w:pPr>
              <w:spacing w:after="0"/>
              <w:rPr>
                <w:sz w:val="14"/>
                <w:szCs w:val="14"/>
                <w:color w:val="auto"/>
              </w:rPr>
            </w:pPr>
          </w:p>
        </w:tc>
        <w:tc>
          <w:tcPr>
            <w:tcW w:w="2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560" w:type="dxa"/>
            <w:vAlign w:val="bottom"/>
          </w:tcPr>
          <w:p>
            <w:pPr>
              <w:ind w:left="1580"/>
              <w:spacing w:after="0"/>
              <w:rPr>
                <w:sz w:val="20"/>
                <w:szCs w:val="20"/>
                <w:color w:val="auto"/>
              </w:rPr>
            </w:pPr>
            <w:r>
              <w:rPr>
                <w:rFonts w:ascii="Courier New" w:cs="Courier New" w:eastAsia="Courier New" w:hAnsi="Courier New"/>
                <w:sz w:val="15"/>
                <w:szCs w:val="15"/>
                <w:color w:val="auto"/>
              </w:rPr>
              <w:t>Total current liabilities</w:t>
            </w:r>
          </w:p>
        </w:tc>
        <w:tc>
          <w:tcPr>
            <w:tcW w:w="2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14,846,890</w:t>
            </w:r>
          </w:p>
        </w:tc>
        <w:tc>
          <w:tcPr>
            <w:tcW w:w="1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14,591,224</w:t>
            </w:r>
          </w:p>
        </w:tc>
      </w:tr>
      <w:tr>
        <w:trPr>
          <w:trHeight w:val="336"/>
        </w:trPr>
        <w:tc>
          <w:tcPr>
            <w:tcW w:w="4560" w:type="dxa"/>
            <w:vAlign w:val="bottom"/>
          </w:tcPr>
          <w:p>
            <w:pPr>
              <w:ind w:left="360"/>
              <w:spacing w:after="0"/>
              <w:rPr>
                <w:sz w:val="20"/>
                <w:szCs w:val="20"/>
                <w:color w:val="auto"/>
              </w:rPr>
            </w:pPr>
            <w:r>
              <w:rPr>
                <w:rFonts w:ascii="Courier New" w:cs="Courier New" w:eastAsia="Courier New" w:hAnsi="Courier New"/>
                <w:sz w:val="15"/>
                <w:szCs w:val="15"/>
                <w:color w:val="auto"/>
              </w:rPr>
              <w:t>DEFERRED INCOME TAXES</w:t>
            </w:r>
          </w:p>
        </w:tc>
        <w:tc>
          <w:tcPr>
            <w:tcW w:w="2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3,034,450</w:t>
            </w:r>
          </w:p>
        </w:tc>
        <w:tc>
          <w:tcPr>
            <w:tcW w:w="1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1,986,446</w:t>
            </w:r>
          </w:p>
        </w:tc>
      </w:tr>
      <w:tr>
        <w:trPr>
          <w:trHeight w:val="841"/>
        </w:trPr>
        <w:tc>
          <w:tcPr>
            <w:tcW w:w="4560" w:type="dxa"/>
            <w:vAlign w:val="bottom"/>
          </w:tcPr>
          <w:p>
            <w:pPr>
              <w:ind w:left="360"/>
              <w:spacing w:after="0"/>
              <w:rPr>
                <w:sz w:val="20"/>
                <w:szCs w:val="20"/>
                <w:color w:val="auto"/>
              </w:rPr>
            </w:pPr>
            <w:r>
              <w:rPr>
                <w:rFonts w:ascii="Courier New" w:cs="Courier New" w:eastAsia="Courier New" w:hAnsi="Courier New"/>
                <w:sz w:val="15"/>
                <w:szCs w:val="15"/>
                <w:color w:val="auto"/>
              </w:rPr>
              <w:t>SHAREHOLDERS' INVESTMENT:</w:t>
            </w:r>
          </w:p>
        </w:tc>
        <w:tc>
          <w:tcPr>
            <w:tcW w:w="20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36"/>
        </w:trPr>
        <w:tc>
          <w:tcPr>
            <w:tcW w:w="4560" w:type="dxa"/>
            <w:vAlign w:val="bottom"/>
          </w:tcPr>
          <w:p>
            <w:pPr>
              <w:ind w:left="700"/>
              <w:spacing w:after="0"/>
              <w:rPr>
                <w:sz w:val="20"/>
                <w:szCs w:val="20"/>
                <w:color w:val="auto"/>
              </w:rPr>
            </w:pPr>
            <w:r>
              <w:rPr>
                <w:rFonts w:ascii="Courier New" w:cs="Courier New" w:eastAsia="Courier New" w:hAnsi="Courier New"/>
                <w:sz w:val="15"/>
                <w:szCs w:val="15"/>
                <w:color w:val="auto"/>
              </w:rPr>
              <w:t>Preferred stock, no par value,</w:t>
            </w:r>
          </w:p>
        </w:tc>
        <w:tc>
          <w:tcPr>
            <w:tcW w:w="20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45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5,000,000 shares authorized; none</w:t>
            </w:r>
          </w:p>
        </w:tc>
        <w:tc>
          <w:tcPr>
            <w:tcW w:w="20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45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issued or outstanding</w:t>
            </w:r>
          </w:p>
        </w:tc>
        <w:tc>
          <w:tcPr>
            <w:tcW w:w="2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ind w:left="700"/>
              <w:spacing w:after="0"/>
              <w:rPr>
                <w:sz w:val="20"/>
                <w:szCs w:val="20"/>
                <w:color w:val="auto"/>
              </w:rPr>
            </w:pPr>
            <w:r>
              <w:rPr>
                <w:rFonts w:ascii="Courier New" w:cs="Courier New" w:eastAsia="Courier New" w:hAnsi="Courier New"/>
                <w:sz w:val="15"/>
                <w:szCs w:val="15"/>
                <w:color w:val="auto"/>
              </w:rPr>
              <w:t>Common stock, par value $.06 per share;</w:t>
            </w:r>
          </w:p>
        </w:tc>
        <w:tc>
          <w:tcPr>
            <w:tcW w:w="20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45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100,000,000 shares authorized</w:t>
            </w:r>
          </w:p>
        </w:tc>
        <w:tc>
          <w:tcPr>
            <w:tcW w:w="2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4,335,535</w:t>
            </w: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2,123,949</w:t>
            </w:r>
          </w:p>
        </w:tc>
      </w:tr>
      <w:tr>
        <w:trPr>
          <w:trHeight w:val="168"/>
        </w:trPr>
        <w:tc>
          <w:tcPr>
            <w:tcW w:w="4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2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64,876,098</w:t>
            </w: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53,654,663</w:t>
            </w:r>
          </w:p>
        </w:tc>
      </w:tr>
      <w:tr>
        <w:trPr>
          <w:trHeight w:val="168"/>
        </w:trPr>
        <w:tc>
          <w:tcPr>
            <w:tcW w:w="4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2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167,805,830</w:t>
            </w: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117,498,700</w:t>
            </w:r>
          </w:p>
        </w:tc>
      </w:tr>
      <w:tr>
        <w:trPr>
          <w:trHeight w:val="168"/>
        </w:trPr>
        <w:tc>
          <w:tcPr>
            <w:tcW w:w="4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(2,054,110)</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(1,635,623)</w:t>
            </w:r>
          </w:p>
        </w:tc>
      </w:tr>
      <w:tr>
        <w:trPr>
          <w:trHeight w:val="168"/>
        </w:trPr>
        <w:tc>
          <w:tcPr>
            <w:tcW w:w="4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Unrealized gain on investments</w:t>
            </w:r>
          </w:p>
        </w:tc>
        <w:tc>
          <w:tcPr>
            <w:tcW w:w="2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2,007,568</w:t>
            </w: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1,584,368</w:t>
            </w:r>
          </w:p>
        </w:tc>
      </w:tr>
      <w:tr>
        <w:trPr>
          <w:trHeight w:val="168"/>
        </w:trPr>
        <w:tc>
          <w:tcPr>
            <w:tcW w:w="4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Cumulative translation adjustment</w:t>
            </w:r>
          </w:p>
        </w:tc>
        <w:tc>
          <w:tcPr>
            <w:tcW w:w="2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37,297</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(20,880)</w:t>
            </w:r>
          </w:p>
        </w:tc>
      </w:tr>
      <w:tr>
        <w:trPr>
          <w:trHeight w:val="168"/>
        </w:trPr>
        <w:tc>
          <w:tcPr>
            <w:tcW w:w="4560" w:type="dxa"/>
            <w:vAlign w:val="bottom"/>
          </w:tcPr>
          <w:p>
            <w:pPr>
              <w:spacing w:after="0"/>
              <w:rPr>
                <w:sz w:val="14"/>
                <w:szCs w:val="14"/>
                <w:color w:val="auto"/>
              </w:rPr>
            </w:pPr>
          </w:p>
        </w:tc>
        <w:tc>
          <w:tcPr>
            <w:tcW w:w="2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Total shareholders' investment</w:t>
            </w:r>
          </w:p>
        </w:tc>
        <w:tc>
          <w:tcPr>
            <w:tcW w:w="2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237,008,218</w:t>
            </w: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173,205,177</w:t>
            </w:r>
          </w:p>
        </w:tc>
      </w:tr>
      <w:tr>
        <w:trPr>
          <w:trHeight w:val="168"/>
        </w:trPr>
        <w:tc>
          <w:tcPr>
            <w:tcW w:w="4560" w:type="dxa"/>
            <w:vAlign w:val="bottom"/>
          </w:tcPr>
          <w:p>
            <w:pPr>
              <w:spacing w:after="0"/>
              <w:rPr>
                <w:sz w:val="14"/>
                <w:szCs w:val="14"/>
                <w:color w:val="auto"/>
              </w:rPr>
            </w:pPr>
          </w:p>
        </w:tc>
        <w:tc>
          <w:tcPr>
            <w:tcW w:w="2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4"/>
                <w:szCs w:val="24"/>
                <w:color w:val="auto"/>
              </w:rPr>
            </w:pPr>
          </w:p>
        </w:tc>
        <w:tc>
          <w:tcPr>
            <w:tcW w:w="2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$254,889,558</w:t>
            </w:r>
          </w:p>
        </w:tc>
        <w:tc>
          <w:tcPr>
            <w:tcW w:w="1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$189,782,847</w:t>
            </w:r>
          </w:p>
        </w:tc>
      </w:tr>
      <w:tr>
        <w:trPr>
          <w:trHeight w:val="168"/>
        </w:trPr>
        <w:tc>
          <w:tcPr>
            <w:tcW w:w="4560" w:type="dxa"/>
            <w:vAlign w:val="bottom"/>
          </w:tcPr>
          <w:p>
            <w:pPr>
              <w:spacing w:after="0"/>
              <w:rPr>
                <w:sz w:val="14"/>
                <w:szCs w:val="14"/>
                <w:color w:val="auto"/>
              </w:rPr>
            </w:pPr>
          </w:p>
        </w:tc>
        <w:tc>
          <w:tcPr>
            <w:tcW w:w="2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281" w:right="1440" w:bottom="517" w:gutter="0" w:footer="0" w:header="0"/>
        </w:sectPr>
      </w:pPr>
    </w:p>
    <w:bookmarkStart w:id="19" w:name="page20"/>
    <w:bookmarkEnd w:id="19"/>
    <w:p>
      <w:pPr>
        <w:ind w:right="3839"/>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consolidated balance sheets.</w:t>
      </w:r>
    </w:p>
    <w:p>
      <w:pPr>
        <w:sectPr>
          <w:pgSz w:w="11900" w:h="16838" w:orient="portrait"/>
          <w:cols w:equalWidth="0" w:num="1">
            <w:col w:w="10239"/>
          </w:cols>
          <w:pgMar w:left="220" w:top="14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20</w:t>
      </w:r>
    </w:p>
    <w:p>
      <w:pPr>
        <w:jc w:val="center"/>
        <w:ind w:right="3319"/>
        <w:spacing w:after="0" w:line="237" w:lineRule="auto"/>
        <w:rPr>
          <w:sz w:val="20"/>
          <w:szCs w:val="20"/>
          <w:color w:val="auto"/>
        </w:rPr>
      </w:pPr>
      <w:r>
        <w:rPr>
          <w:rFonts w:ascii="Courier New" w:cs="Courier New" w:eastAsia="Courier New" w:hAnsi="Courier New"/>
          <w:sz w:val="15"/>
          <w:szCs w:val="15"/>
          <w:color w:val="auto"/>
        </w:rPr>
        <w:t>GENTEX CORPORATION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FOR THE YEARS ENDED DECEMBER 31, 1998, 1997 AND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1998</w:t>
            </w:r>
          </w:p>
        </w:tc>
        <w:tc>
          <w:tcPr>
            <w:tcW w:w="300" w:type="dxa"/>
            <w:vAlign w:val="bottom"/>
          </w:tcPr>
          <w:p>
            <w:pPr>
              <w:spacing w:after="0"/>
              <w:rPr>
                <w:sz w:val="14"/>
                <w:szCs w:val="14"/>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4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7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$222,292,053</w:t>
            </w:r>
          </w:p>
        </w:tc>
        <w:tc>
          <w:tcPr>
            <w:tcW w:w="15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$186,327,877</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$148,708,218</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122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131,900,585</w:t>
            </w:r>
          </w:p>
        </w:tc>
        <w:tc>
          <w:tcPr>
            <w:tcW w:w="300" w:type="dxa"/>
            <w:vAlign w:val="bottom"/>
          </w:tcPr>
          <w:p>
            <w:pPr>
              <w:spacing w:after="0"/>
              <w:rPr>
                <w:sz w:val="24"/>
                <w:szCs w:val="2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118,941,030</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93,582,756</w:t>
            </w:r>
          </w:p>
        </w:tc>
      </w:tr>
      <w:tr>
        <w:trPr>
          <w:trHeight w:val="168"/>
        </w:trPr>
        <w:tc>
          <w:tcPr>
            <w:tcW w:w="4740" w:type="dxa"/>
            <w:vAlign w:val="bottom"/>
          </w:tcPr>
          <w:p>
            <w:pPr>
              <w:spacing w:after="0"/>
              <w:rPr>
                <w:sz w:val="14"/>
                <w:szCs w:val="14"/>
                <w:color w:val="auto"/>
              </w:rPr>
            </w:pPr>
          </w:p>
        </w:tc>
        <w:tc>
          <w:tcPr>
            <w:tcW w:w="2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ind w:left="620"/>
              <w:spacing w:after="0"/>
              <w:rPr>
                <w:sz w:val="20"/>
                <w:szCs w:val="20"/>
                <w:color w:val="auto"/>
              </w:rPr>
            </w:pPr>
            <w:r>
              <w:rPr>
                <w:rFonts w:ascii="Courier New" w:cs="Courier New" w:eastAsia="Courier New" w:hAnsi="Courier New"/>
                <w:sz w:val="15"/>
                <w:szCs w:val="15"/>
                <w:color w:val="auto"/>
              </w:rPr>
              <w:t>Gross profit</w:t>
            </w:r>
          </w:p>
        </w:tc>
        <w:tc>
          <w:tcPr>
            <w:tcW w:w="122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90,391,468</w:t>
            </w:r>
          </w:p>
        </w:tc>
        <w:tc>
          <w:tcPr>
            <w:tcW w:w="300" w:type="dxa"/>
            <w:vAlign w:val="bottom"/>
          </w:tcPr>
          <w:p>
            <w:pPr>
              <w:spacing w:after="0"/>
              <w:rPr>
                <w:sz w:val="24"/>
                <w:szCs w:val="2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67,386,847</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55,125,462</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1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10,983,514</w:t>
            </w:r>
          </w:p>
        </w:tc>
        <w:tc>
          <w:tcPr>
            <w:tcW w:w="3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9,079,472</w:t>
            </w:r>
          </w:p>
        </w:tc>
        <w:tc>
          <w:tcPr>
            <w:tcW w:w="4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7,537,933</w:t>
            </w: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12,065,141</w:t>
            </w:r>
          </w:p>
        </w:tc>
        <w:tc>
          <w:tcPr>
            <w:tcW w:w="3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10,825,389</w:t>
            </w:r>
          </w:p>
        </w:tc>
        <w:tc>
          <w:tcPr>
            <w:tcW w:w="4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11,747,961</w:t>
            </w: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Patent settlement</w:t>
            </w:r>
          </w:p>
        </w:tc>
        <w:tc>
          <w:tcPr>
            <w:tcW w:w="1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4,000,000</w:t>
            </w:r>
          </w:p>
        </w:tc>
      </w:tr>
      <w:tr>
        <w:trPr>
          <w:trHeight w:val="168"/>
        </w:trPr>
        <w:tc>
          <w:tcPr>
            <w:tcW w:w="4740" w:type="dxa"/>
            <w:vAlign w:val="bottom"/>
          </w:tcPr>
          <w:p>
            <w:pPr>
              <w:spacing w:after="0"/>
              <w:rPr>
                <w:sz w:val="14"/>
                <w:szCs w:val="14"/>
                <w:color w:val="auto"/>
              </w:rPr>
            </w:pPr>
          </w:p>
        </w:tc>
        <w:tc>
          <w:tcPr>
            <w:tcW w:w="2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ind w:left="880"/>
              <w:spacing w:after="0"/>
              <w:rPr>
                <w:sz w:val="20"/>
                <w:szCs w:val="20"/>
                <w:color w:val="auto"/>
              </w:rPr>
            </w:pPr>
            <w:r>
              <w:rPr>
                <w:rFonts w:ascii="Courier New" w:cs="Courier New" w:eastAsia="Courier New" w:hAnsi="Courier New"/>
                <w:sz w:val="15"/>
                <w:szCs w:val="15"/>
                <w:color w:val="auto"/>
              </w:rPr>
              <w:t>Total operating expenses</w:t>
            </w:r>
          </w:p>
        </w:tc>
        <w:tc>
          <w:tcPr>
            <w:tcW w:w="122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23,048,655</w:t>
            </w:r>
          </w:p>
        </w:tc>
        <w:tc>
          <w:tcPr>
            <w:tcW w:w="300" w:type="dxa"/>
            <w:vAlign w:val="bottom"/>
          </w:tcPr>
          <w:p>
            <w:pPr>
              <w:spacing w:after="0"/>
              <w:rPr>
                <w:sz w:val="24"/>
                <w:szCs w:val="2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19,904,861</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23,285,894</w:t>
            </w:r>
          </w:p>
        </w:tc>
      </w:tr>
      <w:tr>
        <w:trPr>
          <w:trHeight w:val="168"/>
        </w:trPr>
        <w:tc>
          <w:tcPr>
            <w:tcW w:w="4740" w:type="dxa"/>
            <w:vAlign w:val="bottom"/>
          </w:tcPr>
          <w:p>
            <w:pPr>
              <w:spacing w:after="0"/>
              <w:rPr>
                <w:sz w:val="14"/>
                <w:szCs w:val="14"/>
                <w:color w:val="auto"/>
              </w:rPr>
            </w:pPr>
          </w:p>
        </w:tc>
        <w:tc>
          <w:tcPr>
            <w:tcW w:w="2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ind w:left="540"/>
              <w:spacing w:after="0"/>
              <w:rPr>
                <w:sz w:val="20"/>
                <w:szCs w:val="20"/>
                <w:color w:val="auto"/>
              </w:rPr>
            </w:pPr>
            <w:r>
              <w:rPr>
                <w:rFonts w:ascii="Courier New" w:cs="Courier New" w:eastAsia="Courier New" w:hAnsi="Courier New"/>
                <w:sz w:val="15"/>
                <w:szCs w:val="15"/>
                <w:color w:val="auto"/>
              </w:rPr>
              <w:t>Operating income</w:t>
            </w:r>
          </w:p>
        </w:tc>
        <w:tc>
          <w:tcPr>
            <w:tcW w:w="122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67,342,813</w:t>
            </w:r>
          </w:p>
        </w:tc>
        <w:tc>
          <w:tcPr>
            <w:tcW w:w="300" w:type="dxa"/>
            <w:vAlign w:val="bottom"/>
          </w:tcPr>
          <w:p>
            <w:pPr>
              <w:spacing w:after="0"/>
              <w:rPr>
                <w:sz w:val="24"/>
                <w:szCs w:val="2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47,481,986</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31,839,568</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 and dividend income</w:t>
            </w:r>
          </w:p>
        </w:tc>
        <w:tc>
          <w:tcPr>
            <w:tcW w:w="1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5,890,612</w:t>
            </w:r>
          </w:p>
        </w:tc>
        <w:tc>
          <w:tcPr>
            <w:tcW w:w="3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4,405,565</w:t>
            </w:r>
          </w:p>
        </w:tc>
        <w:tc>
          <w:tcPr>
            <w:tcW w:w="4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3,437,040</w:t>
            </w: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net</w:t>
            </w:r>
          </w:p>
        </w:tc>
        <w:tc>
          <w:tcPr>
            <w:tcW w:w="1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1,429,705</w:t>
            </w:r>
          </w:p>
        </w:tc>
        <w:tc>
          <w:tcPr>
            <w:tcW w:w="3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301,673</w:t>
            </w:r>
          </w:p>
        </w:tc>
        <w:tc>
          <w:tcPr>
            <w:tcW w:w="4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205,787</w:t>
            </w:r>
          </w:p>
        </w:tc>
      </w:tr>
      <w:tr>
        <w:trPr>
          <w:trHeight w:val="168"/>
        </w:trPr>
        <w:tc>
          <w:tcPr>
            <w:tcW w:w="4740" w:type="dxa"/>
            <w:vAlign w:val="bottom"/>
          </w:tcPr>
          <w:p>
            <w:pPr>
              <w:spacing w:after="0"/>
              <w:rPr>
                <w:sz w:val="14"/>
                <w:szCs w:val="14"/>
                <w:color w:val="auto"/>
              </w:rPr>
            </w:pPr>
          </w:p>
        </w:tc>
        <w:tc>
          <w:tcPr>
            <w:tcW w:w="2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ind w:left="880"/>
              <w:spacing w:after="0"/>
              <w:rPr>
                <w:sz w:val="20"/>
                <w:szCs w:val="20"/>
                <w:color w:val="auto"/>
              </w:rPr>
            </w:pPr>
            <w:r>
              <w:rPr>
                <w:rFonts w:ascii="Courier New" w:cs="Courier New" w:eastAsia="Courier New" w:hAnsi="Courier New"/>
                <w:sz w:val="15"/>
                <w:szCs w:val="15"/>
                <w:color w:val="auto"/>
              </w:rPr>
              <w:t>Total other income</w:t>
            </w:r>
          </w:p>
        </w:tc>
        <w:tc>
          <w:tcPr>
            <w:tcW w:w="122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7,320,317</w:t>
            </w:r>
          </w:p>
        </w:tc>
        <w:tc>
          <w:tcPr>
            <w:tcW w:w="300" w:type="dxa"/>
            <w:vAlign w:val="bottom"/>
          </w:tcPr>
          <w:p>
            <w:pPr>
              <w:spacing w:after="0"/>
              <w:rPr>
                <w:sz w:val="24"/>
                <w:szCs w:val="2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4,707,238</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3,642,827</w:t>
            </w:r>
          </w:p>
        </w:tc>
      </w:tr>
      <w:tr>
        <w:trPr>
          <w:trHeight w:val="168"/>
        </w:trPr>
        <w:tc>
          <w:tcPr>
            <w:tcW w:w="4740" w:type="dxa"/>
            <w:vAlign w:val="bottom"/>
          </w:tcPr>
          <w:p>
            <w:pPr>
              <w:spacing w:after="0"/>
              <w:rPr>
                <w:sz w:val="14"/>
                <w:szCs w:val="14"/>
                <w:color w:val="auto"/>
              </w:rPr>
            </w:pPr>
          </w:p>
        </w:tc>
        <w:tc>
          <w:tcPr>
            <w:tcW w:w="2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ind w:left="540"/>
              <w:spacing w:after="0"/>
              <w:rPr>
                <w:sz w:val="20"/>
                <w:szCs w:val="20"/>
                <w:color w:val="auto"/>
              </w:rPr>
            </w:pPr>
            <w:r>
              <w:rPr>
                <w:rFonts w:ascii="Courier New" w:cs="Courier New" w:eastAsia="Courier New" w:hAnsi="Courier New"/>
                <w:sz w:val="15"/>
                <w:szCs w:val="15"/>
                <w:color w:val="auto"/>
              </w:rPr>
              <w:t>Income before provision</w:t>
            </w: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7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for federal income taxes</w:t>
            </w:r>
          </w:p>
        </w:tc>
        <w:tc>
          <w:tcPr>
            <w:tcW w:w="1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74,663,130</w:t>
            </w:r>
          </w:p>
        </w:tc>
        <w:tc>
          <w:tcPr>
            <w:tcW w:w="3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52,189,224</w:t>
            </w:r>
          </w:p>
        </w:tc>
        <w:tc>
          <w:tcPr>
            <w:tcW w:w="4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35,482,395</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PROVISION FOR FEDERAL INCOME TAXES</w:t>
            </w:r>
          </w:p>
        </w:tc>
        <w:tc>
          <w:tcPr>
            <w:tcW w:w="122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24,356,000</w:t>
            </w:r>
          </w:p>
        </w:tc>
        <w:tc>
          <w:tcPr>
            <w:tcW w:w="300" w:type="dxa"/>
            <w:vAlign w:val="bottom"/>
          </w:tcPr>
          <w:p>
            <w:pPr>
              <w:spacing w:after="0"/>
              <w:rPr>
                <w:sz w:val="24"/>
                <w:szCs w:val="2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16,959,000</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11,519,000</w:t>
            </w:r>
          </w:p>
        </w:tc>
      </w:tr>
      <w:tr>
        <w:trPr>
          <w:trHeight w:val="168"/>
        </w:trPr>
        <w:tc>
          <w:tcPr>
            <w:tcW w:w="4740" w:type="dxa"/>
            <w:vAlign w:val="bottom"/>
          </w:tcPr>
          <w:p>
            <w:pPr>
              <w:spacing w:after="0"/>
              <w:rPr>
                <w:sz w:val="14"/>
                <w:szCs w:val="14"/>
                <w:color w:val="auto"/>
              </w:rPr>
            </w:pPr>
          </w:p>
        </w:tc>
        <w:tc>
          <w:tcPr>
            <w:tcW w:w="2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$ 50,307,130</w:t>
            </w:r>
          </w:p>
        </w:tc>
        <w:tc>
          <w:tcPr>
            <w:tcW w:w="15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$ 35,230,224</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$ 23,963,395</w:t>
            </w:r>
          </w:p>
        </w:tc>
      </w:tr>
      <w:tr>
        <w:trPr>
          <w:trHeight w:val="168"/>
        </w:trPr>
        <w:tc>
          <w:tcPr>
            <w:tcW w:w="4740" w:type="dxa"/>
            <w:vAlign w:val="bottom"/>
          </w:tcPr>
          <w:p>
            <w:pPr>
              <w:spacing w:after="0"/>
              <w:rPr>
                <w:sz w:val="14"/>
                <w:szCs w:val="14"/>
                <w:color w:val="auto"/>
              </w:rPr>
            </w:pPr>
          </w:p>
        </w:tc>
        <w:tc>
          <w:tcPr>
            <w:tcW w:w="2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0.70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0.51</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0.35</w:t>
            </w:r>
          </w:p>
        </w:tc>
      </w:tr>
      <w:tr>
        <w:trPr>
          <w:trHeight w:val="168"/>
        </w:trPr>
        <w:tc>
          <w:tcPr>
            <w:tcW w:w="4740" w:type="dxa"/>
            <w:vAlign w:val="bottom"/>
          </w:tcPr>
          <w:p>
            <w:pPr>
              <w:spacing w:after="0"/>
              <w:rPr>
                <w:sz w:val="14"/>
                <w:szCs w:val="14"/>
                <w:color w:val="auto"/>
              </w:rPr>
            </w:pPr>
          </w:p>
        </w:tc>
        <w:tc>
          <w:tcPr>
            <w:tcW w:w="2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Diluted</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0.34</w:t>
            </w:r>
          </w:p>
        </w:tc>
      </w:tr>
      <w:tr>
        <w:trPr>
          <w:trHeight w:val="168"/>
        </w:trPr>
        <w:tc>
          <w:tcPr>
            <w:tcW w:w="4740" w:type="dxa"/>
            <w:vAlign w:val="bottom"/>
          </w:tcPr>
          <w:p>
            <w:pPr>
              <w:spacing w:after="0"/>
              <w:rPr>
                <w:sz w:val="14"/>
                <w:szCs w:val="14"/>
                <w:color w:val="auto"/>
              </w:rPr>
            </w:pPr>
          </w:p>
        </w:tc>
        <w:tc>
          <w:tcPr>
            <w:tcW w:w="2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21</w:t>
      </w:r>
    </w:p>
    <w:p>
      <w:pPr>
        <w:jc w:val="center"/>
        <w:ind w:right="4020"/>
        <w:spacing w:after="0" w:line="237" w:lineRule="auto"/>
        <w:rPr>
          <w:sz w:val="20"/>
          <w:szCs w:val="20"/>
          <w:color w:val="auto"/>
        </w:rPr>
      </w:pPr>
      <w:r>
        <w:rPr>
          <w:rFonts w:ascii="Courier New" w:cs="Courier New" w:eastAsia="Courier New" w:hAnsi="Courier New"/>
          <w:sz w:val="15"/>
          <w:szCs w:val="15"/>
          <w:color w:val="auto"/>
        </w:rPr>
        <w:t>GENTEX CORPORATION AND SUBSIDIARIES</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CONSOLIDATED STATEMENTS OF SHAREHOLDERS' INVESTMENT</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FOR THE YEARS ENDED DECEMBER 31, 1998, 1997 AND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Common Stock</w:t>
            </w:r>
          </w:p>
        </w:tc>
        <w:tc>
          <w:tcPr>
            <w:tcW w:w="15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Additional</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gridSpan w:val="2"/>
          </w:tcPr>
          <w:p>
            <w:pPr>
              <w:ind w:left="76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Paid-In</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Comprehensive</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Retained</w:t>
            </w:r>
          </w:p>
        </w:tc>
      </w:tr>
      <w:tr>
        <w:trPr>
          <w:trHeight w:val="168"/>
        </w:trPr>
        <w:tc>
          <w:tcPr>
            <w:tcW w:w="2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Shares</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Amount</w:t>
            </w:r>
          </w:p>
        </w:tc>
        <w:tc>
          <w:tcPr>
            <w:tcW w:w="1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Capital</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Income</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Earnings</w:t>
            </w:r>
          </w:p>
        </w:tc>
      </w:tr>
      <w:tr>
        <w:trPr>
          <w:trHeight w:val="168"/>
        </w:trPr>
        <w:tc>
          <w:tcPr>
            <w:tcW w:w="2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gridSpan w:val="2"/>
          </w:tcPr>
          <w:p>
            <w:pPr>
              <w:jc w:val="center"/>
              <w:ind w:right="1627"/>
              <w:spacing w:after="0"/>
              <w:rPr>
                <w:sz w:val="20"/>
                <w:szCs w:val="20"/>
                <w:color w:val="auto"/>
              </w:rPr>
            </w:pPr>
            <w:r>
              <w:rPr>
                <w:rFonts w:ascii="Courier New" w:cs="Courier New" w:eastAsia="Courier New" w:hAnsi="Courier New"/>
                <w:sz w:val="15"/>
                <w:szCs w:val="15"/>
                <w:color w:val="auto"/>
                <w:w w:val="97"/>
              </w:rPr>
              <w:t>BALANCE AS OF DECEMBER 31, 1995</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16,895,859</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$1,013,752</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$37,128,320</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$58,305,081</w:t>
            </w:r>
          </w:p>
        </w:tc>
      </w:tr>
      <w:tr>
        <w:trPr>
          <w:trHeight w:val="336"/>
        </w:trPr>
        <w:tc>
          <w:tcPr>
            <w:tcW w:w="4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4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of stock plan transactions</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633,754</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38,025</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8,868,755</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split</w:t>
            </w:r>
          </w:p>
        </w:tc>
        <w:tc>
          <w:tcPr>
            <w:tcW w:w="218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17,219,669</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1,033,180</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(1,033,180)</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2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income</w:t>
            </w:r>
          </w:p>
        </w:tc>
        <w:tc>
          <w:tcPr>
            <w:tcW w:w="218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$23,963,395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23,963,395</w:t>
            </w:r>
          </w:p>
        </w:tc>
      </w:tr>
      <w:tr>
        <w:trPr>
          <w:trHeight w:val="336"/>
        </w:trPr>
        <w:tc>
          <w:tcPr>
            <w:tcW w:w="224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Other comprehensive</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22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Foreign currency</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translation adjustment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8,734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Unrealized gain on investments</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335,372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68"/>
        </w:trPr>
        <w:tc>
          <w:tcPr>
            <w:tcW w:w="4420" w:type="dxa"/>
            <w:vAlign w:val="bottom"/>
            <w:gridSpan w:val="2"/>
          </w:tcPr>
          <w:p>
            <w:pPr>
              <w:ind w:left="1060"/>
              <w:spacing w:after="0" w:line="168" w:lineRule="exact"/>
              <w:rPr>
                <w:sz w:val="20"/>
                <w:szCs w:val="20"/>
                <w:color w:val="auto"/>
              </w:rPr>
            </w:pPr>
            <w:r>
              <w:rPr>
                <w:rFonts w:ascii="Courier New" w:cs="Courier New" w:eastAsia="Courier New" w:hAnsi="Courier New"/>
                <w:sz w:val="15"/>
                <w:szCs w:val="15"/>
                <w:color w:val="auto"/>
              </w:rPr>
              <w:t>Other comprehensive income</w:t>
            </w: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344,106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68"/>
        </w:trPr>
        <w:tc>
          <w:tcPr>
            <w:tcW w:w="4420" w:type="dxa"/>
            <w:vAlign w:val="bottom"/>
            <w:gridSpan w:val="2"/>
          </w:tcPr>
          <w:p>
            <w:pPr>
              <w:ind w:left="1400"/>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$24,307,501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gridSpan w:val="2"/>
          </w:tcPr>
          <w:p>
            <w:pPr>
              <w:jc w:val="center"/>
              <w:ind w:right="1627"/>
              <w:spacing w:after="0"/>
              <w:rPr>
                <w:sz w:val="20"/>
                <w:szCs w:val="20"/>
                <w:color w:val="auto"/>
              </w:rPr>
            </w:pPr>
            <w:r>
              <w:rPr>
                <w:rFonts w:ascii="Courier New" w:cs="Courier New" w:eastAsia="Courier New" w:hAnsi="Courier New"/>
                <w:sz w:val="15"/>
                <w:szCs w:val="15"/>
                <w:color w:val="auto"/>
                <w:w w:val="97"/>
              </w:rPr>
              <w:t>BALANCE AS OF DECEMBER 31, 1996</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34,749,282</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2,084,957</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44,963,895</w:t>
            </w:r>
          </w:p>
        </w:tc>
        <w:tc>
          <w:tcPr>
            <w:tcW w:w="14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82,268,476</w:t>
            </w:r>
          </w:p>
        </w:tc>
      </w:tr>
      <w:tr>
        <w:trPr>
          <w:trHeight w:val="336"/>
        </w:trPr>
        <w:tc>
          <w:tcPr>
            <w:tcW w:w="4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4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of stock plan transactions</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649,865</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38,992</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8,690,768</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2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income</w:t>
            </w:r>
          </w:p>
        </w:tc>
        <w:tc>
          <w:tcPr>
            <w:tcW w:w="218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$35,230,224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35,230,224</w:t>
            </w:r>
          </w:p>
        </w:tc>
      </w:tr>
      <w:tr>
        <w:trPr>
          <w:trHeight w:val="336"/>
        </w:trPr>
        <w:tc>
          <w:tcPr>
            <w:tcW w:w="224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Other comprehensive</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22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Foreign currency</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translation adjustment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(20,410)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Unrealized gain on investments</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1,293,481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68"/>
        </w:trPr>
        <w:tc>
          <w:tcPr>
            <w:tcW w:w="4420" w:type="dxa"/>
            <w:vAlign w:val="bottom"/>
            <w:gridSpan w:val="2"/>
          </w:tcPr>
          <w:p>
            <w:pPr>
              <w:ind w:left="1060"/>
              <w:spacing w:after="0" w:line="168" w:lineRule="exact"/>
              <w:rPr>
                <w:sz w:val="20"/>
                <w:szCs w:val="20"/>
                <w:color w:val="auto"/>
              </w:rPr>
            </w:pPr>
            <w:r>
              <w:rPr>
                <w:rFonts w:ascii="Courier New" w:cs="Courier New" w:eastAsia="Courier New" w:hAnsi="Courier New"/>
                <w:sz w:val="15"/>
                <w:szCs w:val="15"/>
                <w:color w:val="auto"/>
              </w:rPr>
              <w:t>Other comprehensive income</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1,273,071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68"/>
        </w:trPr>
        <w:tc>
          <w:tcPr>
            <w:tcW w:w="4420" w:type="dxa"/>
            <w:vAlign w:val="bottom"/>
            <w:gridSpan w:val="2"/>
          </w:tcPr>
          <w:p>
            <w:pPr>
              <w:ind w:left="1400"/>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$36,503,295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gridSpan w:val="2"/>
          </w:tcPr>
          <w:p>
            <w:pPr>
              <w:jc w:val="center"/>
              <w:ind w:right="1627"/>
              <w:spacing w:after="0"/>
              <w:rPr>
                <w:sz w:val="20"/>
                <w:szCs w:val="20"/>
                <w:color w:val="auto"/>
              </w:rPr>
            </w:pPr>
            <w:r>
              <w:rPr>
                <w:rFonts w:ascii="Courier New" w:cs="Courier New" w:eastAsia="Courier New" w:hAnsi="Courier New"/>
                <w:sz w:val="15"/>
                <w:szCs w:val="15"/>
                <w:color w:val="auto"/>
                <w:w w:val="97"/>
              </w:rPr>
              <w:t>BALANCE AS OF DECEMBER 31, 1997</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35,399,147</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2,123,949</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53,654,663</w:t>
            </w:r>
          </w:p>
        </w:tc>
        <w:tc>
          <w:tcPr>
            <w:tcW w:w="14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117,498,700</w:t>
            </w:r>
          </w:p>
        </w:tc>
      </w:tr>
      <w:tr>
        <w:trPr>
          <w:trHeight w:val="336"/>
        </w:trPr>
        <w:tc>
          <w:tcPr>
            <w:tcW w:w="4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4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of stock plan transactions</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1,023,593</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61,416</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13,371,605</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split</w:t>
            </w:r>
          </w:p>
        </w:tc>
        <w:tc>
          <w:tcPr>
            <w:tcW w:w="218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35,836,177</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2,150,170</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(2,150,170)</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2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income</w:t>
            </w:r>
          </w:p>
        </w:tc>
        <w:tc>
          <w:tcPr>
            <w:tcW w:w="218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$50,307,130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50,307,130</w:t>
            </w:r>
          </w:p>
        </w:tc>
      </w:tr>
      <w:tr>
        <w:trPr>
          <w:trHeight w:val="336"/>
        </w:trPr>
        <w:tc>
          <w:tcPr>
            <w:tcW w:w="224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Other comprehensive</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22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Foreign currency</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translation adjustment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58,177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Unrealized gain on investments</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423,200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68"/>
        </w:trPr>
        <w:tc>
          <w:tcPr>
            <w:tcW w:w="4420" w:type="dxa"/>
            <w:vAlign w:val="bottom"/>
            <w:gridSpan w:val="2"/>
          </w:tcPr>
          <w:p>
            <w:pPr>
              <w:ind w:left="1060"/>
              <w:spacing w:after="0" w:line="168" w:lineRule="exact"/>
              <w:rPr>
                <w:sz w:val="20"/>
                <w:szCs w:val="20"/>
                <w:color w:val="auto"/>
              </w:rPr>
            </w:pPr>
            <w:r>
              <w:rPr>
                <w:rFonts w:ascii="Courier New" w:cs="Courier New" w:eastAsia="Courier New" w:hAnsi="Courier New"/>
                <w:sz w:val="15"/>
                <w:szCs w:val="15"/>
                <w:color w:val="auto"/>
              </w:rPr>
              <w:t>Other comprehensive income</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481,377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68"/>
        </w:trPr>
        <w:tc>
          <w:tcPr>
            <w:tcW w:w="4420" w:type="dxa"/>
            <w:vAlign w:val="bottom"/>
            <w:gridSpan w:val="2"/>
          </w:tcPr>
          <w:p>
            <w:pPr>
              <w:ind w:left="1400"/>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$50,788,507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gridSpan w:val="2"/>
          </w:tcPr>
          <w:p>
            <w:pPr>
              <w:jc w:val="center"/>
              <w:ind w:right="1627"/>
              <w:spacing w:after="0"/>
              <w:rPr>
                <w:sz w:val="20"/>
                <w:szCs w:val="20"/>
                <w:color w:val="auto"/>
              </w:rPr>
            </w:pPr>
            <w:r>
              <w:rPr>
                <w:rFonts w:ascii="Courier New" w:cs="Courier New" w:eastAsia="Courier New" w:hAnsi="Courier New"/>
                <w:sz w:val="15"/>
                <w:szCs w:val="15"/>
                <w:color w:val="auto"/>
                <w:w w:val="97"/>
              </w:rPr>
              <w:t>BALANCE AS OF DECEMBER 31, 1998</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72,258,917</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$4,335,535</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$64,876,098</w:t>
            </w:r>
          </w:p>
        </w:tc>
        <w:tc>
          <w:tcPr>
            <w:tcW w:w="14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$167,805,830</w:t>
            </w:r>
          </w:p>
        </w:tc>
      </w:tr>
      <w:tr>
        <w:trPr>
          <w:trHeight w:val="168"/>
        </w:trPr>
        <w:tc>
          <w:tcPr>
            <w:tcW w:w="2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6"/>
              </w:rPr>
              <w:t>Accumulated</w:t>
            </w:r>
          </w:p>
        </w:tc>
        <w:tc>
          <w:tcPr>
            <w:tcW w:w="140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Other</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Deferred</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Comprehensive</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Shareholders'</w:t>
            </w:r>
          </w:p>
        </w:tc>
      </w:tr>
      <w:tr>
        <w:trPr>
          <w:trHeight w:val="168"/>
        </w:trPr>
        <w:tc>
          <w:tcPr>
            <w:tcW w:w="2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Compensation</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Income (Loss)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w:t>
            </w:r>
          </w:p>
        </w:tc>
      </w:tr>
      <w:tr>
        <w:trPr>
          <w:trHeight w:val="168"/>
        </w:trPr>
        <w:tc>
          <w:tcPr>
            <w:tcW w:w="2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BALANCE AS OF DECEMBER 31, 1995</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($1,721,684)</w:t>
            </w:r>
          </w:p>
        </w:tc>
        <w:tc>
          <w:tcPr>
            <w:tcW w:w="1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($53,689)</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$ 94,671,780</w:t>
            </w:r>
          </w:p>
        </w:tc>
      </w:tr>
      <w:tr>
        <w:trPr>
          <w:trHeight w:val="336"/>
        </w:trPr>
        <w:tc>
          <w:tcPr>
            <w:tcW w:w="4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44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of stock plan transactions</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(630,241)</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8,276,539</w:t>
            </w:r>
          </w:p>
        </w:tc>
      </w:tr>
      <w:tr>
        <w:trPr>
          <w:trHeight w:val="168"/>
        </w:trPr>
        <w:tc>
          <w:tcPr>
            <w:tcW w:w="4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547,821</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547,821</w:t>
            </w: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split</w:t>
            </w:r>
          </w:p>
        </w:tc>
        <w:tc>
          <w:tcPr>
            <w:tcW w:w="2180" w:type="dxa"/>
            <w:vAlign w:val="bottom"/>
          </w:tcPr>
          <w:p>
            <w:pPr>
              <w:spacing w:after="0"/>
              <w:rPr>
                <w:sz w:val="14"/>
                <w:szCs w:val="14"/>
                <w:color w:val="auto"/>
              </w:rPr>
            </w:pP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2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income</w:t>
            </w:r>
          </w:p>
        </w:tc>
        <w:tc>
          <w:tcPr>
            <w:tcW w:w="2180" w:type="dxa"/>
            <w:vAlign w:val="bottom"/>
          </w:tcPr>
          <w:p>
            <w:pPr>
              <w:spacing w:after="0"/>
              <w:rPr>
                <w:sz w:val="14"/>
                <w:szCs w:val="14"/>
                <w:color w:val="auto"/>
              </w:rPr>
            </w:pP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23,963,395</w:t>
            </w:r>
          </w:p>
        </w:tc>
      </w:tr>
      <w:tr>
        <w:trPr>
          <w:trHeight w:val="336"/>
        </w:trPr>
        <w:tc>
          <w:tcPr>
            <w:tcW w:w="2240" w:type="dxa"/>
            <w:vAlign w:val="bottom"/>
          </w:tcPr>
          <w:p>
            <w:pPr>
              <w:ind w:left="540"/>
              <w:spacing w:after="0"/>
              <w:rPr>
                <w:sz w:val="20"/>
                <w:szCs w:val="20"/>
                <w:color w:val="auto"/>
              </w:rPr>
            </w:pPr>
            <w:r>
              <w:rPr>
                <w:rFonts w:ascii="Courier New" w:cs="Courier New" w:eastAsia="Courier New" w:hAnsi="Courier New"/>
                <w:sz w:val="15"/>
                <w:szCs w:val="15"/>
                <w:color w:val="auto"/>
                <w:w w:val="98"/>
              </w:rPr>
              <w:t>Other comprehensive</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22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Foreign currency</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translation adjustment</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gridSpan w:val="2"/>
          </w:tcPr>
          <w:p>
            <w:pPr>
              <w:jc w:val="right"/>
              <w:ind w:right="1007"/>
              <w:spacing w:after="0" w:line="168" w:lineRule="exact"/>
              <w:rPr>
                <w:sz w:val="20"/>
                <w:szCs w:val="20"/>
                <w:color w:val="auto"/>
              </w:rPr>
            </w:pPr>
            <w:r>
              <w:rPr>
                <w:rFonts w:ascii="Courier New" w:cs="Courier New" w:eastAsia="Courier New" w:hAnsi="Courier New"/>
                <w:sz w:val="15"/>
                <w:szCs w:val="15"/>
                <w:color w:val="auto"/>
              </w:rPr>
              <w:t>Unrealized gain on investments</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gridSpan w:val="2"/>
          </w:tcPr>
          <w:p>
            <w:pPr>
              <w:jc w:val="right"/>
              <w:ind w:right="1007"/>
              <w:spacing w:after="0"/>
              <w:rPr>
                <w:sz w:val="20"/>
                <w:szCs w:val="20"/>
                <w:color w:val="auto"/>
              </w:rPr>
            </w:pPr>
            <w:r>
              <w:rPr>
                <w:rFonts w:ascii="Courier New" w:cs="Courier New" w:eastAsia="Courier New" w:hAnsi="Courier New"/>
                <w:sz w:val="15"/>
                <w:szCs w:val="15"/>
                <w:color w:val="auto"/>
              </w:rPr>
              <w:t>Other comprehensive income</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344,106</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344,106</w:t>
            </w:r>
          </w:p>
        </w:tc>
      </w:tr>
      <w:tr>
        <w:trPr>
          <w:trHeight w:val="336"/>
        </w:trPr>
        <w:tc>
          <w:tcPr>
            <w:tcW w:w="4420" w:type="dxa"/>
            <w:vAlign w:val="bottom"/>
            <w:gridSpan w:val="2"/>
          </w:tcPr>
          <w:p>
            <w:pPr>
              <w:ind w:left="1400"/>
              <w:spacing w:after="0"/>
              <w:rPr>
                <w:sz w:val="20"/>
                <w:szCs w:val="20"/>
                <w:color w:val="auto"/>
              </w:rPr>
            </w:pPr>
            <w:r>
              <w:rPr>
                <w:rFonts w:ascii="Courier New" w:cs="Courier New" w:eastAsia="Courier New" w:hAnsi="Courier New"/>
                <w:sz w:val="15"/>
                <w:szCs w:val="15"/>
                <w:color w:val="auto"/>
              </w:rPr>
              <w:t>Comprehensive income</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120"/>
          </w:cols>
          <w:pgMar w:left="220" w:top="281" w:right="55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gridSpan w:val="2"/>
          </w:tcPr>
          <w:p>
            <w:pPr>
              <w:jc w:val="center"/>
              <w:ind w:right="1627"/>
              <w:spacing w:after="0"/>
              <w:rPr>
                <w:sz w:val="20"/>
                <w:szCs w:val="20"/>
                <w:color w:val="auto"/>
              </w:rPr>
            </w:pPr>
            <w:r>
              <w:rPr>
                <w:rFonts w:ascii="Courier New" w:cs="Courier New" w:eastAsia="Courier New" w:hAnsi="Courier New"/>
                <w:sz w:val="15"/>
                <w:szCs w:val="15"/>
                <w:color w:val="auto"/>
                <w:w w:val="97"/>
              </w:rPr>
              <w:t>BALANCE AS OF DECEMBER 31, 1996</w:t>
            </w:r>
          </w:p>
        </w:tc>
        <w:tc>
          <w:tcPr>
            <w:tcW w:w="1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(1,804,104)</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290,417</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127,803,641</w:t>
            </w:r>
          </w:p>
        </w:tc>
      </w:tr>
      <w:tr>
        <w:trPr>
          <w:trHeight w:val="336"/>
        </w:trPr>
        <w:tc>
          <w:tcPr>
            <w:tcW w:w="4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44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of stock plan transactions</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(421,579)</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8,308,181</w:t>
            </w:r>
          </w:p>
        </w:tc>
      </w:tr>
      <w:tr>
        <w:trPr>
          <w:trHeight w:val="168"/>
        </w:trPr>
        <w:tc>
          <w:tcPr>
            <w:tcW w:w="4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590,060</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590,060</w:t>
            </w: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2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income</w:t>
            </w:r>
          </w:p>
        </w:tc>
        <w:tc>
          <w:tcPr>
            <w:tcW w:w="2180" w:type="dxa"/>
            <w:vAlign w:val="bottom"/>
          </w:tcPr>
          <w:p>
            <w:pPr>
              <w:spacing w:after="0"/>
              <w:rPr>
                <w:sz w:val="14"/>
                <w:szCs w:val="14"/>
                <w:color w:val="auto"/>
              </w:rPr>
            </w:pP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35,230,224</w:t>
            </w:r>
          </w:p>
        </w:tc>
      </w:tr>
      <w:tr>
        <w:trPr>
          <w:trHeight w:val="336"/>
        </w:trPr>
        <w:tc>
          <w:tcPr>
            <w:tcW w:w="224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Other comprehensive</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22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Foreign currency</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translation adjustment</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Unrealized gain on investments</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Other comprehensive income</w:t>
            </w:r>
          </w:p>
        </w:tc>
        <w:tc>
          <w:tcPr>
            <w:tcW w:w="16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1,273,071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1,273,071</w:t>
            </w:r>
          </w:p>
        </w:tc>
      </w:tr>
      <w:tr>
        <w:trPr>
          <w:trHeight w:val="336"/>
        </w:trPr>
        <w:tc>
          <w:tcPr>
            <w:tcW w:w="4420" w:type="dxa"/>
            <w:vAlign w:val="bottom"/>
            <w:gridSpan w:val="2"/>
          </w:tcPr>
          <w:p>
            <w:pPr>
              <w:ind w:left="1400"/>
              <w:spacing w:after="0"/>
              <w:rPr>
                <w:sz w:val="20"/>
                <w:szCs w:val="20"/>
                <w:color w:val="auto"/>
              </w:rPr>
            </w:pPr>
            <w:r>
              <w:rPr>
                <w:rFonts w:ascii="Courier New" w:cs="Courier New" w:eastAsia="Courier New" w:hAnsi="Courier New"/>
                <w:sz w:val="15"/>
                <w:szCs w:val="15"/>
                <w:color w:val="auto"/>
              </w:rPr>
              <w:t>Comprehensive income</w:t>
            </w:r>
          </w:p>
        </w:tc>
        <w:tc>
          <w:tcPr>
            <w:tcW w:w="16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gridSpan w:val="2"/>
          </w:tcPr>
          <w:p>
            <w:pPr>
              <w:jc w:val="center"/>
              <w:ind w:right="1627"/>
              <w:spacing w:after="0"/>
              <w:rPr>
                <w:sz w:val="20"/>
                <w:szCs w:val="20"/>
                <w:color w:val="auto"/>
              </w:rPr>
            </w:pPr>
            <w:r>
              <w:rPr>
                <w:rFonts w:ascii="Courier New" w:cs="Courier New" w:eastAsia="Courier New" w:hAnsi="Courier New"/>
                <w:sz w:val="15"/>
                <w:szCs w:val="15"/>
                <w:color w:val="auto"/>
                <w:w w:val="97"/>
              </w:rPr>
              <w:t>BALANCE AS OF DECEMBER 31, 1997</w:t>
            </w:r>
          </w:p>
        </w:tc>
        <w:tc>
          <w:tcPr>
            <w:tcW w:w="1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(1,635,623)</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1,563,488</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173,205,177</w:t>
            </w:r>
          </w:p>
        </w:tc>
      </w:tr>
      <w:tr>
        <w:trPr>
          <w:trHeight w:val="336"/>
        </w:trPr>
        <w:tc>
          <w:tcPr>
            <w:tcW w:w="4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44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of stock plan transactions</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(990,218)</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12,442,803</w:t>
            </w:r>
          </w:p>
        </w:tc>
      </w:tr>
      <w:tr>
        <w:trPr>
          <w:trHeight w:val="168"/>
        </w:trPr>
        <w:tc>
          <w:tcPr>
            <w:tcW w:w="4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571,731</w:t>
            </w:r>
          </w:p>
        </w:tc>
        <w:tc>
          <w:tcPr>
            <w:tcW w:w="158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571,731</w:t>
            </w: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split</w:t>
            </w:r>
          </w:p>
        </w:tc>
        <w:tc>
          <w:tcPr>
            <w:tcW w:w="2180" w:type="dxa"/>
            <w:vAlign w:val="bottom"/>
          </w:tcPr>
          <w:p>
            <w:pPr>
              <w:spacing w:after="0"/>
              <w:rPr>
                <w:sz w:val="14"/>
                <w:szCs w:val="14"/>
                <w:color w:val="auto"/>
              </w:rPr>
            </w:pP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2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income</w:t>
            </w:r>
          </w:p>
        </w:tc>
        <w:tc>
          <w:tcPr>
            <w:tcW w:w="2180" w:type="dxa"/>
            <w:vAlign w:val="bottom"/>
          </w:tcPr>
          <w:p>
            <w:pPr>
              <w:spacing w:after="0"/>
              <w:rPr>
                <w:sz w:val="14"/>
                <w:szCs w:val="14"/>
                <w:color w:val="auto"/>
              </w:rPr>
            </w:pP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50,307,130</w:t>
            </w:r>
          </w:p>
        </w:tc>
      </w:tr>
      <w:tr>
        <w:trPr>
          <w:trHeight w:val="336"/>
        </w:trPr>
        <w:tc>
          <w:tcPr>
            <w:tcW w:w="224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Other comprehensive</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22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Foreign currency</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translation adjustment</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Unrealized gain on investments</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Other comprehensive income</w:t>
            </w:r>
          </w:p>
        </w:tc>
        <w:tc>
          <w:tcPr>
            <w:tcW w:w="16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481,377</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481,377</w:t>
            </w:r>
          </w:p>
        </w:tc>
      </w:tr>
      <w:tr>
        <w:trPr>
          <w:trHeight w:val="336"/>
        </w:trPr>
        <w:tc>
          <w:tcPr>
            <w:tcW w:w="4420" w:type="dxa"/>
            <w:vAlign w:val="bottom"/>
            <w:gridSpan w:val="2"/>
          </w:tcPr>
          <w:p>
            <w:pPr>
              <w:ind w:left="1400"/>
              <w:spacing w:after="0"/>
              <w:rPr>
                <w:sz w:val="20"/>
                <w:szCs w:val="20"/>
                <w:color w:val="auto"/>
              </w:rPr>
            </w:pPr>
            <w:r>
              <w:rPr>
                <w:rFonts w:ascii="Courier New" w:cs="Courier New" w:eastAsia="Courier New" w:hAnsi="Courier New"/>
                <w:sz w:val="15"/>
                <w:szCs w:val="15"/>
                <w:color w:val="auto"/>
              </w:rPr>
              <w:t>Comprehensive income</w:t>
            </w:r>
          </w:p>
        </w:tc>
        <w:tc>
          <w:tcPr>
            <w:tcW w:w="16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gridSpan w:val="2"/>
          </w:tcPr>
          <w:p>
            <w:pPr>
              <w:jc w:val="center"/>
              <w:ind w:right="1627"/>
              <w:spacing w:after="0"/>
              <w:rPr>
                <w:sz w:val="20"/>
                <w:szCs w:val="20"/>
                <w:color w:val="auto"/>
              </w:rPr>
            </w:pPr>
            <w:r>
              <w:rPr>
                <w:rFonts w:ascii="Courier New" w:cs="Courier New" w:eastAsia="Courier New" w:hAnsi="Courier New"/>
                <w:sz w:val="15"/>
                <w:szCs w:val="15"/>
                <w:color w:val="auto"/>
                <w:w w:val="97"/>
              </w:rPr>
              <w:t>BALANCE AS OF DECEMBER 31, 1998</w:t>
            </w:r>
          </w:p>
        </w:tc>
        <w:tc>
          <w:tcPr>
            <w:tcW w:w="1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($2,054,110)</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$2,044,865</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$237,008,218</w:t>
            </w:r>
          </w:p>
        </w:tc>
      </w:tr>
      <w:tr>
        <w:trPr>
          <w:trHeight w:val="168"/>
        </w:trPr>
        <w:tc>
          <w:tcPr>
            <w:tcW w:w="2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accompanying notes are an intregal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303"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22</w:t>
      </w:r>
    </w:p>
    <w:p>
      <w:pPr>
        <w:jc w:val="center"/>
        <w:ind w:right="4440"/>
        <w:spacing w:after="0" w:line="237" w:lineRule="auto"/>
        <w:rPr>
          <w:sz w:val="20"/>
          <w:szCs w:val="20"/>
          <w:color w:val="auto"/>
        </w:rPr>
      </w:pPr>
      <w:r>
        <w:rPr>
          <w:rFonts w:ascii="Courier New" w:cs="Courier New" w:eastAsia="Courier New" w:hAnsi="Courier New"/>
          <w:sz w:val="15"/>
          <w:szCs w:val="15"/>
          <w:color w:val="auto"/>
        </w:rPr>
        <w:t>GENTEX CORPORATION AND SUBSIDIARIES</w:t>
      </w:r>
    </w:p>
    <w:p>
      <w:pPr>
        <w:spacing w:after="0" w:line="167"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FOR THE YEARS ENDED DECEMBER 31, 1998, 1997, AND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tcPr>
          <w:p>
            <w:pPr>
              <w:spacing w:after="0"/>
              <w:rPr>
                <w:sz w:val="14"/>
                <w:szCs w:val="14"/>
                <w:color w:val="auto"/>
              </w:rPr>
            </w:pPr>
          </w:p>
        </w:tc>
        <w:tc>
          <w:tcPr>
            <w:tcW w:w="2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1998</w:t>
            </w:r>
          </w:p>
        </w:tc>
        <w:tc>
          <w:tcPr>
            <w:tcW w:w="18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1997</w:t>
            </w:r>
          </w:p>
        </w:tc>
        <w:tc>
          <w:tcPr>
            <w:tcW w:w="14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5820" w:type="dxa"/>
            <w:vAlign w:val="bottom"/>
          </w:tcPr>
          <w:p>
            <w:pPr>
              <w:spacing w:after="0"/>
              <w:rPr>
                <w:sz w:val="14"/>
                <w:szCs w:val="14"/>
                <w:color w:val="auto"/>
              </w:rPr>
            </w:pPr>
          </w:p>
        </w:tc>
        <w:tc>
          <w:tcPr>
            <w:tcW w:w="2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8"/>
        </w:trPr>
        <w:tc>
          <w:tcPr>
            <w:tcW w:w="5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income</w:t>
            </w:r>
          </w:p>
        </w:tc>
        <w:tc>
          <w:tcPr>
            <w:tcW w:w="2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$50,307,130</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$35,230,224</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$23,963,395</w:t>
            </w:r>
          </w:p>
        </w:tc>
      </w:tr>
      <w:tr>
        <w:trPr>
          <w:trHeight w:val="168"/>
        </w:trPr>
        <w:tc>
          <w:tcPr>
            <w:tcW w:w="5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Adjustments to reconcile net income to net</w:t>
            </w:r>
          </w:p>
        </w:tc>
        <w:tc>
          <w:tcPr>
            <w:tcW w:w="2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58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cash provided by operating activities-</w:t>
            </w:r>
          </w:p>
        </w:tc>
        <w:tc>
          <w:tcPr>
            <w:tcW w:w="2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582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7,522,521</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6,418,312</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3,918,515</w:t>
            </w:r>
          </w:p>
        </w:tc>
      </w:tr>
      <w:tr>
        <w:trPr>
          <w:trHeight w:val="168"/>
        </w:trPr>
        <w:tc>
          <w:tcPr>
            <w:tcW w:w="582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Loss on disposal of equipment</w:t>
            </w:r>
          </w:p>
        </w:tc>
        <w:tc>
          <w:tcPr>
            <w:tcW w:w="2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111,218</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82,862</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47,949</w:t>
            </w:r>
          </w:p>
        </w:tc>
      </w:tr>
      <w:tr>
        <w:trPr>
          <w:trHeight w:val="168"/>
        </w:trPr>
        <w:tc>
          <w:tcPr>
            <w:tcW w:w="582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Loss (gain) on sale of investments</w:t>
            </w:r>
          </w:p>
        </w:tc>
        <w:tc>
          <w:tcPr>
            <w:tcW w:w="2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(937,360)</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(8,102)</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39,295</w:t>
            </w:r>
          </w:p>
        </w:tc>
      </w:tr>
      <w:tr>
        <w:trPr>
          <w:trHeight w:val="168"/>
        </w:trPr>
        <w:tc>
          <w:tcPr>
            <w:tcW w:w="582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2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456,474</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(289,734)</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1,072,582</w:t>
            </w:r>
          </w:p>
        </w:tc>
      </w:tr>
      <w:tr>
        <w:trPr>
          <w:trHeight w:val="168"/>
        </w:trPr>
        <w:tc>
          <w:tcPr>
            <w:tcW w:w="582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2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571,731</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590,060</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547,821</w:t>
            </w:r>
          </w:p>
        </w:tc>
      </w:tr>
      <w:tr>
        <w:trPr>
          <w:trHeight w:val="168"/>
        </w:trPr>
        <w:tc>
          <w:tcPr>
            <w:tcW w:w="582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Change in assets and liabilities:</w:t>
            </w:r>
          </w:p>
        </w:tc>
        <w:tc>
          <w:tcPr>
            <w:tcW w:w="2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582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2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(5,741,270)</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(7,500,351)</w:t>
            </w:r>
          </w:p>
        </w:tc>
        <w:tc>
          <w:tcPr>
            <w:tcW w:w="1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(2,309,018)</w:t>
            </w:r>
          </w:p>
        </w:tc>
      </w:tr>
      <w:tr>
        <w:trPr>
          <w:trHeight w:val="168"/>
        </w:trPr>
        <w:tc>
          <w:tcPr>
            <w:tcW w:w="582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Inventories</w:t>
            </w:r>
          </w:p>
        </w:tc>
        <w:tc>
          <w:tcPr>
            <w:tcW w:w="2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61,269</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(2,607,267)</w:t>
            </w:r>
          </w:p>
        </w:tc>
        <w:tc>
          <w:tcPr>
            <w:tcW w:w="1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(444,903)</w:t>
            </w:r>
          </w:p>
        </w:tc>
      </w:tr>
      <w:tr>
        <w:trPr>
          <w:trHeight w:val="168"/>
        </w:trPr>
        <w:tc>
          <w:tcPr>
            <w:tcW w:w="582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2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(463,089)</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(152,724)</w:t>
            </w:r>
          </w:p>
        </w:tc>
        <w:tc>
          <w:tcPr>
            <w:tcW w:w="1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(184,625)</w:t>
            </w:r>
          </w:p>
        </w:tc>
      </w:tr>
      <w:tr>
        <w:trPr>
          <w:trHeight w:val="168"/>
        </w:trPr>
        <w:tc>
          <w:tcPr>
            <w:tcW w:w="582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Accounts payable</w:t>
            </w:r>
          </w:p>
        </w:tc>
        <w:tc>
          <w:tcPr>
            <w:tcW w:w="2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(1,157,323)</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2,965,424</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372,174</w:t>
            </w:r>
          </w:p>
        </w:tc>
      </w:tr>
      <w:tr>
        <w:trPr>
          <w:trHeight w:val="168"/>
        </w:trPr>
        <w:tc>
          <w:tcPr>
            <w:tcW w:w="582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2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1,412,989</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264,883</w:t>
            </w:r>
          </w:p>
        </w:tc>
        <w:tc>
          <w:tcPr>
            <w:tcW w:w="1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(3,061,324)</w:t>
            </w:r>
          </w:p>
        </w:tc>
      </w:tr>
      <w:tr>
        <w:trPr>
          <w:trHeight w:val="168"/>
        </w:trPr>
        <w:tc>
          <w:tcPr>
            <w:tcW w:w="5820" w:type="dxa"/>
            <w:vAlign w:val="bottom"/>
          </w:tcPr>
          <w:p>
            <w:pPr>
              <w:spacing w:after="0"/>
              <w:rPr>
                <w:sz w:val="14"/>
                <w:szCs w:val="14"/>
                <w:color w:val="auto"/>
              </w:rPr>
            </w:pPr>
          </w:p>
        </w:tc>
        <w:tc>
          <w:tcPr>
            <w:tcW w:w="2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2460"/>
              <w:spacing w:after="0" w:line="168" w:lineRule="exact"/>
              <w:rPr>
                <w:sz w:val="20"/>
                <w:szCs w:val="20"/>
                <w:color w:val="auto"/>
              </w:rPr>
            </w:pPr>
            <w:r>
              <w:rPr>
                <w:rFonts w:ascii="Courier New" w:cs="Courier New" w:eastAsia="Courier New" w:hAnsi="Courier New"/>
                <w:sz w:val="15"/>
                <w:szCs w:val="15"/>
                <w:color w:val="auto"/>
              </w:rPr>
              <w:t>Net cash provided by</w:t>
            </w:r>
          </w:p>
        </w:tc>
        <w:tc>
          <w:tcPr>
            <w:tcW w:w="2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582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2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52,144,290</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34,993,587</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23,961,861</w:t>
            </w:r>
          </w:p>
        </w:tc>
      </w:tr>
      <w:tr>
        <w:trPr>
          <w:trHeight w:val="168"/>
        </w:trPr>
        <w:tc>
          <w:tcPr>
            <w:tcW w:w="5820" w:type="dxa"/>
            <w:vAlign w:val="bottom"/>
          </w:tcPr>
          <w:p>
            <w:pPr>
              <w:spacing w:after="0"/>
              <w:rPr>
                <w:sz w:val="14"/>
                <w:szCs w:val="14"/>
                <w:color w:val="auto"/>
              </w:rPr>
            </w:pPr>
          </w:p>
        </w:tc>
        <w:tc>
          <w:tcPr>
            <w:tcW w:w="2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8"/>
        </w:trPr>
        <w:tc>
          <w:tcPr>
            <w:tcW w:w="5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Activity in Held-To-Maturity Securities</w:t>
            </w:r>
          </w:p>
        </w:tc>
        <w:tc>
          <w:tcPr>
            <w:tcW w:w="2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58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Maturities and Calls</w:t>
            </w:r>
          </w:p>
        </w:tc>
        <w:tc>
          <w:tcPr>
            <w:tcW w:w="2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12,366,000</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24,765,464</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28,840,879</w:t>
            </w:r>
          </w:p>
        </w:tc>
      </w:tr>
      <w:tr>
        <w:trPr>
          <w:trHeight w:val="168"/>
        </w:trPr>
        <w:tc>
          <w:tcPr>
            <w:tcW w:w="58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Purchases</w:t>
            </w:r>
          </w:p>
        </w:tc>
        <w:tc>
          <w:tcPr>
            <w:tcW w:w="2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(8,333,178)</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(28,324,553)</w:t>
            </w:r>
          </w:p>
        </w:tc>
        <w:tc>
          <w:tcPr>
            <w:tcW w:w="1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(34,915,969)</w:t>
            </w:r>
          </w:p>
        </w:tc>
      </w:tr>
      <w:tr>
        <w:trPr>
          <w:trHeight w:val="168"/>
        </w:trPr>
        <w:tc>
          <w:tcPr>
            <w:tcW w:w="5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Activity in Available-For-Sale Securities</w:t>
            </w:r>
          </w:p>
        </w:tc>
        <w:tc>
          <w:tcPr>
            <w:tcW w:w="2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58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Sales Proceeds</w:t>
            </w:r>
          </w:p>
        </w:tc>
        <w:tc>
          <w:tcPr>
            <w:tcW w:w="2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5,028,187</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12,475,160</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1,123,053</w:t>
            </w:r>
          </w:p>
        </w:tc>
      </w:tr>
      <w:tr>
        <w:trPr>
          <w:trHeight w:val="168"/>
        </w:trPr>
        <w:tc>
          <w:tcPr>
            <w:tcW w:w="58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Purchases</w:t>
            </w:r>
          </w:p>
        </w:tc>
        <w:tc>
          <w:tcPr>
            <w:tcW w:w="2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(25,597,708)</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(25,822,809)</w:t>
            </w:r>
          </w:p>
        </w:tc>
        <w:tc>
          <w:tcPr>
            <w:tcW w:w="1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(8,011,758)</w:t>
            </w:r>
          </w:p>
        </w:tc>
      </w:tr>
      <w:tr>
        <w:trPr>
          <w:trHeight w:val="168"/>
        </w:trPr>
        <w:tc>
          <w:tcPr>
            <w:tcW w:w="5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Plant and equipment additions</w:t>
            </w:r>
          </w:p>
        </w:tc>
        <w:tc>
          <w:tcPr>
            <w:tcW w:w="2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(24,596,224)</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(16,383,089)</w:t>
            </w:r>
          </w:p>
        </w:tc>
        <w:tc>
          <w:tcPr>
            <w:tcW w:w="1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(16,424,358)</w:t>
            </w:r>
          </w:p>
        </w:tc>
      </w:tr>
      <w:tr>
        <w:trPr>
          <w:trHeight w:val="168"/>
        </w:trPr>
        <w:tc>
          <w:tcPr>
            <w:tcW w:w="5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Proceeds from sale of plant and equipment</w:t>
            </w:r>
          </w:p>
        </w:tc>
        <w:tc>
          <w:tcPr>
            <w:tcW w:w="2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52,615</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316,270</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11,943</w:t>
            </w:r>
          </w:p>
        </w:tc>
      </w:tr>
      <w:tr>
        <w:trPr>
          <w:trHeight w:val="168"/>
        </w:trPr>
        <w:tc>
          <w:tcPr>
            <w:tcW w:w="5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Increase in other assets</w:t>
            </w:r>
          </w:p>
        </w:tc>
        <w:tc>
          <w:tcPr>
            <w:tcW w:w="2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(247,685)</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(289,920)</w:t>
            </w:r>
          </w:p>
        </w:tc>
        <w:tc>
          <w:tcPr>
            <w:tcW w:w="1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(246,875)</w:t>
            </w:r>
          </w:p>
        </w:tc>
      </w:tr>
      <w:tr>
        <w:trPr>
          <w:trHeight w:val="168"/>
        </w:trPr>
        <w:tc>
          <w:tcPr>
            <w:tcW w:w="5820" w:type="dxa"/>
            <w:vAlign w:val="bottom"/>
          </w:tcPr>
          <w:p>
            <w:pPr>
              <w:spacing w:after="0"/>
              <w:rPr>
                <w:sz w:val="14"/>
                <w:szCs w:val="14"/>
                <w:color w:val="auto"/>
              </w:rPr>
            </w:pPr>
          </w:p>
        </w:tc>
        <w:tc>
          <w:tcPr>
            <w:tcW w:w="2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2460"/>
              <w:spacing w:after="0" w:line="168" w:lineRule="exact"/>
              <w:rPr>
                <w:sz w:val="20"/>
                <w:szCs w:val="20"/>
                <w:color w:val="auto"/>
              </w:rPr>
            </w:pPr>
            <w:r>
              <w:rPr>
                <w:rFonts w:ascii="Courier New" w:cs="Courier New" w:eastAsia="Courier New" w:hAnsi="Courier New"/>
                <w:sz w:val="15"/>
                <w:szCs w:val="15"/>
                <w:color w:val="auto"/>
              </w:rPr>
              <w:t>Net cash used for</w:t>
            </w:r>
          </w:p>
        </w:tc>
        <w:tc>
          <w:tcPr>
            <w:tcW w:w="2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582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2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(41,327,993)</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(33,263,477)</w:t>
            </w:r>
          </w:p>
        </w:tc>
        <w:tc>
          <w:tcPr>
            <w:tcW w:w="1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(29,623,085)</w:t>
            </w:r>
          </w:p>
        </w:tc>
      </w:tr>
      <w:tr>
        <w:trPr>
          <w:trHeight w:val="168"/>
        </w:trPr>
        <w:tc>
          <w:tcPr>
            <w:tcW w:w="5820" w:type="dxa"/>
            <w:vAlign w:val="bottom"/>
          </w:tcPr>
          <w:p>
            <w:pPr>
              <w:spacing w:after="0"/>
              <w:rPr>
                <w:sz w:val="14"/>
                <w:szCs w:val="14"/>
                <w:color w:val="auto"/>
              </w:rPr>
            </w:pPr>
          </w:p>
        </w:tc>
        <w:tc>
          <w:tcPr>
            <w:tcW w:w="2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8"/>
        </w:trPr>
        <w:tc>
          <w:tcPr>
            <w:tcW w:w="5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Issuance of common stock and tax benefit of</w:t>
            </w:r>
          </w:p>
        </w:tc>
        <w:tc>
          <w:tcPr>
            <w:tcW w:w="2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58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stock plan transactions</w:t>
            </w:r>
          </w:p>
        </w:tc>
        <w:tc>
          <w:tcPr>
            <w:tcW w:w="2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12,442,803</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8,308,181</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8,276,539</w:t>
            </w:r>
          </w:p>
        </w:tc>
      </w:tr>
      <w:tr>
        <w:trPr>
          <w:trHeight w:val="168"/>
        </w:trPr>
        <w:tc>
          <w:tcPr>
            <w:tcW w:w="5820" w:type="dxa"/>
            <w:vAlign w:val="bottom"/>
          </w:tcPr>
          <w:p>
            <w:pPr>
              <w:spacing w:after="0"/>
              <w:rPr>
                <w:sz w:val="14"/>
                <w:szCs w:val="14"/>
                <w:color w:val="auto"/>
              </w:rPr>
            </w:pPr>
          </w:p>
        </w:tc>
        <w:tc>
          <w:tcPr>
            <w:tcW w:w="2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2460"/>
              <w:spacing w:after="0" w:line="168" w:lineRule="exact"/>
              <w:rPr>
                <w:sz w:val="20"/>
                <w:szCs w:val="20"/>
                <w:color w:val="auto"/>
              </w:rPr>
            </w:pPr>
            <w:r>
              <w:rPr>
                <w:rFonts w:ascii="Courier New" w:cs="Courier New" w:eastAsia="Courier New" w:hAnsi="Courier New"/>
                <w:sz w:val="15"/>
                <w:szCs w:val="15"/>
                <w:color w:val="auto"/>
              </w:rPr>
              <w:t>Net cash provided by</w:t>
            </w:r>
          </w:p>
        </w:tc>
        <w:tc>
          <w:tcPr>
            <w:tcW w:w="2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582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2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12,442,803</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8,308,181</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8,276,539</w:t>
            </w:r>
          </w:p>
        </w:tc>
      </w:tr>
      <w:tr>
        <w:trPr>
          <w:trHeight w:val="168"/>
        </w:trPr>
        <w:tc>
          <w:tcPr>
            <w:tcW w:w="5820" w:type="dxa"/>
            <w:vAlign w:val="bottom"/>
          </w:tcPr>
          <w:p>
            <w:pPr>
              <w:spacing w:after="0"/>
              <w:rPr>
                <w:sz w:val="14"/>
                <w:szCs w:val="14"/>
                <w:color w:val="auto"/>
              </w:rPr>
            </w:pPr>
          </w:p>
        </w:tc>
        <w:tc>
          <w:tcPr>
            <w:tcW w:w="2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NET INCREASE IN CASH AND</w:t>
            </w:r>
          </w:p>
        </w:tc>
        <w:tc>
          <w:tcPr>
            <w:tcW w:w="2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8"/>
        </w:trPr>
        <w:tc>
          <w:tcPr>
            <w:tcW w:w="5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EQUIVALENTS</w:t>
            </w:r>
          </w:p>
        </w:tc>
        <w:tc>
          <w:tcPr>
            <w:tcW w:w="2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23,259,100</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10,038,291</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2,615,315</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2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8"/>
        </w:trPr>
        <w:tc>
          <w:tcPr>
            <w:tcW w:w="5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2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26,768,647</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16,730,356</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14,115,041</w:t>
            </w:r>
          </w:p>
        </w:tc>
      </w:tr>
      <w:tr>
        <w:trPr>
          <w:trHeight w:val="168"/>
        </w:trPr>
        <w:tc>
          <w:tcPr>
            <w:tcW w:w="5820" w:type="dxa"/>
            <w:vAlign w:val="bottom"/>
          </w:tcPr>
          <w:p>
            <w:pPr>
              <w:spacing w:after="0"/>
              <w:rPr>
                <w:sz w:val="14"/>
                <w:szCs w:val="14"/>
                <w:color w:val="auto"/>
              </w:rPr>
            </w:pPr>
          </w:p>
        </w:tc>
        <w:tc>
          <w:tcPr>
            <w:tcW w:w="2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2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8"/>
        </w:trPr>
        <w:tc>
          <w:tcPr>
            <w:tcW w:w="5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end of year</w:t>
            </w:r>
          </w:p>
        </w:tc>
        <w:tc>
          <w:tcPr>
            <w:tcW w:w="2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$50,027,747</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$26,768,647</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$16,730,356</w:t>
            </w:r>
          </w:p>
        </w:tc>
      </w:tr>
      <w:tr>
        <w:trPr>
          <w:trHeight w:val="168"/>
        </w:trPr>
        <w:tc>
          <w:tcPr>
            <w:tcW w:w="5820" w:type="dxa"/>
            <w:vAlign w:val="bottom"/>
          </w:tcPr>
          <w:p>
            <w:pPr>
              <w:spacing w:after="0"/>
              <w:rPr>
                <w:sz w:val="14"/>
                <w:szCs w:val="14"/>
                <w:color w:val="auto"/>
              </w:rPr>
            </w:pPr>
          </w:p>
        </w:tc>
        <w:tc>
          <w:tcPr>
            <w:tcW w:w="2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980"/>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ectPr>
          <w:pgSz w:w="11900" w:h="16838" w:orient="portrait"/>
          <w:cols w:equalWidth="0" w:num="1">
            <w:col w:w="11540"/>
          </w:cols>
          <w:pgMar w:left="220" w:top="281"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1540"/>
          </w:cols>
          <w:pgMar w:left="220" w:top="281" w:right="139" w:bottom="1440" w:gutter="0" w:footer="0" w:header="0"/>
          <w:type w:val="continuous"/>
        </w:sectPr>
      </w:pPr>
    </w:p>
    <w:bookmarkStart w:id="24" w:name="page25"/>
    <w:bookmarkEnd w:id="24"/>
    <w:p>
      <w:pPr>
        <w:ind w:left="270"/>
        <w:spacing w:after="0"/>
        <w:rPr>
          <w:sz w:val="20"/>
          <w:szCs w:val="20"/>
          <w:color w:val="auto"/>
        </w:rPr>
      </w:pPr>
      <w:r>
        <w:rPr>
          <w:rFonts w:ascii="Courier New" w:cs="Courier New" w:eastAsia="Courier New" w:hAnsi="Courier New"/>
          <w:sz w:val="15"/>
          <w:szCs w:val="15"/>
          <w:color w:val="auto"/>
        </w:rPr>
        <w:t>23</w:t>
      </w:r>
    </w:p>
    <w:p>
      <w:pPr>
        <w:spacing w:after="0" w:line="200" w:lineRule="exact"/>
        <w:rPr>
          <w:sz w:val="20"/>
          <w:szCs w:val="20"/>
          <w:color w:val="auto"/>
        </w:rPr>
      </w:pPr>
    </w:p>
    <w:p>
      <w:pPr>
        <w:spacing w:after="0" w:line="303" w:lineRule="exact"/>
        <w:rPr>
          <w:sz w:val="20"/>
          <w:szCs w:val="20"/>
          <w:color w:val="auto"/>
        </w:rPr>
      </w:pPr>
    </w:p>
    <w:p>
      <w:pPr>
        <w:ind w:left="2010"/>
        <w:spacing w:after="0"/>
        <w:rPr>
          <w:sz w:val="20"/>
          <w:szCs w:val="20"/>
          <w:color w:val="auto"/>
        </w:rPr>
      </w:pPr>
      <w:r>
        <w:rPr>
          <w:rFonts w:ascii="Courier New" w:cs="Courier New" w:eastAsia="Courier New" w:hAnsi="Courier New"/>
          <w:sz w:val="15"/>
          <w:szCs w:val="15"/>
          <w:color w:val="auto"/>
        </w:rPr>
        <w:t>GENTEX CORPORATION AND SUBSIDIARIES</w:t>
      </w:r>
    </w:p>
    <w:p>
      <w:pPr>
        <w:ind w:left="167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left="430" w:right="4899" w:hanging="430"/>
        <w:spacing w:after="0" w:line="465" w:lineRule="auto"/>
        <w:tabs>
          <w:tab w:leader="none" w:pos="43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The Company</w:t>
      </w:r>
    </w:p>
    <w:p>
      <w:pPr>
        <w:spacing w:after="0" w:line="14" w:lineRule="exact"/>
        <w:rPr>
          <w:rFonts w:ascii="Courier New" w:cs="Courier New" w:eastAsia="Courier New" w:hAnsi="Courier New"/>
          <w:sz w:val="15"/>
          <w:szCs w:val="15"/>
          <w:color w:val="auto"/>
        </w:rPr>
      </w:pPr>
    </w:p>
    <w:p>
      <w:pPr>
        <w:ind w:left="690" w:right="3239" w:hanging="262"/>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Gentex Corporation designs, develops, manufactures and markets proprietary electro-optical products: automatic rearview mirrors for the automotive industry and fire protection products for the commercial building industry. A substantial portion of the Company's net sales and accounts receivable result from transactions with domestic and foreign automotive manufacturers and tier one suppliers. The Company's fire protection products are primarily sold to domestic distributors and original equipment manufacturers of fire and security systems.</w:t>
      </w:r>
    </w:p>
    <w:p>
      <w:pPr>
        <w:spacing w:after="0" w:line="165" w:lineRule="exact"/>
        <w:rPr>
          <w:rFonts w:ascii="Courier New" w:cs="Courier New" w:eastAsia="Courier New" w:hAnsi="Courier New"/>
          <w:sz w:val="15"/>
          <w:szCs w:val="15"/>
          <w:color w:val="auto"/>
        </w:rPr>
      </w:pPr>
    </w:p>
    <w:p>
      <w:pPr>
        <w:ind w:left="690" w:right="3319" w:hanging="262"/>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policies of the Company not described elsewhere are as follows:</w:t>
      </w:r>
    </w:p>
    <w:p>
      <w:pPr>
        <w:spacing w:after="0" w:line="166"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Consolidation</w:t>
      </w:r>
    </w:p>
    <w:p>
      <w:pPr>
        <w:spacing w:after="0" w:line="172" w:lineRule="exact"/>
        <w:rPr>
          <w:rFonts w:ascii="Courier New" w:cs="Courier New" w:eastAsia="Courier New" w:hAnsi="Courier New"/>
          <w:sz w:val="15"/>
          <w:szCs w:val="15"/>
          <w:color w:val="auto"/>
        </w:rPr>
      </w:pPr>
    </w:p>
    <w:p>
      <w:pPr>
        <w:ind w:left="690" w:right="3319" w:hanging="262"/>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Theconsolidated financial statements include the accounts of Gentex Corporation and all of its wholly-owned subsidiaries (together the "Company"). All significant intercompany accounts and transactions have been eliminated.</w:t>
      </w:r>
    </w:p>
    <w:p>
      <w:pPr>
        <w:spacing w:after="0" w:line="168"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Cash Equivalents</w:t>
      </w:r>
    </w:p>
    <w:p>
      <w:pPr>
        <w:spacing w:after="0" w:line="172" w:lineRule="exact"/>
        <w:rPr>
          <w:rFonts w:ascii="Courier New" w:cs="Courier New" w:eastAsia="Courier New" w:hAnsi="Courier New"/>
          <w:sz w:val="15"/>
          <w:szCs w:val="15"/>
          <w:color w:val="auto"/>
        </w:rPr>
      </w:pPr>
    </w:p>
    <w:p>
      <w:pPr>
        <w:ind w:left="430" w:right="3839"/>
        <w:spacing w:after="0" w:line="4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equivalents consist of funds invested in money market accounts. Investments</w:t>
      </w:r>
    </w:p>
    <w:p>
      <w:pPr>
        <w:spacing w:after="0" w:line="14" w:lineRule="exact"/>
        <w:rPr>
          <w:rFonts w:ascii="Courier New" w:cs="Courier New" w:eastAsia="Courier New" w:hAnsi="Courier New"/>
          <w:sz w:val="15"/>
          <w:szCs w:val="15"/>
          <w:color w:val="auto"/>
        </w:rPr>
      </w:pPr>
    </w:p>
    <w:p>
      <w:pPr>
        <w:ind w:left="690" w:right="3759" w:hanging="262"/>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amortized cost, unrealized gains and losses, and market value of securities held to maturity and available for sale are shown as of December 31, 1998 and 1997:</w:t>
      </w:r>
    </w:p>
    <w:p>
      <w:pPr>
        <w:spacing w:after="0" w:line="200" w:lineRule="exact"/>
        <w:rPr>
          <w:sz w:val="20"/>
          <w:szCs w:val="20"/>
          <w:color w:val="auto"/>
        </w:rPr>
      </w:pPr>
    </w:p>
    <w:p>
      <w:pPr>
        <w:spacing w:after="0" w:line="304"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8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Cost</w:t>
            </w:r>
          </w:p>
        </w:tc>
        <w:tc>
          <w:tcPr>
            <w:tcW w:w="600" w:type="dxa"/>
            <w:vAlign w:val="bottom"/>
          </w:tcPr>
          <w:p>
            <w:pPr>
              <w:spacing w:after="0"/>
              <w:rPr>
                <w:sz w:val="14"/>
                <w:szCs w:val="14"/>
                <w:color w:val="auto"/>
              </w:rPr>
            </w:pP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Gains</w:t>
            </w:r>
          </w:p>
        </w:tc>
        <w:tc>
          <w:tcPr>
            <w:tcW w:w="30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Losses</w:t>
            </w:r>
          </w:p>
        </w:tc>
        <w:tc>
          <w:tcPr>
            <w:tcW w:w="14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Market Value</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00" w:type="dxa"/>
            <w:vAlign w:val="bottom"/>
          </w:tcPr>
          <w:p>
            <w:pPr>
              <w:ind w:left="340"/>
              <w:spacing w:after="0"/>
              <w:rPr>
                <w:sz w:val="20"/>
                <w:szCs w:val="20"/>
                <w:color w:val="auto"/>
              </w:rPr>
            </w:pPr>
            <w:r>
              <w:rPr>
                <w:rFonts w:ascii="Courier New" w:cs="Courier New" w:eastAsia="Courier New" w:hAnsi="Courier New"/>
                <w:sz w:val="15"/>
                <w:szCs w:val="15"/>
                <w:color w:val="auto"/>
              </w:rPr>
              <w:t>U.S. Treasuries</w:t>
            </w: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$24,729,622</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613,450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25,343,072</w:t>
            </w:r>
          </w:p>
        </w:tc>
      </w:tr>
      <w:tr>
        <w:trPr>
          <w:trHeight w:val="168"/>
        </w:trPr>
        <w:tc>
          <w:tcPr>
            <w:tcW w:w="2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Municipal</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41,168,482</w:t>
            </w:r>
          </w:p>
        </w:tc>
        <w:tc>
          <w:tcPr>
            <w:tcW w:w="60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510,201</w:t>
            </w:r>
          </w:p>
        </w:tc>
        <w:tc>
          <w:tcPr>
            <w:tcW w:w="30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(989)</w:t>
            </w:r>
          </w:p>
        </w:tc>
        <w:tc>
          <w:tcPr>
            <w:tcW w:w="5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41,677,694</w:t>
            </w:r>
          </w:p>
        </w:tc>
      </w:tr>
      <w:tr>
        <w:trPr>
          <w:trHeight w:val="168"/>
        </w:trPr>
        <w:tc>
          <w:tcPr>
            <w:tcW w:w="2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Other Fixed</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5,149,333</w:t>
            </w:r>
          </w:p>
        </w:tc>
        <w:tc>
          <w:tcPr>
            <w:tcW w:w="60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2,614</w:t>
            </w:r>
          </w:p>
        </w:tc>
        <w:tc>
          <w:tcPr>
            <w:tcW w:w="30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5,151,947</w:t>
            </w:r>
          </w:p>
        </w:tc>
      </w:tr>
      <w:tr>
        <w:trPr>
          <w:trHeight w:val="168"/>
        </w:trPr>
        <w:tc>
          <w:tcPr>
            <w:tcW w:w="2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Equity</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28,643,012</w:t>
            </w:r>
          </w:p>
        </w:tc>
        <w:tc>
          <w:tcPr>
            <w:tcW w:w="60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3,611,957</w:t>
            </w:r>
          </w:p>
        </w:tc>
        <w:tc>
          <w:tcPr>
            <w:tcW w:w="30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(1,136,842)</w:t>
            </w:r>
          </w:p>
        </w:tc>
        <w:tc>
          <w:tcPr>
            <w:tcW w:w="5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31,118,127</w:t>
            </w:r>
          </w:p>
        </w:tc>
      </w:tr>
      <w:tr>
        <w:trPr>
          <w:trHeight w:val="168"/>
        </w:trPr>
        <w:tc>
          <w:tcPr>
            <w:tcW w:w="2100" w:type="dxa"/>
            <w:vAlign w:val="bottom"/>
          </w:tcPr>
          <w:p>
            <w:pPr>
              <w:spacing w:after="0"/>
              <w:rPr>
                <w:sz w:val="14"/>
                <w:szCs w:val="14"/>
                <w:color w:val="auto"/>
              </w:rPr>
            </w:pP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rPr>
                <w:sz w:val="14"/>
                <w:szCs w:val="14"/>
                <w:color w:val="auto"/>
              </w:rPr>
            </w:pP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$99,690,449</w:t>
            </w: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$ 4,738,222</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$(1,137,831)</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$ 103,290,840</w:t>
            </w:r>
          </w:p>
        </w:tc>
      </w:tr>
      <w:tr>
        <w:trPr>
          <w:trHeight w:val="168"/>
        </w:trPr>
        <w:tc>
          <w:tcPr>
            <w:tcW w:w="2100" w:type="dxa"/>
            <w:vAlign w:val="bottom"/>
          </w:tcPr>
          <w:p>
            <w:pPr>
              <w:spacing w:after="0"/>
              <w:rPr>
                <w:sz w:val="14"/>
                <w:szCs w:val="14"/>
                <w:color w:val="auto"/>
              </w:rPr>
            </w:pP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U.S. Treasuries</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$15,255,587</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344,430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15,600,017</w:t>
            </w:r>
          </w:p>
        </w:tc>
      </w:tr>
      <w:tr>
        <w:trPr>
          <w:trHeight w:val="168"/>
        </w:trPr>
        <w:tc>
          <w:tcPr>
            <w:tcW w:w="2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Municipal</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43,874,376</w:t>
            </w:r>
          </w:p>
        </w:tc>
        <w:tc>
          <w:tcPr>
            <w:tcW w:w="60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350,279</w:t>
            </w:r>
          </w:p>
        </w:tc>
        <w:tc>
          <w:tcPr>
            <w:tcW w:w="30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(2,641)</w:t>
            </w:r>
          </w:p>
        </w:tc>
        <w:tc>
          <w:tcPr>
            <w:tcW w:w="5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44,222,014</w:t>
            </w:r>
          </w:p>
        </w:tc>
      </w:tr>
      <w:tr>
        <w:trPr>
          <w:trHeight w:val="168"/>
        </w:trPr>
        <w:tc>
          <w:tcPr>
            <w:tcW w:w="2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Other Fixed</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6,476,132</w:t>
            </w:r>
          </w:p>
        </w:tc>
        <w:tc>
          <w:tcPr>
            <w:tcW w:w="60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8,518</w:t>
            </w:r>
          </w:p>
        </w:tc>
        <w:tc>
          <w:tcPr>
            <w:tcW w:w="30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6,484,650</w:t>
            </w:r>
          </w:p>
        </w:tc>
      </w:tr>
      <w:tr>
        <w:trPr>
          <w:trHeight w:val="168"/>
        </w:trPr>
        <w:tc>
          <w:tcPr>
            <w:tcW w:w="2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Equity</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16,610,295</w:t>
            </w:r>
          </w:p>
        </w:tc>
        <w:tc>
          <w:tcPr>
            <w:tcW w:w="60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2,172,023</w:t>
            </w:r>
          </w:p>
        </w:tc>
        <w:tc>
          <w:tcPr>
            <w:tcW w:w="30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(78,965)</w:t>
            </w:r>
          </w:p>
        </w:tc>
        <w:tc>
          <w:tcPr>
            <w:tcW w:w="5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18,703,353</w:t>
            </w:r>
          </w:p>
        </w:tc>
      </w:tr>
      <w:tr>
        <w:trPr>
          <w:trHeight w:val="168"/>
        </w:trPr>
        <w:tc>
          <w:tcPr>
            <w:tcW w:w="2100" w:type="dxa"/>
            <w:vAlign w:val="bottom"/>
          </w:tcPr>
          <w:p>
            <w:pPr>
              <w:spacing w:after="0"/>
              <w:rPr>
                <w:sz w:val="14"/>
                <w:szCs w:val="14"/>
                <w:color w:val="auto"/>
              </w:rPr>
            </w:pP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rPr>
                <w:sz w:val="14"/>
                <w:szCs w:val="14"/>
                <w:color w:val="auto"/>
              </w:rPr>
            </w:pP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$82,216,390</w:t>
            </w: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$ 2,875,250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(81,606)</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85,010,034</w:t>
            </w:r>
          </w:p>
        </w:tc>
      </w:tr>
      <w:tr>
        <w:trPr>
          <w:trHeight w:val="168"/>
        </w:trPr>
        <w:tc>
          <w:tcPr>
            <w:tcW w:w="2100" w:type="dxa"/>
            <w:vAlign w:val="bottom"/>
          </w:tcPr>
          <w:p>
            <w:pPr>
              <w:spacing w:after="0"/>
              <w:rPr>
                <w:sz w:val="14"/>
                <w:szCs w:val="14"/>
                <w:color w:val="auto"/>
              </w:rPr>
            </w:pP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690" w:right="3319" w:hanging="261"/>
        <w:spacing w:after="0" w:line="235" w:lineRule="auto"/>
        <w:rPr>
          <w:sz w:val="20"/>
          <w:szCs w:val="20"/>
          <w:color w:val="auto"/>
        </w:rPr>
      </w:pPr>
      <w:r>
        <w:rPr>
          <w:rFonts w:ascii="Courier New" w:cs="Courier New" w:eastAsia="Courier New" w:hAnsi="Courier New"/>
          <w:sz w:val="15"/>
          <w:szCs w:val="15"/>
          <w:color w:val="auto"/>
        </w:rPr>
        <w:t>Fixed income securities, excluding U.S. Treasuries, are considered held to maturity, and equity securities and U.S. Treasuries are available for sale. Held to maturity securities as of December 31, 1998, have maturities as follows:</w:t>
      </w:r>
    </w:p>
    <w:p>
      <w:pPr>
        <w:spacing w:after="0" w:line="169" w:lineRule="exact"/>
        <w:rPr>
          <w:sz w:val="20"/>
          <w:szCs w:val="20"/>
          <w:color w:val="auto"/>
        </w:rPr>
      </w:pPr>
    </w:p>
    <w:tbl>
      <w:tblPr>
        <w:tblLayout w:type="fixed"/>
        <w:tblInd w:w="1230" w:type="dxa"/>
        <w:tblCellMar>
          <w:top w:w="0" w:type="dxa"/>
          <w:left w:w="0" w:type="dxa"/>
          <w:bottom w:w="0" w:type="dxa"/>
          <w:right w:w="0" w:type="dxa"/>
        </w:tblCellMar>
      </w:tblP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Due</w:t>
            </w:r>
          </w:p>
        </w:tc>
        <w:tc>
          <w:tcPr>
            <w:tcW w:w="2620" w:type="dxa"/>
            <w:vAlign w:val="bottom"/>
          </w:tcPr>
          <w:p>
            <w:pPr>
              <w:ind w:left="40"/>
              <w:spacing w:after="0"/>
              <w:rPr>
                <w:sz w:val="20"/>
                <w:szCs w:val="20"/>
                <w:color w:val="auto"/>
              </w:rPr>
            </w:pPr>
            <w:r>
              <w:rPr>
                <w:rFonts w:ascii="Courier New" w:cs="Courier New" w:eastAsia="Courier New" w:hAnsi="Courier New"/>
                <w:sz w:val="15"/>
                <w:szCs w:val="15"/>
                <w:color w:val="auto"/>
              </w:rPr>
              <w:t>within one year</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$15,559,418</w:t>
            </w:r>
          </w:p>
        </w:tc>
      </w:tr>
      <w:tr>
        <w:trPr>
          <w:trHeight w:val="168"/>
        </w:trPr>
        <w:tc>
          <w:tcPr>
            <w:tcW w:w="300" w:type="dxa"/>
            <w:vAlign w:val="bottom"/>
          </w:tcPr>
          <w:p>
            <w:pPr>
              <w:spacing w:after="0" w:line="168" w:lineRule="exact"/>
              <w:rPr>
                <w:sz w:val="20"/>
                <w:szCs w:val="20"/>
                <w:color w:val="auto"/>
              </w:rPr>
            </w:pPr>
            <w:r>
              <w:rPr>
                <w:rFonts w:ascii="Courier New" w:cs="Courier New" w:eastAsia="Courier New" w:hAnsi="Courier New"/>
                <w:sz w:val="15"/>
                <w:szCs w:val="15"/>
                <w:color w:val="auto"/>
              </w:rPr>
              <w:t>Due</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between one and five years</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30,758,397</w:t>
            </w:r>
          </w:p>
        </w:tc>
      </w:tr>
    </w:tbl>
    <w:p>
      <w:pPr>
        <w:spacing w:after="0" w:line="166"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ind w:left="690" w:right="3239" w:hanging="261"/>
        <w:spacing w:after="0" w:line="258" w:lineRule="auto"/>
        <w:rPr>
          <w:sz w:val="20"/>
          <w:szCs w:val="20"/>
          <w:color w:val="auto"/>
        </w:rPr>
      </w:pPr>
      <w:r>
        <w:rPr>
          <w:rFonts w:ascii="Courier New" w:cs="Courier New" w:eastAsia="Courier New" w:hAnsi="Courier New"/>
          <w:sz w:val="14"/>
          <w:szCs w:val="14"/>
          <w:color w:val="auto"/>
        </w:rPr>
        <w:t>Inventories include material, direct labor and manufacturing overhead and are valued at the lower of first-in, first-out (FIFO) cost or market. Inventories consisted of the following as of December 31, 1998 and 1997:</w:t>
      </w:r>
    </w:p>
    <w:p>
      <w:pPr>
        <w:spacing w:after="0" w:line="200" w:lineRule="exact"/>
        <w:rPr>
          <w:sz w:val="20"/>
          <w:szCs w:val="20"/>
          <w:color w:val="auto"/>
        </w:rPr>
      </w:pPr>
    </w:p>
    <w:p>
      <w:pPr>
        <w:spacing w:after="0" w:line="291" w:lineRule="exact"/>
        <w:rPr>
          <w:sz w:val="20"/>
          <w:szCs w:val="20"/>
          <w:color w:val="auto"/>
        </w:rPr>
      </w:pPr>
    </w:p>
    <w:tbl>
      <w:tblPr>
        <w:tblLayout w:type="fixed"/>
        <w:tblInd w:w="157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21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1998</w:t>
            </w:r>
          </w:p>
        </w:tc>
        <w:tc>
          <w:tcPr>
            <w:tcW w:w="1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1980" w:type="dxa"/>
            <w:vAlign w:val="bottom"/>
          </w:tcPr>
          <w:p>
            <w:pPr>
              <w:spacing w:after="0"/>
              <w:rPr>
                <w:sz w:val="14"/>
                <w:szCs w:val="14"/>
                <w:color w:val="auto"/>
              </w:rPr>
            </w:pPr>
          </w:p>
        </w:tc>
        <w:tc>
          <w:tcPr>
            <w:tcW w:w="21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2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$4,301,060</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$ 4,931,434</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Work-in-process</w:t>
            </w:r>
          </w:p>
        </w:tc>
        <w:tc>
          <w:tcPr>
            <w:tcW w:w="2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926,466</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600,298</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Finished goods</w:t>
            </w:r>
          </w:p>
        </w:tc>
        <w:tc>
          <w:tcPr>
            <w:tcW w:w="2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3,498,894</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3,255,957</w:t>
            </w:r>
          </w:p>
        </w:tc>
      </w:tr>
      <w:tr>
        <w:trPr>
          <w:trHeight w:val="168"/>
        </w:trPr>
        <w:tc>
          <w:tcPr>
            <w:tcW w:w="1980" w:type="dxa"/>
            <w:vAlign w:val="bottom"/>
          </w:tcPr>
          <w:p>
            <w:pPr>
              <w:spacing w:after="0"/>
              <w:rPr>
                <w:sz w:val="14"/>
                <w:szCs w:val="14"/>
                <w:color w:val="auto"/>
              </w:rPr>
            </w:pPr>
          </w:p>
        </w:tc>
        <w:tc>
          <w:tcPr>
            <w:tcW w:w="2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80" w:type="dxa"/>
            <w:vAlign w:val="bottom"/>
          </w:tcPr>
          <w:p>
            <w:pPr>
              <w:spacing w:after="0"/>
              <w:rPr>
                <w:sz w:val="14"/>
                <w:szCs w:val="14"/>
                <w:color w:val="auto"/>
              </w:rPr>
            </w:pPr>
          </w:p>
        </w:tc>
        <w:tc>
          <w:tcPr>
            <w:tcW w:w="2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$8,726,420</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$ 8,787,689</w:t>
            </w:r>
          </w:p>
        </w:tc>
      </w:tr>
      <w:tr>
        <w:trPr>
          <w:trHeight w:val="168"/>
        </w:trPr>
        <w:tc>
          <w:tcPr>
            <w:tcW w:w="1980" w:type="dxa"/>
            <w:vAlign w:val="bottom"/>
          </w:tcPr>
          <w:p>
            <w:pPr>
              <w:spacing w:after="0"/>
              <w:rPr>
                <w:sz w:val="14"/>
                <w:szCs w:val="14"/>
                <w:color w:val="auto"/>
              </w:rPr>
            </w:pPr>
          </w:p>
        </w:tc>
        <w:tc>
          <w:tcPr>
            <w:tcW w:w="2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29"/>
          </w:cols>
          <w:pgMar w:left="230" w:top="28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3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29"/>
          </w:cols>
          <w:pgMar w:left="230" w:top="281" w:right="1440" w:bottom="0" w:gutter="0" w:footer="0" w:header="0"/>
          <w:type w:val="continuous"/>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24</w:t>
      </w:r>
    </w:p>
    <w:p>
      <w:pPr>
        <w:spacing w:after="0" w:line="335"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GENTEX CORPORATION AND SUBSIDIARIES</w:t>
      </w:r>
    </w:p>
    <w:p>
      <w:pPr>
        <w:jc w:val="center"/>
        <w:ind w:right="36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26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73" w:lineRule="exact"/>
        <w:rPr>
          <w:sz w:val="20"/>
          <w:szCs w:val="20"/>
          <w:color w:val="auto"/>
        </w:rPr>
      </w:pPr>
    </w:p>
    <w:p>
      <w:pPr>
        <w:ind w:left="440" w:right="1060" w:hanging="430"/>
        <w:spacing w:after="0" w:line="465" w:lineRule="auto"/>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continued Plant and Equipment</w:t>
      </w:r>
    </w:p>
    <w:p>
      <w:pPr>
        <w:spacing w:after="0" w:line="14" w:lineRule="exact"/>
        <w:rPr>
          <w:rFonts w:ascii="Courier New" w:cs="Courier New" w:eastAsia="Courier New" w:hAnsi="Courier New"/>
          <w:sz w:val="15"/>
          <w:szCs w:val="15"/>
          <w:color w:val="auto"/>
        </w:rPr>
      </w:pPr>
    </w:p>
    <w:p>
      <w:pPr>
        <w:ind w:left="700" w:right="520" w:hanging="262"/>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Plant and equipment are stated at cost. Depreciation and amortization are computed for financial reporting purposes using the straight-line method, with estimated useful lives of 5 to 40 years for building and improvements, and 3 to 10 years for machinery and equipment.</w:t>
      </w:r>
    </w:p>
    <w:p>
      <w:pPr>
        <w:spacing w:after="0" w:line="164" w:lineRule="exact"/>
        <w:rPr>
          <w:rFonts w:ascii="Courier New" w:cs="Courier New" w:eastAsia="Courier New" w:hAnsi="Courier New"/>
          <w:sz w:val="15"/>
          <w:szCs w:val="15"/>
          <w:color w:val="auto"/>
        </w:rPr>
      </w:pPr>
    </w:p>
    <w:p>
      <w:pPr>
        <w:ind w:left="700" w:right="700" w:hanging="262"/>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constructing a new facility scheduled to be completed in 2000. The estimated cost to be incurred in 1999 and 2000 for the facility is approximately $12 million.</w:t>
      </w:r>
    </w:p>
    <w:p>
      <w:pPr>
        <w:spacing w:after="0" w:line="167"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Patents</w:t>
      </w:r>
    </w:p>
    <w:p>
      <w:pPr>
        <w:spacing w:after="0" w:line="172" w:lineRule="exact"/>
        <w:rPr>
          <w:rFonts w:ascii="Courier New" w:cs="Courier New" w:eastAsia="Courier New" w:hAnsi="Courier New"/>
          <w:sz w:val="15"/>
          <w:szCs w:val="15"/>
          <w:color w:val="auto"/>
        </w:rPr>
      </w:pPr>
    </w:p>
    <w:p>
      <w:pPr>
        <w:ind w:left="700" w:right="360"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policy is to capitalize costs incurred to obtain and defend patents. The cost of patents is amortized over their useful lives. The cost of patents in process is not amortized until issuance. Accumulated amortization was approximately $4,890,000 and $4,679,000 at December 31, 1998 and 1997, respectively. Patent amortization expense was approximately $211,000, $1,099,000, and $186,000 in 1998, 1997 and 1996, respectively.</w:t>
      </w:r>
    </w:p>
    <w:p>
      <w:pPr>
        <w:spacing w:after="0" w:line="169"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72" w:lineRule="exact"/>
        <w:rPr>
          <w:rFonts w:ascii="Courier New" w:cs="Courier New" w:eastAsia="Courier New" w:hAnsi="Courier New"/>
          <w:sz w:val="15"/>
          <w:szCs w:val="15"/>
          <w:color w:val="auto"/>
        </w:rPr>
      </w:pPr>
    </w:p>
    <w:p>
      <w:pPr>
        <w:ind w:left="700" w:right="620" w:hanging="262"/>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Company's revenue primarily is generated from sales of its products. Sales are recognized upon the shipment of product to customers.</w:t>
      </w:r>
    </w:p>
    <w:p>
      <w:pPr>
        <w:spacing w:after="0" w:line="153"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and Promotional Materials</w:t>
      </w:r>
    </w:p>
    <w:p>
      <w:pPr>
        <w:spacing w:after="0" w:line="172" w:lineRule="exact"/>
        <w:rPr>
          <w:rFonts w:ascii="Courier New" w:cs="Courier New" w:eastAsia="Courier New" w:hAnsi="Courier New"/>
          <w:sz w:val="15"/>
          <w:szCs w:val="15"/>
          <w:color w:val="auto"/>
        </w:rPr>
      </w:pPr>
    </w:p>
    <w:p>
      <w:pPr>
        <w:ind w:left="700" w:right="360" w:hanging="262"/>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All advertising and promotional costs are expensed as incurred and amounted to approximately $640,000, $671,000, and $780,000 in 1998, 1997 and 1996, respectively.</w:t>
      </w:r>
    </w:p>
    <w:p>
      <w:pPr>
        <w:spacing w:after="0" w:line="167"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Repairs and Maintenance</w:t>
      </w:r>
    </w:p>
    <w:p>
      <w:pPr>
        <w:spacing w:after="0" w:line="172" w:lineRule="exact"/>
        <w:rPr>
          <w:rFonts w:ascii="Courier New" w:cs="Courier New" w:eastAsia="Courier New" w:hAnsi="Courier New"/>
          <w:sz w:val="15"/>
          <w:szCs w:val="15"/>
          <w:color w:val="auto"/>
        </w:rPr>
      </w:pPr>
    </w:p>
    <w:p>
      <w:pPr>
        <w:ind w:left="700" w:right="440"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Major renewals and improvements of property and equipment are capitalized, and repairs and maintenance are expensed as incurred. The Company incurred expenses relating to the repair and maintenance of plant and equipment of approximately $2,165,000, $2,028,000, and $1,338,000 in 1998, 1997 and 1996, respectively.</w:t>
      </w:r>
    </w:p>
    <w:p>
      <w:pPr>
        <w:spacing w:after="0" w:line="167"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Self-Insurance</w:t>
      </w:r>
    </w:p>
    <w:p>
      <w:pPr>
        <w:spacing w:after="0" w:line="172" w:lineRule="exact"/>
        <w:rPr>
          <w:rFonts w:ascii="Courier New" w:cs="Courier New" w:eastAsia="Courier New" w:hAnsi="Courier New"/>
          <w:sz w:val="15"/>
          <w:szCs w:val="15"/>
          <w:color w:val="auto"/>
        </w:rPr>
      </w:pPr>
    </w:p>
    <w:p>
      <w:pPr>
        <w:ind w:left="700" w:right="360"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self-insured for a portion of its risk on workers' compensation and employee medical costs. The arrangements provide for stop loss insurance to manage the Company's risk. Operations are charged with the cost of claims reported and an estimate of claims incurred but not reported.</w:t>
      </w:r>
    </w:p>
    <w:p>
      <w:pPr>
        <w:spacing w:after="0" w:line="167"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reconciles the numerators and denominators used in the</w:t>
      </w:r>
    </w:p>
    <w:p>
      <w:pPr>
        <w:spacing w:after="0" w:line="4" w:lineRule="exact"/>
        <w:rPr>
          <w:rFonts w:ascii="Courier New" w:cs="Courier New" w:eastAsia="Courier New" w:hAnsi="Courier New"/>
          <w:sz w:val="15"/>
          <w:szCs w:val="15"/>
          <w:color w:val="auto"/>
        </w:rPr>
      </w:pPr>
    </w:p>
    <w:p>
      <w:pPr>
        <w:ind w:left="700" w:right="700"/>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calculations of basic and diluted earnings per share for each of the last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740" w:type="dxa"/>
            <w:vAlign w:val="bottom"/>
          </w:tcPr>
          <w:p>
            <w:pPr>
              <w:spacing w:after="0"/>
              <w:rPr>
                <w:sz w:val="14"/>
                <w:szCs w:val="14"/>
                <w:color w:val="auto"/>
              </w:rPr>
            </w:pP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5740" w:type="dxa"/>
            <w:vAlign w:val="bottom"/>
          </w:tcPr>
          <w:p>
            <w:pPr>
              <w:spacing w:after="0"/>
              <w:rPr>
                <w:sz w:val="14"/>
                <w:szCs w:val="14"/>
                <w:color w:val="auto"/>
              </w:rPr>
            </w:pP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Numerators:</w:t>
            </w:r>
          </w:p>
        </w:tc>
        <w:tc>
          <w:tcPr>
            <w:tcW w:w="1180" w:type="dxa"/>
            <w:vAlign w:val="bottom"/>
          </w:tcPr>
          <w:p>
            <w:pPr>
              <w:spacing w:after="0"/>
              <w:rPr>
                <w:sz w:val="24"/>
                <w:szCs w:val="24"/>
                <w:color w:val="auto"/>
              </w:rPr>
            </w:pPr>
          </w:p>
        </w:tc>
      </w:tr>
      <w:tr>
        <w:trPr>
          <w:trHeight w:val="168"/>
        </w:trPr>
        <w:tc>
          <w:tcPr>
            <w:tcW w:w="57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Numerator for both basic and diluted EPS, net income</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$50,307,130</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Denominators:</w:t>
            </w:r>
          </w:p>
        </w:tc>
        <w:tc>
          <w:tcPr>
            <w:tcW w:w="1180" w:type="dxa"/>
            <w:vAlign w:val="bottom"/>
          </w:tcPr>
          <w:p>
            <w:pPr>
              <w:spacing w:after="0"/>
              <w:rPr>
                <w:sz w:val="24"/>
                <w:szCs w:val="24"/>
                <w:color w:val="auto"/>
              </w:rPr>
            </w:pP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Denominator for basic EPS,</w:t>
            </w:r>
          </w:p>
        </w:tc>
        <w:tc>
          <w:tcPr>
            <w:tcW w:w="1180" w:type="dxa"/>
            <w:vAlign w:val="bottom"/>
          </w:tcPr>
          <w:p>
            <w:pPr>
              <w:spacing w:after="0"/>
              <w:rPr>
                <w:sz w:val="14"/>
                <w:szCs w:val="14"/>
                <w:color w:val="auto"/>
              </w:rPr>
            </w:pP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weighted-average common shares outstanding</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71,611,401</w:t>
            </w: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Potentially dilutive shares resulting from stock option plans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2,005,319</w:t>
            </w:r>
          </w:p>
        </w:tc>
      </w:tr>
      <w:tr>
        <w:trPr>
          <w:trHeight w:val="168"/>
        </w:trPr>
        <w:tc>
          <w:tcPr>
            <w:tcW w:w="574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Denominator for diluted EPS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73,616,720</w:t>
            </w:r>
          </w:p>
        </w:tc>
      </w:tr>
      <w:tr>
        <w:trPr>
          <w:trHeight w:val="168"/>
        </w:trPr>
        <w:tc>
          <w:tcPr>
            <w:tcW w:w="574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$35,230,224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$23,963,395</w:t>
            </w:r>
          </w:p>
        </w:tc>
      </w:tr>
      <w:tr>
        <w:trPr>
          <w:trHeight w:val="673"/>
        </w:trPr>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69,629,824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68,186,438</w:t>
            </w:r>
          </w:p>
        </w:tc>
      </w:tr>
      <w:tr>
        <w:trPr>
          <w:trHeight w:val="168"/>
        </w:trPr>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2,331,708</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2,838,134</w:t>
            </w:r>
          </w:p>
        </w:tc>
      </w:tr>
      <w:tr>
        <w:trPr>
          <w:trHeight w:val="168"/>
        </w:trPr>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71,961,532</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71,024,572</w:t>
            </w:r>
          </w:p>
        </w:tc>
      </w:tr>
      <w:tr>
        <w:trPr>
          <w:trHeight w:val="168"/>
        </w:trPr>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2">
            <w:col w:w="7360" w:space="520"/>
            <w:col w:w="2540"/>
          </w:cols>
          <w:pgMar w:left="220" w:top="281" w:right="125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420"/>
          </w:cols>
          <w:pgMar w:left="220" w:top="281" w:right="1259" w:bottom="1440" w:gutter="0" w:footer="0" w:header="0"/>
          <w:type w:val="continuous"/>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25</w:t>
      </w:r>
    </w:p>
    <w:p>
      <w:pPr>
        <w:spacing w:after="0" w:line="335"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GENTEX CORPORATION AND SUBSIDIARIES</w:t>
      </w:r>
    </w:p>
    <w:p>
      <w:pPr>
        <w:jc w:val="center"/>
        <w:ind w:right="430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420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73" w:lineRule="exact"/>
        <w:rPr>
          <w:sz w:val="20"/>
          <w:szCs w:val="20"/>
          <w:color w:val="auto"/>
        </w:rPr>
      </w:pPr>
    </w:p>
    <w:p>
      <w:pPr>
        <w:ind w:left="440" w:right="5000" w:hanging="430"/>
        <w:spacing w:after="0" w:line="465" w:lineRule="auto"/>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continued Other Comprehensive Income</w:t>
      </w:r>
    </w:p>
    <w:p>
      <w:pPr>
        <w:spacing w:after="0" w:line="14" w:lineRule="exact"/>
        <w:rPr>
          <w:rFonts w:ascii="Courier New" w:cs="Courier New" w:eastAsia="Courier New" w:hAnsi="Courier New"/>
          <w:sz w:val="15"/>
          <w:szCs w:val="15"/>
          <w:color w:val="auto"/>
        </w:rPr>
      </w:pPr>
    </w:p>
    <w:p>
      <w:pPr>
        <w:ind w:left="700" w:right="4380" w:hanging="262"/>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Effective January 1, 1998, the Company adopted Statement of Financial Accounting Standards No. 130: "Reporting Comprehensive Income." This statement establishes standards for reporting and display of comprehensive income and its components. Comprehensive income reflects the change in equity of a business enterprise during a period from transactions and other events and circumstances from non-owner sources. For Gentex, comprehensive income represents net income adjusted for items such as unrealized gains and losses on certain investments and foreign currency translation adjustments. The changes in the components of other comprehensive income (loss)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1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Years Ended December 31,</w:t>
            </w:r>
          </w:p>
        </w:tc>
        <w:tc>
          <w:tcPr>
            <w:tcW w:w="1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836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jc w:val="right"/>
              <w:ind w:right="1267"/>
              <w:spacing w:after="0" w:line="168" w:lineRule="exact"/>
              <w:rPr>
                <w:sz w:val="20"/>
                <w:szCs w:val="20"/>
                <w:color w:val="auto"/>
              </w:rPr>
            </w:pPr>
            <w:r>
              <w:rPr>
                <w:rFonts w:ascii="Courier New" w:cs="Courier New" w:eastAsia="Courier New" w:hAnsi="Courier New"/>
                <w:sz w:val="15"/>
                <w:szCs w:val="15"/>
                <w:color w:val="auto"/>
                <w:w w:val="94"/>
              </w:rPr>
              <w:t>1998</w:t>
            </w:r>
          </w:p>
        </w:tc>
        <w:tc>
          <w:tcPr>
            <w:tcW w:w="18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1997</w:t>
            </w:r>
          </w:p>
        </w:tc>
        <w:tc>
          <w:tcPr>
            <w:tcW w:w="1280" w:type="dxa"/>
            <w:vAlign w:val="bottom"/>
          </w:tcPr>
          <w:p>
            <w:pPr>
              <w:spacing w:after="0"/>
              <w:rPr>
                <w:sz w:val="14"/>
                <w:szCs w:val="14"/>
                <w:color w:val="auto"/>
              </w:rPr>
            </w:pP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1996</w:t>
            </w:r>
          </w:p>
        </w:tc>
        <w:tc>
          <w:tcPr>
            <w:tcW w:w="84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28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1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Pre-Tax</w:t>
            </w:r>
          </w:p>
        </w:tc>
        <w:tc>
          <w:tcPr>
            <w:tcW w:w="1700" w:type="dxa"/>
            <w:vAlign w:val="bottom"/>
          </w:tcPr>
          <w:p>
            <w:pPr>
              <w:spacing w:after="0"/>
              <w:rPr>
                <w:sz w:val="14"/>
                <w:szCs w:val="14"/>
                <w:color w:val="auto"/>
              </w:rPr>
            </w:pP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Pre-Tax</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Tax Exp.</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Pre-Tax</w:t>
            </w:r>
          </w:p>
        </w:tc>
        <w:tc>
          <w:tcPr>
            <w:tcW w:w="84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Amount</w:t>
            </w: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Tax Exp.</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Amount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(Credit)</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Amount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Tax Exp.</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Unrealized Gain</w:t>
            </w:r>
          </w:p>
        </w:tc>
        <w:tc>
          <w:tcPr>
            <w:tcW w:w="1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2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on Securities: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$651,075</w:t>
            </w: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$227,875</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$1,989,971</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$696,490</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$515,957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$180,585</w:t>
            </w:r>
          </w:p>
        </w:tc>
      </w:tr>
      <w:tr>
        <w:trPr>
          <w:trHeight w:val="336"/>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Foreign Currency</w:t>
            </w:r>
          </w:p>
        </w:tc>
        <w:tc>
          <w:tcPr>
            <w:tcW w:w="1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2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Translation Adjustments: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89,503</w:t>
            </w: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31,326</w:t>
            </w:r>
          </w:p>
        </w:tc>
        <w:tc>
          <w:tcPr>
            <w:tcW w:w="1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(31,400)</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(10,990)</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13,437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4,703</w:t>
            </w:r>
          </w:p>
        </w:tc>
      </w:tr>
      <w:tr>
        <w:trPr>
          <w:trHeight w:val="168"/>
        </w:trPr>
        <w:tc>
          <w:tcPr>
            <w:tcW w:w="258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Other Comprehensive</w:t>
            </w:r>
          </w:p>
        </w:tc>
        <w:tc>
          <w:tcPr>
            <w:tcW w:w="1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Income</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$740,578</w:t>
            </w: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$259,201</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$1,958,571</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$685,500</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$529,394</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$185,288</w:t>
            </w:r>
          </w:p>
        </w:tc>
      </w:tr>
      <w:tr>
        <w:trPr>
          <w:trHeight w:val="168"/>
        </w:trPr>
        <w:tc>
          <w:tcPr>
            <w:tcW w:w="258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Foreign Currency Translation</w:t>
      </w:r>
    </w:p>
    <w:p>
      <w:pPr>
        <w:spacing w:after="0" w:line="173" w:lineRule="exact"/>
        <w:rPr>
          <w:sz w:val="20"/>
          <w:szCs w:val="20"/>
          <w:color w:val="auto"/>
        </w:rPr>
      </w:pPr>
    </w:p>
    <w:p>
      <w:pPr>
        <w:ind w:left="700" w:right="4380" w:hanging="261"/>
        <w:spacing w:after="0" w:line="236" w:lineRule="auto"/>
        <w:rPr>
          <w:sz w:val="20"/>
          <w:szCs w:val="20"/>
          <w:color w:val="auto"/>
        </w:rPr>
      </w:pPr>
      <w:r>
        <w:rPr>
          <w:rFonts w:ascii="Courier New" w:cs="Courier New" w:eastAsia="Courier New" w:hAnsi="Courier New"/>
          <w:sz w:val="15"/>
          <w:szCs w:val="15"/>
          <w:color w:val="auto"/>
        </w:rPr>
        <w:t>The financial position and results of operations of the Company's foreign subsidiaries are measured using the local currency as the functional currency. Assets and liabilities are translated at the exchange rate in effect at year-end. Income statement accounts are translated at the average rate of exchange in effect during the year. The resulting translation adjustment is recorded as a separate component of shareholders' investment.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Estimates</w:t>
      </w:r>
    </w:p>
    <w:p>
      <w:pPr>
        <w:spacing w:after="0" w:line="173" w:lineRule="exact"/>
        <w:rPr>
          <w:sz w:val="20"/>
          <w:szCs w:val="20"/>
          <w:color w:val="auto"/>
        </w:rPr>
      </w:pPr>
    </w:p>
    <w:p>
      <w:pPr>
        <w:ind w:left="700" w:right="4300" w:hanging="261"/>
        <w:spacing w:after="0" w:line="23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9" w:lineRule="exact"/>
        <w:rPr>
          <w:sz w:val="20"/>
          <w:szCs w:val="20"/>
          <w:color w:val="auto"/>
        </w:rPr>
      </w:pPr>
    </w:p>
    <w:p>
      <w:pPr>
        <w:ind w:left="440" w:hanging="430"/>
        <w:spacing w:after="0"/>
        <w:tabs>
          <w:tab w:leader="none" w:pos="4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 OF CREDIT</w:t>
      </w:r>
    </w:p>
    <w:p>
      <w:pPr>
        <w:spacing w:after="0" w:line="172" w:lineRule="exact"/>
        <w:rPr>
          <w:rFonts w:ascii="Courier New" w:cs="Courier New" w:eastAsia="Courier New" w:hAnsi="Courier New"/>
          <w:sz w:val="15"/>
          <w:szCs w:val="15"/>
          <w:color w:val="auto"/>
        </w:rPr>
      </w:pPr>
    </w:p>
    <w:p>
      <w:pPr>
        <w:ind w:left="700" w:right="4300" w:hanging="262"/>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available an unsecured $5,000,000 line of credit from a bank at the lower of the bank's prime rate or 1.5% above the LIBOR rate. No borrowings were outstanding under this line in 1998 or 1997. No compensating balances are required under this line.</w:t>
      </w:r>
    </w:p>
    <w:p>
      <w:pPr>
        <w:spacing w:after="0" w:line="168"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INCOME TAXES</w:t>
      </w:r>
    </w:p>
    <w:p>
      <w:pPr>
        <w:spacing w:after="0" w:line="172" w:lineRule="exact"/>
        <w:rPr>
          <w:rFonts w:ascii="Courier New" w:cs="Courier New" w:eastAsia="Courier New" w:hAnsi="Courier New"/>
          <w:sz w:val="15"/>
          <w:szCs w:val="15"/>
          <w:color w:val="auto"/>
        </w:rPr>
      </w:pPr>
    </w:p>
    <w:p>
      <w:pPr>
        <w:ind w:left="700" w:right="4300"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recognizes deferred tax liabilities and assets for the expected future tax consequences of events that have been included in the consolidated financial statements or tax returns. Under this method, deferred tax liabilities and assets are determined based on the difference between the financial statement and tax bases of assets and liabilities using enacted tax rates in effect for the year in which the differences are expected to reverse.</w:t>
      </w:r>
    </w:p>
    <w:p>
      <w:pPr>
        <w:sectPr>
          <w:pgSz w:w="11900" w:h="16838" w:orient="portrait"/>
          <w:cols w:equalWidth="0" w:num="1">
            <w:col w:w="11300"/>
          </w:cols>
          <w:pgMar w:left="220" w:top="281" w:right="379" w:bottom="10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1300"/>
          </w:cols>
          <w:pgMar w:left="220" w:top="281" w:right="379" w:bottom="1026" w:gutter="0" w:footer="0" w:header="0"/>
          <w:type w:val="continuous"/>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26</w:t>
      </w:r>
    </w:p>
    <w:p>
      <w:pPr>
        <w:ind w:left="2020"/>
        <w:spacing w:after="0" w:line="237" w:lineRule="auto"/>
        <w:rPr>
          <w:sz w:val="20"/>
          <w:szCs w:val="20"/>
          <w:color w:val="auto"/>
        </w:rPr>
      </w:pPr>
      <w:r>
        <w:rPr>
          <w:rFonts w:ascii="Courier New" w:cs="Courier New" w:eastAsia="Courier New" w:hAnsi="Courier New"/>
          <w:sz w:val="15"/>
          <w:szCs w:val="15"/>
          <w:color w:val="auto"/>
        </w:rPr>
        <w:t>GENTEX CORPORATION AND SUBSIDIARIES</w:t>
      </w:r>
    </w:p>
    <w:p>
      <w:pPr>
        <w:jc w:val="center"/>
        <w:ind w:right="3239"/>
        <w:spacing w:after="0" w:line="238"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(Continued)</w:t>
      </w:r>
    </w:p>
    <w:p>
      <w:pPr>
        <w:spacing w:after="0" w:line="167" w:lineRule="exact"/>
        <w:rPr>
          <w:sz w:val="20"/>
          <w:szCs w:val="20"/>
          <w:color w:val="auto"/>
        </w:rPr>
      </w:pPr>
    </w:p>
    <w:p>
      <w:pPr>
        <w:ind w:left="440" w:hanging="430"/>
        <w:spacing w:after="0"/>
        <w:tabs>
          <w:tab w:leader="none" w:pos="4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INCOME TAXES, continued</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components of the provision for federal income taxes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2060" w:type="dxa"/>
            <w:vAlign w:val="bottom"/>
          </w:tcPr>
          <w:p>
            <w:pPr>
              <w:spacing w:after="0"/>
              <w:rPr>
                <w:sz w:val="14"/>
                <w:szCs w:val="14"/>
                <w:color w:val="auto"/>
              </w:rPr>
            </w:pPr>
          </w:p>
        </w:tc>
        <w:tc>
          <w:tcPr>
            <w:tcW w:w="19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1998</w:t>
            </w:r>
          </w:p>
        </w:tc>
        <w:tc>
          <w:tcPr>
            <w:tcW w:w="19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1997</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2060" w:type="dxa"/>
            <w:vAlign w:val="bottom"/>
          </w:tcPr>
          <w:p>
            <w:pPr>
              <w:spacing w:after="0"/>
              <w:rPr>
                <w:sz w:val="14"/>
                <w:szCs w:val="14"/>
                <w:color w:val="auto"/>
              </w:rPr>
            </w:pPr>
          </w:p>
        </w:tc>
        <w:tc>
          <w:tcPr>
            <w:tcW w:w="1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Currently payable</w:t>
            </w:r>
          </w:p>
        </w:tc>
        <w:tc>
          <w:tcPr>
            <w:tcW w:w="1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$23,900,000</w:t>
            </w:r>
          </w:p>
        </w:tc>
        <w:tc>
          <w:tcPr>
            <w:tcW w:w="1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$17,249,000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$10,446,000</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Deferred</w:t>
            </w:r>
          </w:p>
        </w:tc>
        <w:tc>
          <w:tcPr>
            <w:tcW w:w="1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456,000</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(290,000)</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1,073,000</w:t>
            </w:r>
          </w:p>
        </w:tc>
      </w:tr>
      <w:tr>
        <w:trPr>
          <w:trHeight w:val="168"/>
        </w:trPr>
        <w:tc>
          <w:tcPr>
            <w:tcW w:w="2060" w:type="dxa"/>
            <w:vAlign w:val="bottom"/>
          </w:tcPr>
          <w:p>
            <w:pPr>
              <w:spacing w:after="0"/>
              <w:rPr>
                <w:sz w:val="14"/>
                <w:szCs w:val="14"/>
                <w:color w:val="auto"/>
              </w:rPr>
            </w:pPr>
          </w:p>
        </w:tc>
        <w:tc>
          <w:tcPr>
            <w:tcW w:w="1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60" w:type="dxa"/>
            <w:vAlign w:val="bottom"/>
          </w:tcPr>
          <w:p>
            <w:pPr>
              <w:spacing w:after="0"/>
              <w:rPr>
                <w:sz w:val="24"/>
                <w:szCs w:val="24"/>
                <w:color w:val="auto"/>
              </w:rPr>
            </w:pPr>
          </w:p>
        </w:tc>
        <w:tc>
          <w:tcPr>
            <w:tcW w:w="1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$24,356,000</w:t>
            </w:r>
          </w:p>
        </w:tc>
        <w:tc>
          <w:tcPr>
            <w:tcW w:w="1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$16,959,000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$11,519,000</w:t>
            </w:r>
          </w:p>
        </w:tc>
      </w:tr>
      <w:tr>
        <w:trPr>
          <w:trHeight w:val="168"/>
        </w:trPr>
        <w:tc>
          <w:tcPr>
            <w:tcW w:w="2060" w:type="dxa"/>
            <w:vAlign w:val="bottom"/>
          </w:tcPr>
          <w:p>
            <w:pPr>
              <w:spacing w:after="0"/>
              <w:rPr>
                <w:sz w:val="14"/>
                <w:szCs w:val="14"/>
                <w:color w:val="auto"/>
              </w:rPr>
            </w:pPr>
          </w:p>
        </w:tc>
        <w:tc>
          <w:tcPr>
            <w:tcW w:w="1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800" w:right="3239" w:hanging="349"/>
        <w:spacing w:after="0" w:line="256" w:lineRule="auto"/>
        <w:rPr>
          <w:sz w:val="20"/>
          <w:szCs w:val="20"/>
          <w:color w:val="auto"/>
        </w:rPr>
      </w:pPr>
      <w:r>
        <w:rPr>
          <w:rFonts w:ascii="Courier New" w:cs="Courier New" w:eastAsia="Courier New" w:hAnsi="Courier New"/>
          <w:sz w:val="14"/>
          <w:szCs w:val="14"/>
          <w:color w:val="auto"/>
        </w:rPr>
        <w:t>The currently payable provision is further reduced by the tax benefits associated with the exercise, vesting or disposition of stock under the stock plans described in Note 6. These reductions totaled approximately $4,227,000, $3,571,000, and $3,284,000 in the respective years.</w:t>
      </w:r>
    </w:p>
    <w:p>
      <w:pPr>
        <w:spacing w:after="0" w:line="164" w:lineRule="exact"/>
        <w:rPr>
          <w:sz w:val="20"/>
          <w:szCs w:val="20"/>
          <w:color w:val="auto"/>
        </w:rPr>
      </w:pPr>
    </w:p>
    <w:p>
      <w:pPr>
        <w:ind w:left="800" w:right="3579" w:hanging="349"/>
        <w:spacing w:after="0" w:line="234" w:lineRule="auto"/>
        <w:rPr>
          <w:sz w:val="20"/>
          <w:szCs w:val="20"/>
          <w:color w:val="auto"/>
        </w:rPr>
      </w:pPr>
      <w:r>
        <w:rPr>
          <w:rFonts w:ascii="Courier New" w:cs="Courier New" w:eastAsia="Courier New" w:hAnsi="Courier New"/>
          <w:sz w:val="15"/>
          <w:szCs w:val="15"/>
          <w:color w:val="auto"/>
        </w:rPr>
        <w:t>The effective income tax rates are different from the statutory federal income tax rates for the following reasons:</w:t>
      </w:r>
    </w:p>
    <w:p>
      <w:pPr>
        <w:spacing w:after="0" w:line="200" w:lineRule="exact"/>
        <w:rPr>
          <w:sz w:val="20"/>
          <w:szCs w:val="20"/>
          <w:color w:val="auto"/>
        </w:rPr>
      </w:pPr>
    </w:p>
    <w:p>
      <w:pPr>
        <w:spacing w:after="0" w:line="30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1998</w:t>
            </w:r>
          </w:p>
        </w:tc>
        <w:tc>
          <w:tcPr>
            <w:tcW w:w="15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4160" w:type="dxa"/>
            <w:vAlign w:val="bottom"/>
          </w:tcPr>
          <w:p>
            <w:pPr>
              <w:spacing w:after="0"/>
              <w:rPr>
                <w:sz w:val="14"/>
                <w:szCs w:val="14"/>
                <w:color w:val="auto"/>
              </w:rPr>
            </w:pPr>
          </w:p>
        </w:tc>
        <w:tc>
          <w:tcPr>
            <w:tcW w:w="154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Statutory federal income tax rate</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35.0%</w:t>
            </w:r>
          </w:p>
        </w:tc>
        <w:tc>
          <w:tcPr>
            <w:tcW w:w="15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Sales Corporation exempted income</w:t>
            </w:r>
          </w:p>
        </w:tc>
        <w:tc>
          <w:tcPr>
            <w:tcW w:w="154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(1.3)</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(1.4)</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Tax-exempt investment income</w:t>
            </w:r>
          </w:p>
        </w:tc>
        <w:tc>
          <w:tcPr>
            <w:tcW w:w="154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(0.8)</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54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(0.3)</w:t>
            </w:r>
          </w:p>
        </w:tc>
        <w:tc>
          <w:tcPr>
            <w:tcW w:w="15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0.1</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4160" w:type="dxa"/>
            <w:vAlign w:val="bottom"/>
          </w:tcPr>
          <w:p>
            <w:pPr>
              <w:spacing w:after="0"/>
              <w:rPr>
                <w:sz w:val="14"/>
                <w:szCs w:val="14"/>
                <w:color w:val="auto"/>
              </w:rPr>
            </w:pPr>
          </w:p>
        </w:tc>
        <w:tc>
          <w:tcPr>
            <w:tcW w:w="154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Effective Income tax rate</w:t>
            </w:r>
          </w:p>
        </w:tc>
        <w:tc>
          <w:tcPr>
            <w:tcW w:w="154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32.6%</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32.5%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32.5%</w:t>
            </w:r>
          </w:p>
        </w:tc>
      </w:tr>
      <w:tr>
        <w:trPr>
          <w:trHeight w:val="168"/>
        </w:trPr>
        <w:tc>
          <w:tcPr>
            <w:tcW w:w="4160" w:type="dxa"/>
            <w:vAlign w:val="bottom"/>
          </w:tcPr>
          <w:p>
            <w:pPr>
              <w:spacing w:after="0"/>
              <w:rPr>
                <w:sz w:val="14"/>
                <w:szCs w:val="14"/>
                <w:color w:val="auto"/>
              </w:rPr>
            </w:pPr>
          </w:p>
        </w:tc>
        <w:tc>
          <w:tcPr>
            <w:tcW w:w="154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700" w:right="3319"/>
        <w:spacing w:after="0" w:line="261" w:lineRule="auto"/>
        <w:rPr>
          <w:sz w:val="20"/>
          <w:szCs w:val="20"/>
          <w:color w:val="auto"/>
        </w:rPr>
      </w:pPr>
      <w:r>
        <w:rPr>
          <w:rFonts w:ascii="Courier New" w:cs="Courier New" w:eastAsia="Courier New" w:hAnsi="Courier New"/>
          <w:sz w:val="14"/>
          <w:szCs w:val="14"/>
          <w:color w:val="auto"/>
        </w:rPr>
        <w:t>The tax effect of temporary differences which give rise to deferred tax assets and liabilities at December 31, 1998 and 1997, are as follows: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3500" w:type="dxa"/>
            <w:vAlign w:val="bottom"/>
          </w:tcPr>
          <w:p>
            <w:pPr>
              <w:spacing w:after="0"/>
              <w:rPr>
                <w:sz w:val="14"/>
                <w:szCs w:val="14"/>
                <w:color w:val="auto"/>
              </w:rPr>
            </w:pPr>
          </w:p>
        </w:tc>
        <w:tc>
          <w:tcPr>
            <w:tcW w:w="1660" w:type="dxa"/>
            <w:vAlign w:val="bottom"/>
            <w:gridSpan w:val="2"/>
          </w:tcPr>
          <w:p>
            <w:pPr>
              <w:ind w:left="360"/>
              <w:spacing w:after="0"/>
              <w:rPr>
                <w:sz w:val="20"/>
                <w:szCs w:val="20"/>
                <w:color w:val="auto"/>
              </w:rPr>
            </w:pPr>
            <w:r>
              <w:rPr>
                <w:rFonts w:ascii="Courier New" w:cs="Courier New" w:eastAsia="Courier New" w:hAnsi="Courier New"/>
                <w:sz w:val="10"/>
                <w:szCs w:val="10"/>
                <w:color w:val="auto"/>
                <w:w w:val="76"/>
              </w:rPr>
              <w:t>----------------------------</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Current</w:t>
            </w:r>
          </w:p>
        </w:tc>
        <w:tc>
          <w:tcPr>
            <w:tcW w:w="18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Non-Current</w:t>
            </w:r>
          </w:p>
        </w:tc>
        <w:tc>
          <w:tcPr>
            <w:tcW w:w="3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Current</w:t>
            </w: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Non-Current</w:t>
            </w:r>
          </w:p>
        </w:tc>
      </w:tr>
      <w:tr>
        <w:trPr>
          <w:trHeight w:val="168"/>
        </w:trPr>
        <w:tc>
          <w:tcPr>
            <w:tcW w:w="3500" w:type="dxa"/>
            <w:vAlign w:val="bottom"/>
          </w:tcPr>
          <w:p>
            <w:pPr>
              <w:spacing w:after="0"/>
              <w:rPr>
                <w:sz w:val="14"/>
                <w:szCs w:val="14"/>
                <w:color w:val="auto"/>
              </w:rPr>
            </w:pPr>
          </w:p>
        </w:tc>
        <w:tc>
          <w:tcPr>
            <w:tcW w:w="166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Accruals not currently deductible</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724,379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112,700</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500,052</w:t>
            </w: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100,100</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440" w:type="dxa"/>
            <w:vAlign w:val="bottom"/>
          </w:tcPr>
          <w:p>
            <w:pPr>
              <w:spacing w:after="0"/>
              <w:rPr>
                <w:sz w:val="14"/>
                <w:szCs w:val="14"/>
                <w:color w:val="auto"/>
              </w:rPr>
            </w:pPr>
          </w:p>
        </w:tc>
        <w:tc>
          <w:tcPr>
            <w:tcW w:w="12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490,400</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407,379</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440" w:type="dxa"/>
            <w:vAlign w:val="bottom"/>
          </w:tcPr>
          <w:p>
            <w:pPr>
              <w:spacing w:after="0"/>
              <w:rPr>
                <w:sz w:val="14"/>
                <w:szCs w:val="14"/>
                <w:color w:val="auto"/>
              </w:rPr>
            </w:pPr>
          </w:p>
        </w:tc>
        <w:tc>
          <w:tcPr>
            <w:tcW w:w="12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736,645</w:t>
            </w:r>
          </w:p>
        </w:tc>
        <w:tc>
          <w:tcPr>
            <w:tcW w:w="18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29,174</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564,325</w:t>
            </w: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44,241</w:t>
            </w:r>
          </w:p>
        </w:tc>
      </w:tr>
      <w:tr>
        <w:trPr>
          <w:trHeight w:val="168"/>
        </w:trPr>
        <w:tc>
          <w:tcPr>
            <w:tcW w:w="3500" w:type="dxa"/>
            <w:vAlign w:val="bottom"/>
          </w:tcPr>
          <w:p>
            <w:pPr>
              <w:spacing w:after="0"/>
              <w:rPr>
                <w:sz w:val="14"/>
                <w:szCs w:val="14"/>
                <w:color w:val="auto"/>
              </w:rPr>
            </w:pPr>
          </w:p>
        </w:tc>
        <w:tc>
          <w:tcPr>
            <w:tcW w:w="166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deferred tax assets</w:t>
            </w:r>
          </w:p>
        </w:tc>
        <w:tc>
          <w:tcPr>
            <w:tcW w:w="440" w:type="dxa"/>
            <w:vAlign w:val="bottom"/>
          </w:tcPr>
          <w:p>
            <w:pPr>
              <w:spacing w:after="0"/>
              <w:rPr>
                <w:sz w:val="14"/>
                <w:szCs w:val="14"/>
                <w:color w:val="auto"/>
              </w:rPr>
            </w:pPr>
          </w:p>
        </w:tc>
        <w:tc>
          <w:tcPr>
            <w:tcW w:w="12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6"/>
              </w:rPr>
              <w:t>1,461,024</w:t>
            </w:r>
          </w:p>
        </w:tc>
        <w:tc>
          <w:tcPr>
            <w:tcW w:w="18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632,274</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1,064,377</w:t>
            </w: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551,720</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Excess tax over book depreciation</w:t>
            </w:r>
          </w:p>
        </w:tc>
        <w:tc>
          <w:tcPr>
            <w:tcW w:w="440" w:type="dxa"/>
            <w:vAlign w:val="bottom"/>
          </w:tcPr>
          <w:p>
            <w:pPr>
              <w:spacing w:after="0"/>
              <w:rPr>
                <w:sz w:val="14"/>
                <w:szCs w:val="14"/>
                <w:color w:val="auto"/>
              </w:rPr>
            </w:pPr>
          </w:p>
        </w:tc>
        <w:tc>
          <w:tcPr>
            <w:tcW w:w="12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(2,379,382)</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(1,486,411)</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Patent costs</w:t>
            </w:r>
          </w:p>
        </w:tc>
        <w:tc>
          <w:tcPr>
            <w:tcW w:w="440" w:type="dxa"/>
            <w:vAlign w:val="bottom"/>
          </w:tcPr>
          <w:p>
            <w:pPr>
              <w:spacing w:after="0"/>
              <w:rPr>
                <w:sz w:val="14"/>
                <w:szCs w:val="14"/>
                <w:color w:val="auto"/>
              </w:rPr>
            </w:pPr>
          </w:p>
        </w:tc>
        <w:tc>
          <w:tcPr>
            <w:tcW w:w="12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(206,343)</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(198,633)</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4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(113,750)</w:t>
            </w:r>
          </w:p>
        </w:tc>
        <w:tc>
          <w:tcPr>
            <w:tcW w:w="18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(1,080,999)</w:t>
            </w:r>
          </w:p>
        </w:tc>
        <w:tc>
          <w:tcPr>
            <w:tcW w:w="3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(80,756)</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(853,122)</w:t>
            </w:r>
          </w:p>
        </w:tc>
      </w:tr>
      <w:tr>
        <w:trPr>
          <w:trHeight w:val="168"/>
        </w:trPr>
        <w:tc>
          <w:tcPr>
            <w:tcW w:w="3500" w:type="dxa"/>
            <w:vAlign w:val="bottom"/>
          </w:tcPr>
          <w:p>
            <w:pPr>
              <w:spacing w:after="0"/>
              <w:rPr>
                <w:sz w:val="14"/>
                <w:szCs w:val="14"/>
                <w:color w:val="auto"/>
              </w:rPr>
            </w:pPr>
          </w:p>
        </w:tc>
        <w:tc>
          <w:tcPr>
            <w:tcW w:w="166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deferred taxes</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6"/>
              </w:rPr>
              <w:t>1,347,274</w:t>
            </w:r>
          </w:p>
        </w:tc>
        <w:tc>
          <w:tcPr>
            <w:tcW w:w="15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(3,034,450)</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983,621</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$(1,986,446)</w:t>
            </w:r>
          </w:p>
        </w:tc>
      </w:tr>
      <w:tr>
        <w:trPr>
          <w:trHeight w:val="168"/>
        </w:trPr>
        <w:tc>
          <w:tcPr>
            <w:tcW w:w="3500" w:type="dxa"/>
            <w:vAlign w:val="bottom"/>
          </w:tcPr>
          <w:p>
            <w:pPr>
              <w:spacing w:after="0"/>
              <w:rPr>
                <w:sz w:val="14"/>
                <w:szCs w:val="14"/>
                <w:color w:val="auto"/>
              </w:rPr>
            </w:pPr>
          </w:p>
        </w:tc>
        <w:tc>
          <w:tcPr>
            <w:tcW w:w="166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00" w:right="3399"/>
        <w:spacing w:after="0" w:line="234" w:lineRule="auto"/>
        <w:rPr>
          <w:sz w:val="20"/>
          <w:szCs w:val="20"/>
          <w:color w:val="auto"/>
        </w:rPr>
      </w:pPr>
      <w:r>
        <w:rPr>
          <w:rFonts w:ascii="Courier New" w:cs="Courier New" w:eastAsia="Courier New" w:hAnsi="Courier New"/>
          <w:sz w:val="15"/>
          <w:szCs w:val="15"/>
          <w:color w:val="auto"/>
        </w:rPr>
        <w:t>Income taxes paid in cash were approximately $18,815,000, $14,012,000, and $6,930,000 in 1998, 1997 and 1996, respectively.</w:t>
      </w:r>
    </w:p>
    <w:p>
      <w:pPr>
        <w:spacing w:after="0" w:line="167" w:lineRule="exact"/>
        <w:rPr>
          <w:sz w:val="20"/>
          <w:szCs w:val="20"/>
          <w:color w:val="auto"/>
        </w:rPr>
      </w:pPr>
    </w:p>
    <w:p>
      <w:pPr>
        <w:ind w:left="440" w:hanging="430"/>
        <w:spacing w:after="0"/>
        <w:tabs>
          <w:tab w:leader="none" w:pos="4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w:t>
      </w:r>
    </w:p>
    <w:p>
      <w:pPr>
        <w:spacing w:after="0" w:line="172" w:lineRule="exact"/>
        <w:rPr>
          <w:rFonts w:ascii="Courier New" w:cs="Courier New" w:eastAsia="Courier New" w:hAnsi="Courier New"/>
          <w:sz w:val="15"/>
          <w:szCs w:val="15"/>
          <w:color w:val="auto"/>
        </w:rPr>
      </w:pPr>
    </w:p>
    <w:p>
      <w:pPr>
        <w:ind w:left="800" w:right="3239" w:hanging="35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 401(k) retirement savings plan in which substantially all of its employees may participate. The plan includes a provision for the Company to match a percentage of the employee's contributions at a rate determined by the Company's Board of Directors. In 1998, 1997 and 1996, the Company's contributions were approximately $378,000, $293,000, and $208,000, respectively.</w:t>
      </w:r>
    </w:p>
    <w:p>
      <w:pPr>
        <w:spacing w:after="0" w:line="168"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does not provide health care benefits to retired employees.</w:t>
      </w:r>
    </w:p>
    <w:p>
      <w:pPr>
        <w:sectPr>
          <w:pgSz w:w="11900" w:h="16838" w:orient="portrait"/>
          <w:cols w:equalWidth="0" w:num="1">
            <w:col w:w="10239"/>
          </w:cols>
          <w:pgMar w:left="220" w:top="281" w:right="1440" w:bottom="690" w:gutter="0" w:footer="0" w:header="0"/>
        </w:sectPr>
      </w:pP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1" w:right="1440" w:bottom="690" w:gutter="0" w:footer="0" w:header="0"/>
          <w:type w:val="continuous"/>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27</w:t>
      </w:r>
    </w:p>
    <w:p>
      <w:pPr>
        <w:ind w:left="2020"/>
        <w:spacing w:after="0" w:line="237" w:lineRule="auto"/>
        <w:rPr>
          <w:sz w:val="20"/>
          <w:szCs w:val="20"/>
          <w:color w:val="auto"/>
        </w:rPr>
      </w:pPr>
      <w:r>
        <w:rPr>
          <w:rFonts w:ascii="Courier New" w:cs="Courier New" w:eastAsia="Courier New" w:hAnsi="Courier New"/>
          <w:sz w:val="15"/>
          <w:szCs w:val="15"/>
          <w:color w:val="auto"/>
        </w:rPr>
        <w:t>GENTEX CORPORATION AND SUBSIDIARIES</w:t>
      </w:r>
    </w:p>
    <w:p>
      <w:pPr>
        <w:jc w:val="center"/>
        <w:ind w:right="3500"/>
        <w:spacing w:after="0" w:line="238"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400"/>
        <w:spacing w:after="0" w:line="237" w:lineRule="auto"/>
        <w:rPr>
          <w:sz w:val="20"/>
          <w:szCs w:val="20"/>
          <w:color w:val="auto"/>
        </w:rPr>
      </w:pPr>
      <w:r>
        <w:rPr>
          <w:rFonts w:ascii="Courier New" w:cs="Courier New" w:eastAsia="Courier New" w:hAnsi="Courier New"/>
          <w:sz w:val="15"/>
          <w:szCs w:val="15"/>
          <w:color w:val="auto"/>
        </w:rPr>
        <w:t>(Continued)</w:t>
      </w:r>
    </w:p>
    <w:p>
      <w:pPr>
        <w:spacing w:after="0" w:line="167" w:lineRule="exact"/>
        <w:rPr>
          <w:sz w:val="20"/>
          <w:szCs w:val="20"/>
          <w:color w:val="auto"/>
        </w:rPr>
      </w:pPr>
    </w:p>
    <w:p>
      <w:pPr>
        <w:ind w:left="440" w:hanging="430"/>
        <w:spacing w:after="0"/>
        <w:tabs>
          <w:tab w:leader="none" w:pos="4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PROTECTION RIGHTS PLAN</w:t>
      </w:r>
    </w:p>
    <w:p>
      <w:pPr>
        <w:spacing w:after="0" w:line="172" w:lineRule="exact"/>
        <w:rPr>
          <w:rFonts w:ascii="Courier New" w:cs="Courier New" w:eastAsia="Courier New" w:hAnsi="Courier New"/>
          <w:sz w:val="15"/>
          <w:szCs w:val="15"/>
          <w:color w:val="auto"/>
        </w:rPr>
      </w:pPr>
    </w:p>
    <w:p>
      <w:pPr>
        <w:ind w:left="800" w:right="3840" w:hanging="35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1991, the Company's Board of Directors adopted a Shareholder Protection Rights Plan (the Plan). The Plan is designed to protect shareholders against unsolicited attempts to acquire control of the Company in a manner that does not offer a fair price to all shareholders.</w:t>
      </w:r>
    </w:p>
    <w:p>
      <w:pPr>
        <w:spacing w:after="0" w:line="173" w:lineRule="exact"/>
        <w:rPr>
          <w:rFonts w:ascii="Courier New" w:cs="Courier New" w:eastAsia="Courier New" w:hAnsi="Courier New"/>
          <w:sz w:val="15"/>
          <w:szCs w:val="15"/>
          <w:color w:val="auto"/>
        </w:rPr>
      </w:pPr>
    </w:p>
    <w:p>
      <w:pPr>
        <w:ind w:left="800" w:right="3580" w:hanging="350"/>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the Plan, one purchase Right automatically trades with each share of the Company's common stock. Each Right entitles a shareholder to purchase 1/100 of a share of junior participating preferred stock at a price of $27, if any person or group attempts certain hostile takeover tactics toward the Company. Under certain hostile takeover circumstances, each Right may entitle the holder to purchase the Company's common stock at one-half its market value or to purchase the securities of any acquiring entity at one-half their market value. Rights are subject to redemption by the Company at $.00125 per Right and, unless earlier redeemed, will expire on August 26, 2001. Rights beneficially owned by holders of 15 percent or more of the Company's common stock, or their transferees, automatically become void.</w:t>
      </w:r>
    </w:p>
    <w:p>
      <w:pPr>
        <w:spacing w:after="0" w:line="15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 PLANS</w:t>
      </w:r>
    </w:p>
    <w:p>
      <w:pPr>
        <w:spacing w:after="0" w:line="172" w:lineRule="exact"/>
        <w:rPr>
          <w:rFonts w:ascii="Courier New" w:cs="Courier New" w:eastAsia="Courier New" w:hAnsi="Courier New"/>
          <w:sz w:val="15"/>
          <w:szCs w:val="15"/>
          <w:color w:val="auto"/>
        </w:rPr>
      </w:pPr>
    </w:p>
    <w:p>
      <w:pPr>
        <w:ind w:left="700" w:right="3580"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three stock option plans, including two employee stock option plans ("Employee Plans") and a non-employee directors stock option plan ("Director Plan"), and an employee stock purchase plan. The Company accounts for these plans under APB Opinion No. 25, under which no compensation cost has been recognized. Had compensation cost for these plans been determined consistent with FASB Statement No. 123, the Company's net income and earnings per share would have been reduced to the following pro-forma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20" w:type="dxa"/>
            <w:vAlign w:val="bottom"/>
          </w:tcPr>
          <w:p>
            <w:pPr>
              <w:jc w:val="right"/>
              <w:ind w:right="827"/>
              <w:spacing w:after="0"/>
              <w:rPr>
                <w:sz w:val="20"/>
                <w:szCs w:val="20"/>
                <w:color w:val="auto"/>
              </w:rPr>
            </w:pPr>
            <w:r>
              <w:rPr>
                <w:rFonts w:ascii="Courier New" w:cs="Courier New" w:eastAsia="Courier New" w:hAnsi="Courier New"/>
                <w:sz w:val="15"/>
                <w:szCs w:val="15"/>
                <w:color w:val="auto"/>
              </w:rPr>
              <w:t>1998</w:t>
            </w:r>
          </w:p>
        </w:tc>
        <w:tc>
          <w:tcPr>
            <w:tcW w:w="760" w:type="dxa"/>
            <w:vAlign w:val="bottom"/>
          </w:tcPr>
          <w:p>
            <w:pPr>
              <w:spacing w:after="0"/>
              <w:rPr>
                <w:sz w:val="14"/>
                <w:szCs w:val="14"/>
                <w:color w:val="auto"/>
              </w:rPr>
            </w:pPr>
          </w:p>
        </w:tc>
        <w:tc>
          <w:tcPr>
            <w:tcW w:w="15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1997</w:t>
            </w:r>
          </w:p>
        </w:tc>
        <w:tc>
          <w:tcPr>
            <w:tcW w:w="800" w:type="dxa"/>
            <w:vAlign w:val="bottom"/>
          </w:tcPr>
          <w:p>
            <w:pPr>
              <w:spacing w:after="0"/>
              <w:rPr>
                <w:sz w:val="14"/>
                <w:szCs w:val="14"/>
                <w:color w:val="auto"/>
              </w:rPr>
            </w:pPr>
          </w:p>
        </w:tc>
        <w:tc>
          <w:tcPr>
            <w:tcW w:w="8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88"/>
              </w:rPr>
              <w:t>1996</w:t>
            </w:r>
          </w:p>
        </w:tc>
      </w:tr>
      <w:tr>
        <w:trPr>
          <w:trHeight w:val="168"/>
        </w:trPr>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20" w:type="dxa"/>
            <w:vAlign w:val="bottom"/>
          </w:tcPr>
          <w:p>
            <w:pPr>
              <w:jc w:val="right"/>
              <w:ind w:right="82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15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760" w:type="dxa"/>
            <w:vAlign w:val="bottom"/>
          </w:tcPr>
          <w:p>
            <w:pPr>
              <w:ind w:left="360"/>
              <w:spacing w:after="0"/>
              <w:rPr>
                <w:sz w:val="20"/>
                <w:szCs w:val="20"/>
                <w:color w:val="auto"/>
              </w:rPr>
            </w:pPr>
            <w:r>
              <w:rPr>
                <w:rFonts w:ascii="Courier New" w:cs="Courier New" w:eastAsia="Courier New" w:hAnsi="Courier New"/>
                <w:sz w:val="15"/>
                <w:szCs w:val="15"/>
                <w:color w:val="auto"/>
              </w:rPr>
              <w:t>As Reported</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67"/>
              <w:spacing w:after="0"/>
              <w:rPr>
                <w:sz w:val="20"/>
                <w:szCs w:val="20"/>
                <w:color w:val="auto"/>
              </w:rPr>
            </w:pPr>
            <w:r>
              <w:rPr>
                <w:rFonts w:ascii="Courier New" w:cs="Courier New" w:eastAsia="Courier New" w:hAnsi="Courier New"/>
                <w:sz w:val="15"/>
                <w:szCs w:val="15"/>
                <w:color w:val="auto"/>
                <w:w w:val="95"/>
              </w:rPr>
              <w:t>50,307,130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3"/>
              </w:rPr>
              <w:t>35,230,224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3"/>
              </w:rPr>
              <w:t>23,963,395</w:t>
            </w:r>
          </w:p>
        </w:tc>
      </w:tr>
      <w:tr>
        <w:trPr>
          <w:trHeight w:val="168"/>
        </w:trPr>
        <w:tc>
          <w:tcPr>
            <w:tcW w:w="1580" w:type="dxa"/>
            <w:vAlign w:val="bottom"/>
          </w:tcPr>
          <w:p>
            <w:pPr>
              <w:spacing w:after="0"/>
              <w:rPr>
                <w:sz w:val="14"/>
                <w:szCs w:val="14"/>
                <w:color w:val="auto"/>
              </w:rPr>
            </w:pPr>
          </w:p>
        </w:tc>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 Forma</w:t>
            </w:r>
          </w:p>
        </w:tc>
        <w:tc>
          <w:tcPr>
            <w:tcW w:w="520" w:type="dxa"/>
            <w:vAlign w:val="bottom"/>
          </w:tcPr>
          <w:p>
            <w:pPr>
              <w:spacing w:after="0"/>
              <w:rPr>
                <w:sz w:val="14"/>
                <w:szCs w:val="14"/>
                <w:color w:val="auto"/>
              </w:rPr>
            </w:pP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w w:val="95"/>
              </w:rPr>
              <w:t>46,098,379</w:t>
            </w:r>
          </w:p>
        </w:tc>
        <w:tc>
          <w:tcPr>
            <w:tcW w:w="760" w:type="dxa"/>
            <w:vAlign w:val="bottom"/>
          </w:tcPr>
          <w:p>
            <w:pPr>
              <w:spacing w:after="0"/>
              <w:rPr>
                <w:sz w:val="14"/>
                <w:szCs w:val="14"/>
                <w:color w:val="auto"/>
              </w:rPr>
            </w:pP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32,986,461</w:t>
            </w:r>
          </w:p>
        </w:tc>
        <w:tc>
          <w:tcPr>
            <w:tcW w:w="8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21,863,375</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EPS (diluted):</w:t>
            </w:r>
          </w:p>
        </w:tc>
        <w:tc>
          <w:tcPr>
            <w:tcW w:w="1760" w:type="dxa"/>
            <w:vAlign w:val="bottom"/>
          </w:tcPr>
          <w:p>
            <w:pPr>
              <w:ind w:left="360"/>
              <w:spacing w:after="0"/>
              <w:rPr>
                <w:sz w:val="20"/>
                <w:szCs w:val="20"/>
                <w:color w:val="auto"/>
              </w:rPr>
            </w:pPr>
            <w:r>
              <w:rPr>
                <w:rFonts w:ascii="Courier New" w:cs="Courier New" w:eastAsia="Courier New" w:hAnsi="Courier New"/>
                <w:sz w:val="15"/>
                <w:szCs w:val="15"/>
                <w:color w:val="auto"/>
              </w:rPr>
              <w:t>As Reported</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0.68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0.49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0.34</w:t>
            </w:r>
          </w:p>
        </w:tc>
      </w:tr>
      <w:tr>
        <w:trPr>
          <w:trHeight w:val="168"/>
        </w:trPr>
        <w:tc>
          <w:tcPr>
            <w:tcW w:w="1580" w:type="dxa"/>
            <w:vAlign w:val="bottom"/>
          </w:tcPr>
          <w:p>
            <w:pPr>
              <w:spacing w:after="0"/>
              <w:rPr>
                <w:sz w:val="14"/>
                <w:szCs w:val="14"/>
                <w:color w:val="auto"/>
              </w:rPr>
            </w:pPr>
          </w:p>
        </w:tc>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 Forma</w:t>
            </w:r>
          </w:p>
        </w:tc>
        <w:tc>
          <w:tcPr>
            <w:tcW w:w="520" w:type="dxa"/>
            <w:vAlign w:val="bottom"/>
          </w:tcPr>
          <w:p>
            <w:pPr>
              <w:spacing w:after="0"/>
              <w:rPr>
                <w:sz w:val="14"/>
                <w:szCs w:val="14"/>
                <w:color w:val="auto"/>
              </w:rPr>
            </w:pP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0.63</w:t>
            </w:r>
          </w:p>
        </w:tc>
        <w:tc>
          <w:tcPr>
            <w:tcW w:w="760" w:type="dxa"/>
            <w:vAlign w:val="bottom"/>
          </w:tcPr>
          <w:p>
            <w:pPr>
              <w:spacing w:after="0"/>
              <w:rPr>
                <w:sz w:val="14"/>
                <w:szCs w:val="14"/>
                <w:color w:val="auto"/>
              </w:rPr>
            </w:pP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0.46</w:t>
            </w:r>
          </w:p>
        </w:tc>
        <w:tc>
          <w:tcPr>
            <w:tcW w:w="8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0.31</w:t>
            </w:r>
          </w:p>
        </w:tc>
      </w:tr>
    </w:tbl>
    <w:p>
      <w:pPr>
        <w:spacing w:after="0" w:line="200" w:lineRule="exact"/>
        <w:rPr>
          <w:sz w:val="20"/>
          <w:szCs w:val="20"/>
          <w:color w:val="auto"/>
        </w:rPr>
      </w:pPr>
    </w:p>
    <w:p>
      <w:pPr>
        <w:spacing w:after="0" w:line="309" w:lineRule="exact"/>
        <w:rPr>
          <w:sz w:val="20"/>
          <w:szCs w:val="20"/>
          <w:color w:val="auto"/>
        </w:rPr>
      </w:pPr>
    </w:p>
    <w:p>
      <w:pPr>
        <w:ind w:left="700" w:right="3760" w:hanging="261"/>
        <w:spacing w:after="0" w:line="235" w:lineRule="auto"/>
        <w:rPr>
          <w:sz w:val="20"/>
          <w:szCs w:val="20"/>
          <w:color w:val="auto"/>
        </w:rPr>
      </w:pPr>
      <w:r>
        <w:rPr>
          <w:rFonts w:ascii="Courier New" w:cs="Courier New" w:eastAsia="Courier New" w:hAnsi="Courier New"/>
          <w:sz w:val="15"/>
          <w:szCs w:val="15"/>
          <w:color w:val="auto"/>
        </w:rPr>
        <w:t>Because the Statement 123 method of accounting has not been applied to options granted prior to January 1, 1995, the resulting pro forma compensation cost may not be representative of that to be expected in future years.</w:t>
      </w:r>
    </w:p>
    <w:p>
      <w:pPr>
        <w:spacing w:after="0" w:line="169"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5"/>
          <w:szCs w:val="15"/>
          <w:color w:val="auto"/>
        </w:rPr>
        <w:t>The Company may sell up to 1,600,000 shares of stock to its employees under</w:t>
      </w:r>
    </w:p>
    <w:p>
      <w:pPr>
        <w:spacing w:after="0" w:line="5" w:lineRule="exact"/>
        <w:rPr>
          <w:sz w:val="20"/>
          <w:szCs w:val="20"/>
          <w:color w:val="auto"/>
        </w:rPr>
      </w:pPr>
    </w:p>
    <w:p>
      <w:pPr>
        <w:ind w:left="800" w:right="3500"/>
        <w:spacing w:after="0" w:line="236" w:lineRule="auto"/>
        <w:rPr>
          <w:sz w:val="20"/>
          <w:szCs w:val="20"/>
          <w:color w:val="auto"/>
        </w:rPr>
      </w:pPr>
      <w:r>
        <w:rPr>
          <w:rFonts w:ascii="Courier New" w:cs="Courier New" w:eastAsia="Courier New" w:hAnsi="Courier New"/>
          <w:sz w:val="15"/>
          <w:szCs w:val="15"/>
          <w:color w:val="auto"/>
        </w:rPr>
        <w:t>the Employee Stock Purchase Plan. The Company has sold to employees 61,748 shares, 70,204 shares, and 63,786 shares in 1998, 1997 and 1996, respectively, and has sold a total of 374,142 shares through December 31, 1998. The Company sells shares at 85% of the stock's market price at date of purchase. The weighted average fair value of shares sold in 1998 was approximately $14.</w:t>
      </w:r>
    </w:p>
    <w:p>
      <w:pPr>
        <w:spacing w:after="0" w:line="175" w:lineRule="exact"/>
        <w:rPr>
          <w:sz w:val="20"/>
          <w:szCs w:val="20"/>
          <w:color w:val="auto"/>
        </w:rPr>
      </w:pPr>
    </w:p>
    <w:p>
      <w:pPr>
        <w:ind w:left="800" w:right="3500" w:hanging="349"/>
        <w:spacing w:after="0" w:line="256" w:lineRule="auto"/>
        <w:rPr>
          <w:sz w:val="20"/>
          <w:szCs w:val="20"/>
          <w:color w:val="auto"/>
        </w:rPr>
      </w:pPr>
      <w:r>
        <w:rPr>
          <w:rFonts w:ascii="Courier New" w:cs="Courier New" w:eastAsia="Courier New" w:hAnsi="Courier New"/>
          <w:sz w:val="14"/>
          <w:szCs w:val="14"/>
          <w:color w:val="auto"/>
        </w:rPr>
        <w:t>The Company may grant options for up to 9,000,000 shares under the Employee Plans. The Company has granted options on 3,809,540 shares through December 31, 1998. Under the Plans, the option exercise price equals the stock's market price on date of grant. The Employee Plan options vest after one to five years, and expire after five to seven years.</w:t>
      </w:r>
    </w:p>
    <w:p>
      <w:pPr>
        <w:spacing w:after="0" w:line="163" w:lineRule="exact"/>
        <w:rPr>
          <w:sz w:val="20"/>
          <w:szCs w:val="20"/>
          <w:color w:val="auto"/>
        </w:rPr>
      </w:pPr>
    </w:p>
    <w:p>
      <w:pPr>
        <w:jc w:val="both"/>
        <w:ind w:left="700" w:right="3660" w:hanging="253"/>
        <w:spacing w:after="0" w:line="235" w:lineRule="auto"/>
        <w:tabs>
          <w:tab w:leader="none" w:pos="7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the status of the Company's two employee stock option plans at December 31, 1998, 1997 and 1996, and changes during the years then ended is presented in the table and narrative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1998</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1997</w:t>
            </w:r>
          </w:p>
        </w:tc>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1996</w:t>
            </w:r>
          </w:p>
        </w:tc>
        <w:tc>
          <w:tcPr>
            <w:tcW w:w="300" w:type="dxa"/>
            <w:vAlign w:val="bottom"/>
          </w:tcPr>
          <w:p>
            <w:pPr>
              <w:spacing w:after="0"/>
              <w:rPr>
                <w:sz w:val="14"/>
                <w:szCs w:val="14"/>
                <w:color w:val="auto"/>
              </w:rPr>
            </w:pPr>
          </w:p>
        </w:tc>
      </w:tr>
      <w:tr>
        <w:trPr>
          <w:trHeight w:val="168"/>
        </w:trPr>
        <w:tc>
          <w:tcPr>
            <w:tcW w:w="3120" w:type="dxa"/>
            <w:vAlign w:val="bottom"/>
          </w:tcPr>
          <w:p>
            <w:pPr>
              <w:spacing w:after="0"/>
              <w:rPr>
                <w:sz w:val="14"/>
                <w:szCs w:val="14"/>
                <w:color w:val="auto"/>
              </w:rPr>
            </w:pPr>
          </w:p>
        </w:tc>
        <w:tc>
          <w:tcPr>
            <w:tcW w:w="2360" w:type="dxa"/>
            <w:vAlign w:val="bottom"/>
            <w:gridSpan w:val="3"/>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60" w:type="dxa"/>
            <w:vAlign w:val="bottom"/>
            <w:gridSpan w:val="3"/>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Shares</w:t>
            </w:r>
          </w:p>
        </w:tc>
        <w:tc>
          <w:tcPr>
            <w:tcW w:w="14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Wtd. Avg.</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Shares</w:t>
            </w:r>
          </w:p>
        </w:tc>
        <w:tc>
          <w:tcPr>
            <w:tcW w:w="13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Wtd. Avg.</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Shares</w:t>
            </w:r>
          </w:p>
        </w:tc>
        <w:tc>
          <w:tcPr>
            <w:tcW w:w="1080" w:type="dxa"/>
            <w:vAlign w:val="bottom"/>
            <w:gridSpan w:val="2"/>
          </w:tcPr>
          <w:p>
            <w:pPr>
              <w:jc w:val="center"/>
              <w:ind w:left="227"/>
              <w:spacing w:after="0" w:line="168" w:lineRule="exact"/>
              <w:rPr>
                <w:sz w:val="20"/>
                <w:szCs w:val="20"/>
                <w:color w:val="auto"/>
              </w:rPr>
            </w:pPr>
            <w:r>
              <w:rPr>
                <w:rFonts w:ascii="Courier New" w:cs="Courier New" w:eastAsia="Courier New" w:hAnsi="Courier New"/>
                <w:sz w:val="15"/>
                <w:szCs w:val="15"/>
                <w:color w:val="auto"/>
                <w:w w:val="96"/>
              </w:rPr>
              <w:t>Wtd. Avg.</w:t>
            </w:r>
          </w:p>
        </w:tc>
      </w:tr>
      <w:tr>
        <w:trPr>
          <w:trHeight w:val="168"/>
        </w:trPr>
        <w:tc>
          <w:tcPr>
            <w:tcW w:w="31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14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Ex price</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(000)</w:t>
            </w:r>
          </w:p>
        </w:tc>
        <w:tc>
          <w:tcPr>
            <w:tcW w:w="13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Ex price</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Ex price</w:t>
            </w:r>
          </w:p>
        </w:tc>
      </w:tr>
      <w:tr>
        <w:trPr>
          <w:trHeight w:val="168"/>
        </w:trPr>
        <w:tc>
          <w:tcPr>
            <w:tcW w:w="31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4,706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5,058</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5,798</w:t>
            </w:r>
          </w:p>
        </w:tc>
        <w:tc>
          <w:tcPr>
            <w:tcW w:w="780" w:type="dxa"/>
            <w:vAlign w:val="bottom"/>
          </w:tcPr>
          <w:p>
            <w:pPr>
              <w:jc w:val="center"/>
              <w:ind w:left="5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761</w:t>
            </w:r>
          </w:p>
        </w:tc>
        <w:tc>
          <w:tcPr>
            <w:tcW w:w="700" w:type="dxa"/>
            <w:vAlign w:val="bottom"/>
          </w:tcPr>
          <w:p>
            <w:pPr>
              <w:spacing w:after="0"/>
              <w:rPr>
                <w:sz w:val="14"/>
                <w:szCs w:val="14"/>
                <w:color w:val="auto"/>
              </w:rPr>
            </w:pPr>
          </w:p>
        </w:tc>
        <w:tc>
          <w:tcPr>
            <w:tcW w:w="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982</w:t>
            </w:r>
          </w:p>
        </w:tc>
        <w:tc>
          <w:tcPr>
            <w:tcW w:w="660" w:type="dxa"/>
            <w:vAlign w:val="bottom"/>
          </w:tcPr>
          <w:p>
            <w:pPr>
              <w:spacing w:after="0"/>
              <w:rPr>
                <w:sz w:val="14"/>
                <w:szCs w:val="14"/>
                <w:color w:val="auto"/>
              </w:rPr>
            </w:pPr>
          </w:p>
        </w:tc>
        <w:tc>
          <w:tcPr>
            <w:tcW w:w="6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12</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1,030</w:t>
            </w:r>
          </w:p>
        </w:tc>
        <w:tc>
          <w:tcPr>
            <w:tcW w:w="780" w:type="dxa"/>
            <w:vAlign w:val="bottom"/>
          </w:tcPr>
          <w:p>
            <w:pPr>
              <w:spacing w:after="0"/>
              <w:rPr>
                <w:sz w:val="14"/>
                <w:szCs w:val="14"/>
                <w:color w:val="auto"/>
              </w:rPr>
            </w:pP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(1,267)</w:t>
            </w:r>
          </w:p>
        </w:tc>
        <w:tc>
          <w:tcPr>
            <w:tcW w:w="700" w:type="dxa"/>
            <w:vAlign w:val="bottom"/>
          </w:tcPr>
          <w:p>
            <w:pPr>
              <w:spacing w:after="0"/>
              <w:rPr>
                <w:sz w:val="14"/>
                <w:szCs w:val="14"/>
                <w:color w:val="auto"/>
              </w:rPr>
            </w:pPr>
          </w:p>
        </w:tc>
        <w:tc>
          <w:tcPr>
            <w:tcW w:w="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(1,186)</w:t>
            </w:r>
          </w:p>
        </w:tc>
        <w:tc>
          <w:tcPr>
            <w:tcW w:w="660" w:type="dxa"/>
            <w:vAlign w:val="bottom"/>
          </w:tcPr>
          <w:p>
            <w:pPr>
              <w:spacing w:after="0"/>
              <w:rPr>
                <w:sz w:val="14"/>
                <w:szCs w:val="14"/>
                <w:color w:val="auto"/>
              </w:rPr>
            </w:pPr>
          </w:p>
        </w:tc>
        <w:tc>
          <w:tcPr>
            <w:tcW w:w="6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(1,756)</w:t>
            </w:r>
          </w:p>
        </w:tc>
        <w:tc>
          <w:tcPr>
            <w:tcW w:w="780" w:type="dxa"/>
            <w:vAlign w:val="bottom"/>
          </w:tcPr>
          <w:p>
            <w:pPr>
              <w:spacing w:after="0"/>
              <w:rPr>
                <w:sz w:val="14"/>
                <w:szCs w:val="14"/>
                <w:color w:val="auto"/>
              </w:rPr>
            </w:pP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Forfeited</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w:t>
            </w:r>
          </w:p>
        </w:tc>
        <w:tc>
          <w:tcPr>
            <w:tcW w:w="700" w:type="dxa"/>
            <w:vAlign w:val="bottom"/>
          </w:tcPr>
          <w:p>
            <w:pPr>
              <w:spacing w:after="0"/>
              <w:rPr>
                <w:sz w:val="14"/>
                <w:szCs w:val="14"/>
                <w:color w:val="auto"/>
              </w:rPr>
            </w:pPr>
          </w:p>
        </w:tc>
        <w:tc>
          <w:tcPr>
            <w:tcW w:w="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w:t>
            </w:r>
          </w:p>
        </w:tc>
        <w:tc>
          <w:tcPr>
            <w:tcW w:w="660" w:type="dxa"/>
            <w:vAlign w:val="bottom"/>
          </w:tcPr>
          <w:p>
            <w:pPr>
              <w:spacing w:after="0"/>
              <w:rPr>
                <w:sz w:val="14"/>
                <w:szCs w:val="14"/>
                <w:color w:val="auto"/>
              </w:rPr>
            </w:pPr>
          </w:p>
        </w:tc>
        <w:tc>
          <w:tcPr>
            <w:tcW w:w="6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780" w:type="dxa"/>
            <w:vAlign w:val="bottom"/>
          </w:tcPr>
          <w:p>
            <w:pPr>
              <w:spacing w:after="0"/>
              <w:rPr>
                <w:sz w:val="14"/>
                <w:szCs w:val="14"/>
                <w:color w:val="auto"/>
              </w:rPr>
            </w:pP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Expired</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6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End of Year</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4,145</w:t>
            </w:r>
          </w:p>
        </w:tc>
        <w:tc>
          <w:tcPr>
            <w:tcW w:w="700" w:type="dxa"/>
            <w:vAlign w:val="bottom"/>
          </w:tcPr>
          <w:p>
            <w:pPr>
              <w:spacing w:after="0"/>
              <w:rPr>
                <w:sz w:val="14"/>
                <w:szCs w:val="14"/>
                <w:color w:val="auto"/>
              </w:rPr>
            </w:pPr>
          </w:p>
        </w:tc>
        <w:tc>
          <w:tcPr>
            <w:tcW w:w="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4,706</w:t>
            </w:r>
          </w:p>
        </w:tc>
        <w:tc>
          <w:tcPr>
            <w:tcW w:w="660" w:type="dxa"/>
            <w:vAlign w:val="bottom"/>
          </w:tcPr>
          <w:p>
            <w:pPr>
              <w:spacing w:after="0"/>
              <w:rPr>
                <w:sz w:val="14"/>
                <w:szCs w:val="14"/>
                <w:color w:val="auto"/>
              </w:rPr>
            </w:pPr>
          </w:p>
        </w:tc>
        <w:tc>
          <w:tcPr>
            <w:tcW w:w="6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5,058</w:t>
            </w:r>
          </w:p>
        </w:tc>
        <w:tc>
          <w:tcPr>
            <w:tcW w:w="780" w:type="dxa"/>
            <w:vAlign w:val="bottom"/>
          </w:tcPr>
          <w:p>
            <w:pPr>
              <w:spacing w:after="0"/>
              <w:rPr>
                <w:sz w:val="14"/>
                <w:szCs w:val="14"/>
                <w:color w:val="auto"/>
              </w:rPr>
            </w:pP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1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Exercisable at End of Year</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1,782</w:t>
            </w:r>
          </w:p>
        </w:tc>
        <w:tc>
          <w:tcPr>
            <w:tcW w:w="700" w:type="dxa"/>
            <w:vAlign w:val="bottom"/>
          </w:tcPr>
          <w:p>
            <w:pPr>
              <w:spacing w:after="0"/>
              <w:rPr>
                <w:sz w:val="14"/>
                <w:szCs w:val="14"/>
                <w:color w:val="auto"/>
              </w:rPr>
            </w:pPr>
          </w:p>
        </w:tc>
        <w:tc>
          <w:tcPr>
            <w:tcW w:w="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2,063</w:t>
            </w:r>
          </w:p>
        </w:tc>
        <w:tc>
          <w:tcPr>
            <w:tcW w:w="660" w:type="dxa"/>
            <w:vAlign w:val="bottom"/>
          </w:tcPr>
          <w:p>
            <w:pPr>
              <w:spacing w:after="0"/>
              <w:rPr>
                <w:sz w:val="14"/>
                <w:szCs w:val="14"/>
                <w:color w:val="auto"/>
              </w:rPr>
            </w:pPr>
          </w:p>
        </w:tc>
        <w:tc>
          <w:tcPr>
            <w:tcW w:w="6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2,020</w:t>
            </w:r>
          </w:p>
        </w:tc>
        <w:tc>
          <w:tcPr>
            <w:tcW w:w="780" w:type="dxa"/>
            <w:vAlign w:val="bottom"/>
          </w:tcPr>
          <w:p>
            <w:pPr>
              <w:spacing w:after="0"/>
              <w:rPr>
                <w:sz w:val="14"/>
                <w:szCs w:val="14"/>
                <w:color w:val="auto"/>
              </w:rPr>
            </w:pP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Avg. Fair Value</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3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 Options Granted</w:t>
            </w:r>
          </w:p>
        </w:tc>
        <w:tc>
          <w:tcPr>
            <w:tcW w:w="9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w:t>
            </w:r>
          </w:p>
        </w:tc>
        <w:tc>
          <w:tcPr>
            <w:tcW w:w="9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w:t>
            </w:r>
          </w:p>
        </w:tc>
        <w:tc>
          <w:tcPr>
            <w:tcW w:w="980" w:type="dxa"/>
            <w:vAlign w:val="bottom"/>
          </w:tcPr>
          <w:p>
            <w:pPr>
              <w:spacing w:after="0"/>
              <w:rPr>
                <w:sz w:val="14"/>
                <w:szCs w:val="14"/>
                <w:color w:val="auto"/>
              </w:rPr>
            </w:pPr>
          </w:p>
        </w:tc>
        <w:tc>
          <w:tcPr>
            <w:tcW w:w="780" w:type="dxa"/>
            <w:vAlign w:val="bottom"/>
          </w:tcPr>
          <w:p>
            <w:pPr>
              <w:jc w:val="center"/>
              <w:ind w:left="5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r>
    </w:tbl>
    <w:p>
      <w:pPr>
        <w:sectPr>
          <w:pgSz w:w="11900" w:h="16838" w:orient="portrait"/>
          <w:cols w:equalWidth="0" w:num="1">
            <w:col w:w="10500"/>
          </w:cols>
          <w:pgMar w:left="220" w:top="281" w:right="1179" w:bottom="0" w:gutter="0" w:footer="0" w:header="0"/>
        </w:sectPr>
      </w:pPr>
    </w:p>
    <w:bookmarkStart w:id="29" w:name="page30"/>
    <w:bookmarkEnd w:id="29"/>
    <w:p>
      <w:pPr>
        <w:ind w:left="212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9019"/>
          </w:cols>
          <w:pgMar w:left="1440" w:top="310"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28</w:t>
      </w:r>
    </w:p>
    <w:p>
      <w:pPr>
        <w:ind w:left="2020"/>
        <w:spacing w:after="0" w:line="237" w:lineRule="auto"/>
        <w:rPr>
          <w:sz w:val="20"/>
          <w:szCs w:val="20"/>
          <w:color w:val="auto"/>
        </w:rPr>
      </w:pPr>
      <w:r>
        <w:rPr>
          <w:rFonts w:ascii="Courier New" w:cs="Courier New" w:eastAsia="Courier New" w:hAnsi="Courier New"/>
          <w:sz w:val="15"/>
          <w:szCs w:val="15"/>
          <w:color w:val="auto"/>
        </w:rPr>
        <w:t>GENTEX CORPORATION AND SUBSIDIARIES</w:t>
      </w:r>
    </w:p>
    <w:p>
      <w:pPr>
        <w:jc w:val="center"/>
        <w:ind w:right="4120"/>
        <w:spacing w:after="0" w:line="238"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4020"/>
        <w:spacing w:after="0" w:line="237" w:lineRule="auto"/>
        <w:rPr>
          <w:sz w:val="20"/>
          <w:szCs w:val="20"/>
          <w:color w:val="auto"/>
        </w:rPr>
      </w:pPr>
      <w:r>
        <w:rPr>
          <w:rFonts w:ascii="Courier New" w:cs="Courier New" w:eastAsia="Courier New" w:hAnsi="Courier New"/>
          <w:sz w:val="15"/>
          <w:szCs w:val="15"/>
          <w:color w:val="auto"/>
        </w:rPr>
        <w:t>(Continued)</w:t>
      </w:r>
    </w:p>
    <w:p>
      <w:pPr>
        <w:spacing w:after="0" w:line="167" w:lineRule="exact"/>
        <w:rPr>
          <w:sz w:val="20"/>
          <w:szCs w:val="20"/>
          <w:color w:val="auto"/>
        </w:rPr>
      </w:pPr>
    </w:p>
    <w:p>
      <w:pPr>
        <w:ind w:left="440" w:hanging="430"/>
        <w:spacing w:after="0"/>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 PLANS, continued</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Options Outstanding and Exercisable by Price Range As of December 31, 1998</w:t>
      </w:r>
    </w:p>
    <w:p>
      <w:pPr>
        <w:spacing w:after="0" w:line="200" w:lineRule="exact"/>
        <w:rPr>
          <w:sz w:val="20"/>
          <w:szCs w:val="20"/>
          <w:color w:val="auto"/>
        </w:rPr>
      </w:pPr>
    </w:p>
    <w:p>
      <w:pPr>
        <w:spacing w:after="0" w:line="303"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1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02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Options Exercisable</w:t>
            </w:r>
          </w:p>
        </w:tc>
      </w:tr>
      <w:tr>
        <w:trPr>
          <w:trHeight w:val="168"/>
        </w:trPr>
        <w:tc>
          <w:tcPr>
            <w:tcW w:w="1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0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660" w:type="dxa"/>
            <w:vAlign w:val="bottom"/>
          </w:tcPr>
          <w:p>
            <w:pPr>
              <w:spacing w:after="0"/>
              <w:rPr>
                <w:sz w:val="14"/>
                <w:szCs w:val="14"/>
                <w:color w:val="auto"/>
              </w:rPr>
            </w:pPr>
          </w:p>
        </w:tc>
        <w:tc>
          <w:tcPr>
            <w:tcW w:w="1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Options Shares</w:t>
            </w:r>
          </w:p>
        </w:tc>
        <w:tc>
          <w:tcPr>
            <w:tcW w:w="1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Outstanding</w:t>
            </w:r>
          </w:p>
        </w:tc>
        <w:tc>
          <w:tcPr>
            <w:tcW w:w="1800" w:type="dxa"/>
            <w:vAlign w:val="bottom"/>
          </w:tcPr>
          <w:p>
            <w:pPr>
              <w:spacing w:after="0"/>
              <w:rPr>
                <w:sz w:val="14"/>
                <w:szCs w:val="14"/>
                <w:color w:val="auto"/>
              </w:rPr>
            </w:pP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Shares</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Weighted-Average</w:t>
            </w:r>
          </w:p>
        </w:tc>
      </w:tr>
      <w:tr>
        <w:trPr>
          <w:trHeight w:val="168"/>
        </w:trPr>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Range of</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Outstanding</w:t>
            </w:r>
          </w:p>
        </w:tc>
        <w:tc>
          <w:tcPr>
            <w:tcW w:w="1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Remaining</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Weighted-Average</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Exercisable</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Exercise Prices</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(000)</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Contractual Life</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Exercise Price</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(000)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$1 - $11</w:t>
            </w:r>
          </w:p>
        </w:tc>
        <w:tc>
          <w:tcPr>
            <w:tcW w:w="18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2,842</w:t>
            </w:r>
          </w:p>
        </w:tc>
        <w:tc>
          <w:tcPr>
            <w:tcW w:w="18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w:t>
            </w:r>
          </w:p>
        </w:tc>
        <w:tc>
          <w:tcPr>
            <w:tcW w:w="18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$7</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1,656</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w:t>
            </w:r>
          </w:p>
        </w:tc>
      </w:tr>
      <w:tr>
        <w:trPr>
          <w:trHeight w:val="168"/>
        </w:trPr>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$11 - $22</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1,303</w:t>
            </w:r>
          </w:p>
        </w:tc>
        <w:tc>
          <w:tcPr>
            <w:tcW w:w="18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w:t>
            </w:r>
          </w:p>
        </w:tc>
        <w:tc>
          <w:tcPr>
            <w:tcW w:w="18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$15</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126</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1660" w:type="dxa"/>
            <w:vAlign w:val="bottom"/>
          </w:tcPr>
          <w:p>
            <w:pPr>
              <w:spacing w:after="0"/>
              <w:rPr>
                <w:sz w:val="14"/>
                <w:szCs w:val="14"/>
                <w:color w:val="auto"/>
              </w:rPr>
            </w:pP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r>
      <w:tr>
        <w:trPr>
          <w:trHeight w:val="168"/>
        </w:trPr>
        <w:tc>
          <w:tcPr>
            <w:tcW w:w="16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Total</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4,145</w:t>
            </w:r>
          </w:p>
        </w:tc>
        <w:tc>
          <w:tcPr>
            <w:tcW w:w="18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w:t>
            </w:r>
          </w:p>
        </w:tc>
        <w:tc>
          <w:tcPr>
            <w:tcW w:w="18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1,782</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1660" w:type="dxa"/>
            <w:vAlign w:val="bottom"/>
          </w:tcPr>
          <w:p>
            <w:pPr>
              <w:spacing w:after="0"/>
              <w:rPr>
                <w:sz w:val="14"/>
                <w:szCs w:val="14"/>
                <w:color w:val="auto"/>
              </w:rPr>
            </w:pP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r>
    </w:tbl>
    <w:p>
      <w:pPr>
        <w:spacing w:after="0" w:line="341" w:lineRule="exact"/>
        <w:rPr>
          <w:sz w:val="20"/>
          <w:szCs w:val="20"/>
          <w:color w:val="auto"/>
        </w:rPr>
      </w:pPr>
    </w:p>
    <w:p>
      <w:pPr>
        <w:ind w:left="700" w:right="4200" w:hanging="349"/>
        <w:spacing w:after="0" w:line="236" w:lineRule="auto"/>
        <w:rPr>
          <w:sz w:val="20"/>
          <w:szCs w:val="20"/>
          <w:color w:val="auto"/>
        </w:rPr>
      </w:pPr>
      <w:r>
        <w:rPr>
          <w:rFonts w:ascii="Courier New" w:cs="Courier New" w:eastAsia="Courier New" w:hAnsi="Courier New"/>
          <w:sz w:val="15"/>
          <w:szCs w:val="15"/>
          <w:color w:val="auto"/>
        </w:rPr>
        <w:t>The fair value of each option grant is estimated on the date of grant using the Black-Scholes option pricing model with the following weighted-average assumptions used for grants in 1998, 1997 and 1996, respectively: risk-free interest rates of 5.1, 6.2 and 6.4 percent; expected dividend yields of 0.0, 0.0 and 0.0 percent; expected lives ranging from 5 to 7 years, 5 to 7 years and 5 to 7 years; expected volatility of 43, 46 and 47 percent.</w:t>
      </w:r>
    </w:p>
    <w:p>
      <w:pPr>
        <w:spacing w:after="0" w:line="176" w:lineRule="exact"/>
        <w:rPr>
          <w:sz w:val="20"/>
          <w:szCs w:val="20"/>
          <w:color w:val="auto"/>
        </w:rPr>
      </w:pPr>
    </w:p>
    <w:p>
      <w:pPr>
        <w:ind w:left="700" w:right="4200" w:hanging="349"/>
        <w:spacing w:after="0" w:line="236" w:lineRule="auto"/>
        <w:rPr>
          <w:sz w:val="20"/>
          <w:szCs w:val="20"/>
          <w:color w:val="auto"/>
        </w:rPr>
      </w:pPr>
      <w:r>
        <w:rPr>
          <w:rFonts w:ascii="Courier New" w:cs="Courier New" w:eastAsia="Courier New" w:hAnsi="Courier New"/>
          <w:sz w:val="15"/>
          <w:szCs w:val="15"/>
          <w:color w:val="auto"/>
        </w:rPr>
        <w:t>The Company may grant options for up to 2,000,000 shares under the Director Plan. The Company has granted options on 1,056,000 shares through December 31, 1998. Under the plan the option exercise price equals the stock's market price on date of grant. The Director Plan options vest after six months, and all expire after ten years.</w:t>
      </w:r>
    </w:p>
    <w:p>
      <w:pPr>
        <w:spacing w:after="0" w:line="174" w:lineRule="exact"/>
        <w:rPr>
          <w:sz w:val="20"/>
          <w:szCs w:val="20"/>
          <w:color w:val="auto"/>
        </w:rPr>
      </w:pPr>
    </w:p>
    <w:p>
      <w:pPr>
        <w:jc w:val="both"/>
        <w:ind w:left="700" w:right="4380" w:hanging="253"/>
        <w:spacing w:after="0" w:line="235" w:lineRule="auto"/>
        <w:tabs>
          <w:tab w:leader="none" w:pos="7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the status of the Director Plan at December 31, 1998, 1997 and 1996, and changes during the years then ended is presented in the table and narrative below:</w:t>
      </w:r>
    </w:p>
    <w:p>
      <w:pPr>
        <w:spacing w:after="0" w:line="200" w:lineRule="exact"/>
        <w:rPr>
          <w:sz w:val="20"/>
          <w:szCs w:val="20"/>
          <w:color w:val="auto"/>
        </w:rPr>
      </w:pPr>
    </w:p>
    <w:p>
      <w:pPr>
        <w:spacing w:after="0" w:line="304"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56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2320" w:type="dxa"/>
            <w:vAlign w:val="bottom"/>
            <w:gridSpan w:val="3"/>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Shares</w:t>
            </w: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Wtd. Avg.</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Shares</w:t>
            </w: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Wtd. Avg.</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Shares</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Wtd. Avg.</w:t>
            </w:r>
          </w:p>
        </w:tc>
      </w:tr>
      <w:tr>
        <w:trPr>
          <w:trHeight w:val="168"/>
        </w:trPr>
        <w:tc>
          <w:tcPr>
            <w:tcW w:w="31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price</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price</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(000)</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Ex price</w:t>
            </w:r>
          </w:p>
        </w:tc>
      </w:tr>
      <w:tr>
        <w:trPr>
          <w:trHeight w:val="168"/>
        </w:trPr>
        <w:tc>
          <w:tcPr>
            <w:tcW w:w="31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548</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5</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568</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4</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528</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w:t>
            </w:r>
          </w:p>
        </w:tc>
        <w:tc>
          <w:tcPr>
            <w:tcW w:w="440" w:type="dxa"/>
            <w:vAlign w:val="bottom"/>
          </w:tcPr>
          <w:p>
            <w:pPr>
              <w:spacing w:after="0"/>
              <w:rPr>
                <w:sz w:val="14"/>
                <w:szCs w:val="14"/>
                <w:color w:val="auto"/>
              </w:rPr>
            </w:pPr>
          </w:p>
        </w:tc>
        <w:tc>
          <w:tcPr>
            <w:tcW w:w="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88"/>
              </w:rPr>
              <w:t>17</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w:t>
            </w:r>
          </w:p>
        </w:tc>
        <w:tc>
          <w:tcPr>
            <w:tcW w:w="400" w:type="dxa"/>
            <w:vAlign w:val="bottom"/>
          </w:tcPr>
          <w:p>
            <w:pPr>
              <w:spacing w:after="0"/>
              <w:rPr>
                <w:sz w:val="14"/>
                <w:szCs w:val="14"/>
                <w:color w:val="auto"/>
              </w:rPr>
            </w:pPr>
          </w:p>
        </w:tc>
        <w:tc>
          <w:tcPr>
            <w:tcW w:w="9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77"/>
              </w:rPr>
              <w:t>10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w:t>
            </w:r>
          </w:p>
        </w:tc>
        <w:tc>
          <w:tcPr>
            <w:tcW w:w="480" w:type="dxa"/>
            <w:vAlign w:val="bottom"/>
          </w:tcPr>
          <w:p>
            <w:pPr>
              <w:spacing w:after="0"/>
              <w:rPr>
                <w:sz w:val="14"/>
                <w:szCs w:val="14"/>
                <w:color w:val="auto"/>
              </w:rPr>
            </w:pPr>
          </w:p>
        </w:tc>
        <w:tc>
          <w:tcPr>
            <w:tcW w:w="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w:t>
            </w:r>
          </w:p>
        </w:tc>
        <w:tc>
          <w:tcPr>
            <w:tcW w:w="440" w:type="dxa"/>
            <w:vAlign w:val="bottom"/>
          </w:tcPr>
          <w:p>
            <w:pPr>
              <w:spacing w:after="0"/>
              <w:rPr>
                <w:sz w:val="14"/>
                <w:szCs w:val="14"/>
                <w:color w:val="auto"/>
              </w:rPr>
            </w:pPr>
          </w:p>
        </w:tc>
        <w:tc>
          <w:tcPr>
            <w:tcW w:w="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c>
          <w:tcPr>
            <w:tcW w:w="400" w:type="dxa"/>
            <w:vAlign w:val="bottom"/>
          </w:tcPr>
          <w:p>
            <w:pPr>
              <w:spacing w:after="0"/>
              <w:rPr>
                <w:sz w:val="14"/>
                <w:szCs w:val="14"/>
                <w:color w:val="auto"/>
              </w:rPr>
            </w:pPr>
          </w:p>
        </w:tc>
        <w:tc>
          <w:tcPr>
            <w:tcW w:w="9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7</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w:t>
            </w:r>
          </w:p>
        </w:tc>
        <w:tc>
          <w:tcPr>
            <w:tcW w:w="480" w:type="dxa"/>
            <w:vAlign w:val="bottom"/>
          </w:tcPr>
          <w:p>
            <w:pPr>
              <w:spacing w:after="0"/>
              <w:rPr>
                <w:sz w:val="14"/>
                <w:szCs w:val="14"/>
                <w:color w:val="auto"/>
              </w:rPr>
            </w:pPr>
          </w:p>
        </w:tc>
        <w:tc>
          <w:tcPr>
            <w:tcW w:w="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31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End of Year</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512</w:t>
            </w:r>
          </w:p>
        </w:tc>
        <w:tc>
          <w:tcPr>
            <w:tcW w:w="440" w:type="dxa"/>
            <w:vAlign w:val="bottom"/>
          </w:tcPr>
          <w:p>
            <w:pPr>
              <w:spacing w:after="0"/>
              <w:rPr>
                <w:sz w:val="14"/>
                <w:szCs w:val="14"/>
                <w:color w:val="auto"/>
              </w:rPr>
            </w:pPr>
          </w:p>
        </w:tc>
        <w:tc>
          <w:tcPr>
            <w:tcW w:w="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6</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548</w:t>
            </w:r>
          </w:p>
        </w:tc>
        <w:tc>
          <w:tcPr>
            <w:tcW w:w="400" w:type="dxa"/>
            <w:vAlign w:val="bottom"/>
          </w:tcPr>
          <w:p>
            <w:pPr>
              <w:spacing w:after="0"/>
              <w:rPr>
                <w:sz w:val="14"/>
                <w:szCs w:val="14"/>
                <w:color w:val="auto"/>
              </w:rPr>
            </w:pPr>
          </w:p>
        </w:tc>
        <w:tc>
          <w:tcPr>
            <w:tcW w:w="9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568</w:t>
            </w:r>
          </w:p>
        </w:tc>
        <w:tc>
          <w:tcPr>
            <w:tcW w:w="480" w:type="dxa"/>
            <w:vAlign w:val="bottom"/>
          </w:tcPr>
          <w:p>
            <w:pPr>
              <w:spacing w:after="0"/>
              <w:rPr>
                <w:sz w:val="14"/>
                <w:szCs w:val="14"/>
                <w:color w:val="auto"/>
              </w:rPr>
            </w:pPr>
          </w:p>
        </w:tc>
        <w:tc>
          <w:tcPr>
            <w:tcW w:w="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31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Exercisable at End of Year</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512</w:t>
            </w:r>
          </w:p>
        </w:tc>
        <w:tc>
          <w:tcPr>
            <w:tcW w:w="440" w:type="dxa"/>
            <w:vAlign w:val="bottom"/>
          </w:tcPr>
          <w:p>
            <w:pPr>
              <w:spacing w:after="0"/>
              <w:rPr>
                <w:sz w:val="14"/>
                <w:szCs w:val="14"/>
                <w:color w:val="auto"/>
              </w:rPr>
            </w:pPr>
          </w:p>
        </w:tc>
        <w:tc>
          <w:tcPr>
            <w:tcW w:w="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6</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548</w:t>
            </w:r>
          </w:p>
        </w:tc>
        <w:tc>
          <w:tcPr>
            <w:tcW w:w="400" w:type="dxa"/>
            <w:vAlign w:val="bottom"/>
          </w:tcPr>
          <w:p>
            <w:pPr>
              <w:spacing w:after="0"/>
              <w:rPr>
                <w:sz w:val="14"/>
                <w:szCs w:val="14"/>
                <w:color w:val="auto"/>
              </w:rPr>
            </w:pPr>
          </w:p>
        </w:tc>
        <w:tc>
          <w:tcPr>
            <w:tcW w:w="9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568</w:t>
            </w:r>
          </w:p>
        </w:tc>
        <w:tc>
          <w:tcPr>
            <w:tcW w:w="480" w:type="dxa"/>
            <w:vAlign w:val="bottom"/>
          </w:tcPr>
          <w:p>
            <w:pPr>
              <w:spacing w:after="0"/>
              <w:rPr>
                <w:sz w:val="14"/>
                <w:szCs w:val="14"/>
                <w:color w:val="auto"/>
              </w:rPr>
            </w:pPr>
          </w:p>
        </w:tc>
        <w:tc>
          <w:tcPr>
            <w:tcW w:w="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Avg. Fair Value</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 Options Granted</w:t>
            </w:r>
          </w:p>
        </w:tc>
        <w:tc>
          <w:tcPr>
            <w:tcW w:w="960" w:type="dxa"/>
            <w:vAlign w:val="bottom"/>
          </w:tcPr>
          <w:p>
            <w:pPr>
              <w:spacing w:after="0"/>
              <w:rPr>
                <w:sz w:val="14"/>
                <w:szCs w:val="14"/>
                <w:color w:val="auto"/>
              </w:rPr>
            </w:pP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88"/>
              </w:rPr>
              <w:t>11</w:t>
            </w:r>
          </w:p>
        </w:tc>
        <w:tc>
          <w:tcPr>
            <w:tcW w:w="960" w:type="dxa"/>
            <w:vAlign w:val="bottom"/>
          </w:tcPr>
          <w:p>
            <w:pPr>
              <w:spacing w:after="0"/>
              <w:rPr>
                <w:sz w:val="14"/>
                <w:szCs w:val="14"/>
                <w:color w:val="auto"/>
              </w:rPr>
            </w:pP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6</w:t>
            </w:r>
          </w:p>
        </w:tc>
        <w:tc>
          <w:tcPr>
            <w:tcW w:w="960" w:type="dxa"/>
            <w:vAlign w:val="bottom"/>
          </w:tcPr>
          <w:p>
            <w:pPr>
              <w:spacing w:after="0"/>
              <w:rPr>
                <w:sz w:val="14"/>
                <w:szCs w:val="14"/>
                <w:color w:val="auto"/>
              </w:rPr>
            </w:pPr>
          </w:p>
        </w:tc>
        <w:tc>
          <w:tcPr>
            <w:tcW w:w="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Options Outstanding and Exercisable by Price Range As Of December 31, 1998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1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0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Options Exercisable</w:t>
            </w:r>
          </w:p>
        </w:tc>
      </w:tr>
      <w:tr>
        <w:trPr>
          <w:trHeight w:val="168"/>
        </w:trPr>
        <w:tc>
          <w:tcPr>
            <w:tcW w:w="1820" w:type="dxa"/>
            <w:vAlign w:val="bottom"/>
          </w:tcPr>
          <w:p>
            <w:pPr>
              <w:spacing w:after="0"/>
              <w:rPr>
                <w:sz w:val="14"/>
                <w:szCs w:val="14"/>
                <w:color w:val="auto"/>
              </w:rPr>
            </w:pPr>
          </w:p>
        </w:tc>
        <w:tc>
          <w:tcPr>
            <w:tcW w:w="350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Options  Outstanding</w:t>
            </w:r>
          </w:p>
        </w:tc>
        <w:tc>
          <w:tcPr>
            <w:tcW w:w="1800" w:type="dxa"/>
            <w:vAlign w:val="bottom"/>
          </w:tcPr>
          <w:p>
            <w:pPr>
              <w:spacing w:after="0"/>
              <w:rPr>
                <w:sz w:val="14"/>
                <w:szCs w:val="14"/>
                <w:color w:val="auto"/>
              </w:rPr>
            </w:pPr>
          </w:p>
        </w:tc>
        <w:tc>
          <w:tcPr>
            <w:tcW w:w="3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80" w:type="dxa"/>
            <w:vAlign w:val="bottom"/>
            <w:gridSpan w:val="2"/>
          </w:tcPr>
          <w:p>
            <w:pPr>
              <w:spacing w:after="0"/>
              <w:rPr>
                <w:sz w:val="20"/>
                <w:szCs w:val="20"/>
                <w:color w:val="auto"/>
              </w:rPr>
            </w:pPr>
            <w:r>
              <w:rPr>
                <w:rFonts w:ascii="Courier New" w:cs="Courier New" w:eastAsia="Courier New" w:hAnsi="Courier New"/>
                <w:sz w:val="10"/>
                <w:szCs w:val="10"/>
                <w:color w:val="auto"/>
                <w:w w:val="75"/>
              </w:rPr>
              <w:t>-------------------------------------------------------------------------------</w:t>
            </w:r>
          </w:p>
        </w:tc>
        <w:tc>
          <w:tcPr>
            <w:tcW w:w="1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Shares</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Weighted-Average</w:t>
            </w:r>
          </w:p>
        </w:tc>
      </w:tr>
      <w:tr>
        <w:trPr>
          <w:trHeight w:val="168"/>
        </w:trPr>
        <w:tc>
          <w:tcPr>
            <w:tcW w:w="18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Range of</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Shares Outstanding</w:t>
            </w:r>
          </w:p>
        </w:tc>
        <w:tc>
          <w:tcPr>
            <w:tcW w:w="17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Remaining</w:t>
            </w:r>
          </w:p>
        </w:tc>
        <w:tc>
          <w:tcPr>
            <w:tcW w:w="1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Weighted-Average</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Exercisable</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18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Prices</w:t>
            </w:r>
          </w:p>
        </w:tc>
        <w:tc>
          <w:tcPr>
            <w:tcW w:w="17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(000)</w:t>
            </w:r>
          </w:p>
        </w:tc>
        <w:tc>
          <w:tcPr>
            <w:tcW w:w="1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Contractual Life</w:t>
            </w:r>
          </w:p>
        </w:tc>
        <w:tc>
          <w:tcPr>
            <w:tcW w:w="1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Exercise Price</w:t>
            </w:r>
          </w:p>
        </w:tc>
        <w:tc>
          <w:tcPr>
            <w:tcW w:w="1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(000)</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18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1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1820" w:type="dxa"/>
            <w:vAlign w:val="bottom"/>
          </w:tcPr>
          <w:p>
            <w:pPr>
              <w:ind w:left="260"/>
              <w:spacing w:after="0"/>
              <w:rPr>
                <w:sz w:val="20"/>
                <w:szCs w:val="20"/>
                <w:color w:val="auto"/>
              </w:rPr>
            </w:pPr>
            <w:r>
              <w:rPr>
                <w:rFonts w:ascii="Courier New" w:cs="Courier New" w:eastAsia="Courier New" w:hAnsi="Courier New"/>
                <w:sz w:val="15"/>
                <w:szCs w:val="15"/>
                <w:color w:val="auto"/>
              </w:rPr>
              <w:t>$1 - $18</w:t>
            </w:r>
          </w:p>
        </w:tc>
        <w:tc>
          <w:tcPr>
            <w:tcW w:w="17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512</w:t>
            </w:r>
          </w:p>
        </w:tc>
        <w:tc>
          <w:tcPr>
            <w:tcW w:w="17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5</w:t>
            </w:r>
          </w:p>
        </w:tc>
        <w:tc>
          <w:tcPr>
            <w:tcW w:w="18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$6</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512</w:t>
            </w:r>
          </w:p>
        </w:tc>
        <w:tc>
          <w:tcPr>
            <w:tcW w:w="14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w:t>
            </w:r>
          </w:p>
        </w:tc>
      </w:tr>
      <w:tr>
        <w:trPr>
          <w:trHeight w:val="168"/>
        </w:trPr>
        <w:tc>
          <w:tcPr>
            <w:tcW w:w="1820" w:type="dxa"/>
            <w:vAlign w:val="bottom"/>
          </w:tcPr>
          <w:p>
            <w:pPr>
              <w:spacing w:after="0"/>
              <w:rPr>
                <w:sz w:val="14"/>
                <w:szCs w:val="14"/>
                <w:color w:val="auto"/>
              </w:rPr>
            </w:pPr>
          </w:p>
        </w:tc>
        <w:tc>
          <w:tcPr>
            <w:tcW w:w="1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r>
    </w:tbl>
    <w:p>
      <w:pPr>
        <w:spacing w:after="0" w:line="200" w:lineRule="exact"/>
        <w:rPr>
          <w:sz w:val="20"/>
          <w:szCs w:val="20"/>
          <w:color w:val="auto"/>
        </w:rPr>
      </w:pPr>
    </w:p>
    <w:p>
      <w:pPr>
        <w:spacing w:after="0" w:line="309" w:lineRule="exact"/>
        <w:rPr>
          <w:sz w:val="20"/>
          <w:szCs w:val="20"/>
          <w:color w:val="auto"/>
        </w:rPr>
      </w:pPr>
    </w:p>
    <w:p>
      <w:pPr>
        <w:ind w:left="800" w:right="4120" w:hanging="349"/>
        <w:spacing w:after="0" w:line="236" w:lineRule="auto"/>
        <w:rPr>
          <w:sz w:val="20"/>
          <w:szCs w:val="20"/>
          <w:color w:val="auto"/>
        </w:rPr>
      </w:pPr>
      <w:r>
        <w:rPr>
          <w:rFonts w:ascii="Courier New" w:cs="Courier New" w:eastAsia="Courier New" w:hAnsi="Courier New"/>
          <w:sz w:val="15"/>
          <w:szCs w:val="15"/>
          <w:color w:val="auto"/>
        </w:rPr>
        <w:t>The fair value of each option grant is estimated on the date of grant using the Black-Scholes option pricing model with the following weighted-average assumptions used for grants in 1998, 1997 and 1996, respectively: risk-free interest rates of 5.7, 6.7 and 6.8 percent; expected dividend yields of 0.0, 0.0 and 0.0 percent; expected lives of 5, 5 and 10 years; expected volatility of 43, 46 and 47 percent.</w:t>
      </w:r>
    </w:p>
    <w:p>
      <w:pPr>
        <w:spacing w:after="0" w:line="175" w:lineRule="exact"/>
        <w:rPr>
          <w:sz w:val="20"/>
          <w:szCs w:val="20"/>
          <w:color w:val="auto"/>
        </w:rPr>
      </w:pPr>
    </w:p>
    <w:p>
      <w:pPr>
        <w:ind w:left="800" w:right="4120" w:hanging="349"/>
        <w:spacing w:after="0" w:line="255" w:lineRule="auto"/>
        <w:rPr>
          <w:sz w:val="20"/>
          <w:szCs w:val="20"/>
          <w:color w:val="auto"/>
        </w:rPr>
      </w:pPr>
      <w:r>
        <w:rPr>
          <w:rFonts w:ascii="Courier New" w:cs="Courier New" w:eastAsia="Courier New" w:hAnsi="Courier New"/>
          <w:sz w:val="14"/>
          <w:szCs w:val="14"/>
          <w:color w:val="auto"/>
        </w:rPr>
        <w:t>The Company has a restricted stock plan covering 1,600,000 shares of common stock, the purpose of which is to permit grants of shares, subject to restrictions, to key employees of the Company as a means of retaining and rewarding them for long-term performance and to increase their ownership in the Company. Shares awarded under the plan entitle the shareholder to all rights of common stock ownership except that the shares may not be sold, transferred, pledged, exchanged or otherwise disposed of during the restriction period. The restriction period is determined by a committee, appointed by the Board of Directors, but may</w:t>
      </w:r>
    </w:p>
    <w:p>
      <w:pPr>
        <w:sectPr>
          <w:pgSz w:w="11900" w:h="16838" w:orient="portrait"/>
          <w:cols w:equalWidth="0" w:num="1">
            <w:col w:w="11120"/>
          </w:cols>
          <w:pgMar w:left="220" w:top="281" w:right="559" w:bottom="0" w:gutter="0" w:footer="0" w:header="0"/>
        </w:sectPr>
      </w:pPr>
    </w:p>
    <w:bookmarkStart w:id="31" w:name="page32"/>
    <w:bookmarkEnd w:id="31"/>
    <w:p>
      <w:pPr>
        <w:ind w:right="3399"/>
        <w:spacing w:after="0" w:line="236" w:lineRule="auto"/>
        <w:rPr>
          <w:sz w:val="20"/>
          <w:szCs w:val="20"/>
          <w:color w:val="auto"/>
        </w:rPr>
      </w:pPr>
      <w:r>
        <w:rPr>
          <w:rFonts w:ascii="Courier New" w:cs="Courier New" w:eastAsia="Courier New" w:hAnsi="Courier New"/>
          <w:sz w:val="15"/>
          <w:szCs w:val="15"/>
          <w:color w:val="auto"/>
        </w:rPr>
        <w:t>not exceed ten years. During 1998, 1997 and 1996, 64,200, 75,000 and 70,000 shares, respectively, were granted with restriction periods of four to six years at market prices ranging from $14.032 to $19.813 in 1998, $10.063 to $12.938 in 1997, and $10.063 to $10.938 in 1996. The related expense is reflected as deferred compensation in the accompanying consolidated financial statements and is being amortized over the applicable restriction periods.</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439"/>
          </w:cols>
          <w:pgMar w:left="1020" w:top="14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29</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GENTEX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13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ind w:left="440" w:hanging="430"/>
        <w:spacing w:after="0"/>
        <w:tabs>
          <w:tab w:leader="none" w:pos="4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SPLITS</w:t>
      </w:r>
    </w:p>
    <w:p>
      <w:pPr>
        <w:spacing w:after="0" w:line="172" w:lineRule="exact"/>
        <w:rPr>
          <w:rFonts w:ascii="Courier New" w:cs="Courier New" w:eastAsia="Courier New" w:hAnsi="Courier New"/>
          <w:sz w:val="15"/>
          <w:szCs w:val="15"/>
          <w:color w:val="auto"/>
        </w:rPr>
      </w:pPr>
    </w:p>
    <w:p>
      <w:pPr>
        <w:ind w:left="700" w:right="349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May 21, 1998, the Company's Board of Directors declared a two-for-one stock split effected in the form of a 100% common stock dividend to shareholders of record on June 5, 1998. The stock split increased the number of shares of common stock then outstanding from 35,836,177 to 71,672,354.</w:t>
      </w:r>
    </w:p>
    <w:p>
      <w:pPr>
        <w:spacing w:after="0" w:line="173" w:lineRule="exact"/>
        <w:rPr>
          <w:rFonts w:ascii="Courier New" w:cs="Courier New" w:eastAsia="Courier New" w:hAnsi="Courier New"/>
          <w:sz w:val="15"/>
          <w:szCs w:val="15"/>
          <w:color w:val="auto"/>
        </w:rPr>
      </w:pPr>
    </w:p>
    <w:p>
      <w:pPr>
        <w:ind w:left="700" w:right="349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May 9, 1996, the Company's Board of Directors declared a two-for-one stock split effected in the form of a 100% common stock dividend to shareholders of record on May 31, 1996. The stock split increased the number of shares of common stock then outstanding from 17,219,669 to 34,439,338.</w:t>
      </w:r>
    </w:p>
    <w:p>
      <w:pPr>
        <w:spacing w:after="0" w:line="174"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Earnings per share and all share data have been restated in all prior periods to reflect these stock splits.</w:t>
      </w:r>
    </w:p>
    <w:p>
      <w:pPr>
        <w:spacing w:after="0" w:line="200" w:lineRule="exact"/>
        <w:rPr>
          <w:sz w:val="20"/>
          <w:szCs w:val="20"/>
          <w:color w:val="auto"/>
        </w:rPr>
      </w:pPr>
    </w:p>
    <w:p>
      <w:pPr>
        <w:spacing w:after="0" w:line="303" w:lineRule="exact"/>
        <w:rPr>
          <w:sz w:val="20"/>
          <w:szCs w:val="20"/>
          <w:color w:val="auto"/>
        </w:rPr>
      </w:pPr>
    </w:p>
    <w:p>
      <w:pPr>
        <w:ind w:left="440" w:hanging="430"/>
        <w:spacing w:after="0"/>
        <w:tabs>
          <w:tab w:leader="none" w:pos="4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72" w:lineRule="exact"/>
        <w:rPr>
          <w:rFonts w:ascii="Courier New" w:cs="Courier New" w:eastAsia="Courier New" w:hAnsi="Courier New"/>
          <w:sz w:val="15"/>
          <w:szCs w:val="15"/>
          <w:color w:val="auto"/>
        </w:rPr>
      </w:pPr>
    </w:p>
    <w:p>
      <w:pPr>
        <w:ind w:left="800" w:right="3759" w:hanging="35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involved in patent litigation with Donnelly Corporation since 1990 concerning a number of patents relating to electrochromic mirrors owned by the Company and Donnelly.</w:t>
      </w:r>
    </w:p>
    <w:p>
      <w:pPr>
        <w:spacing w:after="0" w:line="173" w:lineRule="exact"/>
        <w:rPr>
          <w:rFonts w:ascii="Courier New" w:cs="Courier New" w:eastAsia="Courier New" w:hAnsi="Courier New"/>
          <w:sz w:val="15"/>
          <w:szCs w:val="15"/>
          <w:color w:val="auto"/>
        </w:rPr>
      </w:pPr>
    </w:p>
    <w:p>
      <w:pPr>
        <w:ind w:left="700" w:right="3239" w:hanging="262"/>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During 1996, the Company reached an agreement with Donnelly to resolve all of the patent litigation between the two companies. Under the agreement:</w:t>
      </w:r>
    </w:p>
    <w:p>
      <w:pPr>
        <w:spacing w:after="0" w:line="159" w:lineRule="exact"/>
        <w:rPr>
          <w:rFonts w:ascii="Courier New" w:cs="Courier New" w:eastAsia="Courier New" w:hAnsi="Courier New"/>
          <w:sz w:val="15"/>
          <w:szCs w:val="15"/>
          <w:color w:val="auto"/>
        </w:rPr>
      </w:pPr>
    </w:p>
    <w:p>
      <w:pPr>
        <w:ind w:left="700" w:right="3399" w:hanging="253"/>
        <w:spacing w:after="0" w:line="235" w:lineRule="auto"/>
        <w:tabs>
          <w:tab w:leader="none" w:pos="70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companies have cross-licensed certain patents (for the life of the patents) that each company may practice within its own "core" electrochromic mirror technology area.</w:t>
      </w:r>
    </w:p>
    <w:p>
      <w:pPr>
        <w:spacing w:after="0" w:line="173" w:lineRule="exact"/>
        <w:rPr>
          <w:rFonts w:ascii="Courier New" w:cs="Courier New" w:eastAsia="Courier New" w:hAnsi="Courier New"/>
          <w:sz w:val="15"/>
          <w:szCs w:val="15"/>
          <w:color w:val="auto"/>
        </w:rPr>
      </w:pPr>
    </w:p>
    <w:p>
      <w:pPr>
        <w:ind w:left="700" w:right="3499" w:hanging="253"/>
        <w:spacing w:after="0" w:line="235" w:lineRule="auto"/>
        <w:tabs>
          <w:tab w:leader="none" w:pos="70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paid Donnelly $6 million in April 1996 (plus a $200,000 contingent payment if Donnelly prevailed in its lighted mirror patent appeal) as full and complete satisfaction of all of Donnelly's patent infringement claims.</w:t>
      </w:r>
    </w:p>
    <w:p>
      <w:pPr>
        <w:spacing w:after="0" w:line="175" w:lineRule="exact"/>
        <w:rPr>
          <w:rFonts w:ascii="Courier New" w:cs="Courier New" w:eastAsia="Courier New" w:hAnsi="Courier New"/>
          <w:sz w:val="15"/>
          <w:szCs w:val="15"/>
          <w:color w:val="auto"/>
        </w:rPr>
      </w:pPr>
    </w:p>
    <w:p>
      <w:pPr>
        <w:ind w:left="700" w:right="3679" w:hanging="253"/>
        <w:spacing w:after="0" w:line="234" w:lineRule="auto"/>
        <w:tabs>
          <w:tab w:leader="none" w:pos="70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companies agreed not to pursue litigation against each other on certain other patents for a period of four years.</w:t>
      </w:r>
    </w:p>
    <w:p>
      <w:pPr>
        <w:spacing w:after="0" w:line="173" w:lineRule="exact"/>
        <w:rPr>
          <w:sz w:val="20"/>
          <w:szCs w:val="20"/>
          <w:color w:val="auto"/>
        </w:rPr>
      </w:pPr>
    </w:p>
    <w:p>
      <w:pPr>
        <w:jc w:val="both"/>
        <w:ind w:left="800" w:right="3399" w:hanging="349"/>
        <w:spacing w:after="0" w:line="261" w:lineRule="auto"/>
        <w:rPr>
          <w:sz w:val="20"/>
          <w:szCs w:val="20"/>
          <w:color w:val="auto"/>
        </w:rPr>
      </w:pPr>
      <w:r>
        <w:rPr>
          <w:rFonts w:ascii="Courier New" w:cs="Courier New" w:eastAsia="Courier New" w:hAnsi="Courier New"/>
          <w:sz w:val="14"/>
          <w:szCs w:val="14"/>
          <w:color w:val="auto"/>
        </w:rPr>
        <w:t>The Company recorded a one-time charge of $4,000,000 ($6,000,000 payment, net of accrued reserves) in 1996, in connection with this settlement.</w:t>
      </w:r>
    </w:p>
    <w:p>
      <w:pPr>
        <w:spacing w:after="0" w:line="160" w:lineRule="exact"/>
        <w:rPr>
          <w:sz w:val="20"/>
          <w:szCs w:val="20"/>
          <w:color w:val="auto"/>
        </w:rPr>
      </w:pPr>
    </w:p>
    <w:p>
      <w:pPr>
        <w:jc w:val="both"/>
        <w:ind w:left="700" w:right="3399" w:hanging="261"/>
        <w:spacing w:after="0" w:line="235" w:lineRule="auto"/>
        <w:rPr>
          <w:sz w:val="20"/>
          <w:szCs w:val="20"/>
          <w:color w:val="auto"/>
        </w:rPr>
      </w:pPr>
      <w:r>
        <w:rPr>
          <w:rFonts w:ascii="Courier New" w:cs="Courier New" w:eastAsia="Courier New" w:hAnsi="Courier New"/>
          <w:sz w:val="15"/>
          <w:szCs w:val="15"/>
          <w:color w:val="auto"/>
        </w:rPr>
        <w:t>In 1998, Donnelly's lighted mirror patent appeal was granted by the Court of Appeals for the Federal Circuit, and the Company paid the $200,000 contingent payment to Donnelly.</w:t>
      </w:r>
    </w:p>
    <w:p>
      <w:pPr>
        <w:spacing w:after="0" w:line="174" w:lineRule="exact"/>
        <w:rPr>
          <w:sz w:val="20"/>
          <w:szCs w:val="20"/>
          <w:color w:val="auto"/>
        </w:rPr>
      </w:pPr>
    </w:p>
    <w:p>
      <w:pPr>
        <w:ind w:left="700" w:right="3319" w:hanging="261"/>
        <w:spacing w:after="0" w:line="236" w:lineRule="auto"/>
        <w:rPr>
          <w:sz w:val="20"/>
          <w:szCs w:val="20"/>
          <w:color w:val="auto"/>
        </w:rPr>
      </w:pPr>
      <w:r>
        <w:rPr>
          <w:rFonts w:ascii="Courier New" w:cs="Courier New" w:eastAsia="Courier New" w:hAnsi="Courier New"/>
          <w:sz w:val="15"/>
          <w:szCs w:val="15"/>
          <w:color w:val="auto"/>
        </w:rPr>
        <w:t>From time to time, the Company is subject to legal proceedings and claims which arise in the ordinary course of its business. In the opinion of management, the amount of ultimate liability with respect to these actions will not materially affect the financial position or results of operations of the Company.</w:t>
      </w:r>
    </w:p>
    <w:p>
      <w:pPr>
        <w:spacing w:after="0" w:line="200" w:lineRule="exact"/>
        <w:rPr>
          <w:sz w:val="20"/>
          <w:szCs w:val="20"/>
          <w:color w:val="auto"/>
        </w:rPr>
      </w:pPr>
    </w:p>
    <w:p>
      <w:pPr>
        <w:spacing w:after="0" w:line="304" w:lineRule="exact"/>
        <w:rPr>
          <w:sz w:val="20"/>
          <w:szCs w:val="20"/>
          <w:color w:val="auto"/>
        </w:rPr>
      </w:pPr>
    </w:p>
    <w:p>
      <w:pPr>
        <w:ind w:left="440" w:hanging="430"/>
        <w:spacing w:after="0"/>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REPORTING</w:t>
      </w:r>
    </w:p>
    <w:p>
      <w:pPr>
        <w:spacing w:after="0" w:line="172" w:lineRule="exact"/>
        <w:rPr>
          <w:rFonts w:ascii="Courier New" w:cs="Courier New" w:eastAsia="Courier New" w:hAnsi="Courier New"/>
          <w:sz w:val="15"/>
          <w:szCs w:val="15"/>
          <w:color w:val="auto"/>
        </w:rPr>
      </w:pPr>
    </w:p>
    <w:p>
      <w:pPr>
        <w:ind w:left="700" w:right="323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year 1998, the Company adopted Statement of Financial Accounting Standards No. 131: "Disclosures About Segments of an Enterprise and Related Information" (SFAS No. 131). This statement requires that a public enterprise report financial and descriptive information about its reportable operating segments subject to certain aggregation criteria and quantitative thresholds. Operating segments are defined by SFAS No. 131 as components of an enterprise about which separate financial information is available that is evaluated regularly by the chief operating decision-makers in deciding how to allocate resources and in assessing performance.</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281" w:right="1440" w:bottom="1440" w:gutter="0" w:footer="0" w:header="0"/>
          <w:type w:val="continuous"/>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30</w:t>
      </w:r>
    </w:p>
    <w:p>
      <w:pPr>
        <w:ind w:left="2020"/>
        <w:spacing w:after="0" w:line="237" w:lineRule="auto"/>
        <w:rPr>
          <w:sz w:val="20"/>
          <w:szCs w:val="20"/>
          <w:color w:val="auto"/>
        </w:rPr>
      </w:pPr>
      <w:r>
        <w:rPr>
          <w:rFonts w:ascii="Courier New" w:cs="Courier New" w:eastAsia="Courier New" w:hAnsi="Courier New"/>
          <w:sz w:val="15"/>
          <w:szCs w:val="15"/>
          <w:color w:val="auto"/>
        </w:rPr>
        <w:t>GENTEX CORPORATION AND SUBSIDIARIES</w:t>
      </w:r>
    </w:p>
    <w:p>
      <w:pPr>
        <w:jc w:val="center"/>
        <w:ind w:right="3239"/>
        <w:spacing w:after="0" w:line="238"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(Continued)</w:t>
      </w:r>
    </w:p>
    <w:p>
      <w:pPr>
        <w:spacing w:after="0" w:line="16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(9)</w:t>
        <w:tab/>
        <w:t>SEGMENT REPORTING, continued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1998</w:t>
            </w:r>
          </w:p>
        </w:tc>
        <w:tc>
          <w:tcPr>
            <w:tcW w:w="740" w:type="dxa"/>
            <w:vAlign w:val="bottom"/>
          </w:tcPr>
          <w:p>
            <w:pPr>
              <w:spacing w:after="0"/>
              <w:rPr>
                <w:sz w:val="14"/>
                <w:szCs w:val="14"/>
                <w:color w:val="auto"/>
              </w:rPr>
            </w:pPr>
          </w:p>
        </w:tc>
        <w:tc>
          <w:tcPr>
            <w:tcW w:w="15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3160" w:type="dxa"/>
            <w:vAlign w:val="bottom"/>
          </w:tcPr>
          <w:p>
            <w:pPr>
              <w:spacing w:after="0"/>
              <w:rPr>
                <w:sz w:val="14"/>
                <w:szCs w:val="14"/>
                <w:color w:val="auto"/>
              </w:rPr>
            </w:pPr>
          </w:p>
        </w:tc>
        <w:tc>
          <w:tcPr>
            <w:tcW w:w="24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Automotive Products</w:t>
            </w: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1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U.S.</w:t>
            </w:r>
          </w:p>
        </w:tc>
        <w:tc>
          <w:tcPr>
            <w:tcW w:w="24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$127,588,319</w:t>
            </w:r>
          </w:p>
        </w:tc>
        <w:tc>
          <w:tcPr>
            <w:tcW w:w="23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$ 98,229,265</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$ 81,114,871</w:t>
            </w:r>
          </w:p>
        </w:tc>
      </w:tr>
      <w:tr>
        <w:trPr>
          <w:trHeight w:val="168"/>
        </w:trPr>
        <w:tc>
          <w:tcPr>
            <w:tcW w:w="31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Germany</w:t>
            </w:r>
          </w:p>
        </w:tc>
        <w:tc>
          <w:tcPr>
            <w:tcW w:w="880" w:type="dxa"/>
            <w:vAlign w:val="bottom"/>
          </w:tcPr>
          <w:p>
            <w:pPr>
              <w:spacing w:after="0"/>
              <w:rPr>
                <w:sz w:val="14"/>
                <w:szCs w:val="14"/>
                <w:color w:val="auto"/>
              </w:rPr>
            </w:pP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46,009,639</w:t>
            </w:r>
          </w:p>
        </w:tc>
        <w:tc>
          <w:tcPr>
            <w:tcW w:w="740" w:type="dxa"/>
            <w:vAlign w:val="bottom"/>
          </w:tcPr>
          <w:p>
            <w:pPr>
              <w:spacing w:after="0"/>
              <w:rPr>
                <w:sz w:val="14"/>
                <w:szCs w:val="14"/>
                <w:color w:val="auto"/>
              </w:rPr>
            </w:pP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39,468,221</w:t>
            </w:r>
          </w:p>
        </w:tc>
        <w:tc>
          <w:tcPr>
            <w:tcW w:w="7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23,031,833</w:t>
            </w:r>
          </w:p>
        </w:tc>
      </w:tr>
      <w:tr>
        <w:trPr>
          <w:trHeight w:val="168"/>
        </w:trPr>
        <w:tc>
          <w:tcPr>
            <w:tcW w:w="31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w:t>
            </w:r>
          </w:p>
        </w:tc>
        <w:tc>
          <w:tcPr>
            <w:tcW w:w="880" w:type="dxa"/>
            <w:vAlign w:val="bottom"/>
          </w:tcPr>
          <w:p>
            <w:pPr>
              <w:spacing w:after="0"/>
              <w:rPr>
                <w:sz w:val="14"/>
                <w:szCs w:val="14"/>
                <w:color w:val="auto"/>
              </w:rPr>
            </w:pP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28,518,734</w:t>
            </w:r>
          </w:p>
        </w:tc>
        <w:tc>
          <w:tcPr>
            <w:tcW w:w="740" w:type="dxa"/>
            <w:vAlign w:val="bottom"/>
          </w:tcPr>
          <w:p>
            <w:pPr>
              <w:spacing w:after="0"/>
              <w:rPr>
                <w:sz w:val="14"/>
                <w:szCs w:val="14"/>
                <w:color w:val="auto"/>
              </w:rPr>
            </w:pP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28,435,911</w:t>
            </w:r>
          </w:p>
        </w:tc>
        <w:tc>
          <w:tcPr>
            <w:tcW w:w="7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25,467,548</w:t>
            </w: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Fire Protection Products</w:t>
            </w:r>
          </w:p>
        </w:tc>
        <w:tc>
          <w:tcPr>
            <w:tcW w:w="880" w:type="dxa"/>
            <w:vAlign w:val="bottom"/>
          </w:tcPr>
          <w:p>
            <w:pPr>
              <w:spacing w:after="0"/>
              <w:rPr>
                <w:sz w:val="14"/>
                <w:szCs w:val="14"/>
                <w:color w:val="auto"/>
              </w:rPr>
            </w:pP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20,175,361</w:t>
            </w:r>
          </w:p>
        </w:tc>
        <w:tc>
          <w:tcPr>
            <w:tcW w:w="740" w:type="dxa"/>
            <w:vAlign w:val="bottom"/>
          </w:tcPr>
          <w:p>
            <w:pPr>
              <w:spacing w:after="0"/>
              <w:rPr>
                <w:sz w:val="14"/>
                <w:szCs w:val="14"/>
                <w:color w:val="auto"/>
              </w:rPr>
            </w:pP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20,194,480</w:t>
            </w:r>
          </w:p>
        </w:tc>
        <w:tc>
          <w:tcPr>
            <w:tcW w:w="7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19,093,966</w:t>
            </w:r>
          </w:p>
        </w:tc>
      </w:tr>
      <w:tr>
        <w:trPr>
          <w:trHeight w:val="168"/>
        </w:trPr>
        <w:tc>
          <w:tcPr>
            <w:tcW w:w="3160" w:type="dxa"/>
            <w:vAlign w:val="bottom"/>
          </w:tcPr>
          <w:p>
            <w:pPr>
              <w:spacing w:after="0"/>
              <w:rPr>
                <w:sz w:val="14"/>
                <w:szCs w:val="14"/>
                <w:color w:val="auto"/>
              </w:rPr>
            </w:pPr>
          </w:p>
        </w:tc>
        <w:tc>
          <w:tcPr>
            <w:tcW w:w="24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w:t>
            </w:r>
          </w:p>
        </w:tc>
        <w:tc>
          <w:tcPr>
            <w:tcW w:w="24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$222,292,053</w:t>
            </w:r>
          </w:p>
        </w:tc>
        <w:tc>
          <w:tcPr>
            <w:tcW w:w="23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$186,327,877</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$148,708,218</w:t>
            </w:r>
          </w:p>
        </w:tc>
      </w:tr>
      <w:tr>
        <w:trPr>
          <w:trHeight w:val="168"/>
        </w:trPr>
        <w:tc>
          <w:tcPr>
            <w:tcW w:w="3160" w:type="dxa"/>
            <w:vAlign w:val="bottom"/>
          </w:tcPr>
          <w:p>
            <w:pPr>
              <w:spacing w:after="0"/>
              <w:rPr>
                <w:sz w:val="14"/>
                <w:szCs w:val="14"/>
                <w:color w:val="auto"/>
              </w:rPr>
            </w:pPr>
          </w:p>
        </w:tc>
        <w:tc>
          <w:tcPr>
            <w:tcW w:w="24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Automotive Products</w:t>
            </w:r>
          </w:p>
        </w:tc>
        <w:tc>
          <w:tcPr>
            <w:tcW w:w="24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$ 63,718,817</w:t>
            </w:r>
          </w:p>
        </w:tc>
        <w:tc>
          <w:tcPr>
            <w:tcW w:w="23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$ 43,390,801</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$ 28,181,704</w:t>
            </w: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Fire Protection Products</w:t>
            </w:r>
          </w:p>
        </w:tc>
        <w:tc>
          <w:tcPr>
            <w:tcW w:w="880" w:type="dxa"/>
            <w:vAlign w:val="bottom"/>
          </w:tcPr>
          <w:p>
            <w:pPr>
              <w:spacing w:after="0"/>
              <w:rPr>
                <w:sz w:val="14"/>
                <w:szCs w:val="14"/>
                <w:color w:val="auto"/>
              </w:rPr>
            </w:pP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3,623,996</w:t>
            </w:r>
          </w:p>
        </w:tc>
        <w:tc>
          <w:tcPr>
            <w:tcW w:w="740" w:type="dxa"/>
            <w:vAlign w:val="bottom"/>
          </w:tcPr>
          <w:p>
            <w:pPr>
              <w:spacing w:after="0"/>
              <w:rPr>
                <w:sz w:val="14"/>
                <w:szCs w:val="14"/>
                <w:color w:val="auto"/>
              </w:rPr>
            </w:pP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4,091,185</w:t>
            </w:r>
          </w:p>
        </w:tc>
        <w:tc>
          <w:tcPr>
            <w:tcW w:w="7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3,657,864</w:t>
            </w:r>
          </w:p>
        </w:tc>
      </w:tr>
      <w:tr>
        <w:trPr>
          <w:trHeight w:val="168"/>
        </w:trPr>
        <w:tc>
          <w:tcPr>
            <w:tcW w:w="3160" w:type="dxa"/>
            <w:vAlign w:val="bottom"/>
          </w:tcPr>
          <w:p>
            <w:pPr>
              <w:spacing w:after="0"/>
              <w:rPr>
                <w:sz w:val="14"/>
                <w:szCs w:val="14"/>
                <w:color w:val="auto"/>
              </w:rPr>
            </w:pPr>
          </w:p>
        </w:tc>
        <w:tc>
          <w:tcPr>
            <w:tcW w:w="24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w:t>
            </w:r>
          </w:p>
        </w:tc>
        <w:tc>
          <w:tcPr>
            <w:tcW w:w="24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$ 67,342,813</w:t>
            </w:r>
          </w:p>
        </w:tc>
        <w:tc>
          <w:tcPr>
            <w:tcW w:w="23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$ 47,481,986</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$ 31,839,568</w:t>
            </w:r>
          </w:p>
        </w:tc>
      </w:tr>
      <w:tr>
        <w:trPr>
          <w:trHeight w:val="168"/>
        </w:trPr>
        <w:tc>
          <w:tcPr>
            <w:tcW w:w="3160" w:type="dxa"/>
            <w:vAlign w:val="bottom"/>
          </w:tcPr>
          <w:p>
            <w:pPr>
              <w:spacing w:after="0"/>
              <w:rPr>
                <w:sz w:val="14"/>
                <w:szCs w:val="14"/>
                <w:color w:val="auto"/>
              </w:rPr>
            </w:pPr>
          </w:p>
        </w:tc>
        <w:tc>
          <w:tcPr>
            <w:tcW w:w="24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Automotive Products</w:t>
            </w:r>
          </w:p>
        </w:tc>
        <w:tc>
          <w:tcPr>
            <w:tcW w:w="24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$ 89,252,971</w:t>
            </w:r>
          </w:p>
        </w:tc>
        <w:tc>
          <w:tcPr>
            <w:tcW w:w="23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$ 69,887,416</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$ 50,904,641</w:t>
            </w: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Fire Protection Products</w:t>
            </w:r>
          </w:p>
        </w:tc>
        <w:tc>
          <w:tcPr>
            <w:tcW w:w="880" w:type="dxa"/>
            <w:vAlign w:val="bottom"/>
          </w:tcPr>
          <w:p>
            <w:pPr>
              <w:spacing w:after="0"/>
              <w:rPr>
                <w:sz w:val="14"/>
                <w:szCs w:val="14"/>
                <w:color w:val="auto"/>
              </w:rPr>
            </w:pP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3,864,138</w:t>
            </w:r>
          </w:p>
        </w:tc>
        <w:tc>
          <w:tcPr>
            <w:tcW w:w="740" w:type="dxa"/>
            <w:vAlign w:val="bottom"/>
          </w:tcPr>
          <w:p>
            <w:pPr>
              <w:spacing w:after="0"/>
              <w:rPr>
                <w:sz w:val="14"/>
                <w:szCs w:val="14"/>
                <w:color w:val="auto"/>
              </w:rPr>
            </w:pP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4,670,554</w:t>
            </w:r>
          </w:p>
        </w:tc>
        <w:tc>
          <w:tcPr>
            <w:tcW w:w="7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3,960,633</w:t>
            </w: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w:t>
            </w:r>
          </w:p>
        </w:tc>
        <w:tc>
          <w:tcPr>
            <w:tcW w:w="880" w:type="dxa"/>
            <w:vAlign w:val="bottom"/>
          </w:tcPr>
          <w:p>
            <w:pPr>
              <w:spacing w:after="0"/>
              <w:rPr>
                <w:sz w:val="14"/>
                <w:szCs w:val="14"/>
                <w:color w:val="auto"/>
              </w:rPr>
            </w:pP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161,772,449</w:t>
            </w:r>
          </w:p>
        </w:tc>
        <w:tc>
          <w:tcPr>
            <w:tcW w:w="740" w:type="dxa"/>
            <w:vAlign w:val="bottom"/>
          </w:tcPr>
          <w:p>
            <w:pPr>
              <w:spacing w:after="0"/>
              <w:rPr>
                <w:sz w:val="14"/>
                <w:szCs w:val="14"/>
                <w:color w:val="auto"/>
              </w:rPr>
            </w:pP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4"/>
              </w:rPr>
              <w:t>115,224,877</w:t>
            </w:r>
          </w:p>
        </w:tc>
        <w:tc>
          <w:tcPr>
            <w:tcW w:w="7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85,513,146</w:t>
            </w:r>
          </w:p>
        </w:tc>
      </w:tr>
      <w:tr>
        <w:trPr>
          <w:trHeight w:val="168"/>
        </w:trPr>
        <w:tc>
          <w:tcPr>
            <w:tcW w:w="3160" w:type="dxa"/>
            <w:vAlign w:val="bottom"/>
          </w:tcPr>
          <w:p>
            <w:pPr>
              <w:spacing w:after="0"/>
              <w:rPr>
                <w:sz w:val="14"/>
                <w:szCs w:val="14"/>
                <w:color w:val="auto"/>
              </w:rPr>
            </w:pPr>
          </w:p>
        </w:tc>
        <w:tc>
          <w:tcPr>
            <w:tcW w:w="24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w:t>
            </w:r>
          </w:p>
        </w:tc>
        <w:tc>
          <w:tcPr>
            <w:tcW w:w="24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$254,889,558</w:t>
            </w:r>
          </w:p>
        </w:tc>
        <w:tc>
          <w:tcPr>
            <w:tcW w:w="23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$189,782,847</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$140,378,420</w:t>
            </w:r>
          </w:p>
        </w:tc>
      </w:tr>
      <w:tr>
        <w:trPr>
          <w:trHeight w:val="168"/>
        </w:trPr>
        <w:tc>
          <w:tcPr>
            <w:tcW w:w="3160" w:type="dxa"/>
            <w:vAlign w:val="bottom"/>
          </w:tcPr>
          <w:p>
            <w:pPr>
              <w:spacing w:after="0"/>
              <w:rPr>
                <w:sz w:val="14"/>
                <w:szCs w:val="14"/>
                <w:color w:val="auto"/>
              </w:rPr>
            </w:pPr>
          </w:p>
        </w:tc>
        <w:tc>
          <w:tcPr>
            <w:tcW w:w="24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Depreciation &amp; Amortization:</w:t>
            </w: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Automotive Products</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6,658,551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5,811,705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3,399,922</w:t>
            </w: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Fire Protection Products</w:t>
            </w:r>
          </w:p>
        </w:tc>
        <w:tc>
          <w:tcPr>
            <w:tcW w:w="880" w:type="dxa"/>
            <w:vAlign w:val="bottom"/>
          </w:tcPr>
          <w:p>
            <w:pPr>
              <w:spacing w:after="0"/>
              <w:rPr>
                <w:sz w:val="14"/>
                <w:szCs w:val="14"/>
                <w:color w:val="auto"/>
              </w:rPr>
            </w:pP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314,522</w:t>
            </w:r>
          </w:p>
        </w:tc>
        <w:tc>
          <w:tcPr>
            <w:tcW w:w="740" w:type="dxa"/>
            <w:vAlign w:val="bottom"/>
          </w:tcPr>
          <w:p>
            <w:pPr>
              <w:spacing w:after="0"/>
              <w:rPr>
                <w:sz w:val="14"/>
                <w:szCs w:val="14"/>
                <w:color w:val="auto"/>
              </w:rPr>
            </w:pP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296,601</w:t>
            </w:r>
          </w:p>
        </w:tc>
        <w:tc>
          <w:tcPr>
            <w:tcW w:w="7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261,529</w:t>
            </w: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w:t>
            </w:r>
          </w:p>
        </w:tc>
        <w:tc>
          <w:tcPr>
            <w:tcW w:w="880" w:type="dxa"/>
            <w:vAlign w:val="bottom"/>
          </w:tcPr>
          <w:p>
            <w:pPr>
              <w:spacing w:after="0"/>
              <w:rPr>
                <w:sz w:val="14"/>
                <w:szCs w:val="14"/>
                <w:color w:val="auto"/>
              </w:rPr>
            </w:pP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549,448</w:t>
            </w:r>
          </w:p>
        </w:tc>
        <w:tc>
          <w:tcPr>
            <w:tcW w:w="740" w:type="dxa"/>
            <w:vAlign w:val="bottom"/>
          </w:tcPr>
          <w:p>
            <w:pPr>
              <w:spacing w:after="0"/>
              <w:rPr>
                <w:sz w:val="14"/>
                <w:szCs w:val="14"/>
                <w:color w:val="auto"/>
              </w:rPr>
            </w:pP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310,006</w:t>
            </w:r>
          </w:p>
        </w:tc>
        <w:tc>
          <w:tcPr>
            <w:tcW w:w="7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257,064</w:t>
            </w:r>
          </w:p>
        </w:tc>
      </w:tr>
      <w:tr>
        <w:trPr>
          <w:trHeight w:val="168"/>
        </w:trPr>
        <w:tc>
          <w:tcPr>
            <w:tcW w:w="3160" w:type="dxa"/>
            <w:vAlign w:val="bottom"/>
          </w:tcPr>
          <w:p>
            <w:pPr>
              <w:spacing w:after="0"/>
              <w:rPr>
                <w:sz w:val="14"/>
                <w:szCs w:val="14"/>
                <w:color w:val="auto"/>
              </w:rPr>
            </w:pPr>
          </w:p>
        </w:tc>
        <w:tc>
          <w:tcPr>
            <w:tcW w:w="24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7,522,521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6,418,312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3,918,515</w:t>
            </w:r>
          </w:p>
        </w:tc>
      </w:tr>
      <w:tr>
        <w:trPr>
          <w:trHeight w:val="168"/>
        </w:trPr>
        <w:tc>
          <w:tcPr>
            <w:tcW w:w="3160" w:type="dxa"/>
            <w:vAlign w:val="bottom"/>
          </w:tcPr>
          <w:p>
            <w:pPr>
              <w:spacing w:after="0"/>
              <w:rPr>
                <w:sz w:val="14"/>
                <w:szCs w:val="14"/>
                <w:color w:val="auto"/>
              </w:rPr>
            </w:pPr>
          </w:p>
        </w:tc>
        <w:tc>
          <w:tcPr>
            <w:tcW w:w="24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Automotive Products</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19,595,844</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15,419,468</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16,060,728</w:t>
            </w: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Fire Protection Products</w:t>
            </w:r>
          </w:p>
        </w:tc>
        <w:tc>
          <w:tcPr>
            <w:tcW w:w="880" w:type="dxa"/>
            <w:vAlign w:val="bottom"/>
          </w:tcPr>
          <w:p>
            <w:pPr>
              <w:spacing w:after="0"/>
              <w:rPr>
                <w:sz w:val="14"/>
                <w:szCs w:val="14"/>
                <w:color w:val="auto"/>
              </w:rPr>
            </w:pP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209,867</w:t>
            </w:r>
          </w:p>
        </w:tc>
        <w:tc>
          <w:tcPr>
            <w:tcW w:w="740" w:type="dxa"/>
            <w:vAlign w:val="bottom"/>
          </w:tcPr>
          <w:p>
            <w:pPr>
              <w:spacing w:after="0"/>
              <w:rPr>
                <w:sz w:val="14"/>
                <w:szCs w:val="14"/>
                <w:color w:val="auto"/>
              </w:rPr>
            </w:pP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443,354</w:t>
            </w:r>
          </w:p>
        </w:tc>
        <w:tc>
          <w:tcPr>
            <w:tcW w:w="7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308,964</w:t>
            </w: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w:t>
            </w:r>
          </w:p>
        </w:tc>
        <w:tc>
          <w:tcPr>
            <w:tcW w:w="880" w:type="dxa"/>
            <w:vAlign w:val="bottom"/>
          </w:tcPr>
          <w:p>
            <w:pPr>
              <w:spacing w:after="0"/>
              <w:rPr>
                <w:sz w:val="14"/>
                <w:szCs w:val="14"/>
                <w:color w:val="auto"/>
              </w:rPr>
            </w:pP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4,790,513</w:t>
            </w:r>
          </w:p>
        </w:tc>
        <w:tc>
          <w:tcPr>
            <w:tcW w:w="740" w:type="dxa"/>
            <w:vAlign w:val="bottom"/>
          </w:tcPr>
          <w:p>
            <w:pPr>
              <w:spacing w:after="0"/>
              <w:rPr>
                <w:sz w:val="14"/>
                <w:szCs w:val="14"/>
                <w:color w:val="auto"/>
              </w:rPr>
            </w:pP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520,267</w:t>
            </w:r>
          </w:p>
        </w:tc>
        <w:tc>
          <w:tcPr>
            <w:tcW w:w="7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54,666</w:t>
            </w:r>
          </w:p>
        </w:tc>
      </w:tr>
      <w:tr>
        <w:trPr>
          <w:trHeight w:val="168"/>
        </w:trPr>
        <w:tc>
          <w:tcPr>
            <w:tcW w:w="3160" w:type="dxa"/>
            <w:vAlign w:val="bottom"/>
          </w:tcPr>
          <w:p>
            <w:pPr>
              <w:spacing w:after="0"/>
              <w:rPr>
                <w:sz w:val="14"/>
                <w:szCs w:val="14"/>
                <w:color w:val="auto"/>
              </w:rPr>
            </w:pPr>
          </w:p>
        </w:tc>
        <w:tc>
          <w:tcPr>
            <w:tcW w:w="24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w:t>
            </w:r>
          </w:p>
        </w:tc>
        <w:tc>
          <w:tcPr>
            <w:tcW w:w="24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$ 24,596,224</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16,383,089</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16,424,358</w:t>
            </w:r>
          </w:p>
        </w:tc>
      </w:tr>
      <w:tr>
        <w:trPr>
          <w:trHeight w:val="168"/>
        </w:trPr>
        <w:tc>
          <w:tcPr>
            <w:tcW w:w="3160" w:type="dxa"/>
            <w:vAlign w:val="bottom"/>
          </w:tcPr>
          <w:p>
            <w:pPr>
              <w:spacing w:after="0"/>
              <w:rPr>
                <w:sz w:val="14"/>
                <w:szCs w:val="14"/>
                <w:color w:val="auto"/>
              </w:rPr>
            </w:pPr>
          </w:p>
        </w:tc>
        <w:tc>
          <w:tcPr>
            <w:tcW w:w="24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00" w:right="3319" w:hanging="261"/>
        <w:spacing w:after="0" w:line="234" w:lineRule="auto"/>
        <w:rPr>
          <w:sz w:val="20"/>
          <w:szCs w:val="20"/>
          <w:color w:val="auto"/>
        </w:rPr>
      </w:pPr>
      <w:r>
        <w:rPr>
          <w:rFonts w:ascii="Courier New" w:cs="Courier New" w:eastAsia="Courier New" w:hAnsi="Courier New"/>
          <w:sz w:val="15"/>
          <w:szCs w:val="15"/>
          <w:color w:val="auto"/>
        </w:rPr>
        <w:t>Other assets are principally cash, investments, deferred income taxes, and corporate fixed assets.</w:t>
      </w:r>
    </w:p>
    <w:p>
      <w:pPr>
        <w:spacing w:after="0" w:line="173" w:lineRule="exact"/>
        <w:rPr>
          <w:sz w:val="20"/>
          <w:szCs w:val="20"/>
          <w:color w:val="auto"/>
        </w:rPr>
      </w:pPr>
    </w:p>
    <w:p>
      <w:pPr>
        <w:ind w:left="700" w:right="3399" w:hanging="261"/>
        <w:spacing w:after="0" w:line="235" w:lineRule="auto"/>
        <w:rPr>
          <w:sz w:val="20"/>
          <w:szCs w:val="20"/>
          <w:color w:val="auto"/>
        </w:rPr>
      </w:pPr>
      <w:r>
        <w:rPr>
          <w:rFonts w:ascii="Courier New" w:cs="Courier New" w:eastAsia="Courier New" w:hAnsi="Courier New"/>
          <w:sz w:val="15"/>
          <w:szCs w:val="15"/>
          <w:color w:val="auto"/>
        </w:rPr>
        <w:t>Automotive Products revenues in the "Other" category are sales to U.S. automotive manufacturing plants in Canada, Mexico and other foreign automotive customers. All non-U.S. sales are invoiced and paid in U.S. dollars.</w:t>
      </w:r>
    </w:p>
    <w:p>
      <w:pPr>
        <w:spacing w:after="0" w:line="175" w:lineRule="exact"/>
        <w:rPr>
          <w:sz w:val="20"/>
          <w:szCs w:val="20"/>
          <w:color w:val="auto"/>
        </w:rPr>
      </w:pPr>
    </w:p>
    <w:p>
      <w:pPr>
        <w:ind w:left="700" w:right="3499" w:hanging="261"/>
        <w:spacing w:after="0" w:line="261" w:lineRule="auto"/>
        <w:rPr>
          <w:sz w:val="20"/>
          <w:szCs w:val="20"/>
          <w:color w:val="auto"/>
        </w:rPr>
      </w:pPr>
      <w:r>
        <w:rPr>
          <w:rFonts w:ascii="Courier New" w:cs="Courier New" w:eastAsia="Courier New" w:hAnsi="Courier New"/>
          <w:sz w:val="14"/>
          <w:szCs w:val="14"/>
          <w:color w:val="auto"/>
        </w:rPr>
        <w:t>During the years presented, the Company had three automotive customers which individually accounted for 10% or more of net sales as follows: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220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80" w:type="dxa"/>
            <w:vAlign w:val="bottom"/>
          </w:tcPr>
          <w:p>
            <w:pPr>
              <w:ind w:left="480"/>
              <w:spacing w:after="0"/>
              <w:rPr>
                <w:sz w:val="20"/>
                <w:szCs w:val="20"/>
                <w:color w:val="auto"/>
              </w:rPr>
            </w:pPr>
            <w:r>
              <w:rPr>
                <w:rFonts w:ascii="Courier New" w:cs="Courier New" w:eastAsia="Courier New" w:hAnsi="Courier New"/>
                <w:sz w:val="15"/>
                <w:szCs w:val="15"/>
                <w:color w:val="auto"/>
              </w:rPr>
              <w:t>Customer</w:t>
            </w:r>
          </w:p>
        </w:tc>
        <w:tc>
          <w:tcPr>
            <w:tcW w:w="880" w:type="dxa"/>
            <w:vAlign w:val="bottom"/>
          </w:tcPr>
          <w:p>
            <w:pPr>
              <w:spacing w:after="0"/>
              <w:rPr>
                <w:sz w:val="14"/>
                <w:szCs w:val="14"/>
                <w:color w:val="auto"/>
              </w:rPr>
            </w:pPr>
          </w:p>
        </w:tc>
      </w:tr>
      <w:tr>
        <w:trPr>
          <w:trHeight w:val="168"/>
        </w:trPr>
        <w:tc>
          <w:tcPr>
            <w:tcW w:w="960" w:type="dxa"/>
            <w:vAlign w:val="bottom"/>
          </w:tcPr>
          <w:p>
            <w:pPr>
              <w:spacing w:after="0"/>
              <w:rPr>
                <w:sz w:val="14"/>
                <w:szCs w:val="14"/>
                <w:color w:val="auto"/>
              </w:rPr>
            </w:pPr>
          </w:p>
        </w:tc>
        <w:tc>
          <w:tcPr>
            <w:tcW w:w="402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spacing w:after="0"/>
              <w:rPr>
                <w:sz w:val="14"/>
                <w:szCs w:val="14"/>
                <w:color w:val="auto"/>
              </w:rPr>
            </w:pPr>
          </w:p>
        </w:tc>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w:t>
            </w:r>
          </w:p>
        </w:tc>
        <w:tc>
          <w:tcPr>
            <w:tcW w:w="178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960" w:type="dxa"/>
            <w:vAlign w:val="bottom"/>
          </w:tcPr>
          <w:p>
            <w:pPr>
              <w:spacing w:after="0"/>
              <w:rPr>
                <w:sz w:val="14"/>
                <w:szCs w:val="14"/>
                <w:color w:val="auto"/>
              </w:rPr>
            </w:pPr>
          </w:p>
        </w:tc>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1998</w:t>
            </w:r>
          </w:p>
        </w:tc>
        <w:tc>
          <w:tcPr>
            <w:tcW w:w="1360" w:type="dxa"/>
            <w:vAlign w:val="bottom"/>
          </w:tcPr>
          <w:p>
            <w:pPr>
              <w:ind w:left="620"/>
              <w:spacing w:after="0"/>
              <w:rPr>
                <w:sz w:val="20"/>
                <w:szCs w:val="20"/>
                <w:color w:val="auto"/>
              </w:rPr>
            </w:pPr>
            <w:r>
              <w:rPr>
                <w:rFonts w:ascii="Courier New" w:cs="Courier New" w:eastAsia="Courier New" w:hAnsi="Courier New"/>
                <w:sz w:val="15"/>
                <w:szCs w:val="15"/>
                <w:color w:val="auto"/>
              </w:rPr>
              <w:t>43%</w:t>
            </w:r>
          </w:p>
        </w:tc>
        <w:tc>
          <w:tcPr>
            <w:tcW w:w="1780" w:type="dxa"/>
            <w:vAlign w:val="bottom"/>
          </w:tcPr>
          <w:p>
            <w:pPr>
              <w:ind w:left="820"/>
              <w:spacing w:after="0"/>
              <w:rPr>
                <w:sz w:val="20"/>
                <w:szCs w:val="20"/>
                <w:color w:val="auto"/>
              </w:rPr>
            </w:pPr>
            <w:r>
              <w:rPr>
                <w:rFonts w:ascii="Courier New" w:cs="Courier New" w:eastAsia="Courier New" w:hAnsi="Courier New"/>
                <w:sz w:val="15"/>
                <w:szCs w:val="15"/>
                <w:color w:val="auto"/>
              </w:rPr>
              <w:t>25%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68"/>
        </w:trPr>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88"/>
              </w:rPr>
              <w:t>1997</w:t>
            </w:r>
          </w:p>
        </w:tc>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43%</w:t>
            </w:r>
          </w:p>
        </w:tc>
        <w:tc>
          <w:tcPr>
            <w:tcW w:w="178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25%</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88"/>
              </w:rPr>
              <w:t>1996</w:t>
            </w:r>
          </w:p>
        </w:tc>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43%</w:t>
            </w:r>
          </w:p>
        </w:tc>
        <w:tc>
          <w:tcPr>
            <w:tcW w:w="178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23%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*Less than 10%</w:t>
      </w:r>
    </w:p>
    <w:p>
      <w:pPr>
        <w:sectPr>
          <w:pgSz w:w="11900" w:h="16838" w:orient="portrait"/>
          <w:cols w:equalWidth="0" w:num="1">
            <w:col w:w="10239"/>
          </w:cols>
          <w:pgMar w:left="220" w:top="281" w:right="1440" w:bottom="10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281" w:right="1440" w:bottom="1026"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170"/>
        </w:trPr>
        <w:tc>
          <w:tcPr>
            <w:tcW w:w="1280" w:type="dxa"/>
            <w:vAlign w:val="bottom"/>
          </w:tcPr>
          <w:p>
            <w:pPr>
              <w:ind w:left="280"/>
              <w:spacing w:after="0"/>
              <w:rPr>
                <w:sz w:val="20"/>
                <w:szCs w:val="20"/>
                <w:color w:val="auto"/>
              </w:rPr>
            </w:pPr>
            <w:r>
              <w:rPr>
                <w:rFonts w:ascii="Courier New" w:cs="Courier New" w:eastAsia="Courier New" w:hAnsi="Courier New"/>
                <w:sz w:val="15"/>
                <w:szCs w:val="15"/>
                <w:color w:val="auto"/>
              </w:rPr>
              <w:t>31</w:t>
            </w:r>
          </w:p>
        </w:tc>
        <w:tc>
          <w:tcPr>
            <w:tcW w:w="60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505"/>
        </w:trPr>
        <w:tc>
          <w:tcPr>
            <w:tcW w:w="1280" w:type="dxa"/>
            <w:vAlign w:val="bottom"/>
          </w:tcPr>
          <w:p>
            <w:pPr>
              <w:spacing w:after="0"/>
              <w:rPr>
                <w:sz w:val="24"/>
                <w:szCs w:val="24"/>
                <w:color w:val="auto"/>
              </w:rPr>
            </w:pPr>
          </w:p>
        </w:tc>
        <w:tc>
          <w:tcPr>
            <w:tcW w:w="6040" w:type="dxa"/>
            <w:vAlign w:val="bottom"/>
          </w:tcPr>
          <w:p>
            <w:pPr>
              <w:jc w:val="right"/>
              <w:ind w:right="3127"/>
              <w:spacing w:after="0"/>
              <w:rPr>
                <w:sz w:val="20"/>
                <w:szCs w:val="20"/>
                <w:color w:val="auto"/>
              </w:rPr>
            </w:pPr>
            <w:r>
              <w:rPr>
                <w:rFonts w:ascii="Courier New" w:cs="Courier New" w:eastAsia="Courier New" w:hAnsi="Courier New"/>
                <w:sz w:val="15"/>
                <w:szCs w:val="15"/>
                <w:color w:val="auto"/>
              </w:rPr>
              <w:t>EXHIBIT INDEX</w:t>
            </w:r>
          </w:p>
        </w:tc>
        <w:tc>
          <w:tcPr>
            <w:tcW w:w="820" w:type="dxa"/>
            <w:vAlign w:val="bottom"/>
          </w:tcPr>
          <w:p>
            <w:pPr>
              <w:spacing w:after="0"/>
              <w:rPr>
                <w:sz w:val="24"/>
                <w:szCs w:val="24"/>
                <w:color w:val="auto"/>
              </w:rPr>
            </w:pPr>
          </w:p>
        </w:tc>
      </w:tr>
      <w:tr>
        <w:trPr>
          <w:trHeight w:val="673"/>
        </w:trPr>
        <w:tc>
          <w:tcPr>
            <w:tcW w:w="128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6040" w:type="dxa"/>
            <w:vAlign w:val="bottom"/>
          </w:tcPr>
          <w:p>
            <w:pPr>
              <w:jc w:val="right"/>
              <w:ind w:right="3127"/>
              <w:spacing w:after="0"/>
              <w:rPr>
                <w:sz w:val="20"/>
                <w:szCs w:val="20"/>
                <w:color w:val="auto"/>
              </w:rPr>
            </w:pPr>
            <w:r>
              <w:rPr>
                <w:rFonts w:ascii="Courier New" w:cs="Courier New" w:eastAsia="Courier New" w:hAnsi="Courier New"/>
                <w:sz w:val="15"/>
                <w:szCs w:val="15"/>
                <w:color w:val="auto"/>
              </w:rPr>
              <w:t>DESCRIPTION</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6040" w:type="dxa"/>
            <w:vAlign w:val="bottom"/>
          </w:tcPr>
          <w:p>
            <w:pPr>
              <w:ind w:left="206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280" w:type="dxa"/>
            <w:vAlign w:val="bottom"/>
          </w:tcPr>
          <w:p>
            <w:pPr>
              <w:spacing w:after="0"/>
              <w:rPr>
                <w:sz w:val="20"/>
                <w:szCs w:val="20"/>
                <w:color w:val="auto"/>
              </w:rPr>
            </w:pPr>
            <w:r>
              <w:rPr>
                <w:rFonts w:ascii="Courier New" w:cs="Courier New" w:eastAsia="Courier New" w:hAnsi="Courier New"/>
                <w:sz w:val="15"/>
                <w:szCs w:val="15"/>
                <w:color w:val="auto"/>
              </w:rPr>
              <w:t>3(a)(1)</w:t>
            </w:r>
          </w:p>
        </w:tc>
        <w:tc>
          <w:tcPr>
            <w:tcW w:w="6040" w:type="dxa"/>
            <w:vAlign w:val="bottom"/>
          </w:tcPr>
          <w:p>
            <w:pPr>
              <w:ind w:left="120"/>
              <w:spacing w:after="0"/>
              <w:rPr>
                <w:sz w:val="20"/>
                <w:szCs w:val="20"/>
                <w:color w:val="auto"/>
              </w:rPr>
            </w:pPr>
            <w:r>
              <w:rPr>
                <w:rFonts w:ascii="Courier New" w:cs="Courier New" w:eastAsia="Courier New" w:hAnsi="Courier New"/>
                <w:sz w:val="15"/>
                <w:szCs w:val="15"/>
                <w:color w:val="auto"/>
              </w:rPr>
              <w:t>Registrant's Articles of Incorporation were filed in 1981 as</w:t>
            </w:r>
          </w:p>
        </w:tc>
        <w:tc>
          <w:tcPr>
            <w:tcW w:w="82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Exhibit 2(a) to a Registration Statement on Form S-18</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(Registration No. 2-74226C), an Amendment to those Articles was</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filed as Exhibit 3 to Registrant's Report on Form 10-Q in August</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of 1985, an additional Amendment to those Articles was filed as</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Exhibit 3(a)(i) to Registrant's Report on Form 10-Q in August of</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1987, and an additional Amendment to those Articles was filed as</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Exhibit 3(a)(2) to Registrant's Report on Form 10-K dated March</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10, 1992, and an additional Amendment to those Articles was</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filed as Exhibit 3(a)(2) to Registrant's Report on Form 10-Q</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dated July 31, 1996, all of which are hereby incorporated herein</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by reference.</w:t>
            </w:r>
          </w:p>
        </w:tc>
        <w:tc>
          <w:tcPr>
            <w:tcW w:w="82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3(a)(2)</w:t>
            </w:r>
          </w:p>
        </w:tc>
        <w:tc>
          <w:tcPr>
            <w:tcW w:w="6040" w:type="dxa"/>
            <w:vAlign w:val="bottom"/>
          </w:tcPr>
          <w:p>
            <w:pPr>
              <w:ind w:left="120"/>
              <w:spacing w:after="0"/>
              <w:rPr>
                <w:sz w:val="20"/>
                <w:szCs w:val="20"/>
                <w:color w:val="auto"/>
              </w:rPr>
            </w:pPr>
            <w:r>
              <w:rPr>
                <w:rFonts w:ascii="Courier New" w:cs="Courier New" w:eastAsia="Courier New" w:hAnsi="Courier New"/>
                <w:sz w:val="15"/>
                <w:szCs w:val="15"/>
                <w:color w:val="auto"/>
              </w:rPr>
              <w:t>Amendment to Articles of Incorporation, adopted on May 21, 1998,</w:t>
            </w:r>
          </w:p>
        </w:tc>
        <w:tc>
          <w:tcPr>
            <w:tcW w:w="82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was filed as Exhibit 3(a)(2) to Registrant's Report on Form 10-Q</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dated July 30, 1998, and the same is hereby incorporated herein</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by reference.</w:t>
            </w:r>
          </w:p>
        </w:tc>
        <w:tc>
          <w:tcPr>
            <w:tcW w:w="82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3(b)(1)</w:t>
            </w:r>
          </w:p>
        </w:tc>
        <w:tc>
          <w:tcPr>
            <w:tcW w:w="6040" w:type="dxa"/>
            <w:vAlign w:val="bottom"/>
          </w:tcPr>
          <w:p>
            <w:pPr>
              <w:ind w:left="120"/>
              <w:spacing w:after="0"/>
              <w:rPr>
                <w:sz w:val="20"/>
                <w:szCs w:val="20"/>
                <w:color w:val="auto"/>
              </w:rPr>
            </w:pPr>
            <w:r>
              <w:rPr>
                <w:rFonts w:ascii="Courier New" w:cs="Courier New" w:eastAsia="Courier New" w:hAnsi="Courier New"/>
                <w:sz w:val="15"/>
                <w:szCs w:val="15"/>
                <w:color w:val="auto"/>
              </w:rPr>
              <w:t>Registrant's Bylaws as amended and restated August 18, 1995,</w:t>
            </w:r>
          </w:p>
        </w:tc>
        <w:tc>
          <w:tcPr>
            <w:tcW w:w="82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were filed as Exhibit 3(b) to Registrant's Report on Form 10-Q</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dated November 1, 1995, and the same is hereby incorporated</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herein by reference.</w:t>
            </w:r>
          </w:p>
        </w:tc>
        <w:tc>
          <w:tcPr>
            <w:tcW w:w="82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3(b)(2)</w:t>
            </w:r>
          </w:p>
        </w:tc>
        <w:tc>
          <w:tcPr>
            <w:tcW w:w="6040" w:type="dxa"/>
            <w:vAlign w:val="bottom"/>
          </w:tcPr>
          <w:p>
            <w:pPr>
              <w:ind w:left="120"/>
              <w:spacing w:after="0"/>
              <w:rPr>
                <w:sz w:val="20"/>
                <w:szCs w:val="20"/>
                <w:color w:val="auto"/>
              </w:rPr>
            </w:pPr>
            <w:r>
              <w:rPr>
                <w:rFonts w:ascii="Courier New" w:cs="Courier New" w:eastAsia="Courier New" w:hAnsi="Courier New"/>
                <w:sz w:val="15"/>
                <w:szCs w:val="15"/>
                <w:color w:val="auto"/>
              </w:rPr>
              <w:t>First Amendment to Bylaws, adopted on August 25, 1997, was filed</w:t>
            </w:r>
          </w:p>
        </w:tc>
        <w:tc>
          <w:tcPr>
            <w:tcW w:w="82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as Exhibit 3(c) to Registrant's Report on Form 10-Q dated</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October 31, 1997, and the same is hereby incorporated herein by</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reference.</w:t>
            </w:r>
          </w:p>
        </w:tc>
        <w:tc>
          <w:tcPr>
            <w:tcW w:w="82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4(a)</w:t>
            </w:r>
          </w:p>
        </w:tc>
        <w:tc>
          <w:tcPr>
            <w:tcW w:w="6040" w:type="dxa"/>
            <w:vAlign w:val="bottom"/>
          </w:tcPr>
          <w:p>
            <w:pPr>
              <w:ind w:left="120"/>
              <w:spacing w:after="0"/>
              <w:rPr>
                <w:sz w:val="20"/>
                <w:szCs w:val="20"/>
                <w:color w:val="auto"/>
              </w:rPr>
            </w:pPr>
            <w:r>
              <w:rPr>
                <w:rFonts w:ascii="Courier New" w:cs="Courier New" w:eastAsia="Courier New" w:hAnsi="Courier New"/>
                <w:sz w:val="15"/>
                <w:szCs w:val="15"/>
                <w:color w:val="auto"/>
              </w:rPr>
              <w:t>A specimen form of certificate for the Registrant's common</w:t>
            </w:r>
          </w:p>
        </w:tc>
        <w:tc>
          <w:tcPr>
            <w:tcW w:w="82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stock, par value $.06 per share, was filed as part of a</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Registration Statement (Registration Number 2-74226C) as Exhibit</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3(a), as amended by Amendment No. 3 to such Registration</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Statement, and the same is hereby incorporated herein by</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reference.</w:t>
            </w:r>
          </w:p>
        </w:tc>
        <w:tc>
          <w:tcPr>
            <w:tcW w:w="82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4(b)</w:t>
            </w:r>
          </w:p>
        </w:tc>
        <w:tc>
          <w:tcPr>
            <w:tcW w:w="6040" w:type="dxa"/>
            <w:vAlign w:val="bottom"/>
          </w:tcPr>
          <w:p>
            <w:pPr>
              <w:ind w:left="120"/>
              <w:spacing w:after="0"/>
              <w:rPr>
                <w:sz w:val="20"/>
                <w:szCs w:val="20"/>
                <w:color w:val="auto"/>
              </w:rPr>
            </w:pPr>
            <w:r>
              <w:rPr>
                <w:rFonts w:ascii="Courier New" w:cs="Courier New" w:eastAsia="Courier New" w:hAnsi="Courier New"/>
                <w:sz w:val="15"/>
                <w:szCs w:val="15"/>
                <w:color w:val="auto"/>
              </w:rPr>
              <w:t>Shareholder Protection Rights Agreement, dated as of August 26,</w:t>
            </w:r>
          </w:p>
        </w:tc>
        <w:tc>
          <w:tcPr>
            <w:tcW w:w="82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1991, including as Exhibit A the form of Certificate of Adoption</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of Resolution Establishing Series of Shares of Junior</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Participating Preferred Stock of the Company, and as Exhibit B</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the form of Rights Certificate and of Election to Exercise, was</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filed as Exhibit 4(b) to Registrant's Report on Form 8-K on</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August 1991, and the same is hereby incorporated herein by</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reference.</w:t>
            </w:r>
          </w:p>
        </w:tc>
        <w:tc>
          <w:tcPr>
            <w:tcW w:w="82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4(b)(1)</w:t>
            </w:r>
          </w:p>
        </w:tc>
        <w:tc>
          <w:tcPr>
            <w:tcW w:w="6040" w:type="dxa"/>
            <w:vAlign w:val="bottom"/>
          </w:tcPr>
          <w:p>
            <w:pPr>
              <w:ind w:left="120"/>
              <w:spacing w:after="0"/>
              <w:rPr>
                <w:sz w:val="20"/>
                <w:szCs w:val="20"/>
                <w:color w:val="auto"/>
              </w:rPr>
            </w:pPr>
            <w:r>
              <w:rPr>
                <w:rFonts w:ascii="Courier New" w:cs="Courier New" w:eastAsia="Courier New" w:hAnsi="Courier New"/>
                <w:sz w:val="15"/>
                <w:szCs w:val="15"/>
                <w:color w:val="auto"/>
              </w:rPr>
              <w:t>First Amendment to Shareholder Protection Rights Agreement,</w:t>
            </w:r>
          </w:p>
        </w:tc>
        <w:tc>
          <w:tcPr>
            <w:tcW w:w="82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effective April 1, 1994, was filed as Exhibit 4(b)(1) to</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Registrant's Report on Form 10-Q dated April 29, 1994, and the</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same is hereby incorporated herein by reference.</w:t>
            </w:r>
          </w:p>
        </w:tc>
        <w:tc>
          <w:tcPr>
            <w:tcW w:w="82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4(b)(2)</w:t>
            </w:r>
          </w:p>
        </w:tc>
        <w:tc>
          <w:tcPr>
            <w:tcW w:w="6040" w:type="dxa"/>
            <w:vAlign w:val="bottom"/>
          </w:tcPr>
          <w:p>
            <w:pPr>
              <w:ind w:left="120"/>
              <w:spacing w:after="0"/>
              <w:rPr>
                <w:sz w:val="20"/>
                <w:szCs w:val="20"/>
                <w:color w:val="auto"/>
              </w:rPr>
            </w:pPr>
            <w:r>
              <w:rPr>
                <w:rFonts w:ascii="Courier New" w:cs="Courier New" w:eastAsia="Courier New" w:hAnsi="Courier New"/>
                <w:sz w:val="15"/>
                <w:szCs w:val="15"/>
                <w:color w:val="auto"/>
              </w:rPr>
              <w:t>Second Amendment to Shareholder Protection Rights Agreement,</w:t>
            </w:r>
          </w:p>
        </w:tc>
        <w:tc>
          <w:tcPr>
            <w:tcW w:w="82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effective November 8, 1996, was filed as Exhibit 4(b)(2) to</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Registrant's Report on Form 10-K dated March 7, 1997, and the</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same is hereby incorporated herein by reference.</w:t>
            </w:r>
          </w:p>
        </w:tc>
        <w:tc>
          <w:tcPr>
            <w:tcW w:w="82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10(a)(1)</w:t>
            </w:r>
          </w:p>
        </w:tc>
        <w:tc>
          <w:tcPr>
            <w:tcW w:w="6040" w:type="dxa"/>
            <w:vAlign w:val="bottom"/>
          </w:tcPr>
          <w:p>
            <w:pPr>
              <w:ind w:left="120"/>
              <w:spacing w:after="0"/>
              <w:rPr>
                <w:sz w:val="20"/>
                <w:szCs w:val="20"/>
                <w:color w:val="auto"/>
              </w:rPr>
            </w:pPr>
            <w:r>
              <w:rPr>
                <w:rFonts w:ascii="Courier New" w:cs="Courier New" w:eastAsia="Courier New" w:hAnsi="Courier New"/>
                <w:sz w:val="15"/>
                <w:szCs w:val="15"/>
                <w:color w:val="auto"/>
              </w:rPr>
              <w:t>A Lease, dated August 15, 1981, was filed as part of a</w:t>
            </w:r>
          </w:p>
        </w:tc>
        <w:tc>
          <w:tcPr>
            <w:tcW w:w="82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Registration Statement (Registration Number 2-74226C) as Exhibit</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9(a)(1), and the same is hereby incorporated herein by</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reference.</w:t>
            </w:r>
          </w:p>
        </w:tc>
        <w:tc>
          <w:tcPr>
            <w:tcW w:w="82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10(a)(2)</w:t>
            </w:r>
          </w:p>
        </w:tc>
        <w:tc>
          <w:tcPr>
            <w:tcW w:w="6040" w:type="dxa"/>
            <w:vAlign w:val="bottom"/>
          </w:tcPr>
          <w:p>
            <w:pPr>
              <w:ind w:left="120"/>
              <w:spacing w:after="0"/>
              <w:rPr>
                <w:sz w:val="20"/>
                <w:szCs w:val="20"/>
                <w:color w:val="auto"/>
              </w:rPr>
            </w:pPr>
            <w:r>
              <w:rPr>
                <w:rFonts w:ascii="Courier New" w:cs="Courier New" w:eastAsia="Courier New" w:hAnsi="Courier New"/>
                <w:sz w:val="15"/>
                <w:szCs w:val="15"/>
                <w:color w:val="auto"/>
              </w:rPr>
              <w:t>A First Amendment to Lease, dated June 28, 1985, was filed as</w:t>
            </w:r>
          </w:p>
        </w:tc>
        <w:tc>
          <w:tcPr>
            <w:tcW w:w="82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Exhibit 10(m) to Registrant's Report on Form 10-K dated March</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18, 1986, and the same is hereby incorporated herein by</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reference.</w:t>
            </w:r>
          </w:p>
        </w:tc>
        <w:tc>
          <w:tcPr>
            <w:tcW w:w="82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*10(b)(1)</w:t>
            </w:r>
          </w:p>
        </w:tc>
        <w:tc>
          <w:tcPr>
            <w:tcW w:w="6040" w:type="dxa"/>
            <w:vAlign w:val="bottom"/>
          </w:tcPr>
          <w:p>
            <w:pPr>
              <w:ind w:left="120"/>
              <w:spacing w:after="0"/>
              <w:rPr>
                <w:sz w:val="20"/>
                <w:szCs w:val="20"/>
                <w:color w:val="auto"/>
              </w:rPr>
            </w:pPr>
            <w:r>
              <w:rPr>
                <w:rFonts w:ascii="Courier New" w:cs="Courier New" w:eastAsia="Courier New" w:hAnsi="Courier New"/>
                <w:sz w:val="15"/>
                <w:szCs w:val="15"/>
                <w:color w:val="auto"/>
              </w:rPr>
              <w:t>Gentex Corporation Qualified Stock Option Plan (as amended and</w:t>
            </w:r>
          </w:p>
        </w:tc>
        <w:tc>
          <w:tcPr>
            <w:tcW w:w="82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restated, effective August 25, 1997) was filed as Exhibit</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10(b)(1) to Registrant's Report on Form 10-Q dated July 30,</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1998, and the same is hereby incorporated herein by reference.</w:t>
            </w:r>
          </w:p>
        </w:tc>
        <w:tc>
          <w:tcPr>
            <w:tcW w:w="82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*10(b)(2)</w:t>
            </w:r>
          </w:p>
        </w:tc>
        <w:tc>
          <w:tcPr>
            <w:tcW w:w="6040" w:type="dxa"/>
            <w:vAlign w:val="bottom"/>
          </w:tcPr>
          <w:p>
            <w:pPr>
              <w:ind w:left="120"/>
              <w:spacing w:after="0"/>
              <w:rPr>
                <w:sz w:val="20"/>
                <w:szCs w:val="20"/>
                <w:color w:val="auto"/>
              </w:rPr>
            </w:pPr>
            <w:r>
              <w:rPr>
                <w:rFonts w:ascii="Courier New" w:cs="Courier New" w:eastAsia="Courier New" w:hAnsi="Courier New"/>
                <w:sz w:val="15"/>
                <w:szCs w:val="15"/>
                <w:color w:val="auto"/>
              </w:rPr>
              <w:t>Gentex Corporation 1987 Incentive Stock Option Plan (as amended</w:t>
            </w:r>
          </w:p>
        </w:tc>
        <w:tc>
          <w:tcPr>
            <w:tcW w:w="82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through May 24, 1989), was filed as Exhibit 10(g)(3) to</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Registrant's Report on Form 10-K dated March 1, 1990, and the</w:t>
            </w:r>
          </w:p>
        </w:tc>
        <w:tc>
          <w:tcPr>
            <w:tcW w:w="8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same is hereby incorporated herein by reference.</w:t>
            </w:r>
          </w:p>
        </w:tc>
        <w:tc>
          <w:tcPr>
            <w:tcW w:w="82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239"/>
          </w:cols>
          <w:pgMar w:left="220" w:top="281" w:right="1440" w:bottom="3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81" w:right="1440" w:bottom="354" w:gutter="0" w:footer="0" w:header="0"/>
          <w:type w:val="continuous"/>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5940" w:type="dxa"/>
            <w:vAlign w:val="bottom"/>
          </w:tcPr>
          <w:p>
            <w:pPr>
              <w:ind w:left="1620"/>
              <w:spacing w:after="0"/>
              <w:rPr>
                <w:sz w:val="20"/>
                <w:szCs w:val="20"/>
                <w:color w:val="auto"/>
              </w:rPr>
            </w:pPr>
            <w:r>
              <w:rPr>
                <w:rFonts w:ascii="Courier New" w:cs="Courier New" w:eastAsia="Courier New" w:hAnsi="Courier New"/>
                <w:sz w:val="15"/>
                <w:szCs w:val="15"/>
                <w:color w:val="auto"/>
              </w:rPr>
              <w:t>DESCRIPTION</w:t>
            </w:r>
          </w:p>
        </w:tc>
        <w:tc>
          <w:tcPr>
            <w:tcW w:w="740" w:type="dxa"/>
            <w:vAlign w:val="bottom"/>
          </w:tcPr>
          <w:p>
            <w:pPr>
              <w:ind w:left="220"/>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940" w:type="dxa"/>
            <w:vAlign w:val="bottom"/>
          </w:tcPr>
          <w:p>
            <w:pPr>
              <w:ind w:left="180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505"/>
        </w:trPr>
        <w:tc>
          <w:tcPr>
            <w:tcW w:w="1280" w:type="dxa"/>
            <w:vAlign w:val="bottom"/>
          </w:tcPr>
          <w:p>
            <w:pPr>
              <w:spacing w:after="0"/>
              <w:rPr>
                <w:sz w:val="20"/>
                <w:szCs w:val="20"/>
                <w:color w:val="auto"/>
              </w:rPr>
            </w:pPr>
            <w:r>
              <w:rPr>
                <w:rFonts w:ascii="Courier New" w:cs="Courier New" w:eastAsia="Courier New" w:hAnsi="Courier New"/>
                <w:sz w:val="15"/>
                <w:szCs w:val="15"/>
                <w:color w:val="auto"/>
              </w:rPr>
              <w:t>*10(b)(3)</w:t>
            </w:r>
          </w:p>
        </w:tc>
        <w:tc>
          <w:tcPr>
            <w:tcW w:w="5940" w:type="dxa"/>
            <w:vAlign w:val="bottom"/>
          </w:tcPr>
          <w:p>
            <w:pPr>
              <w:ind w:left="120"/>
              <w:spacing w:after="0"/>
              <w:rPr>
                <w:sz w:val="20"/>
                <w:szCs w:val="20"/>
                <w:color w:val="auto"/>
              </w:rPr>
            </w:pPr>
            <w:r>
              <w:rPr>
                <w:rFonts w:ascii="Courier New" w:cs="Courier New" w:eastAsia="Courier New" w:hAnsi="Courier New"/>
                <w:sz w:val="15"/>
                <w:szCs w:val="15"/>
                <w:color w:val="auto"/>
              </w:rPr>
              <w:t>Gentex Corporation Restricted Stock Plan was filed as Exhibit</w:t>
            </w:r>
          </w:p>
        </w:tc>
        <w:tc>
          <w:tcPr>
            <w:tcW w:w="74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59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10(b)(3) to Registrant's Report on Form 10-K dated March 10,</w:t>
            </w:r>
          </w:p>
        </w:tc>
        <w:tc>
          <w:tcPr>
            <w:tcW w:w="74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9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1992, and the same is hereby incorporated herein by reference.</w:t>
            </w:r>
          </w:p>
        </w:tc>
        <w:tc>
          <w:tcPr>
            <w:tcW w:w="74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*10(b)(4)</w:t>
            </w:r>
          </w:p>
        </w:tc>
        <w:tc>
          <w:tcPr>
            <w:tcW w:w="5940" w:type="dxa"/>
            <w:vAlign w:val="bottom"/>
          </w:tcPr>
          <w:p>
            <w:pPr>
              <w:ind w:left="120"/>
              <w:spacing w:after="0"/>
              <w:rPr>
                <w:sz w:val="20"/>
                <w:szCs w:val="20"/>
                <w:color w:val="auto"/>
              </w:rPr>
            </w:pPr>
            <w:r>
              <w:rPr>
                <w:rFonts w:ascii="Courier New" w:cs="Courier New" w:eastAsia="Courier New" w:hAnsi="Courier New"/>
                <w:sz w:val="15"/>
                <w:szCs w:val="15"/>
                <w:color w:val="auto"/>
              </w:rPr>
              <w:t>Gentex Corporation Non-Employee Director Stock Option Plan (as</w:t>
            </w:r>
          </w:p>
        </w:tc>
        <w:tc>
          <w:tcPr>
            <w:tcW w:w="74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59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amended and restated, effective March 7, 1997) was filed as</w:t>
            </w:r>
          </w:p>
        </w:tc>
        <w:tc>
          <w:tcPr>
            <w:tcW w:w="74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9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Exhibit 10(b)(4) to Registrant's Report on Form 10-K dated March</w:t>
            </w:r>
          </w:p>
        </w:tc>
        <w:tc>
          <w:tcPr>
            <w:tcW w:w="74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9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7, 1997, and the same is hereby incorporated herein by</w:t>
            </w:r>
          </w:p>
        </w:tc>
        <w:tc>
          <w:tcPr>
            <w:tcW w:w="74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9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reference.</w:t>
            </w:r>
          </w:p>
        </w:tc>
        <w:tc>
          <w:tcPr>
            <w:tcW w:w="74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10(e)</w:t>
            </w:r>
          </w:p>
        </w:tc>
        <w:tc>
          <w:tcPr>
            <w:tcW w:w="5940" w:type="dxa"/>
            <w:vAlign w:val="bottom"/>
          </w:tcPr>
          <w:p>
            <w:pPr>
              <w:ind w:left="120"/>
              <w:spacing w:after="0"/>
              <w:rPr>
                <w:sz w:val="20"/>
                <w:szCs w:val="20"/>
                <w:color w:val="auto"/>
              </w:rPr>
            </w:pPr>
            <w:r>
              <w:rPr>
                <w:rFonts w:ascii="Courier New" w:cs="Courier New" w:eastAsia="Courier New" w:hAnsi="Courier New"/>
                <w:sz w:val="15"/>
                <w:szCs w:val="15"/>
                <w:color w:val="auto"/>
              </w:rPr>
              <w:t>The form of Indemnity Agreement between Registrant and each of</w:t>
            </w:r>
          </w:p>
        </w:tc>
        <w:tc>
          <w:tcPr>
            <w:tcW w:w="74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59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the Registrant's directors was filed as a part of a Registration</w:t>
            </w:r>
          </w:p>
        </w:tc>
        <w:tc>
          <w:tcPr>
            <w:tcW w:w="74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9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Statement on Form S-2 (Registration No. 33-30353) as Exhibit</w:t>
            </w:r>
          </w:p>
        </w:tc>
        <w:tc>
          <w:tcPr>
            <w:tcW w:w="74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9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10(k) and the same is hereby incorporated herein by reference.</w:t>
            </w:r>
          </w:p>
        </w:tc>
        <w:tc>
          <w:tcPr>
            <w:tcW w:w="74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5940" w:type="dxa"/>
            <w:vAlign w:val="bottom"/>
          </w:tcPr>
          <w:p>
            <w:pPr>
              <w:ind w:left="120"/>
              <w:spacing w:after="0"/>
              <w:rPr>
                <w:sz w:val="20"/>
                <w:szCs w:val="20"/>
                <w:color w:val="auto"/>
              </w:rPr>
            </w:pPr>
            <w:r>
              <w:rPr>
                <w:rFonts w:ascii="Courier New" w:cs="Courier New" w:eastAsia="Courier New" w:hAnsi="Courier New"/>
                <w:sz w:val="15"/>
                <w:szCs w:val="15"/>
                <w:color w:val="auto"/>
              </w:rPr>
              <w:t>List of Company Subsidiaries</w:t>
            </w:r>
          </w:p>
        </w:tc>
        <w:tc>
          <w:tcPr>
            <w:tcW w:w="740" w:type="dxa"/>
            <w:vAlign w:val="bottom"/>
          </w:tcPr>
          <w:p>
            <w:pPr>
              <w:ind w:left="400"/>
              <w:spacing w:after="0"/>
              <w:rPr>
                <w:sz w:val="20"/>
                <w:szCs w:val="20"/>
                <w:color w:val="auto"/>
              </w:rPr>
            </w:pPr>
            <w:r>
              <w:rPr>
                <w:rFonts w:ascii="Courier New" w:cs="Courier New" w:eastAsia="Courier New" w:hAnsi="Courier New"/>
                <w:sz w:val="15"/>
                <w:szCs w:val="15"/>
                <w:color w:val="auto"/>
              </w:rPr>
              <w:t>33</w:t>
            </w: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23</w:t>
            </w:r>
          </w:p>
        </w:tc>
        <w:tc>
          <w:tcPr>
            <w:tcW w:w="5940" w:type="dxa"/>
            <w:vAlign w:val="bottom"/>
          </w:tcPr>
          <w:p>
            <w:pPr>
              <w:ind w:left="120"/>
              <w:spacing w:after="0"/>
              <w:rPr>
                <w:sz w:val="20"/>
                <w:szCs w:val="20"/>
                <w:color w:val="auto"/>
              </w:rPr>
            </w:pPr>
            <w:r>
              <w:rPr>
                <w:rFonts w:ascii="Courier New" w:cs="Courier New" w:eastAsia="Courier New" w:hAnsi="Courier New"/>
                <w:sz w:val="15"/>
                <w:szCs w:val="15"/>
                <w:color w:val="auto"/>
              </w:rPr>
              <w:t>Consent of Independent Public Accountants</w:t>
            </w:r>
          </w:p>
        </w:tc>
        <w:tc>
          <w:tcPr>
            <w:tcW w:w="740" w:type="dxa"/>
            <w:vAlign w:val="bottom"/>
          </w:tcPr>
          <w:p>
            <w:pPr>
              <w:ind w:left="400"/>
              <w:spacing w:after="0"/>
              <w:rPr>
                <w:sz w:val="20"/>
                <w:szCs w:val="20"/>
                <w:color w:val="auto"/>
              </w:rPr>
            </w:pPr>
            <w:r>
              <w:rPr>
                <w:rFonts w:ascii="Courier New" w:cs="Courier New" w:eastAsia="Courier New" w:hAnsi="Courier New"/>
                <w:sz w:val="15"/>
                <w:szCs w:val="15"/>
                <w:color w:val="auto"/>
              </w:rPr>
              <w:t>34</w:t>
            </w:r>
          </w:p>
        </w:tc>
      </w:tr>
    </w:tbl>
    <w:p>
      <w:pPr>
        <w:spacing w:after="0" w:line="166" w:lineRule="exact"/>
        <w:rPr>
          <w:sz w:val="20"/>
          <w:szCs w:val="20"/>
          <w:color w:val="auto"/>
        </w:rPr>
      </w:pPr>
    </w:p>
    <w:p>
      <w:pPr>
        <w:ind w:left="1400" w:hanging="1390"/>
        <w:spacing w:after="0"/>
        <w:tabs>
          <w:tab w:leader="none" w:pos="14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7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a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28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LIST OF GENTEX CORPORATION SUBSIDIARIES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0" w:right="3579" w:hanging="430"/>
        <w:spacing w:after="0" w:line="234"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 Aviation Services, Inc., a Michigan corporation, is a wholly-owned subsidiary of Gentex Corporation.</w:t>
      </w:r>
    </w:p>
    <w:p>
      <w:pPr>
        <w:spacing w:after="0" w:line="173" w:lineRule="exact"/>
        <w:rPr>
          <w:rFonts w:ascii="Courier New" w:cs="Courier New" w:eastAsia="Courier New" w:hAnsi="Courier New"/>
          <w:sz w:val="15"/>
          <w:szCs w:val="15"/>
          <w:color w:val="auto"/>
        </w:rPr>
      </w:pPr>
    </w:p>
    <w:p>
      <w:pPr>
        <w:ind w:left="440" w:right="3319" w:hanging="430"/>
        <w:spacing w:after="0" w:line="261" w:lineRule="auto"/>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Gentex International Corporation, a Foreign Sales Corporation incorporated in Barbados, is a wholly-owned subsidiary of Gentex Corporation.</w:t>
      </w:r>
    </w:p>
    <w:p>
      <w:pPr>
        <w:spacing w:after="0" w:line="159" w:lineRule="exact"/>
        <w:rPr>
          <w:rFonts w:ascii="Courier New" w:cs="Courier New" w:eastAsia="Courier New" w:hAnsi="Courier New"/>
          <w:sz w:val="14"/>
          <w:szCs w:val="14"/>
          <w:color w:val="auto"/>
        </w:rPr>
      </w:pPr>
    </w:p>
    <w:p>
      <w:pPr>
        <w:ind w:left="440" w:right="3239" w:hanging="430"/>
        <w:spacing w:after="0" w:line="234"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Holdings, Inc., a Michigan corporation, is a wholly-owned subsidiary of Gentex Corporation.</w:t>
      </w:r>
    </w:p>
    <w:p>
      <w:pPr>
        <w:spacing w:after="0" w:line="173" w:lineRule="exact"/>
        <w:rPr>
          <w:rFonts w:ascii="Courier New" w:cs="Courier New" w:eastAsia="Courier New" w:hAnsi="Courier New"/>
          <w:sz w:val="15"/>
          <w:szCs w:val="15"/>
          <w:color w:val="auto"/>
        </w:rPr>
      </w:pPr>
    </w:p>
    <w:p>
      <w:pPr>
        <w:ind w:left="440" w:right="3319" w:hanging="430"/>
        <w:spacing w:after="0" w:line="234"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GmbH, a German limited liability company, is a subsidiary 50% owned by Gentex Corporation and 50% owned by Gentex Holdings, Inc.</w:t>
      </w:r>
    </w:p>
    <w:p>
      <w:pPr>
        <w:spacing w:after="0" w:line="173"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Japan, Inc., a Japanese corporation, is a wholly-owned subsidiary of Gentex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135"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30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23</w:t>
      </w:r>
    </w:p>
    <w:p>
      <w:pPr>
        <w:spacing w:after="0" w:line="166"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 w:right="3399"/>
        <w:spacing w:after="0" w:line="235" w:lineRule="auto"/>
        <w:rPr>
          <w:sz w:val="20"/>
          <w:szCs w:val="20"/>
          <w:color w:val="auto"/>
        </w:rPr>
      </w:pPr>
      <w:r>
        <w:rPr>
          <w:rFonts w:ascii="Courier New" w:cs="Courier New" w:eastAsia="Courier New" w:hAnsi="Courier New"/>
          <w:sz w:val="15"/>
          <w:szCs w:val="15"/>
          <w:color w:val="auto"/>
        </w:rPr>
        <w:t>As independent public accountants, we hereby consent to the incorporation of our report included in this Form 10-K, into the Company's previously filed Registration Statement File Nos. 33-31408, 33-50396, 33-64504 and 33-65321.</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/s/ Arthur Andersen LLP</w:t>
      </w:r>
    </w:p>
    <w:p>
      <w:pPr>
        <w:spacing w:after="0" w:line="166"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ARTHUR ANDERSEN LLP</w:t>
      </w:r>
    </w:p>
    <w:p>
      <w:pPr>
        <w:spacing w:after="0" w:line="200" w:lineRule="exact"/>
        <w:rPr>
          <w:sz w:val="20"/>
          <w:szCs w:val="20"/>
          <w:color w:val="auto"/>
        </w:rPr>
      </w:pPr>
    </w:p>
    <w:p>
      <w:pPr>
        <w:spacing w:after="0" w:line="30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Grand Rapids, Michigan</w:t>
      </w:r>
    </w:p>
    <w:p>
      <w:pPr>
        <w:spacing w:after="0" w:line="16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March 16,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9959"/>
          </w:cols>
          <w:pgMar w:left="500" w:top="135"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5</w:t>
      </w:r>
    </w:p>
    <w:p>
      <w:pPr>
        <w:spacing w:after="0" w:line="237" w:lineRule="auto"/>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12-MOS</w:t>
      </w:r>
    </w:p>
    <w:p>
      <w:pPr>
        <w:ind w:left="2180"/>
        <w:spacing w:after="0" w:line="237" w:lineRule="auto"/>
        <w:rPr>
          <w:sz w:val="20"/>
          <w:szCs w:val="20"/>
          <w:color w:val="auto"/>
        </w:rPr>
      </w:pPr>
      <w:r>
        <w:rPr>
          <w:rFonts w:ascii="Courier New" w:cs="Courier New" w:eastAsia="Courier New" w:hAnsi="Courier New"/>
          <w:sz w:val="15"/>
          <w:szCs w:val="15"/>
          <w:color w:val="auto"/>
        </w:rPr>
        <w:t>DEC-31-1998</w:t>
      </w:r>
    </w:p>
    <w:p>
      <w:pPr>
        <w:ind w:left="2620"/>
        <w:spacing w:after="0" w:line="238" w:lineRule="auto"/>
        <w:rPr>
          <w:sz w:val="20"/>
          <w:szCs w:val="20"/>
          <w:color w:val="auto"/>
        </w:rPr>
      </w:pPr>
      <w:r>
        <w:rPr>
          <w:rFonts w:ascii="Courier New" w:cs="Courier New" w:eastAsia="Courier New" w:hAnsi="Courier New"/>
          <w:sz w:val="15"/>
          <w:szCs w:val="15"/>
          <w:color w:val="auto"/>
        </w:rPr>
        <w:t>DEC-31-1998</w:t>
      </w:r>
    </w:p>
    <w:p>
      <w:pPr>
        <w:ind w:left="3240"/>
        <w:spacing w:after="0" w:line="237" w:lineRule="auto"/>
        <w:rPr>
          <w:sz w:val="20"/>
          <w:szCs w:val="20"/>
          <w:color w:val="auto"/>
        </w:rPr>
      </w:pPr>
      <w:r>
        <w:rPr>
          <w:rFonts w:ascii="Courier New" w:cs="Courier New" w:eastAsia="Courier New" w:hAnsi="Courier New"/>
          <w:sz w:val="15"/>
          <w:szCs w:val="15"/>
          <w:color w:val="auto"/>
        </w:rPr>
        <w:t>50,027,747</w:t>
      </w:r>
    </w:p>
    <w:p>
      <w:pPr>
        <w:ind w:left="2700"/>
        <w:spacing w:after="0" w:line="238" w:lineRule="auto"/>
        <w:rPr>
          <w:sz w:val="20"/>
          <w:szCs w:val="20"/>
          <w:color w:val="auto"/>
        </w:rPr>
      </w:pPr>
      <w:r>
        <w:rPr>
          <w:rFonts w:ascii="Courier New" w:cs="Courier New" w:eastAsia="Courier New" w:hAnsi="Courier New"/>
          <w:sz w:val="15"/>
          <w:szCs w:val="15"/>
          <w:color w:val="auto"/>
        </w:rPr>
        <w:t>24,034,876</w:t>
      </w:r>
    </w:p>
    <w:p>
      <w:pPr>
        <w:ind w:left="2620"/>
        <w:spacing w:after="0" w:line="237" w:lineRule="auto"/>
        <w:rPr>
          <w:sz w:val="20"/>
          <w:szCs w:val="20"/>
          <w:color w:val="auto"/>
        </w:rPr>
      </w:pPr>
      <w:r>
        <w:rPr>
          <w:rFonts w:ascii="Courier New" w:cs="Courier New" w:eastAsia="Courier New" w:hAnsi="Courier New"/>
          <w:sz w:val="15"/>
          <w:szCs w:val="15"/>
          <w:color w:val="auto"/>
        </w:rPr>
        <w:t>30,256,795</w:t>
      </w:r>
    </w:p>
    <w:p>
      <w:pPr>
        <w:ind w:left="3500"/>
        <w:spacing w:after="0" w:line="238" w:lineRule="auto"/>
        <w:rPr>
          <w:sz w:val="20"/>
          <w:szCs w:val="20"/>
          <w:color w:val="auto"/>
        </w:rPr>
      </w:pPr>
      <w:r>
        <w:rPr>
          <w:rFonts w:ascii="Courier New" w:cs="Courier New" w:eastAsia="Courier New" w:hAnsi="Courier New"/>
          <w:sz w:val="15"/>
          <w:szCs w:val="15"/>
          <w:color w:val="auto"/>
        </w:rPr>
        <w:t>0</w:t>
      </w:r>
    </w:p>
    <w:p>
      <w:pPr>
        <w:ind w:left="2880"/>
        <w:spacing w:after="0" w:line="237" w:lineRule="auto"/>
        <w:rPr>
          <w:sz w:val="20"/>
          <w:szCs w:val="20"/>
          <w:color w:val="auto"/>
        </w:rPr>
      </w:pPr>
      <w:r>
        <w:rPr>
          <w:rFonts w:ascii="Courier New" w:cs="Courier New" w:eastAsia="Courier New" w:hAnsi="Courier New"/>
          <w:sz w:val="15"/>
          <w:szCs w:val="15"/>
          <w:color w:val="auto"/>
        </w:rPr>
        <w:t>8,726,420</w:t>
      </w:r>
    </w:p>
    <w:p>
      <w:pPr>
        <w:ind w:left="2280"/>
        <w:spacing w:after="0" w:line="238" w:lineRule="auto"/>
        <w:rPr>
          <w:sz w:val="20"/>
          <w:szCs w:val="20"/>
          <w:color w:val="auto"/>
        </w:rPr>
      </w:pPr>
      <w:r>
        <w:rPr>
          <w:rFonts w:ascii="Courier New" w:cs="Courier New" w:eastAsia="Courier New" w:hAnsi="Courier New"/>
          <w:sz w:val="15"/>
          <w:szCs w:val="15"/>
          <w:color w:val="auto"/>
        </w:rPr>
        <w:t>115,357,419</w:t>
      </w:r>
    </w:p>
    <w:p>
      <w:pPr>
        <w:ind w:left="3240"/>
        <w:spacing w:after="0" w:line="238" w:lineRule="auto"/>
        <w:rPr>
          <w:sz w:val="20"/>
          <w:szCs w:val="20"/>
          <w:color w:val="auto"/>
        </w:rPr>
      </w:pPr>
      <w:r>
        <w:rPr>
          <w:rFonts w:ascii="Courier New" w:cs="Courier New" w:eastAsia="Courier New" w:hAnsi="Courier New"/>
          <w:sz w:val="15"/>
          <w:szCs w:val="15"/>
          <w:color w:val="auto"/>
        </w:rPr>
        <w:t>87,234,132</w:t>
      </w:r>
    </w:p>
    <w:p>
      <w:pPr>
        <w:ind w:left="2360"/>
        <w:spacing w:after="0" w:line="237" w:lineRule="auto"/>
        <w:rPr>
          <w:sz w:val="20"/>
          <w:szCs w:val="20"/>
          <w:color w:val="auto"/>
        </w:rPr>
      </w:pPr>
      <w:r>
        <w:rPr>
          <w:rFonts w:ascii="Courier New" w:cs="Courier New" w:eastAsia="Courier New" w:hAnsi="Courier New"/>
          <w:sz w:val="15"/>
          <w:szCs w:val="15"/>
          <w:color w:val="auto"/>
        </w:rPr>
        <w:t>(27,874,247)</w:t>
      </w:r>
    </w:p>
    <w:p>
      <w:pPr>
        <w:ind w:left="2440"/>
        <w:spacing w:after="0" w:line="238" w:lineRule="auto"/>
        <w:rPr>
          <w:sz w:val="20"/>
          <w:szCs w:val="20"/>
          <w:color w:val="auto"/>
        </w:rPr>
      </w:pPr>
      <w:r>
        <w:rPr>
          <w:rFonts w:ascii="Courier New" w:cs="Courier New" w:eastAsia="Courier New" w:hAnsi="Courier New"/>
          <w:sz w:val="15"/>
          <w:szCs w:val="15"/>
          <w:color w:val="auto"/>
        </w:rPr>
        <w:t>254,889,558</w:t>
      </w:r>
    </w:p>
    <w:p>
      <w:pPr>
        <w:ind w:left="1920"/>
        <w:spacing w:after="0" w:line="237" w:lineRule="auto"/>
        <w:rPr>
          <w:sz w:val="20"/>
          <w:szCs w:val="20"/>
          <w:color w:val="auto"/>
        </w:rPr>
      </w:pPr>
      <w:r>
        <w:rPr>
          <w:rFonts w:ascii="Courier New" w:cs="Courier New" w:eastAsia="Courier New" w:hAnsi="Courier New"/>
          <w:sz w:val="15"/>
          <w:szCs w:val="15"/>
          <w:color w:val="auto"/>
        </w:rPr>
        <w:t>14,846,890</w:t>
      </w:r>
    </w:p>
    <w:p>
      <w:pPr>
        <w:ind w:left="3940"/>
        <w:spacing w:after="0" w:line="238" w:lineRule="auto"/>
        <w:rPr>
          <w:sz w:val="20"/>
          <w:szCs w:val="20"/>
          <w:color w:val="auto"/>
        </w:rPr>
      </w:pPr>
      <w:r>
        <w:rPr>
          <w:rFonts w:ascii="Courier New" w:cs="Courier New" w:eastAsia="Courier New" w:hAnsi="Courier New"/>
          <w:sz w:val="15"/>
          <w:szCs w:val="15"/>
          <w:color w:val="auto"/>
        </w:rPr>
        <w:t>0</w:t>
      </w:r>
    </w:p>
    <w:p>
      <w:pPr>
        <w:ind w:left="2700"/>
        <w:spacing w:after="0" w:line="237" w:lineRule="auto"/>
        <w:rPr>
          <w:sz w:val="20"/>
          <w:szCs w:val="20"/>
          <w:color w:val="auto"/>
        </w:rPr>
      </w:pPr>
      <w:r>
        <w:rPr>
          <w:rFonts w:ascii="Courier New" w:cs="Courier New" w:eastAsia="Courier New" w:hAnsi="Courier New"/>
          <w:sz w:val="15"/>
          <w:szCs w:val="15"/>
          <w:color w:val="auto"/>
        </w:rPr>
        <w:t>0</w:t>
      </w:r>
    </w:p>
    <w:p>
      <w:pPr>
        <w:ind w:left="3580"/>
        <w:spacing w:after="0" w:line="238" w:lineRule="auto"/>
        <w:rPr>
          <w:sz w:val="20"/>
          <w:szCs w:val="20"/>
          <w:color w:val="auto"/>
        </w:rPr>
      </w:pPr>
      <w:r>
        <w:rPr>
          <w:rFonts w:ascii="Courier New" w:cs="Courier New" w:eastAsia="Courier New" w:hAnsi="Courier New"/>
          <w:sz w:val="15"/>
          <w:szCs w:val="15"/>
          <w:color w:val="auto"/>
        </w:rPr>
        <w:t>0</w:t>
      </w:r>
    </w:p>
    <w:p>
      <w:pPr>
        <w:ind w:left="3140"/>
        <w:spacing w:after="0" w:line="238" w:lineRule="auto"/>
        <w:rPr>
          <w:sz w:val="20"/>
          <w:szCs w:val="20"/>
          <w:color w:val="auto"/>
        </w:rPr>
      </w:pPr>
      <w:r>
        <w:rPr>
          <w:rFonts w:ascii="Courier New" w:cs="Courier New" w:eastAsia="Courier New" w:hAnsi="Courier New"/>
          <w:sz w:val="15"/>
          <w:szCs w:val="15"/>
          <w:color w:val="auto"/>
        </w:rPr>
        <w:t>4,335,535</w:t>
      </w:r>
    </w:p>
    <w:p>
      <w:pPr>
        <w:ind w:left="2800"/>
        <w:spacing w:after="0" w:line="237" w:lineRule="auto"/>
        <w:rPr>
          <w:sz w:val="20"/>
          <w:szCs w:val="20"/>
          <w:color w:val="auto"/>
        </w:rPr>
      </w:pPr>
      <w:r>
        <w:rPr>
          <w:rFonts w:ascii="Courier New" w:cs="Courier New" w:eastAsia="Courier New" w:hAnsi="Courier New"/>
          <w:sz w:val="15"/>
          <w:szCs w:val="15"/>
          <w:color w:val="auto"/>
        </w:rPr>
        <w:t>232,672,683</w:t>
      </w:r>
    </w:p>
    <w:p>
      <w:pPr>
        <w:ind w:left="1220"/>
        <w:spacing w:after="0" w:line="238" w:lineRule="auto"/>
        <w:rPr>
          <w:sz w:val="20"/>
          <w:szCs w:val="20"/>
          <w:color w:val="auto"/>
        </w:rPr>
      </w:pPr>
      <w:r>
        <w:rPr>
          <w:rFonts w:ascii="Courier New" w:cs="Courier New" w:eastAsia="Courier New" w:hAnsi="Courier New"/>
          <w:sz w:val="15"/>
          <w:szCs w:val="15"/>
          <w:color w:val="auto"/>
        </w:rPr>
        <w:t>254,889,558</w:t>
      </w:r>
    </w:p>
    <w:p>
      <w:pPr>
        <w:ind w:left="3060"/>
        <w:spacing w:after="0" w:line="237" w:lineRule="auto"/>
        <w:rPr>
          <w:sz w:val="20"/>
          <w:szCs w:val="20"/>
          <w:color w:val="auto"/>
        </w:rPr>
      </w:pPr>
      <w:r>
        <w:rPr>
          <w:rFonts w:ascii="Courier New" w:cs="Courier New" w:eastAsia="Courier New" w:hAnsi="Courier New"/>
          <w:sz w:val="15"/>
          <w:szCs w:val="15"/>
          <w:color w:val="auto"/>
        </w:rPr>
        <w:t>222,292,053</w:t>
      </w:r>
    </w:p>
    <w:p>
      <w:pPr>
        <w:ind w:left="2280"/>
        <w:spacing w:after="0" w:line="238" w:lineRule="auto"/>
        <w:rPr>
          <w:sz w:val="20"/>
          <w:szCs w:val="20"/>
          <w:color w:val="auto"/>
        </w:rPr>
      </w:pPr>
      <w:r>
        <w:rPr>
          <w:rFonts w:ascii="Courier New" w:cs="Courier New" w:eastAsia="Courier New" w:hAnsi="Courier New"/>
          <w:sz w:val="15"/>
          <w:szCs w:val="15"/>
          <w:color w:val="auto"/>
        </w:rPr>
        <w:t>222,292,053</w:t>
      </w:r>
    </w:p>
    <w:p>
      <w:pPr>
        <w:jc w:val="right"/>
        <w:ind w:right="5939"/>
        <w:spacing w:after="0" w:line="237" w:lineRule="auto"/>
        <w:rPr>
          <w:sz w:val="20"/>
          <w:szCs w:val="20"/>
          <w:color w:val="auto"/>
        </w:rPr>
      </w:pPr>
      <w:r>
        <w:rPr>
          <w:rFonts w:ascii="Courier New" w:cs="Courier New" w:eastAsia="Courier New" w:hAnsi="Courier New"/>
          <w:sz w:val="15"/>
          <w:szCs w:val="15"/>
          <w:color w:val="auto"/>
        </w:rPr>
        <w:t>131,900,585</w:t>
      </w:r>
    </w:p>
    <w:p>
      <w:pPr>
        <w:ind w:left="2540"/>
        <w:spacing w:after="0" w:line="238" w:lineRule="auto"/>
        <w:rPr>
          <w:sz w:val="20"/>
          <w:szCs w:val="20"/>
          <w:color w:val="auto"/>
        </w:rPr>
      </w:pPr>
      <w:r>
        <w:rPr>
          <w:rFonts w:ascii="Courier New" w:cs="Courier New" w:eastAsia="Courier New" w:hAnsi="Courier New"/>
          <w:sz w:val="15"/>
          <w:szCs w:val="15"/>
          <w:color w:val="auto"/>
        </w:rPr>
        <w:t>131,900,585</w:t>
      </w:r>
    </w:p>
    <w:p>
      <w:pPr>
        <w:ind w:left="2280"/>
        <w:spacing w:after="0" w:line="238" w:lineRule="auto"/>
        <w:rPr>
          <w:sz w:val="20"/>
          <w:szCs w:val="20"/>
          <w:color w:val="auto"/>
        </w:rPr>
      </w:pPr>
      <w:r>
        <w:rPr>
          <w:rFonts w:ascii="Courier New" w:cs="Courier New" w:eastAsia="Courier New" w:hAnsi="Courier New"/>
          <w:sz w:val="15"/>
          <w:szCs w:val="15"/>
          <w:color w:val="auto"/>
        </w:rPr>
        <w:t>(7,320,317)</w:t>
      </w:r>
    </w:p>
    <w:p>
      <w:pPr>
        <w:ind w:left="3140"/>
        <w:spacing w:after="0" w:line="237" w:lineRule="auto"/>
        <w:rPr>
          <w:sz w:val="20"/>
          <w:szCs w:val="20"/>
          <w:color w:val="auto"/>
        </w:rPr>
      </w:pPr>
      <w:r>
        <w:rPr>
          <w:rFonts w:ascii="Courier New" w:cs="Courier New" w:eastAsia="Courier New" w:hAnsi="Courier New"/>
          <w:sz w:val="15"/>
          <w:szCs w:val="15"/>
          <w:color w:val="auto"/>
        </w:rPr>
        <w:t>0</w:t>
      </w:r>
    </w:p>
    <w:p>
      <w:pPr>
        <w:ind w:left="2980"/>
        <w:spacing w:after="0" w:line="238" w:lineRule="auto"/>
        <w:rPr>
          <w:sz w:val="20"/>
          <w:szCs w:val="20"/>
          <w:color w:val="auto"/>
        </w:rPr>
      </w:pPr>
      <w:r>
        <w:rPr>
          <w:rFonts w:ascii="Courier New" w:cs="Courier New" w:eastAsia="Courier New" w:hAnsi="Courier New"/>
          <w:sz w:val="15"/>
          <w:szCs w:val="15"/>
          <w:color w:val="auto"/>
        </w:rPr>
        <w:t>0</w:t>
      </w:r>
    </w:p>
    <w:p>
      <w:pPr>
        <w:ind w:left="2440"/>
        <w:spacing w:after="0" w:line="237" w:lineRule="auto"/>
        <w:rPr>
          <w:sz w:val="20"/>
          <w:szCs w:val="20"/>
          <w:color w:val="auto"/>
        </w:rPr>
      </w:pPr>
      <w:r>
        <w:rPr>
          <w:rFonts w:ascii="Courier New" w:cs="Courier New" w:eastAsia="Courier New" w:hAnsi="Courier New"/>
          <w:sz w:val="15"/>
          <w:szCs w:val="15"/>
          <w:color w:val="auto"/>
        </w:rPr>
        <w:t>74,663,130</w:t>
      </w:r>
    </w:p>
    <w:p>
      <w:pPr>
        <w:ind w:left="2700"/>
        <w:spacing w:after="0" w:line="238" w:lineRule="auto"/>
        <w:rPr>
          <w:sz w:val="20"/>
          <w:szCs w:val="20"/>
          <w:color w:val="auto"/>
        </w:rPr>
      </w:pPr>
      <w:r>
        <w:rPr>
          <w:rFonts w:ascii="Courier New" w:cs="Courier New" w:eastAsia="Courier New" w:hAnsi="Courier New"/>
          <w:sz w:val="15"/>
          <w:szCs w:val="15"/>
          <w:color w:val="auto"/>
        </w:rPr>
        <w:t>24,356,000</w:t>
      </w:r>
    </w:p>
    <w:p>
      <w:pPr>
        <w:ind w:left="2100"/>
        <w:spacing w:after="0" w:line="237" w:lineRule="auto"/>
        <w:rPr>
          <w:sz w:val="20"/>
          <w:szCs w:val="20"/>
          <w:color w:val="auto"/>
        </w:rPr>
      </w:pPr>
      <w:r>
        <w:rPr>
          <w:rFonts w:ascii="Courier New" w:cs="Courier New" w:eastAsia="Courier New" w:hAnsi="Courier New"/>
          <w:sz w:val="15"/>
          <w:szCs w:val="15"/>
          <w:color w:val="auto"/>
        </w:rPr>
        <w:t>50,307,130</w:t>
      </w:r>
    </w:p>
    <w:p>
      <w:pPr>
        <w:ind w:left="332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3760"/>
        <w:spacing w:after="0" w:line="237" w:lineRule="auto"/>
        <w:rPr>
          <w:sz w:val="20"/>
          <w:szCs w:val="20"/>
          <w:color w:val="auto"/>
        </w:rPr>
      </w:pPr>
      <w:r>
        <w:rPr>
          <w:rFonts w:ascii="Courier New" w:cs="Courier New" w:eastAsia="Courier New" w:hAnsi="Courier New"/>
          <w:sz w:val="15"/>
          <w:szCs w:val="15"/>
          <w:color w:val="auto"/>
        </w:rPr>
        <w:t>0</w:t>
      </w:r>
    </w:p>
    <w:p>
      <w:pPr>
        <w:ind w:left="2700"/>
        <w:spacing w:after="0" w:line="238" w:lineRule="auto"/>
        <w:rPr>
          <w:sz w:val="20"/>
          <w:szCs w:val="20"/>
          <w:color w:val="auto"/>
        </w:rPr>
      </w:pPr>
      <w:r>
        <w:rPr>
          <w:rFonts w:ascii="Courier New" w:cs="Courier New" w:eastAsia="Courier New" w:hAnsi="Courier New"/>
          <w:sz w:val="15"/>
          <w:szCs w:val="15"/>
          <w:color w:val="auto"/>
        </w:rPr>
        <w:t>50,307,130</w:t>
      </w:r>
    </w:p>
    <w:p>
      <w:pPr>
        <w:ind w:left="3140"/>
        <w:spacing w:after="0" w:line="237" w:lineRule="auto"/>
        <w:rPr>
          <w:sz w:val="20"/>
          <w:szCs w:val="20"/>
          <w:color w:val="auto"/>
        </w:rPr>
      </w:pPr>
      <w:r>
        <w:rPr>
          <w:rFonts w:ascii="Courier New" w:cs="Courier New" w:eastAsia="Courier New" w:hAnsi="Courier New"/>
          <w:sz w:val="15"/>
          <w:szCs w:val="15"/>
          <w:color w:val="auto"/>
        </w:rPr>
        <w:t>0.70</w:t>
      </w:r>
    </w:p>
    <w:p>
      <w:pPr>
        <w:ind w:left="3140"/>
        <w:spacing w:after="0" w:line="238" w:lineRule="auto"/>
        <w:rPr>
          <w:sz w:val="20"/>
          <w:szCs w:val="20"/>
          <w:color w:val="auto"/>
        </w:rPr>
      </w:pPr>
      <w:r>
        <w:rPr>
          <w:rFonts w:ascii="Courier New" w:cs="Courier New" w:eastAsia="Courier New" w:hAnsi="Courier New"/>
          <w:sz w:val="15"/>
          <w:szCs w:val="15"/>
          <w:color w:val="auto"/>
        </w:rPr>
        <w:t>0.68</w:t>
      </w:r>
    </w:p>
    <w:sectPr>
      <w:pgSz w:w="11900" w:h="16838" w:orient="portrait"/>
      <w:cols w:equalWidth="0" w:num="1">
        <w:col w:w="10139"/>
      </w:cols>
      <w:pgMar w:left="32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upperLetter"/>
      <w:start w:val="24"/>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lowerLetter"/>
      <w:start w:val="1"/>
    </w:lvl>
  </w:abstractNum>
  <w:abstractNum w:abstractNumId="3">
    <w:nsid w:val="628C895D"/>
    <w:multiLevelType w:val="hybridMultilevel"/>
    <w:lvl w:ilvl="0">
      <w:lvlJc w:val="left"/>
      <w:lvlText w:val="(%1)"/>
      <w:numFmt w:val="lowerLetter"/>
      <w:start w:val="2"/>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lowerLetter"/>
      <w:start w:val="1"/>
    </w:lvl>
    <w:lvl w:ilvl="1">
      <w:lvlJc w:val="left"/>
      <w:lvlText w:val="%2."/>
      <w:numFmt w:val="decimal"/>
      <w:start w:val="2"/>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2"/>
    </w:lvl>
  </w:abstractNum>
  <w:abstractNum w:abstractNumId="27">
    <w:nsid w:val="4516DDE9"/>
    <w:multiLevelType w:val="hybridMultilevel"/>
    <w:lvl w:ilvl="0">
      <w:lvlJc w:val="left"/>
      <w:lvlText w:val="(%1)"/>
      <w:numFmt w:val="decimal"/>
      <w:start w:val="3"/>
    </w:lvl>
  </w:abstractNum>
  <w:abstractNum w:abstractNumId="28">
    <w:nsid w:val="3006C83E"/>
    <w:multiLevelType w:val="hybridMultilevel"/>
    <w:lvl w:ilvl="0">
      <w:lvlJc w:val="left"/>
      <w:lvlText w:val="(%1)"/>
      <w:numFmt w:val="decimal"/>
      <w:start w:val="4"/>
    </w:lvl>
  </w:abstractNum>
  <w:abstractNum w:abstractNumId="29">
    <w:nsid w:val="614FD4A1"/>
    <w:multiLevelType w:val="hybridMultilevel"/>
    <w:lvl w:ilvl="0">
      <w:lvlJc w:val="left"/>
      <w:lvlText w:val="(%1)"/>
      <w:numFmt w:val="decimal"/>
      <w:start w:val="5"/>
    </w:lvl>
  </w:abstractNum>
  <w:abstractNum w:abstractNumId="30">
    <w:nsid w:val="419AC241"/>
    <w:multiLevelType w:val="hybridMultilevel"/>
    <w:lvl w:ilvl="0">
      <w:lvlJc w:val="left"/>
      <w:lvlText w:val="A"/>
      <w:numFmt w:val="bullet"/>
      <w:start w:val="1"/>
    </w:lvl>
  </w:abstractNum>
  <w:abstractNum w:abstractNumId="31">
    <w:nsid w:val="5577F8E1"/>
    <w:multiLevelType w:val="hybridMultilevel"/>
    <w:lvl w:ilvl="0">
      <w:lvlJc w:val="left"/>
      <w:lvlText w:val="(%1)"/>
      <w:numFmt w:val="decimal"/>
      <w:start w:val="6"/>
    </w:lvl>
  </w:abstractNum>
  <w:abstractNum w:abstractNumId="32">
    <w:nsid w:val="440BADFC"/>
    <w:multiLevelType w:val="hybridMultilevel"/>
    <w:lvl w:ilvl="0">
      <w:lvlJc w:val="left"/>
      <w:lvlText w:val="A"/>
      <w:numFmt w:val="bullet"/>
      <w:start w:val="1"/>
    </w:lvl>
  </w:abstractNum>
  <w:abstractNum w:abstractNumId="33">
    <w:nsid w:val="5072367"/>
    <w:multiLevelType w:val="hybridMultilevel"/>
    <w:lvl w:ilvl="0">
      <w:lvlJc w:val="left"/>
      <w:lvlText w:val="(%1)"/>
      <w:numFmt w:val="decimal"/>
      <w:start w:val="7"/>
    </w:lvl>
  </w:abstractNum>
  <w:abstractNum w:abstractNumId="34">
    <w:nsid w:val="3804823E"/>
    <w:multiLevelType w:val="hybridMultilevel"/>
    <w:lvl w:ilvl="0">
      <w:lvlJc w:val="left"/>
      <w:lvlText w:val="(%1)"/>
      <w:numFmt w:val="decimal"/>
      <w:start w:val="8"/>
    </w:lvl>
    <w:lvl w:ilvl="1">
      <w:lvlJc w:val="left"/>
      <w:lvlText w:val="-"/>
      <w:numFmt w:val="bullet"/>
      <w:start w:val="1"/>
    </w:lvl>
  </w:abstractNum>
  <w:abstractNum w:abstractNumId="35">
    <w:nsid w:val="77465F01"/>
    <w:multiLevelType w:val="hybridMultilevel"/>
    <w:lvl w:ilvl="0">
      <w:lvlJc w:val="left"/>
      <w:lvlText w:val="(%1)"/>
      <w:numFmt w:val="decimal"/>
      <w:start w:val="9"/>
    </w:lvl>
  </w:abstractNum>
  <w:abstractNum w:abstractNumId="36">
    <w:nsid w:val="7724C67E"/>
    <w:multiLevelType w:val="hybridMultilevel"/>
    <w:lvl w:ilvl="0">
      <w:lvlJc w:val="left"/>
      <w:lvlText w:val="%1"/>
      <w:numFmt w:val="decimal"/>
      <w:start w:val="27"/>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2020-02-22T11:27:30Z</dcterms:created>
  <dcterms:modified xsi:type="dcterms:W3CDTF">2020-02-22T11:27:30Z</dcterms:modified>
</cp:coreProperties>
</file>