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73"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FISCAL YEAR ENDED DECEMBER 31, 2001.</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440" w:right="393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 )</w:t>
        <w:tab/>
        <w:t>TRANSITION REPORT PURSUANT TO SECTION 13 OR 15(d) OF THE SECURITIES EXCHANGE ACT OF 1934 (NO FEE REQUIRED)</w:t>
      </w:r>
    </w:p>
    <w:p>
      <w:pPr>
        <w:sectPr>
          <w:pgSz w:w="11900" w:h="16838" w:orient="portrait"/>
          <w:cols w:equalWidth="0" w:num="1">
            <w:col w:w="10239"/>
          </w:cols>
          <w:pgMar w:left="220" w:top="561" w:right="1440" w:bottom="1440" w:gutter="0" w:footer="0" w:header="0"/>
        </w:sectPr>
      </w:pP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to</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ectPr>
          <w:pgSz w:w="11900" w:h="16838" w:orient="portrait"/>
          <w:cols w:equalWidth="0" w:num="3">
            <w:col w:w="3920" w:space="720"/>
            <w:col w:w="1380" w:space="720"/>
            <w:col w:w="3499"/>
          </w:cols>
          <w:pgMar w:left="220" w:top="561"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480" w:space="420"/>
            <w:col w:w="533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0-10235</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2">
            <w:col w:w="1760" w:space="340"/>
            <w:col w:w="8139"/>
          </w:cols>
          <w:pgMar w:left="220" w:top="561"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GENTEX CORPORATION</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type w:val="continuous"/>
        </w:sectPr>
      </w:pPr>
    </w:p>
    <w:p>
      <w:pPr>
        <w:spacing w:after="0" w:line="171"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MICHIGAN</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38-2030505</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620" w:space="720"/>
            <w:col w:w="4899"/>
          </w:cols>
          <w:pgMar w:left="220" w:top="561" w:right="1440" w:bottom="1440" w:gutter="0" w:footer="0" w:header="0"/>
          <w:type w:val="continuous"/>
        </w:sectPr>
      </w:pPr>
    </w:p>
    <w:p>
      <w:pPr>
        <w:spacing w:after="0" w:line="146" w:lineRule="exact"/>
        <w:rPr>
          <w:sz w:val="24"/>
          <w:szCs w:val="24"/>
          <w:color w:val="auto"/>
        </w:rPr>
      </w:pPr>
    </w:p>
    <w:p>
      <w:pPr>
        <w:ind w:left="100" w:right="1200" w:hanging="86"/>
        <w:spacing w:after="0" w:line="261" w:lineRule="auto"/>
        <w:rPr>
          <w:sz w:val="20"/>
          <w:szCs w:val="20"/>
          <w:color w:val="auto"/>
        </w:rPr>
      </w:pPr>
      <w:r>
        <w:rPr>
          <w:rFonts w:ascii="Courier New" w:cs="Courier New" w:eastAsia="Courier New" w:hAnsi="Courier New"/>
          <w:sz w:val="14"/>
          <w:szCs w:val="14"/>
          <w:color w:val="auto"/>
        </w:rPr>
        <w:t>600 N. CENTENNIAL STREET, ZEELAND, MICHIGAN (Address of principal executive offices)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49464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8" w:lineRule="exact"/>
        <w:rPr>
          <w:sz w:val="24"/>
          <w:szCs w:val="24"/>
          <w:color w:val="auto"/>
        </w:rPr>
      </w:pPr>
    </w:p>
    <w:p>
      <w:pPr>
        <w:sectPr>
          <w:pgSz w:w="11900" w:h="16838" w:orient="portrait"/>
          <w:cols w:equalWidth="0" w:num="2">
            <w:col w:w="4980" w:space="720"/>
            <w:col w:w="4539"/>
          </w:cols>
          <w:pgMar w:left="220" w:top="561" w:right="1440" w:bottom="1440" w:gutter="0" w:footer="0" w:header="0"/>
          <w:type w:val="continuous"/>
        </w:sectPr>
      </w:pPr>
    </w:p>
    <w:p>
      <w:pPr>
        <w:spacing w:after="0" w:line="128" w:lineRule="exact"/>
        <w:rPr>
          <w:sz w:val="24"/>
          <w:szCs w:val="24"/>
          <w:color w:val="auto"/>
        </w:rPr>
      </w:pPr>
    </w:p>
    <w:p>
      <w:pPr>
        <w:ind w:left="2900"/>
        <w:spacing w:after="0"/>
        <w:rPr>
          <w:sz w:val="20"/>
          <w:szCs w:val="20"/>
          <w:color w:val="auto"/>
        </w:rPr>
      </w:pPr>
      <w:r>
        <w:rPr>
          <w:rFonts w:ascii="Courier New" w:cs="Courier New" w:eastAsia="Courier New" w:hAnsi="Courier New"/>
          <w:sz w:val="14"/>
          <w:szCs w:val="14"/>
          <w:color w:val="auto"/>
        </w:rPr>
        <w:t>(616) 772-1800</w:t>
      </w:r>
    </w:p>
    <w:p>
      <w:pPr>
        <w:sectPr>
          <w:pgSz w:w="11900" w:h="16838" w:orient="portrait"/>
          <w:cols w:equalWidth="0" w:num="1">
            <w:col w:w="10239"/>
          </w:cols>
          <w:pgMar w:left="220" w:top="561" w:right="1440" w:bottom="1440" w:gutter="0" w:footer="0" w:header="0"/>
          <w:type w:val="continuous"/>
        </w:sectPr>
      </w:pPr>
    </w:p>
    <w:p>
      <w:pPr>
        <w:spacing w:after="0" w:line="10"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561" w:right="1440" w:bottom="1440" w:gutter="0" w:footer="0" w:header="0"/>
          <w:type w:val="continuous"/>
        </w:sectPr>
      </w:pPr>
    </w:p>
    <w:p>
      <w:pPr>
        <w:spacing w:after="0" w:line="341"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Title of each Class</w:t>
      </w:r>
    </w:p>
    <w:p>
      <w:pPr>
        <w:spacing w:after="0" w:line="3"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8" w:lineRule="exact"/>
        <w:rPr>
          <w:sz w:val="24"/>
          <w:szCs w:val="24"/>
          <w:color w:val="auto"/>
        </w:rPr>
      </w:pPr>
    </w:p>
    <w:p>
      <w:pPr>
        <w:sectPr>
          <w:pgSz w:w="11900" w:h="16838" w:orient="portrait"/>
          <w:cols w:equalWidth="0" w:num="2">
            <w:col w:w="2360" w:space="720"/>
            <w:col w:w="7159"/>
          </w:cols>
          <w:pgMar w:left="220" w:top="561" w:right="1440" w:bottom="1440" w:gutter="0" w:footer="0" w:header="0"/>
          <w:type w:val="continuous"/>
        </w:sectPr>
      </w:pPr>
    </w:p>
    <w:p>
      <w:pPr>
        <w:ind w:left="2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1" w:right="1440" w:bottom="1440" w:gutter="0" w:footer="0" w:header="0"/>
          <w:type w:val="continuous"/>
        </w:sectPr>
      </w:pP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COMMON STOCK, PAR VALUE $.06 PER SHARE</w:t>
      </w:r>
    </w:p>
    <w:p>
      <w:pPr>
        <w:jc w:val="center"/>
        <w:ind w:right="3239"/>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342"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61" w:right="1440" w:bottom="1440" w:gutter="0" w:footer="0" w:header="0"/>
          <w:type w:val="continuous"/>
        </w:sectPr>
      </w:pPr>
    </w:p>
    <w:p>
      <w:pPr>
        <w:ind w:left="800"/>
        <w:spacing w:after="0"/>
        <w:tabs>
          <w:tab w:leader="none" w:pos="1300" w:val="left"/>
          <w:tab w:leader="none" w:pos="2360"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4"/>
          <w:szCs w:val="14"/>
          <w:color w:val="auto"/>
        </w:rPr>
        <w:t>No:</w:t>
      </w:r>
    </w:p>
    <w:p>
      <w:pPr>
        <w:ind w:left="1140"/>
        <w:spacing w:after="0" w:line="236" w:lineRule="auto"/>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4"/>
          <w:szCs w:val="24"/>
          <w:color w:val="auto"/>
        </w:rPr>
      </w:pPr>
    </w:p>
    <w:p>
      <w:pPr>
        <w:sectPr>
          <w:pgSz w:w="11900" w:h="16838" w:orient="portrait"/>
          <w:cols w:equalWidth="0" w:num="2">
            <w:col w:w="2640" w:space="80"/>
            <w:col w:w="7519"/>
          </w:cols>
          <w:pgMar w:left="220" w:top="561"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March 1, 2002, 75,357,181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$2,205,906,779 computed at the closing price on that date.</w:t>
      </w:r>
    </w:p>
    <w:p>
      <w:pPr>
        <w:spacing w:after="0" w:line="175" w:lineRule="exact"/>
        <w:rPr>
          <w:sz w:val="24"/>
          <w:szCs w:val="24"/>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Portions of the Company's Proxy Statement for its 2002 Annual Meeting of Shareholders are incorporated by reference into Part III.</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Exhibit Index located at Page 31</w:t>
      </w:r>
    </w:p>
    <w:p>
      <w:pPr>
        <w:spacing w:after="0" w:line="335"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right="3239"/>
        <w:spacing w:after="0" w:line="236" w:lineRule="auto"/>
        <w:rPr>
          <w:sz w:val="20"/>
          <w:szCs w:val="20"/>
          <w:color w:val="auto"/>
        </w:rPr>
      </w:pPr>
      <w:r>
        <w:rPr>
          <w:rFonts w:ascii="Courier New" w:cs="Courier New" w:eastAsia="Courier New" w:hAnsi="Courier New"/>
          <w:sz w:val="15"/>
          <w:szCs w:val="15"/>
          <w:color w:val="auto"/>
        </w:rPr>
        <w:t>Statements in this Annual Report on Form 10-K which express "belief", "anticipation" or "expectation" as well as other statements which are not historical fact, such as availability and the impact of new technology, penetration of the automotive market, and foreign exchange rates, are forward-looking statements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DEVELOPMENT OF BUSINESS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Gentex Corporation (the "Company") designs, develops, manufactures and markets proprietary products employing electro-optic technology: automatic-dimming rearview mirrors and fire protection products.</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Night Vision Safety(TM) (NVS(R)) Mirror, an electrochromic automatic-dimming interior rearview mirror, providing the first successful commercial application of electrochromic technology in the automotive industry and world. Through the use of electrochromic technology, this mirror is continually variable and automatically darkens to the degree required to eliminate rearview headlight glare. In 1991, the Company introduced its exterior Night Vision Safety(TM) Mirror Sub-Assembly, which works as a complete glare-control system with the interior NVS(R) Mirror. In 1997, the Company began making volume shipments of three new exterior mirror sub-assembly products: thin glass flat, convex and aspheric.</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During 2001, the Company began shipments of its NVS(R) mirrors for a number of mid-sized, medium-priced vehicles, including the Toyota Camry, Ford Taurus, Mercury Sable, Volkswagen Passat, Jetta, Golf and Beetle, and Nissan Altima. The Company also began shipments of interior automatic-dimming mirrors with telematics functions to Ford for its Lincoln Town Car.</w:t>
      </w:r>
    </w:p>
    <w:p>
      <w:pPr>
        <w:spacing w:after="0" w:line="167"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See Note (8) to the Consolidated Financial Statements filed with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w:t>
      </w:r>
    </w:p>
    <w:p>
      <w:pPr>
        <w:spacing w:after="0" w:line="166"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spacing w:after="0" w:line="17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The Company currently manufactures electro-optic products, including automatic-dimming rearview mirrors for the automotive industry and fire protection products primarily for the commercial building industry.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AUTOMATIC-DIMMING REARVIEW MIRRORS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Interior NVS(R)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NVS(R) Mirror offers all of the continuous reflectance levels between its approximate 75%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624" w:right="1440" w:bottom="1440" w:gutter="0" w:footer="0" w:header="0"/>
        </w:sectPr>
      </w:pPr>
    </w:p>
    <w:bookmarkStart w:id="2" w:name="page3"/>
    <w:bookmarkEnd w:id="2"/>
    <w:p>
      <w:pPr>
        <w:ind w:right="4540" w:firstLine="787"/>
        <w:spacing w:after="0" w:line="237" w:lineRule="auto"/>
        <w:rPr>
          <w:sz w:val="20"/>
          <w:szCs w:val="20"/>
          <w:color w:val="auto"/>
        </w:rPr>
      </w:pPr>
      <w:r>
        <w:rPr>
          <w:rFonts w:ascii="Courier New" w:cs="Courier New" w:eastAsia="Courier New" w:hAnsi="Courier New"/>
          <w:sz w:val="15"/>
          <w:szCs w:val="15"/>
          <w:color w:val="auto"/>
        </w:rPr>
        <w:t>During 1991, the Company began shipping the first advanced-feature interior NVS(R) Mirror, the NVS(R) Headlamp Control Mirror, an automatic-dimming mirror that automatically turns car head- and taillamps "on" and "off" in response to the level of light observed. During 1993, the Company began shipping its NVS(R) Compass Mirror, with an electronic compass that automatically compensates for changes in the earth's magnetic field. During 1997, the Company began shipping a new interior NVS(R) Mirror that digitally displays either a compass or outside temperature reading. During 1998, the Company began shipping new compass mirrors with integral LED map lamps, a major improvement over mirrors with standard incandescent map lamps. At the beginning of 2000, the Company began shipping to General Motors interior NVS(R) Mirrors that serve as the driver interface for the OnStar(R) System, an in-vehicle safety, security and information service using Global Positioning System (GPS) satellite technology.</w:t>
      </w:r>
    </w:p>
    <w:p>
      <w:pPr>
        <w:spacing w:after="0" w:line="174" w:lineRule="exact"/>
        <w:rPr>
          <w:sz w:val="20"/>
          <w:szCs w:val="20"/>
          <w:color w:val="auto"/>
        </w:rPr>
      </w:pPr>
    </w:p>
    <w:p>
      <w:pPr>
        <w:ind w:right="4880" w:firstLine="787"/>
        <w:spacing w:after="0" w:line="261" w:lineRule="auto"/>
        <w:rPr>
          <w:sz w:val="20"/>
          <w:szCs w:val="20"/>
          <w:color w:val="auto"/>
        </w:rPr>
      </w:pPr>
      <w:r>
        <w:rPr>
          <w:rFonts w:ascii="Courier New" w:cs="Courier New" w:eastAsia="Courier New" w:hAnsi="Courier New"/>
          <w:sz w:val="14"/>
          <w:szCs w:val="14"/>
          <w:color w:val="auto"/>
        </w:rPr>
        <w:t>The Company sold approximately 4,008,000 interior NVS(R) Mirrors in 1999, approximately 4,609,000 in 2000, and approximately 5,000,000 in 2001.</w:t>
      </w:r>
    </w:p>
    <w:p>
      <w:pPr>
        <w:spacing w:after="0" w:line="160" w:lineRule="exact"/>
        <w:rPr>
          <w:sz w:val="20"/>
          <w:szCs w:val="20"/>
          <w:color w:val="auto"/>
        </w:rPr>
      </w:pPr>
    </w:p>
    <w:p>
      <w:pPr>
        <w:ind w:right="4700" w:firstLine="787"/>
        <w:spacing w:after="0" w:line="236" w:lineRule="auto"/>
        <w:rPr>
          <w:sz w:val="20"/>
          <w:szCs w:val="20"/>
          <w:color w:val="auto"/>
        </w:rPr>
      </w:pPr>
      <w:r>
        <w:rPr>
          <w:rFonts w:ascii="Courier New" w:cs="Courier New" w:eastAsia="Courier New" w:hAnsi="Courier New"/>
          <w:sz w:val="15"/>
          <w:szCs w:val="15"/>
          <w:color w:val="auto"/>
        </w:rPr>
        <w:t>During 2001, the Company began shipments of its NVS(R) Mirrors for a number of mid-sized, medium-priced vehicles, including the Toyota Camry, Ford Taurus, Mercury Sable, Volkswagen Passat, Jetta and Beetle, and Nissan Altima. The Company also began shipments of interior automatic-dimming mirrors with telematics functions to Ford for its Lincoln Town Car.</w:t>
      </w:r>
    </w:p>
    <w:p>
      <w:pPr>
        <w:spacing w:after="0" w:line="174" w:lineRule="exact"/>
        <w:rPr>
          <w:sz w:val="20"/>
          <w:szCs w:val="20"/>
          <w:color w:val="auto"/>
        </w:rPr>
      </w:pPr>
    </w:p>
    <w:p>
      <w:pPr>
        <w:ind w:right="4620" w:firstLine="787"/>
        <w:spacing w:after="0" w:line="236" w:lineRule="auto"/>
        <w:rPr>
          <w:sz w:val="20"/>
          <w:szCs w:val="20"/>
          <w:color w:val="auto"/>
        </w:rPr>
      </w:pPr>
      <w:r>
        <w:rPr>
          <w:rFonts w:ascii="Courier New" w:cs="Courier New" w:eastAsia="Courier New" w:hAnsi="Courier New"/>
          <w:sz w:val="15"/>
          <w:szCs w:val="15"/>
          <w:color w:val="auto"/>
        </w:rPr>
        <w:t>During 2001, the unit growth primarily resulted from increased penetration of light vehicles manufactured in Europe and Asia. The Company's interior NVS(R) Mirrors are standard equipment or factory or distributor/dealer-installed options on the following 2002 and 2002-1/2 vehicle models:</w:t>
      </w:r>
    </w:p>
    <w:p>
      <w:pPr>
        <w:spacing w:after="0" w:line="174" w:lineRule="exact"/>
        <w:rPr>
          <w:sz w:val="20"/>
          <w:szCs w:val="20"/>
          <w:color w:val="auto"/>
        </w:rPr>
      </w:pPr>
    </w:p>
    <w:p>
      <w:pPr>
        <w:ind w:right="4880"/>
        <w:spacing w:after="0" w:line="234" w:lineRule="auto"/>
        <w:rPr>
          <w:sz w:val="20"/>
          <w:szCs w:val="20"/>
          <w:color w:val="auto"/>
        </w:rPr>
      </w:pPr>
      <w:r>
        <w:rPr>
          <w:rFonts w:ascii="Courier New" w:cs="Courier New" w:eastAsia="Courier New" w:hAnsi="Courier New"/>
          <w:sz w:val="15"/>
          <w:szCs w:val="15"/>
          <w:color w:val="auto"/>
        </w:rPr>
        <w:t>TABLE 1. INTERIOR NVS(R) MIRROR AVAILABILITY BY VEHICLE LINE (NORTH AMERICAN MANUFACTURERS)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Deville / DHS / DTS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ECC/OS</w:t>
            </w:r>
          </w:p>
        </w:tc>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DaimlerChrysler /</w:t>
            </w:r>
          </w:p>
        </w:tc>
        <w:tc>
          <w:tcPr>
            <w:tcW w:w="2880" w:type="dxa"/>
            <w:vAlign w:val="bottom"/>
          </w:tcPr>
          <w:p>
            <w:pPr>
              <w:ind w:left="80"/>
              <w:spacing w:after="0"/>
              <w:rPr>
                <w:sz w:val="20"/>
                <w:szCs w:val="20"/>
                <w:color w:val="auto"/>
              </w:rPr>
            </w:pPr>
            <w:r>
              <w:rPr>
                <w:rFonts w:ascii="Courier New" w:cs="Courier New" w:eastAsia="Courier New" w:hAnsi="Courier New"/>
                <w:sz w:val="15"/>
                <w:szCs w:val="15"/>
                <w:color w:val="auto"/>
              </w:rPr>
              <w:t>300M</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Eldorado  ESC / ETC</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ECC/OS</w:t>
            </w: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Chrysler</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Concorde LX / Lxi /</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Limited</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Seville SLS / STS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OS*</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Sebring Convertible Lxi / Lxi</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EL</w:t>
            </w:r>
          </w:p>
        </w:tc>
      </w:tr>
      <w:tr>
        <w:trPr>
          <w:trHeight w:val="168"/>
        </w:trPr>
        <w:tc>
          <w:tcPr>
            <w:tcW w:w="1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Limited</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Escalade / EXT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ECC/T</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Town &amp; Country Limited</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EH</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GM/Buick</w:t>
            </w: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LeSabre Custom / Limited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OS*</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Prowler</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ECC/T/L</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Park Avenue / Ultra</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ECC/OS</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DaimlerChrysler /</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Dakota Pickup</w:t>
            </w:r>
          </w:p>
        </w:tc>
        <w:tc>
          <w:tcPr>
            <w:tcW w:w="86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GM/Oldsmobile</w:t>
            </w: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Aurora V6 / V8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ECC/OS</w:t>
            </w:r>
          </w:p>
        </w:tc>
        <w:tc>
          <w:tcPr>
            <w:tcW w:w="21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Dodge</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Durango SLT / RT</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Intrigue GLS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ECC/L/OS</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Grand Caravan ES / AWD</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EH</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GM/Pontiac</w:t>
            </w: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Bonneville SE / SLE / SSEi</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OS</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Intrepid ES / RT</w:t>
            </w:r>
          </w:p>
        </w:tc>
        <w:tc>
          <w:tcPr>
            <w:tcW w:w="86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GM/Chevrolet</w:t>
            </w: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Blazer</w:t>
            </w:r>
          </w:p>
        </w:tc>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Ram Pickup</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Corvette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DaimlerChrysler /</w:t>
            </w:r>
          </w:p>
        </w:tc>
        <w:tc>
          <w:tcPr>
            <w:tcW w:w="37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Cherokee Laredo/Limited/Overland</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Express Van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ECC/T</w:t>
            </w:r>
          </w:p>
        </w:tc>
        <w:tc>
          <w:tcPr>
            <w:tcW w:w="21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Jeep</w:t>
            </w:r>
          </w:p>
        </w:tc>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Silverado Pickup / Crew Cab LS/LT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ECC/T/OS</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DaimlerChrysler/</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ML 320 / 500 / 55</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Suburban 1500 / 2500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ECC/T</w:t>
            </w: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Mercedes-Benz</w:t>
            </w:r>
          </w:p>
        </w:tc>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Avalanche 1500 / 2500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ECC/T</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BMW</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X5</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Tahoe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ECC/T</w:t>
            </w:r>
          </w:p>
        </w:tc>
        <w:tc>
          <w:tcPr>
            <w:tcW w:w="49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Southeast Toyota /   4-Runner Limited / SR5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GM/GMC</w:t>
            </w: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Jimmy</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OS</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Gulf State Toyota /</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Avalon</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Savana Van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ECC/T</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Toyota Motor Sales</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Camry</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Sierra Pickup / Crew Cab SLE/SLT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ECC/T/OS</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Celica</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ECC/T</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Yukon / XL / Denali</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ECC/T</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Tundra</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Ford</w:t>
            </w: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Crown Victoria LX</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RAV4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ECC/T</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Taurus SES / SEL / SE Wagon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Sienna</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ECC/T</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Expedition Eddie Bauer / XLT</w:t>
            </w:r>
          </w:p>
        </w:tc>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Solara</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ECC/T</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F150 Lariat / King Ranch</w:t>
            </w:r>
          </w:p>
        </w:tc>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Highlander Limited</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ECC/T</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Windstar SE / SEL / Limited</w:t>
            </w:r>
          </w:p>
        </w:tc>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Sequoia</w:t>
            </w:r>
          </w:p>
        </w:tc>
        <w:tc>
          <w:tcPr>
            <w:tcW w:w="86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Ford/Lincoln</w:t>
            </w: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LS V6 / V8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Subaru /</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Forester</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ECC/T</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Continental</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ECC/L</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New England Dist.</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Impreza</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ECC/L</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Navigator</w:t>
            </w:r>
          </w:p>
        </w:tc>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Legacy / Outback</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ECC/L</w:t>
            </w: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Town Car/Cartier/Executive/Signature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TM</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Toyota</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Avalon</w:t>
            </w:r>
          </w:p>
        </w:tc>
        <w:tc>
          <w:tcPr>
            <w:tcW w:w="86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Ford/Mercury</w:t>
            </w: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Grand Marquis LS / LSE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Camry Solara</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Sable GS Plus / LS Premium</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ECC</w:t>
            </w: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Camry</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w:t>
            </w:r>
          </w:p>
        </w:tc>
      </w:tr>
      <w:tr>
        <w:trPr>
          <w:trHeight w:val="168"/>
        </w:trPr>
        <w:tc>
          <w:tcPr>
            <w:tcW w:w="1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Sienna</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w:t>
            </w:r>
          </w:p>
        </w:tc>
      </w:tr>
      <w:tr>
        <w:trPr>
          <w:trHeight w:val="168"/>
        </w:trPr>
        <w:tc>
          <w:tcPr>
            <w:tcW w:w="1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Volkswagon</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Beetle GLX / Turbo S</w:t>
            </w:r>
          </w:p>
        </w:tc>
        <w:tc>
          <w:tcPr>
            <w:tcW w:w="8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Nissan</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Altima</w:t>
            </w:r>
          </w:p>
        </w:tc>
        <w:tc>
          <w:tcPr>
            <w:tcW w:w="86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3360" w:type="dxa"/>
            <w:vAlign w:val="bottom"/>
          </w:tcPr>
          <w:p>
            <w:pPr>
              <w:ind w:left="2000"/>
              <w:spacing w:after="0"/>
              <w:rPr>
                <w:sz w:val="20"/>
                <w:szCs w:val="20"/>
                <w:color w:val="auto"/>
              </w:rPr>
            </w:pPr>
            <w:r>
              <w:rPr>
                <w:rFonts w:ascii="Courier New" w:cs="Courier New" w:eastAsia="Courier New" w:hAnsi="Courier New"/>
                <w:sz w:val="15"/>
                <w:szCs w:val="15"/>
                <w:color w:val="auto"/>
              </w:rPr>
              <w:t>- 3 -</w:t>
            </w: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540"/>
          </w:cols>
          <w:pgMar w:left="220" w:top="624" w:right="139" w:bottom="1440" w:gutter="0" w:footer="0" w:header="0"/>
        </w:sectPr>
      </w:pPr>
    </w:p>
    <w:bookmarkStart w:id="3" w:name="page4"/>
    <w:bookmarkEnd w:id="3"/>
    <w:p>
      <w:pPr>
        <w:ind w:right="5080"/>
        <w:spacing w:after="0" w:line="234" w:lineRule="auto"/>
        <w:rPr>
          <w:sz w:val="20"/>
          <w:szCs w:val="20"/>
          <w:color w:val="auto"/>
        </w:rPr>
      </w:pPr>
      <w:r>
        <w:rPr>
          <w:rFonts w:ascii="Courier New" w:cs="Courier New" w:eastAsia="Courier New" w:hAnsi="Courier New"/>
          <w:sz w:val="15"/>
          <w:szCs w:val="15"/>
          <w:color w:val="auto"/>
        </w:rPr>
        <w:t>TABLE 1. INTERIOR NVS(R) MIRROR AVAILABILITY BY VEHICLE LINE - CONTINUED (MANUFACTURERS OUTSIDE OF NORTH AMERICA)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Audi</w:t>
            </w:r>
          </w:p>
        </w:tc>
        <w:tc>
          <w:tcPr>
            <w:tcW w:w="2320" w:type="dxa"/>
            <w:vAlign w:val="bottom"/>
          </w:tcPr>
          <w:p>
            <w:pPr>
              <w:ind w:left="140"/>
              <w:spacing w:after="0"/>
              <w:rPr>
                <w:sz w:val="20"/>
                <w:szCs w:val="20"/>
                <w:color w:val="auto"/>
              </w:rPr>
            </w:pPr>
            <w:r>
              <w:rPr>
                <w:rFonts w:ascii="Courier New" w:cs="Courier New" w:eastAsia="Courier New" w:hAnsi="Courier New"/>
                <w:sz w:val="15"/>
                <w:szCs w:val="15"/>
                <w:color w:val="auto"/>
              </w:rPr>
              <w:t>A4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ECC</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w w:val="93"/>
              </w:rPr>
              <w:t>Mitsubishi</w:t>
            </w:r>
          </w:p>
        </w:tc>
        <w:tc>
          <w:tcPr>
            <w:tcW w:w="880" w:type="dxa"/>
            <w:vAlign w:val="bottom"/>
          </w:tcPr>
          <w:p>
            <w:pPr>
              <w:spacing w:after="0"/>
              <w:rPr>
                <w:sz w:val="14"/>
                <w:szCs w:val="14"/>
                <w:color w:val="auto"/>
              </w:rPr>
            </w:pPr>
          </w:p>
        </w:tc>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Montero Sport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ECC/T</w:t>
            </w: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ECC</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Magna Verada</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A8</w:t>
            </w:r>
          </w:p>
        </w:tc>
        <w:tc>
          <w:tcPr>
            <w:tcW w:w="1140" w:type="dxa"/>
            <w:vAlign w:val="bottom"/>
          </w:tcPr>
          <w:p>
            <w:pPr>
              <w:spacing w:after="0"/>
              <w:rPr>
                <w:sz w:val="14"/>
                <w:szCs w:val="14"/>
                <w:color w:val="auto"/>
              </w:rPr>
            </w:pP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Nissan</w:t>
            </w: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Cedric</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S8</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Cima</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Bentley</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Bentley</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RKE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Gloria</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Continental / 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RKE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Maxima</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BMW</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700 Series</w:t>
            </w:r>
          </w:p>
        </w:tc>
        <w:tc>
          <w:tcPr>
            <w:tcW w:w="114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Rolls Royce</w:t>
            </w: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Arnage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RKE</w:t>
            </w: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500 Series</w:t>
            </w:r>
          </w:p>
        </w:tc>
        <w:tc>
          <w:tcPr>
            <w:tcW w:w="1140" w:type="dxa"/>
            <w:vAlign w:val="bottom"/>
          </w:tcPr>
          <w:p>
            <w:pPr>
              <w:spacing w:after="0"/>
              <w:rPr>
                <w:sz w:val="14"/>
                <w:szCs w:val="14"/>
                <w:color w:val="auto"/>
              </w:rPr>
            </w:pP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Saab</w:t>
            </w: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9-5</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300 Series</w:t>
            </w:r>
          </w:p>
        </w:tc>
        <w:tc>
          <w:tcPr>
            <w:tcW w:w="1140" w:type="dxa"/>
            <w:vAlign w:val="bottom"/>
          </w:tcPr>
          <w:p>
            <w:pPr>
              <w:spacing w:after="0"/>
              <w:rPr>
                <w:sz w:val="14"/>
                <w:szCs w:val="14"/>
                <w:color w:val="auto"/>
              </w:rPr>
            </w:pP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Samsung</w:t>
            </w: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SM5</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Daewoo/Ssangyong</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Chairman</w:t>
            </w:r>
          </w:p>
        </w:tc>
        <w:tc>
          <w:tcPr>
            <w:tcW w:w="1140" w:type="dxa"/>
            <w:vAlign w:val="bottom"/>
          </w:tcPr>
          <w:p>
            <w:pPr>
              <w:spacing w:after="0"/>
              <w:rPr>
                <w:sz w:val="14"/>
                <w:szCs w:val="14"/>
                <w:color w:val="auto"/>
              </w:rPr>
            </w:pP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Toyota</w:t>
            </w: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Land Cruiser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w:t>
            </w: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Korando</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Camry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w:t>
            </w: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Musso</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Cynus</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Rexton</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Celsior</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Istana</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Windom</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Fiat</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Alfa Romeo</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Century</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Lancia Thesis</w:t>
            </w:r>
          </w:p>
        </w:tc>
        <w:tc>
          <w:tcPr>
            <w:tcW w:w="114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Toyota (Taiwan)</w:t>
            </w: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Camry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ECC</w:t>
            </w: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Lancia Lybra</w:t>
            </w:r>
          </w:p>
        </w:tc>
        <w:tc>
          <w:tcPr>
            <w:tcW w:w="1140" w:type="dxa"/>
            <w:vAlign w:val="bottom"/>
          </w:tcPr>
          <w:p>
            <w:pPr>
              <w:spacing w:after="0"/>
              <w:rPr>
                <w:sz w:val="14"/>
                <w:szCs w:val="14"/>
                <w:color w:val="auto"/>
              </w:rPr>
            </w:pP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Volkswagon</w:t>
            </w: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Polo</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Fiat (Brazil)</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Marea</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Golf GTI</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(Europe)</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Mondeo</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Jetta GLX</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(Taiwan)</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Mondeo</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EH</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Passat GLX</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 Jaguar</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XK8 -- X100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EH</w:t>
            </w: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Yulon Motors</w:t>
            </w:r>
          </w:p>
        </w:tc>
        <w:tc>
          <w:tcPr>
            <w:tcW w:w="3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Cefiro</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Ford / Land Rover</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Discovery</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ECC/HL</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Range Rover P38</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Range Rover L32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HL</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GM (Brazil)</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Vectra</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GM (China)</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Buick Century/Regal</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ECC/L</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Hyundai</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Dynasty</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Grandeur XG</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EF Sonata</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Santa Fe</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Avante XD</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Equus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Tuscani</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Terracan</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KEY:</w:t>
            </w: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Starex</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Infiniti</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Q45</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  ECC offered as upgrade option</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ECC</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G35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HL</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Kia Motors Corp.</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Enterprise</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NVS(R) MIRROR</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WITH:</w:t>
            </w: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Optima</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EH = Automatic Headlamp Control</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Carens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EL = Map Lights</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Lexus</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IS300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ECC = Electronic Compass Display</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ES300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ECC/L = Electronic Compass Display with Map Lights</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GS300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ECC/T = Electronic Compass and Temperature Display</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GS430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ECC/T/L =</w:t>
            </w:r>
          </w:p>
        </w:tc>
        <w:tc>
          <w:tcPr>
            <w:tcW w:w="3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Electronic Compass and Temperature Display</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LS430</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with Map Lights</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RX300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RKE = Remote Keyless Entry</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LX470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OS = OnStar(R)</w:t>
            </w: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SC430</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TM = Telematics</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MG Rover</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75R40</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HL = HomeLink(R)</w:t>
            </w:r>
          </w:p>
        </w:tc>
        <w:tc>
          <w:tcPr>
            <w:tcW w:w="4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  /</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 Class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Mercedes-Benz</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 230/240/320/32 AMG</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CL 500/55 AMG/600</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CLK 320/430/55 AMG</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 320/430/55 AMG</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 430/500/55 AMG/600</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SL  500/600</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SLK 230/320/32 AMG</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41"/>
        </w:trPr>
        <w:tc>
          <w:tcPr>
            <w:tcW w:w="1800" w:type="dxa"/>
            <w:vAlign w:val="bottom"/>
          </w:tcPr>
          <w:p>
            <w:pPr>
              <w:spacing w:after="0"/>
              <w:rPr>
                <w:sz w:val="24"/>
                <w:szCs w:val="24"/>
                <w:color w:val="auto"/>
              </w:rPr>
            </w:pPr>
          </w:p>
        </w:tc>
        <w:tc>
          <w:tcPr>
            <w:tcW w:w="2320" w:type="dxa"/>
            <w:vAlign w:val="bottom"/>
          </w:tcPr>
          <w:p>
            <w:pPr>
              <w:ind w:left="1440"/>
              <w:spacing w:after="0"/>
              <w:rPr>
                <w:sz w:val="20"/>
                <w:szCs w:val="20"/>
                <w:color w:val="auto"/>
              </w:rPr>
            </w:pPr>
            <w:r>
              <w:rPr>
                <w:rFonts w:ascii="Courier New" w:cs="Courier New" w:eastAsia="Courier New" w:hAnsi="Courier New"/>
                <w:sz w:val="15"/>
                <w:szCs w:val="15"/>
                <w:color w:val="auto"/>
              </w:rPr>
              <w:t>- 4 -</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380"/>
          </w:cols>
          <w:pgMar w:left="220" w:top="455" w:right="299" w:bottom="1440" w:gutter="0" w:footer="0" w:header="0"/>
        </w:sectPr>
      </w:pPr>
    </w:p>
    <w:bookmarkStart w:id="4" w:name="page5"/>
    <w:bookmarkEnd w:id="4"/>
    <w:p>
      <w:pPr>
        <w:ind w:right="4200" w:firstLine="787"/>
        <w:spacing w:after="0" w:line="254" w:lineRule="auto"/>
        <w:rPr>
          <w:sz w:val="20"/>
          <w:szCs w:val="20"/>
          <w:color w:val="auto"/>
        </w:rPr>
      </w:pPr>
      <w:r>
        <w:rPr>
          <w:rFonts w:ascii="Courier New" w:cs="Courier New" w:eastAsia="Courier New" w:hAnsi="Courier New"/>
          <w:sz w:val="14"/>
          <w:szCs w:val="14"/>
          <w:color w:val="auto"/>
        </w:rPr>
        <w:t>Exterior NVS(R) Mirror Sub-Assemblies. The Company has devoted substantial research and development efforts to the development of its electrochromic technology to permit its use in exterior rearview mirrors. Exterior NVS(R) mirrors are controlled by the sensors and electronic circuitry in the interior NVS(R) Mirror, and both the interior and exterior mirrors dim simultaneously. During 1991, the Company's efforts culminated in a design that is intended to provide acceptable long-term performance in all environments likely to be encountered. In 1994, the Company began shipments of its complete three-mirror system, including the convex (curved glass) wide-angle NVS(R) Mirror to BMW. During 1997, the Company began making volume shipments of three new exterior mirror products - - thin glass flat, convex and aspheric. During 2001, the Company began shipments of the world's first exterior automatic-dimming mirrors with built-in turn-signal indicators to Southeast Toyota. The Company currently sells its exterior NVS(R) Mirror Sub-Assemblies to exterior mirror suppliers of General Motors, DaimlerChrysler, Ford, Audi, BMW, Fiat, Infiniti and Mitsubishi, who assemble the exterior NVS(R) Mirror Sub-Assemblies into full mirror units for subsequent resale to the automakers.</w:t>
      </w:r>
    </w:p>
    <w:p>
      <w:pPr>
        <w:spacing w:after="0" w:line="174" w:lineRule="exact"/>
        <w:rPr>
          <w:sz w:val="20"/>
          <w:szCs w:val="20"/>
          <w:color w:val="auto"/>
        </w:rPr>
      </w:pPr>
    </w:p>
    <w:p>
      <w:pPr>
        <w:ind w:right="4360" w:firstLine="787"/>
        <w:spacing w:after="0" w:line="235" w:lineRule="auto"/>
        <w:rPr>
          <w:sz w:val="20"/>
          <w:szCs w:val="20"/>
          <w:color w:val="auto"/>
        </w:rPr>
      </w:pPr>
      <w:r>
        <w:rPr>
          <w:rFonts w:ascii="Courier New" w:cs="Courier New" w:eastAsia="Courier New" w:hAnsi="Courier New"/>
          <w:sz w:val="15"/>
          <w:szCs w:val="15"/>
          <w:color w:val="auto"/>
        </w:rPr>
        <w:t>The Company sold approximately 1,952,000 exterior NVS(R) Mirror Sub-Assemblies during 1999, approximately 2,148,000 in 2000, and approximately 2,181,000 in 2001. During 2001, unit growth primarily resulted from the increased penetration of light vehicles in Asia.</w:t>
      </w:r>
    </w:p>
    <w:p>
      <w:pPr>
        <w:spacing w:after="0" w:line="175" w:lineRule="exact"/>
        <w:rPr>
          <w:sz w:val="20"/>
          <w:szCs w:val="20"/>
          <w:color w:val="auto"/>
        </w:rPr>
      </w:pPr>
    </w:p>
    <w:p>
      <w:pPr>
        <w:ind w:right="4200" w:firstLine="787"/>
        <w:spacing w:after="0" w:line="234" w:lineRule="auto"/>
        <w:rPr>
          <w:sz w:val="20"/>
          <w:szCs w:val="20"/>
          <w:color w:val="auto"/>
        </w:rPr>
      </w:pPr>
      <w:r>
        <w:rPr>
          <w:rFonts w:ascii="Courier New" w:cs="Courier New" w:eastAsia="Courier New" w:hAnsi="Courier New"/>
          <w:sz w:val="15"/>
          <w:szCs w:val="15"/>
          <w:color w:val="auto"/>
        </w:rPr>
        <w:t>The exterior NVS(R) Mirror is standard equipment or a factory-installed option on the following 2002 and 2002- 1/2 vehicle models:</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TABLE 2.</w:t>
      </w:r>
      <w:r>
        <w:rPr>
          <w:sz w:val="20"/>
          <w:szCs w:val="20"/>
          <w:color w:val="auto"/>
        </w:rPr>
        <w:tab/>
      </w:r>
      <w:r>
        <w:rPr>
          <w:rFonts w:ascii="Courier New" w:cs="Courier New" w:eastAsia="Courier New" w:hAnsi="Courier New"/>
          <w:sz w:val="14"/>
          <w:szCs w:val="14"/>
          <w:color w:val="auto"/>
        </w:rPr>
        <w:t>EXTERIOR NVS(R) MIRROR AVAILABILITY BY VEHICLE LINE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2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Deville/DHS/DTS</w:t>
            </w:r>
          </w:p>
        </w:tc>
        <w:tc>
          <w:tcPr>
            <w:tcW w:w="1000" w:type="dxa"/>
            <w:vAlign w:val="bottom"/>
          </w:tcPr>
          <w:p>
            <w:pPr>
              <w:spacing w:after="0"/>
              <w:rPr>
                <w:sz w:val="14"/>
                <w:szCs w:val="14"/>
                <w:color w:val="auto"/>
              </w:rPr>
            </w:pPr>
          </w:p>
        </w:tc>
        <w:tc>
          <w:tcPr>
            <w:tcW w:w="2400" w:type="dxa"/>
            <w:vAlign w:val="bottom"/>
          </w:tcPr>
          <w:p>
            <w:pPr>
              <w:ind w:left="300"/>
              <w:spacing w:after="0"/>
              <w:rPr>
                <w:sz w:val="20"/>
                <w:szCs w:val="20"/>
                <w:color w:val="auto"/>
              </w:rPr>
            </w:pPr>
            <w:r>
              <w:rPr>
                <w:rFonts w:ascii="Courier New" w:cs="Courier New" w:eastAsia="Courier New" w:hAnsi="Courier New"/>
                <w:sz w:val="15"/>
                <w:szCs w:val="15"/>
                <w:color w:val="auto"/>
              </w:rPr>
              <w:t>Bentley</w:t>
            </w:r>
          </w:p>
        </w:tc>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Bentley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F/C/A</w:t>
            </w: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Eldorado ESC/ETC</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Continental / R</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F/C/A</w:t>
            </w: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Escalade/EXT</w:t>
            </w:r>
          </w:p>
        </w:tc>
        <w:tc>
          <w:tcPr>
            <w:tcW w:w="1000" w:type="dxa"/>
            <w:vAlign w:val="bottom"/>
          </w:tcPr>
          <w:p>
            <w:pPr>
              <w:spacing w:after="0"/>
              <w:rPr>
                <w:sz w:val="14"/>
                <w:szCs w:val="14"/>
                <w:color w:val="auto"/>
              </w:rPr>
            </w:pP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DaimlerChrysler /</w:t>
            </w:r>
          </w:p>
        </w:tc>
        <w:tc>
          <w:tcPr>
            <w:tcW w:w="23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Seville SLS/STS</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w:t>
            </w:r>
          </w:p>
        </w:tc>
        <w:tc>
          <w:tcPr>
            <w:tcW w:w="24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Mercedes- Benz</w:t>
            </w: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 230/240/320/32 AMG</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GM / Buick</w:t>
            </w: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Century Limited</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 500/55 AMG/600</w:t>
            </w:r>
          </w:p>
        </w:tc>
        <w:tc>
          <w:tcPr>
            <w:tcW w:w="8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Regal LS/GS</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CLK 320/430/55 AMG</w:t>
            </w:r>
          </w:p>
        </w:tc>
        <w:tc>
          <w:tcPr>
            <w:tcW w:w="8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LeSabre Limited</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  320/430/55 AMG</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w:t>
            </w: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Park Avenue/Ultra</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ML320/500/55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GM / Chevrolet</w:t>
            </w: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Blazer</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 430/500/55 AMG/600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w:t>
            </w:r>
          </w:p>
        </w:tc>
      </w:tr>
      <w:tr>
        <w:trPr>
          <w:trHeight w:val="168"/>
        </w:trPr>
        <w:tc>
          <w:tcPr>
            <w:tcW w:w="2100" w:type="dxa"/>
            <w:vAlign w:val="bottom"/>
          </w:tcPr>
          <w:p>
            <w:pPr>
              <w:spacing w:after="0"/>
              <w:rPr>
                <w:sz w:val="14"/>
                <w:szCs w:val="14"/>
                <w:color w:val="auto"/>
              </w:rPr>
            </w:pP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Corvette</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SL 500/600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w:t>
            </w: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Suburban 1500/2500</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SLK 230/320/32 AMG</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w:t>
            </w:r>
          </w:p>
        </w:tc>
      </w:tr>
      <w:tr>
        <w:trPr>
          <w:trHeight w:val="168"/>
        </w:trPr>
        <w:tc>
          <w:tcPr>
            <w:tcW w:w="2100" w:type="dxa"/>
            <w:vAlign w:val="bottom"/>
          </w:tcPr>
          <w:p>
            <w:pPr>
              <w:spacing w:after="0"/>
              <w:rPr>
                <w:sz w:val="14"/>
                <w:szCs w:val="14"/>
                <w:color w:val="auto"/>
              </w:rPr>
            </w:pP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Tahoe</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Fiat</w:t>
            </w: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Lancia Thesis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Avalanche 1500/2500</w:t>
            </w:r>
          </w:p>
        </w:tc>
        <w:tc>
          <w:tcPr>
            <w:tcW w:w="1000" w:type="dxa"/>
            <w:vAlign w:val="bottom"/>
          </w:tcPr>
          <w:p>
            <w:pPr>
              <w:spacing w:after="0"/>
              <w:rPr>
                <w:sz w:val="14"/>
                <w:szCs w:val="14"/>
                <w:color w:val="auto"/>
              </w:rPr>
            </w:pP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Ford / Jaguar</w:t>
            </w: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XJ / X300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GM / GMC</w:t>
            </w: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Sierra Denali</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XK8 / X100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Yukon / Denali / XL</w:t>
            </w:r>
          </w:p>
        </w:tc>
        <w:tc>
          <w:tcPr>
            <w:tcW w:w="1000" w:type="dxa"/>
            <w:vAlign w:val="bottom"/>
          </w:tcPr>
          <w:p>
            <w:pPr>
              <w:spacing w:after="0"/>
              <w:rPr>
                <w:sz w:val="14"/>
                <w:szCs w:val="14"/>
                <w:color w:val="auto"/>
              </w:rPr>
            </w:pP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Ford / Land Rover</w:t>
            </w: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Range Rover L32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F/C/A</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Ford/Lincoln</w:t>
            </w: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Continental</w:t>
            </w:r>
          </w:p>
        </w:tc>
        <w:tc>
          <w:tcPr>
            <w:tcW w:w="1000" w:type="dxa"/>
            <w:vAlign w:val="bottom"/>
          </w:tcPr>
          <w:p>
            <w:pPr>
              <w:spacing w:after="0"/>
              <w:rPr>
                <w:sz w:val="14"/>
                <w:szCs w:val="14"/>
                <w:color w:val="auto"/>
              </w:rPr>
            </w:pP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Infiniti</w:t>
            </w: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Q45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F/C</w:t>
            </w: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Town Car / Cartier /</w:t>
            </w:r>
          </w:p>
        </w:tc>
        <w:tc>
          <w:tcPr>
            <w:tcW w:w="1000" w:type="dxa"/>
            <w:vAlign w:val="bottom"/>
          </w:tcPr>
          <w:p>
            <w:pPr>
              <w:spacing w:after="0"/>
              <w:rPr>
                <w:sz w:val="14"/>
                <w:szCs w:val="14"/>
                <w:color w:val="auto"/>
              </w:rPr>
            </w:pP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Mitsubishi</w:t>
            </w: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Magna Verada</w:t>
            </w:r>
          </w:p>
        </w:tc>
        <w:tc>
          <w:tcPr>
            <w:tcW w:w="8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Executive /</w:t>
            </w:r>
          </w:p>
        </w:tc>
        <w:tc>
          <w:tcPr>
            <w:tcW w:w="1000" w:type="dxa"/>
            <w:vAlign w:val="bottom"/>
          </w:tcPr>
          <w:p>
            <w:pPr>
              <w:spacing w:after="0"/>
              <w:rPr>
                <w:sz w:val="14"/>
                <w:szCs w:val="14"/>
                <w:color w:val="auto"/>
              </w:rPr>
            </w:pP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Nissan</w:t>
            </w: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Cima</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r>
      <w:tr>
        <w:trPr>
          <w:trHeight w:val="168"/>
        </w:trPr>
        <w:tc>
          <w:tcPr>
            <w:tcW w:w="2100" w:type="dxa"/>
            <w:vAlign w:val="bottom"/>
          </w:tcPr>
          <w:p>
            <w:pPr>
              <w:spacing w:after="0"/>
              <w:rPr>
                <w:sz w:val="14"/>
                <w:szCs w:val="14"/>
                <w:color w:val="auto"/>
              </w:rPr>
            </w:pP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Signature</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w:t>
            </w: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Town &amp; Country Limited</w:t>
            </w:r>
          </w:p>
        </w:tc>
        <w:tc>
          <w:tcPr>
            <w:tcW w:w="1000" w:type="dxa"/>
            <w:vAlign w:val="bottom"/>
          </w:tcPr>
          <w:p>
            <w:pPr>
              <w:spacing w:after="0"/>
              <w:rPr>
                <w:sz w:val="14"/>
                <w:szCs w:val="14"/>
                <w:color w:val="auto"/>
              </w:rPr>
            </w:pP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Rolls Royce</w:t>
            </w: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Arnage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F/C/A</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Chrysler</w:t>
            </w: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300 M</w:t>
            </w:r>
          </w:p>
        </w:tc>
        <w:tc>
          <w:tcPr>
            <w:tcW w:w="140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w:t>
            </w: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Toyota Motor Sales</w:t>
            </w:r>
          </w:p>
        </w:tc>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Sequoia</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F/C</w:t>
            </w: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Concorde Limited</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w:t>
            </w: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DaimlerChrysler/Dodge</w:t>
            </w: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Durango SLT / RT</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DaimlerChrysler/Jeep</w:t>
            </w: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Grand Cherokee Limited</w:t>
            </w:r>
          </w:p>
        </w:tc>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Overland</w:t>
            </w:r>
          </w:p>
        </w:tc>
        <w:tc>
          <w:tcPr>
            <w:tcW w:w="1000" w:type="dxa"/>
            <w:vAlign w:val="bottom"/>
          </w:tcPr>
          <w:p>
            <w:pPr>
              <w:spacing w:after="0"/>
              <w:rPr>
                <w:sz w:val="14"/>
                <w:szCs w:val="14"/>
                <w:color w:val="auto"/>
              </w:rPr>
            </w:pPr>
          </w:p>
        </w:tc>
        <w:tc>
          <w:tcPr>
            <w:tcW w:w="2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KEY:</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Audi</w:t>
            </w: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A3</w:t>
            </w:r>
          </w:p>
        </w:tc>
        <w:tc>
          <w:tcPr>
            <w:tcW w:w="140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F/C/A</w:t>
            </w:r>
          </w:p>
        </w:tc>
        <w:tc>
          <w:tcPr>
            <w:tcW w:w="2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 = Aspheric Glass</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A6</w:t>
            </w:r>
          </w:p>
        </w:tc>
        <w:tc>
          <w:tcPr>
            <w:tcW w:w="140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F/C/A</w:t>
            </w:r>
          </w:p>
        </w:tc>
        <w:tc>
          <w:tcPr>
            <w:tcW w:w="47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F = Flat Glass (unless otherwise</w:t>
            </w:r>
          </w:p>
        </w:tc>
        <w:tc>
          <w:tcPr>
            <w:tcW w:w="8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A8</w:t>
            </w:r>
          </w:p>
        </w:tc>
        <w:tc>
          <w:tcPr>
            <w:tcW w:w="140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F/C/A</w:t>
            </w:r>
          </w:p>
        </w:tc>
        <w:tc>
          <w:tcPr>
            <w:tcW w:w="2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indicated)</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S8</w:t>
            </w:r>
          </w:p>
        </w:tc>
        <w:tc>
          <w:tcPr>
            <w:tcW w:w="140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F/C/A</w:t>
            </w:r>
          </w:p>
        </w:tc>
        <w:tc>
          <w:tcPr>
            <w:tcW w:w="2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 = Convex Glass</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700 Series</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F/C/A</w:t>
            </w: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BMW</w:t>
            </w:r>
          </w:p>
        </w:tc>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500 Series</w:t>
            </w: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F/C/A</w:t>
            </w: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X5</w:t>
            </w:r>
          </w:p>
        </w:tc>
        <w:tc>
          <w:tcPr>
            <w:tcW w:w="140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F/C/A</w:t>
            </w: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4200" w:firstLine="787"/>
        <w:spacing w:after="0" w:line="236" w:lineRule="auto"/>
        <w:rPr>
          <w:sz w:val="20"/>
          <w:szCs w:val="20"/>
          <w:color w:val="auto"/>
        </w:rPr>
      </w:pPr>
      <w:r>
        <w:rPr>
          <w:rFonts w:ascii="Courier New" w:cs="Courier New" w:eastAsia="Courier New" w:hAnsi="Courier New"/>
          <w:sz w:val="15"/>
          <w:szCs w:val="15"/>
          <w:color w:val="auto"/>
        </w:rPr>
        <w:t>Product Development. The Company plans to continue introducing additional advanced-feature NVS(R) Mirrors. Advanced-feature NVS(R) Mirrors currently being offered by the Company include the NVS(R) Headlamp Control Mirror, the NVS(R) Lighted Mirror with LED map lamps, the NVS(R) Compass Mirror, the NVS(R) Mirror with Remote Keyless Entry, the NVS(R) Compass/Temperature Mirror, the NVS(R) Dual Display Compass/Temperature Mirror, the NVS(R) telematics mirrors and the NVS(R)</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1200"/>
          </w:cols>
          <w:pgMar w:left="220" w:top="624" w:right="479" w:bottom="1440" w:gutter="0" w:footer="0" w:header="0"/>
        </w:sectPr>
      </w:pPr>
    </w:p>
    <w:bookmarkStart w:id="5" w:name="page6"/>
    <w:bookmarkEnd w:id="5"/>
    <w:p>
      <w:pPr>
        <w:ind w:right="3319"/>
        <w:spacing w:after="0" w:line="255" w:lineRule="auto"/>
        <w:rPr>
          <w:sz w:val="20"/>
          <w:szCs w:val="20"/>
          <w:color w:val="auto"/>
        </w:rPr>
      </w:pPr>
      <w:r>
        <w:rPr>
          <w:rFonts w:ascii="Courier New" w:cs="Courier New" w:eastAsia="Courier New" w:hAnsi="Courier New"/>
          <w:sz w:val="14"/>
          <w:szCs w:val="14"/>
          <w:color w:val="auto"/>
        </w:rPr>
        <w:t>HomeLink(R) Mirror. During 2001, the Company announced a revolutionary new technology, called SmartBeam(TM), using a custom, active-pixel, CMOS (complementary metal oxide semiconductor) sensor, that maximizes a driver's forward vision by significantly improving utilization of the vehicle's highbeam headlamps during nighttime driving. The Company has received product planning commitments from two major automotive OEM customers for certain 2004 1/2 and 2005 model year vehicles. In addition, the Company announced a new ALS (Active Light Sensor) technology as a cost-effective, improved-performance, intelligent CMOS light sensor to control the dimming of its rearview mirrors.</w:t>
      </w:r>
    </w:p>
    <w:p>
      <w:pPr>
        <w:spacing w:after="0" w:line="165"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Also during 2001, the Company developed a new microphone designed specifically for use in the automotive environment for telematics applications.</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Of particular importance to the Company has been the development of its electrochromic technology for use in complete 3-mirror systems. In these systems, both the driver and passenger-side exterior NVS(R) Mirrors are controlled by the sensors and electronic circuitry in the interior rearview mirror, and the interior and both exterior mirrors dim simultaneously.</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At the end of 1999, the Company announced the development of the second generation of its LED technology, which represents the first time that white light for illumination purposes can be achieved using high intensity LEDs on a cost-effective basis. LEDs as illuminators could have significant automotive and non-automotive lighting applications as they have many advantages over incandescent lamps, including extremely long life, low heat generation, lower current draw, more resistance to shock, and lower total cost of ownership. In the fourth quarter of 2001, the Company installed a new prototype microelectronics line to produce pilot production LED samples, which are currently undergoing internal testing and validation and which should be available to key customers and partners during the first half of 2002. Strategic discussions with potential alliance partners in the lighting industry, LED component industry and LED chip industry are continuing, with some small licensing revenues possible beginning in 2002.</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Progress in adapting electrochromic technology to the specialized requirements of the window market continued in 2001. However, achieving the rigorous performance standards needed for launching a commercial product still could require several years of additional development work.</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Markets and Marketing. The Company markets its automatic rearview mirrors to domestic and foreign automotive manufacturers under the trademarks "Night Vision Safety(TM)" or NVS(R) Mirrors. In North America, the Company markets these products primarily through a direct sales force. The Company currently supplies NVS(R) Mirrors to General Motors Corporation and DaimlerChrysler AG (North America) under long-term agreements. During 2000, the Company negotiated a contract extension for inside mirrors with General Motors through the 2004 model year. The long-term supply agreement with DaimlerChrysler AG extends through the 2003 model year. The Company's exterior NVS(R) Mirror Sub-Assemblies are supplied to General Motors, Ford and DaimlerChrysler AG by means of sales to exterior mirror suppliers.</w:t>
      </w:r>
    </w:p>
    <w:p>
      <w:pPr>
        <w:spacing w:after="0" w:line="180"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 established Gentex France, SAS, as a sales and engineering office in France. The Company's marketing efforts in Europe are conducted through Gentex GmbH, Gentex Mirrors, Ltd., and Gentex France SAS, with limited assistance from independent manufacturers' representatives. The Company is currently supplying mirrors for Audi, Bavarian Motor Works, A.G. (BMW), Bentley, Fiat, Jaguar, Land Rover, MG Rover, Mercedes-Benz, Opel, Rolls Royce, Saab and Volkswagen.</w:t>
      </w: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39"/>
          </w:cols>
          <w:pgMar w:left="220" w:top="624" w:right="1440" w:bottom="1440" w:gutter="0" w:footer="0" w:header="0"/>
        </w:sectPr>
      </w:pPr>
    </w:p>
    <w:bookmarkStart w:id="6" w:name="page7"/>
    <w:bookmarkEnd w:id="6"/>
    <w:p>
      <w:pPr>
        <w:ind w:right="3239" w:firstLine="787"/>
        <w:spacing w:after="0" w:line="236" w:lineRule="auto"/>
        <w:rPr>
          <w:sz w:val="20"/>
          <w:szCs w:val="20"/>
          <w:color w:val="auto"/>
        </w:rPr>
      </w:pPr>
      <w:r>
        <w:rPr>
          <w:rFonts w:ascii="Courier New" w:cs="Courier New" w:eastAsia="Courier New" w:hAnsi="Courier New"/>
          <w:sz w:val="15"/>
          <w:szCs w:val="15"/>
          <w:color w:val="auto"/>
        </w:rPr>
        <w:t>Since 1991, the Company has been shipping electrochromic mirror assemblies for Nissan Motor Co., Ltd. under a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1993, the Company hired a sales agent to market NVS(R) Mirrors to other Japanese automakers beyond Nissan. Subsequently in 1998, the Company established Gentex Japan, Inc., as a sales and engineering office to expand its sales and engineering support in Japan. During 1999, the Company signed an agreement with Murakami Corporation, a major Japanese mirror manufacturer, to cooperate in expanding sales of automatic-dimming mirrors using the Gentex electrochromic technology. The Company is currently supplying mirrors for Daewoo, Ford (Taiwan), GM (China), Hyundai, Infiniti, Kia Motors, Lexus, Mitsubishi, Nissan, Samsung, Toyota and Yulon Motors.</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NVS(R) Mirrors will be offered as standard equipment, in higher option rate packages, and on more models as consumer awareness of the safety and comfort features becomes more well-known and acceptance grows.</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Since 1998, Gentex Corporation has contracted with MITO Corporation to sell several of its most popular automatic-dimming mirrors directly to consumers in the automotive aftermarket; in addition, the Company currently sells some NVS(R) Mirrors to automotive distributors. It is management's belief that these sales have limited potential until the Company achieves a significantly higher penetration of the original equipment manufacturing market.</w:t>
      </w:r>
    </w:p>
    <w:p>
      <w:pPr>
        <w:spacing w:after="0" w:line="16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Competition. Gentex is the leading producer of automatic rearview mirrors in the world and currently is the dominant supplier to the automotive industry with an approximate 80% market share worldwide. While the Company believes it will retain a dominant position, one other U.S. manufacturer (Donnelly Corporation) is competing for sales to domestic and foreign vehicle manufacturers and is supplying a number of domestic and foreign vehicle models with its hybrid version of electrochromic mirrors. In addition, two Japanese manufacturers are currently supplying a number of vehicle models in Japan with solid-state electrochromic mirrors.</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Company believes its electrochromic automatic mirrors offer significant performance advantages over competing products. However, Gentex recognizes that Donnelly Corporation, a competitor, is considerably larger than the Company and presents a significant competitive threat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each of these technologies have inherent cost or performance limitations.</w:t>
      </w:r>
    </w:p>
    <w:p>
      <w:pPr>
        <w:spacing w:after="0" w:line="200" w:lineRule="exact"/>
        <w:rPr>
          <w:sz w:val="20"/>
          <w:szCs w:val="20"/>
          <w:color w:val="auto"/>
        </w:rPr>
      </w:pPr>
    </w:p>
    <w:p>
      <w:pPr>
        <w:spacing w:after="0" w:line="30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39"/>
          </w:cols>
          <w:pgMar w:left="220" w:top="62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FIRE PROTECTION PRODUCTS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manufactures approximately 60 different models of smoke alarms and smoke detectors, combined with over 160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an increasing number of city and state laws, and national codes.</w:t>
      </w:r>
    </w:p>
    <w:p>
      <w:pPr>
        <w:spacing w:after="0" w:line="16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 certain models are able to communicate with monitored remote stations.</w:t>
      </w:r>
    </w:p>
    <w:p>
      <w:pPr>
        <w:spacing w:after="0" w:line="180"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recent years, the Company introduced further improvements to its line of smoke detectors/alarms, including submersibility to enhance maintenance, and a new design feature that permits greater ease in sensitivity testing. The Company offers the only detection device that may be completely submersed in water for cleaning purposes. This feature permits more effective and convenient cleaning of the product, thereby enhancing reliability. In addition, the patented sensitivity test feature permits the user to check the calibration of the least and most sensitive detection levels of the detector with the simple turn of a knob. The National Fire Protection Association's code requires that all single station smoke alarms installed in dwellings larger than 1-2 family must annually conduct this sensitivity test.</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1997, the Company introduced a new visual and audible signaling line. The visual (strobe) was designed to meet the Underwriters Laboratories standard without any loss of efficiency. This product draws one of the lowest amounts of current consumption in the industry. It is also available with the largest array of visual intensities offered to meet virtually all room sizes and configurations.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Also, during 1997, the Company became one of the first companies in the fire alarm market to implement the temporal code 3 pattern on the smoke detection/alarm products.</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 1999, the Company introduced a new low current visual signaling appliance for general evacuation purposes. The new audible/visual series offers the widest array of light intensities in the industry and is one of the lowest current consumption appliances available.</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fire protection and security industries have experienced a tremendous number of mergers and consolidations during the past few years. The Company markets its fire protection products throughout the United States through regional sales managers and manufacturer representative organizations.</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Competition. The fire protection products industry is highly competitive in terms of both the smoke detectors and signaling device markets. The Company estimates that it competes principally with eleven manufacturers of smoke detection products for</w:t>
      </w:r>
    </w:p>
    <w:p>
      <w:pPr>
        <w:spacing w:after="0" w:line="200" w:lineRule="exact"/>
        <w:rPr>
          <w:sz w:val="20"/>
          <w:szCs w:val="20"/>
          <w:color w:val="auto"/>
        </w:rPr>
      </w:pPr>
    </w:p>
    <w:p>
      <w:pPr>
        <w:spacing w:after="0" w:line="30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39"/>
          </w:cols>
          <w:pgMar w:left="220" w:top="617" w:right="1440" w:bottom="1440" w:gutter="0" w:footer="0" w:header="0"/>
        </w:sectPr>
      </w:pPr>
    </w:p>
    <w:bookmarkStart w:id="8" w:name="page9"/>
    <w:bookmarkEnd w:id="8"/>
    <w:p>
      <w:pPr>
        <w:ind w:right="3319"/>
        <w:spacing w:after="0" w:line="255" w:lineRule="auto"/>
        <w:rPr>
          <w:sz w:val="20"/>
          <w:szCs w:val="20"/>
          <w:color w:val="auto"/>
        </w:rPr>
      </w:pPr>
      <w:r>
        <w:rPr>
          <w:rFonts w:ascii="Courier New" w:cs="Courier New" w:eastAsia="Courier New" w:hAnsi="Courier New"/>
          <w:sz w:val="14"/>
          <w:szCs w:val="14"/>
          <w:color w:val="auto"/>
        </w:rPr>
        <w:t>commercial use and approximately four manufacturers within the residential market, three of which produce photoelectric smoke detectors. In the signaling device markets, the Company estimates it competes with approximately eight manufacturers. While the Company faces significant competition in the sale of smoke detectors and signaling devices, it believes that the recent introduction of new products, improvements to its existing products, its diversified product line, and the availability of special features will permit the Company to maintain its competitive position.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 owns 6 U.S. trademarks and 113 U.S. patents, 108 of which relate to electrochromic technology and/or automotive rearview mirrors. These patents expire between 2003 and 2020. The Company believes that these patents provide the Company a significant competitive advantage in the automotive rearview mirror market; however, none of these patents is required for the success of any of the Company's products.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also owns 1 foreign trademark and 31 foreign patents, 30 of which relate to automotive rearview mirrors. These patents expire at various times between 2002 and 2019. The Company believes that the competitive advantage derived in the relevant foreign markets for these patents is comparable to that experienced in the U.S. market.</w:t>
      </w:r>
    </w:p>
    <w:p>
      <w:pPr>
        <w:spacing w:after="0" w:line="174" w:lineRule="exact"/>
        <w:rPr>
          <w:sz w:val="20"/>
          <w:szCs w:val="20"/>
          <w:color w:val="auto"/>
        </w:rPr>
      </w:pPr>
    </w:p>
    <w:p>
      <w:pPr>
        <w:ind w:right="3939" w:firstLine="787"/>
        <w:spacing w:after="0" w:line="258" w:lineRule="auto"/>
        <w:rPr>
          <w:sz w:val="20"/>
          <w:szCs w:val="20"/>
          <w:color w:val="auto"/>
        </w:rPr>
      </w:pPr>
      <w:r>
        <w:rPr>
          <w:rFonts w:ascii="Courier New" w:cs="Courier New" w:eastAsia="Courier New" w:hAnsi="Courier New"/>
          <w:sz w:val="14"/>
          <w:szCs w:val="14"/>
          <w:color w:val="auto"/>
        </w:rPr>
        <w:t>The remaining 5 U.S. patents and 1 foreign patent relate to the Company's fire protection products, and the Company believes that the competitive advantage provided by these patents is relatively small.</w:t>
      </w:r>
    </w:p>
    <w:p>
      <w:pPr>
        <w:spacing w:after="0" w:line="161"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Company also has in process 146 U.S. patent applications, 164 foreign patent applications, and 6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considers itself to be engaged in the manufacture and sale of automatic rearview mirrors for the automotive industry and fire protection products for the commercial building industry. The Company has several important customers within the automotive industry, two of which each account for 10% or more of the Company's annual sales: General Motors Corporation and DaimlerChrysler AG. The loss of either of these customers could have a material adverse effect on the Company. The Company's backlog of unshipped orders was $83,856,000 and $74,503,000 at March 1, 2002 and 2001, respectively.</w:t>
      </w:r>
    </w:p>
    <w:p>
      <w:pPr>
        <w:spacing w:after="0" w:line="16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At March 1, 2002, the Company had 1,750 full-time employees. None of the Company's employees are represented by a labor union or other collective bargaining representative. The Company believes that its relations with its employees are good.</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Company operates out of four office/manufacturing facilities in Zeeland, Michigan, approximately 25 miles southwest of Grand Rapids. The office and production facility for the Fire Protection Products Group is a</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25,000-square-foot, one-story building leased by the Company since 1978 from related parties (see Part III, Item 13, of this report).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corporate office and production facility for the Company's Automotive Products Group is a modern, two-story, 150,000-square-foot building of steel and masonry construction situated on a 40-acre site in a well-kept industrial park. An additional 128,000-square-foot office/manufacturing facility on this site was opened during 1996. The Company has expanded its automotive production facilities by constructing a third 170,000 square-foot facility on its current site which opened in the second quarter of 2000 to meet the Company's current and near term future automotive production needs.</w:t>
      </w:r>
    </w:p>
    <w:p>
      <w:pPr>
        <w:spacing w:after="0" w:line="15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None that are material.</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39"/>
          </w:cols>
          <w:pgMar w:left="220" w:top="62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3" w:lineRule="exact"/>
        <w:rPr>
          <w:sz w:val="20"/>
          <w:szCs w:val="20"/>
          <w:color w:val="auto"/>
        </w:rPr>
      </w:pPr>
    </w:p>
    <w:p>
      <w:pPr>
        <w:ind w:right="3320" w:firstLine="787"/>
        <w:spacing w:after="0" w:line="235" w:lineRule="auto"/>
        <w:rPr>
          <w:sz w:val="20"/>
          <w:szCs w:val="20"/>
          <w:color w:val="auto"/>
        </w:rPr>
      </w:pPr>
      <w:r>
        <w:rPr>
          <w:rFonts w:ascii="Courier New" w:cs="Courier New" w:eastAsia="Courier New" w:hAnsi="Courier New"/>
          <w:sz w:val="15"/>
          <w:szCs w:val="15"/>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304" w:lineRule="exact"/>
        <w:rPr>
          <w:sz w:val="20"/>
          <w:szCs w:val="20"/>
          <w:color w:val="auto"/>
        </w:rPr>
      </w:pPr>
    </w:p>
    <w:p>
      <w:pPr>
        <w:spacing w:after="0"/>
        <w:tabs>
          <w:tab w:leader="none" w:pos="2260" w:val="left"/>
          <w:tab w:leader="none" w:pos="4460" w:val="left"/>
          <w:tab w:leader="none" w:pos="84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r>
        <w:rPr>
          <w:sz w:val="20"/>
          <w:szCs w:val="20"/>
          <w:color w:val="auto"/>
        </w:rPr>
        <w:tab/>
      </w:r>
      <w:r>
        <w:rPr>
          <w:rFonts w:ascii="Courier New" w:cs="Courier New" w:eastAsia="Courier New" w:hAnsi="Courier New"/>
          <w:sz w:val="14"/>
          <w:szCs w:val="14"/>
          <w:color w:val="auto"/>
        </w:rPr>
        <w:t>POSITION HELD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Fred Bauer</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w:t>
            </w:r>
          </w:p>
        </w:tc>
        <w:tc>
          <w:tcPr>
            <w:tcW w:w="196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7"/>
              </w:rPr>
              <w:t>Chief Executive</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May 1986</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Kenneth La Grand</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w:t>
            </w:r>
          </w:p>
        </w:tc>
        <w:tc>
          <w:tcPr>
            <w:tcW w:w="52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Executive Vice President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w w:val="95"/>
              </w:rPr>
              <w:t>September 1987</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Garth Deur</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w:t>
            </w:r>
          </w:p>
        </w:tc>
        <w:tc>
          <w:tcPr>
            <w:tcW w:w="52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Senior Vice President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May 2001</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Dennis Alexejun</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w:t>
            </w:r>
          </w:p>
        </w:tc>
        <w:tc>
          <w:tcPr>
            <w:tcW w:w="52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9"/>
              </w:rPr>
              <w:t>Vice President, North American Automotive Marketing</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w w:val="95"/>
              </w:rPr>
              <w:t>September 1998</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John Carter</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w:t>
            </w:r>
          </w:p>
        </w:tc>
        <w:tc>
          <w:tcPr>
            <w:tcW w:w="52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Vice President, Engineering / Mechanical</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June 1997</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Enoch Jen</w:t>
            </w: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w:t>
            </w:r>
          </w:p>
        </w:tc>
        <w:tc>
          <w:tcPr>
            <w:tcW w:w="52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Vice President-Finance, Treasurer</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February 1991</w:t>
            </w:r>
          </w:p>
        </w:tc>
      </w:tr>
      <w:tr>
        <w:trPr>
          <w:trHeight w:val="505"/>
        </w:trPr>
        <w:tc>
          <w:tcPr>
            <w:tcW w:w="8360" w:type="dxa"/>
            <w:vAlign w:val="bottom"/>
            <w:gridSpan w:val="5"/>
          </w:tcPr>
          <w:p>
            <w:pPr>
              <w:ind w:left="800"/>
              <w:spacing w:after="0"/>
              <w:rPr>
                <w:sz w:val="20"/>
                <w:szCs w:val="20"/>
                <w:color w:val="auto"/>
              </w:rPr>
            </w:pPr>
            <w:r>
              <w:rPr>
                <w:rFonts w:ascii="Courier New" w:cs="Courier New" w:eastAsia="Courier New" w:hAnsi="Courier New"/>
                <w:sz w:val="15"/>
                <w:szCs w:val="15"/>
                <w:color w:val="auto"/>
              </w:rPr>
              <w:t>There are no family relationships among the officers listed in the</w:t>
            </w:r>
          </w:p>
        </w:tc>
        <w:tc>
          <w:tcPr>
            <w:tcW w:w="1360" w:type="dxa"/>
            <w:vAlign w:val="bottom"/>
          </w:tcPr>
          <w:p>
            <w:pPr>
              <w:spacing w:after="0"/>
              <w:rPr>
                <w:sz w:val="24"/>
                <w:szCs w:val="2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preceding table.</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8360" w:type="dxa"/>
            <w:vAlign w:val="bottom"/>
            <w:gridSpan w:val="5"/>
          </w:tcPr>
          <w:p>
            <w:pPr>
              <w:ind w:left="800"/>
              <w:spacing w:after="0"/>
              <w:rPr>
                <w:sz w:val="20"/>
                <w:szCs w:val="20"/>
                <w:color w:val="auto"/>
              </w:rPr>
            </w:pPr>
            <w:r>
              <w:rPr>
                <w:rFonts w:ascii="Courier New" w:cs="Courier New" w:eastAsia="Courier New" w:hAnsi="Courier New"/>
                <w:sz w:val="15"/>
                <w:szCs w:val="15"/>
                <w:color w:val="auto"/>
              </w:rPr>
              <w:t>Garth Deur has served as Senior Vice President of the Company since May</w:t>
            </w:r>
          </w:p>
        </w:tc>
        <w:tc>
          <w:tcPr>
            <w:tcW w:w="1360" w:type="dxa"/>
            <w:vAlign w:val="bottom"/>
          </w:tcPr>
          <w:p>
            <w:pPr>
              <w:spacing w:after="0"/>
              <w:rPr>
                <w:sz w:val="24"/>
                <w:szCs w:val="24"/>
                <w:color w:val="auto"/>
              </w:rPr>
            </w:pPr>
          </w:p>
        </w:tc>
      </w:tr>
      <w:tr>
        <w:trPr>
          <w:trHeight w:val="168"/>
        </w:trPr>
        <w:tc>
          <w:tcPr>
            <w:tcW w:w="4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2001, and joined the Company as Vice President --</w:t>
            </w:r>
          </w:p>
        </w:tc>
        <w:tc>
          <w:tcPr>
            <w:tcW w:w="4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Business Development and</w:t>
            </w:r>
          </w:p>
        </w:tc>
        <w:tc>
          <w:tcPr>
            <w:tcW w:w="1360" w:type="dxa"/>
            <w:vAlign w:val="bottom"/>
          </w:tcPr>
          <w:p>
            <w:pPr>
              <w:spacing w:after="0"/>
              <w:rPr>
                <w:sz w:val="14"/>
                <w:szCs w:val="14"/>
                <w:color w:val="auto"/>
              </w:rPr>
            </w:pPr>
          </w:p>
        </w:tc>
      </w:tr>
    </w:tbl>
    <w:p>
      <w:pPr>
        <w:spacing w:after="0" w:line="5" w:lineRule="exact"/>
        <w:rPr>
          <w:sz w:val="20"/>
          <w:szCs w:val="20"/>
          <w:color w:val="auto"/>
        </w:rPr>
      </w:pPr>
    </w:p>
    <w:p>
      <w:pPr>
        <w:ind w:right="3400"/>
        <w:spacing w:after="0" w:line="236" w:lineRule="auto"/>
        <w:rPr>
          <w:sz w:val="20"/>
          <w:szCs w:val="20"/>
          <w:color w:val="auto"/>
        </w:rPr>
      </w:pPr>
      <w:r>
        <w:rPr>
          <w:rFonts w:ascii="Courier New" w:cs="Courier New" w:eastAsia="Courier New" w:hAnsi="Courier New"/>
          <w:sz w:val="15"/>
          <w:szCs w:val="15"/>
          <w:color w:val="auto"/>
        </w:rPr>
        <w:t>Planning in November 2000. Prior to joining the Company, Mr. Deur served as a Principal of Landmark Group, an investment management company, from March 1999 through November 2000. Prior to that time, Mr. Deur served as Vice President, Chrysler Business Operations, from March 1995 through March 1999 at the Automotive Interiors division of Johnson Controls, Inc. (formerly Prince Corporation, which was acquired by Johnson Controls in 1996).</w:t>
      </w:r>
    </w:p>
    <w:p>
      <w:pPr>
        <w:spacing w:after="0" w:line="175" w:lineRule="exact"/>
        <w:rPr>
          <w:sz w:val="20"/>
          <w:szCs w:val="20"/>
          <w:color w:val="auto"/>
        </w:rPr>
      </w:pPr>
    </w:p>
    <w:p>
      <w:pPr>
        <w:ind w:right="3240" w:firstLine="787"/>
        <w:spacing w:after="0" w:line="236" w:lineRule="auto"/>
        <w:rPr>
          <w:sz w:val="20"/>
          <w:szCs w:val="20"/>
          <w:color w:val="auto"/>
        </w:rPr>
      </w:pPr>
      <w:r>
        <w:rPr>
          <w:rFonts w:ascii="Courier New" w:cs="Courier New" w:eastAsia="Courier New" w:hAnsi="Courier New"/>
          <w:sz w:val="15"/>
          <w:szCs w:val="15"/>
          <w:color w:val="auto"/>
        </w:rPr>
        <w:t>Dennis Alexejun has served as Vice President, North American Automotive Marketing, of the Company since September 1998. Prior to that time, Mr. Alexejun served as Vice President, General Motors Business Operations, from February 1995 through September 1998 at the Automotive Interiors division of Johnson Controls, Inc. (formerly Prince Corporation, which was acquired by Johnson Controls in 1996).</w:t>
      </w:r>
    </w:p>
    <w:p>
      <w:pPr>
        <w:spacing w:after="0" w:line="175" w:lineRule="exact"/>
        <w:rPr>
          <w:sz w:val="20"/>
          <w:szCs w:val="20"/>
          <w:color w:val="auto"/>
        </w:rPr>
      </w:pPr>
    </w:p>
    <w:p>
      <w:pPr>
        <w:jc w:val="both"/>
        <w:ind w:right="3240" w:firstLine="787"/>
        <w:spacing w:after="0" w:line="235" w:lineRule="auto"/>
        <w:rPr>
          <w:sz w:val="20"/>
          <w:szCs w:val="20"/>
          <w:color w:val="auto"/>
        </w:rPr>
      </w:pPr>
      <w:r>
        <w:rPr>
          <w:rFonts w:ascii="Courier New" w:cs="Courier New" w:eastAsia="Courier New" w:hAnsi="Courier New"/>
          <w:sz w:val="15"/>
          <w:szCs w:val="15"/>
          <w:color w:val="auto"/>
        </w:rPr>
        <w:t>John Carter has served as Vice President, Engineering/Mechanical of the Company since June 1997. Prior to that time, Mr. Carter served as President and Chief Executive Officer of CS Technology, a plastic molding and tooling company, from September 1995 through April 1997.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40"/>
          </w:cols>
          <w:pgMar w:left="220" w:top="617" w:right="1439" w:bottom="1440" w:gutter="0" w:footer="0" w:header="0"/>
        </w:sectPr>
      </w:pPr>
    </w:p>
    <w:bookmarkStart w:id="10" w:name="page11"/>
    <w:bookmarkEnd w:id="10"/>
    <w:p>
      <w:pPr>
        <w:ind w:left="324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right="3840"/>
        <w:spacing w:after="0" w:line="234"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3" w:lineRule="exact"/>
        <w:rPr>
          <w:sz w:val="20"/>
          <w:szCs w:val="20"/>
          <w:color w:val="auto"/>
        </w:rPr>
      </w:pPr>
    </w:p>
    <w:p>
      <w:pPr>
        <w:ind w:right="3320" w:firstLine="787"/>
        <w:spacing w:after="0" w:line="236" w:lineRule="auto"/>
        <w:rPr>
          <w:sz w:val="20"/>
          <w:szCs w:val="20"/>
          <w:color w:val="auto"/>
        </w:rPr>
      </w:pPr>
      <w:r>
        <w:rPr>
          <w:rFonts w:ascii="Courier New" w:cs="Courier New" w:eastAsia="Courier New" w:hAnsi="Courier New"/>
          <w:sz w:val="15"/>
          <w:szCs w:val="15"/>
          <w:color w:val="auto"/>
        </w:rPr>
        <w:t>The Company's common stock trades on The Nasdaq Stock Market(R). As of March 1, 2002, there were 2,390 record holders of the Company's common stock. Ranges of high and low sale prices of the Company's common stock reported through The Nasdaq Stock Market for the past two fiscal years appear in the following table.</w:t>
      </w:r>
    </w:p>
    <w:p>
      <w:pPr>
        <w:spacing w:after="0" w:line="200" w:lineRule="exact"/>
        <w:rPr>
          <w:sz w:val="20"/>
          <w:szCs w:val="20"/>
          <w:color w:val="auto"/>
        </w:rPr>
      </w:pPr>
    </w:p>
    <w:p>
      <w:pPr>
        <w:spacing w:after="0" w:line="304" w:lineRule="exact"/>
        <w:rPr>
          <w:sz w:val="20"/>
          <w:szCs w:val="20"/>
          <w:color w:val="auto"/>
        </w:rPr>
      </w:pPr>
    </w:p>
    <w:p>
      <w:pPr>
        <w:ind w:left="1140"/>
        <w:spacing w:after="0"/>
        <w:tabs>
          <w:tab w:leader="none" w:pos="2260" w:val="left"/>
          <w:tab w:leader="none" w:pos="4720" w:val="left"/>
          <w:tab w:leader="none" w:pos="620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2000</w:t>
            </w: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First</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39.87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24.75</w:t>
            </w:r>
          </w:p>
        </w:tc>
      </w:tr>
      <w:tr>
        <w:trPr>
          <w:trHeight w:val="336"/>
        </w:trPr>
        <w:tc>
          <w:tcPr>
            <w:tcW w:w="820" w:type="dxa"/>
            <w:vAlign w:val="bottom"/>
          </w:tcPr>
          <w:p>
            <w:pPr>
              <w:spacing w:after="0"/>
              <w:rPr>
                <w:sz w:val="24"/>
                <w:szCs w:val="24"/>
                <w:color w:val="auto"/>
              </w:rPr>
            </w:pP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Second</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37.69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24.37</w:t>
            </w:r>
          </w:p>
        </w:tc>
      </w:tr>
      <w:tr>
        <w:trPr>
          <w:trHeight w:val="336"/>
        </w:trPr>
        <w:tc>
          <w:tcPr>
            <w:tcW w:w="820" w:type="dxa"/>
            <w:vAlign w:val="bottom"/>
          </w:tcPr>
          <w:p>
            <w:pPr>
              <w:spacing w:after="0"/>
              <w:rPr>
                <w:sz w:val="24"/>
                <w:szCs w:val="24"/>
                <w:color w:val="auto"/>
              </w:rPr>
            </w:pP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Third</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30.06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20.50</w:t>
            </w:r>
          </w:p>
        </w:tc>
      </w:tr>
      <w:tr>
        <w:trPr>
          <w:trHeight w:val="336"/>
        </w:trPr>
        <w:tc>
          <w:tcPr>
            <w:tcW w:w="820" w:type="dxa"/>
            <w:vAlign w:val="bottom"/>
          </w:tcPr>
          <w:p>
            <w:pPr>
              <w:spacing w:after="0"/>
              <w:rPr>
                <w:sz w:val="24"/>
                <w:szCs w:val="24"/>
                <w:color w:val="auto"/>
              </w:rPr>
            </w:pP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Fourth</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16.19</w:t>
            </w:r>
          </w:p>
        </w:tc>
      </w:tr>
      <w:tr>
        <w:trPr>
          <w:trHeight w:val="336"/>
        </w:trPr>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2001</w:t>
            </w: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First</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27.94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18.44</w:t>
            </w:r>
          </w:p>
        </w:tc>
      </w:tr>
      <w:tr>
        <w:trPr>
          <w:trHeight w:val="336"/>
        </w:trPr>
        <w:tc>
          <w:tcPr>
            <w:tcW w:w="820" w:type="dxa"/>
            <w:vAlign w:val="bottom"/>
          </w:tcPr>
          <w:p>
            <w:pPr>
              <w:spacing w:after="0"/>
              <w:rPr>
                <w:sz w:val="24"/>
                <w:szCs w:val="24"/>
                <w:color w:val="auto"/>
              </w:rPr>
            </w:pP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Second</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31.84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21.56</w:t>
            </w:r>
          </w:p>
        </w:tc>
      </w:tr>
      <w:tr>
        <w:trPr>
          <w:trHeight w:val="336"/>
        </w:trPr>
        <w:tc>
          <w:tcPr>
            <w:tcW w:w="820" w:type="dxa"/>
            <w:vAlign w:val="bottom"/>
          </w:tcPr>
          <w:p>
            <w:pPr>
              <w:spacing w:after="0"/>
              <w:rPr>
                <w:sz w:val="24"/>
                <w:szCs w:val="24"/>
                <w:color w:val="auto"/>
              </w:rPr>
            </w:pP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Third</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336"/>
        </w:trPr>
        <w:tc>
          <w:tcPr>
            <w:tcW w:w="820" w:type="dxa"/>
            <w:vAlign w:val="bottom"/>
          </w:tcPr>
          <w:p>
            <w:pPr>
              <w:spacing w:after="0"/>
              <w:rPr>
                <w:sz w:val="24"/>
                <w:szCs w:val="24"/>
                <w:color w:val="auto"/>
              </w:rPr>
            </w:pPr>
          </w:p>
        </w:tc>
        <w:tc>
          <w:tcPr>
            <w:tcW w:w="1980" w:type="dxa"/>
            <w:vAlign w:val="bottom"/>
          </w:tcPr>
          <w:p>
            <w:pPr>
              <w:ind w:left="480"/>
              <w:spacing w:after="0"/>
              <w:rPr>
                <w:sz w:val="20"/>
                <w:szCs w:val="20"/>
                <w:color w:val="auto"/>
              </w:rPr>
            </w:pPr>
            <w:r>
              <w:rPr>
                <w:rFonts w:ascii="Courier New" w:cs="Courier New" w:eastAsia="Courier New" w:hAnsi="Courier New"/>
                <w:sz w:val="15"/>
                <w:szCs w:val="15"/>
                <w:color w:val="auto"/>
              </w:rPr>
              <w:t>Fourth</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21.75</w:t>
            </w:r>
          </w:p>
        </w:tc>
      </w:tr>
    </w:tbl>
    <w:p>
      <w:pPr>
        <w:spacing w:after="0" w:line="200" w:lineRule="exact"/>
        <w:rPr>
          <w:sz w:val="20"/>
          <w:szCs w:val="20"/>
          <w:color w:val="auto"/>
        </w:rPr>
      </w:pPr>
    </w:p>
    <w:p>
      <w:pPr>
        <w:spacing w:after="0" w:line="309" w:lineRule="exact"/>
        <w:rPr>
          <w:sz w:val="20"/>
          <w:szCs w:val="20"/>
          <w:color w:val="auto"/>
        </w:rPr>
      </w:pPr>
    </w:p>
    <w:p>
      <w:pPr>
        <w:ind w:right="3320" w:firstLine="787"/>
        <w:spacing w:after="0" w:line="235" w:lineRule="auto"/>
        <w:rPr>
          <w:sz w:val="20"/>
          <w:szCs w:val="20"/>
          <w:color w:val="auto"/>
        </w:rPr>
      </w:pPr>
      <w:r>
        <w:rPr>
          <w:rFonts w:ascii="Courier New" w:cs="Courier New" w:eastAsia="Courier New" w:hAnsi="Courier New"/>
          <w:sz w:val="15"/>
          <w:szCs w:val="15"/>
          <w:color w:val="auto"/>
        </w:rPr>
        <w:t>The Company has never paid any cash dividends on its common stock, and management does not anticipate paying any cash dividends in the foreseeable future.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540"/>
        <w:spacing w:after="0"/>
        <w:tabs>
          <w:tab w:leader="none" w:pos="4100" w:val="left"/>
          <w:tab w:leader="none" w:pos="5680" w:val="left"/>
          <w:tab w:leader="none" w:pos="7160" w:val="left"/>
          <w:tab w:leader="none" w:pos="864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$310,305</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$297,421</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$262,155</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$222,292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$186,328</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65,217</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70,544</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64,864</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50,307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35,230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4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0.86</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0.93</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0.86</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0.68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$506,823</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$428,129</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$337,673</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$254,890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$189,783</w:t>
            </w:r>
          </w:p>
        </w:tc>
      </w:tr>
    </w:tbl>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Long-Term Debt</w:t>
      </w:r>
    </w:p>
    <w:p>
      <w:pPr>
        <w:ind w:left="180"/>
        <w:spacing w:after="0" w:line="238" w:lineRule="auto"/>
        <w:rPr>
          <w:sz w:val="20"/>
          <w:szCs w:val="20"/>
          <w:color w:val="auto"/>
        </w:rPr>
      </w:pPr>
      <w:r>
        <w:rPr>
          <w:rFonts w:ascii="Courier New" w:cs="Courier New" w:eastAsia="Courier New" w:hAnsi="Courier New"/>
          <w:sz w:val="15"/>
          <w:szCs w:val="15"/>
          <w:color w:val="auto"/>
        </w:rPr>
        <w:t>Outstanding at</w:t>
      </w:r>
    </w:p>
    <w:p>
      <w:pPr>
        <w:ind w:left="180"/>
        <w:spacing w:after="0"/>
        <w:tabs>
          <w:tab w:leader="none" w:pos="2440" w:val="left"/>
          <w:tab w:leader="none" w:pos="3060" w:val="left"/>
          <w:tab w:leader="none" w:pos="3920" w:val="left"/>
          <w:tab w:leader="none" w:pos="4540" w:val="left"/>
          <w:tab w:leader="none" w:pos="5500" w:val="left"/>
          <w:tab w:leader="none" w:pos="6120" w:val="left"/>
          <w:tab w:leader="none" w:pos="6980" w:val="left"/>
          <w:tab w:leader="none" w:pos="7600" w:val="left"/>
          <w:tab w:leader="none" w:pos="8560" w:val="left"/>
          <w:tab w:leader="none" w:pos="9180" w:val="left"/>
        </w:tabs>
        <w:rPr>
          <w:sz w:val="20"/>
          <w:szCs w:val="20"/>
          <w:color w:val="auto"/>
        </w:rPr>
      </w:pPr>
      <w:r>
        <w:rPr>
          <w:rFonts w:ascii="Courier New" w:cs="Courier New" w:eastAsia="Courier New" w:hAnsi="Courier New"/>
          <w:sz w:val="15"/>
          <w:szCs w:val="15"/>
          <w:color w:val="auto"/>
        </w:rPr>
        <w:t>Year End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 in June 1998.</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1"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40"/>
          </w:cols>
          <w:pgMar w:left="220" w:top="449" w:right="1439" w:bottom="1440" w:gutter="0" w:footer="0" w:header="0"/>
        </w:sectPr>
      </w:pPr>
    </w:p>
    <w:bookmarkStart w:id="11" w:name="page12"/>
    <w:bookmarkEnd w:id="11"/>
    <w:p>
      <w:pPr>
        <w:ind w:right="940"/>
        <w:spacing w:after="0" w:line="234" w:lineRule="auto"/>
        <w:rPr>
          <w:sz w:val="20"/>
          <w:szCs w:val="20"/>
          <w:color w:val="auto"/>
        </w:rPr>
      </w:pPr>
      <w:r>
        <w:rPr>
          <w:rFonts w:ascii="Courier New" w:cs="Courier New" w:eastAsia="Courier New" w:hAnsi="Courier New"/>
          <w:sz w:val="15"/>
          <w:szCs w:val="15"/>
          <w:color w:val="auto"/>
        </w:rPr>
        <w:t>ITEM 7. MANAGEMENT'S DISCUSSION AND ANALYSIS OF RESULTS OF OPERATIONS AND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420" w:firstLine="787"/>
        <w:spacing w:after="0" w:line="235"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0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Percentage of Net Sales</w:t>
            </w:r>
          </w:p>
        </w:tc>
      </w:tr>
      <w:tr>
        <w:trPr>
          <w:trHeight w:val="168"/>
        </w:trPr>
        <w:tc>
          <w:tcPr>
            <w:tcW w:w="3940" w:type="dxa"/>
            <w:vAlign w:val="bottom"/>
          </w:tcPr>
          <w:p>
            <w:pPr>
              <w:spacing w:after="0"/>
              <w:rPr>
                <w:sz w:val="14"/>
                <w:szCs w:val="14"/>
                <w:color w:val="auto"/>
              </w:rPr>
            </w:pP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2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60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60.7</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39.3</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42.0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5.9</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12.9</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11.6</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Provision for  Income Taxes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31.1</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35.1</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39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bl>
    <w:p>
      <w:pPr>
        <w:spacing w:after="0" w:line="335"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2000 TO 2001</w:t>
      </w:r>
    </w:p>
    <w:p>
      <w:pPr>
        <w:spacing w:after="0" w:line="173" w:lineRule="exact"/>
        <w:rPr>
          <w:sz w:val="20"/>
          <w:szCs w:val="20"/>
          <w:color w:val="auto"/>
        </w:rPr>
      </w:pPr>
    </w:p>
    <w:p>
      <w:pPr>
        <w:ind w:right="420" w:firstLine="787"/>
        <w:spacing w:after="0" w:line="255" w:lineRule="auto"/>
        <w:rPr>
          <w:sz w:val="20"/>
          <w:szCs w:val="20"/>
          <w:color w:val="auto"/>
        </w:rPr>
      </w:pPr>
      <w:r>
        <w:rPr>
          <w:rFonts w:ascii="Courier New" w:cs="Courier New" w:eastAsia="Courier New" w:hAnsi="Courier New"/>
          <w:sz w:val="14"/>
          <w:szCs w:val="14"/>
          <w:color w:val="auto"/>
        </w:rPr>
        <w:t>Net Sales. Automotive net sales increased by 5% and mirror shipments increased by 6%, from 6,757,000 to 7,180,000 units, primarily reflecting increased penetration on foreign 2001 and 2002 model year vehicles for interior electrochromic NVS(R) Mirrors. North American unit shipments decreased by 2%, primarily due to the 10% decline in light vehicle industry production levels, while overseas unit shipments increased by 21% during 2001. Net sales of the Company's fire protection products decreased 3%, primarily due to the construction industry slowdown after the September 11, 2001, terrorist attacks.</w:t>
      </w:r>
    </w:p>
    <w:p>
      <w:pPr>
        <w:spacing w:after="0" w:line="166" w:lineRule="exact"/>
        <w:rPr>
          <w:sz w:val="20"/>
          <w:szCs w:val="20"/>
          <w:color w:val="auto"/>
        </w:rPr>
      </w:pPr>
    </w:p>
    <w:p>
      <w:pPr>
        <w:ind w:right="680" w:firstLine="787"/>
        <w:spacing w:after="0" w:line="236" w:lineRule="auto"/>
        <w:rPr>
          <w:sz w:val="20"/>
          <w:szCs w:val="20"/>
          <w:color w:val="auto"/>
        </w:rPr>
      </w:pPr>
      <w:r>
        <w:rPr>
          <w:rFonts w:ascii="Courier New" w:cs="Courier New" w:eastAsia="Courier New" w:hAnsi="Courier New"/>
          <w:sz w:val="15"/>
          <w:szCs w:val="15"/>
          <w:color w:val="auto"/>
        </w:rPr>
        <w:t>Cost of Goods Sold. As a percentage of net sales, cost of good sold increased from 58% to 61%, primarily reflecting automotive customer price reductions, product mix, and the temporary excess plant capacity primarily associated with the Company's third automotive mirror manufacturing facility expansion in 2000, partially offset by engineering and purchasing cost reductions.</w:t>
      </w:r>
    </w:p>
    <w:p>
      <w:pPr>
        <w:spacing w:after="0" w:line="175" w:lineRule="exact"/>
        <w:rPr>
          <w:sz w:val="20"/>
          <w:szCs w:val="20"/>
          <w:color w:val="auto"/>
        </w:rPr>
      </w:pPr>
    </w:p>
    <w:p>
      <w:pPr>
        <w:ind w:right="500" w:firstLine="787"/>
        <w:spacing w:after="0" w:line="255" w:lineRule="auto"/>
        <w:rPr>
          <w:sz w:val="20"/>
          <w:szCs w:val="20"/>
          <w:color w:val="auto"/>
        </w:rPr>
      </w:pPr>
      <w:r>
        <w:rPr>
          <w:rFonts w:ascii="Courier New" w:cs="Courier New" w:eastAsia="Courier New" w:hAnsi="Courier New"/>
          <w:sz w:val="14"/>
          <w:szCs w:val="14"/>
          <w:color w:val="auto"/>
        </w:rPr>
        <w:t>Operating Expenses. Research and development expenses increased approximately $3,784,000, and increased from 6% to 7% of net sales, primarily due to additional staffing for new electronic product development, including telematics and SmartBeam(TM). Selling, general and administrative expenses increased approximately $1,618,000, but remained unchanged at 6% of net sales, primarily reflecting the expansion of the Company's overseas sales offices to support the Company's current and future overseas sales growth.</w:t>
      </w:r>
    </w:p>
    <w:p>
      <w:pPr>
        <w:spacing w:after="0" w:line="166" w:lineRule="exact"/>
        <w:rPr>
          <w:sz w:val="20"/>
          <w:szCs w:val="20"/>
          <w:color w:val="auto"/>
        </w:rPr>
      </w:pPr>
    </w:p>
    <w:p>
      <w:pPr>
        <w:ind w:right="500" w:firstLine="787"/>
        <w:spacing w:after="0" w:line="256" w:lineRule="auto"/>
        <w:rPr>
          <w:sz w:val="20"/>
          <w:szCs w:val="20"/>
          <w:color w:val="auto"/>
        </w:rPr>
      </w:pPr>
      <w:r>
        <w:rPr>
          <w:rFonts w:ascii="Courier New" w:cs="Courier New" w:eastAsia="Courier New" w:hAnsi="Courier New"/>
          <w:sz w:val="14"/>
          <w:szCs w:val="14"/>
          <w:color w:val="auto"/>
        </w:rPr>
        <w:t>Other Income -- Net. Investment income decreased $75,000 in 2001, primarily due to significantly lower interest rates, mostly offset by higher investable balances. Other income increased $521,000 in 2001, primarily due to realized equity gains in 2001 compared to realized equity losses in 2000.</w:t>
      </w:r>
    </w:p>
    <w:p>
      <w:pPr>
        <w:spacing w:after="0" w:line="164" w:lineRule="exact"/>
        <w:rPr>
          <w:sz w:val="20"/>
          <w:szCs w:val="20"/>
          <w:color w:val="auto"/>
        </w:rPr>
      </w:pPr>
    </w:p>
    <w:p>
      <w:pPr>
        <w:jc w:val="both"/>
        <w:ind w:right="340" w:firstLine="787"/>
        <w:spacing w:after="0" w:line="235"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 in 2001 primarily due to Foreign Sales Corporation exempted taxable income from increased foreign sales, and tax-exempt interest income.</w:t>
      </w:r>
    </w:p>
    <w:p>
      <w:pPr>
        <w:spacing w:after="0" w:line="174" w:lineRule="exact"/>
        <w:rPr>
          <w:sz w:val="20"/>
          <w:szCs w:val="20"/>
          <w:color w:val="auto"/>
        </w:rPr>
      </w:pPr>
    </w:p>
    <w:p>
      <w:pPr>
        <w:ind w:right="600" w:firstLine="787"/>
        <w:spacing w:after="0" w:line="261" w:lineRule="auto"/>
        <w:rPr>
          <w:sz w:val="20"/>
          <w:szCs w:val="20"/>
          <w:color w:val="auto"/>
        </w:rPr>
      </w:pPr>
      <w:r>
        <w:rPr>
          <w:rFonts w:ascii="Courier New" w:cs="Courier New" w:eastAsia="Courier New" w:hAnsi="Courier New"/>
          <w:sz w:val="14"/>
          <w:szCs w:val="14"/>
          <w:color w:val="auto"/>
        </w:rPr>
        <w:t>Net Income. Net income decreased by 8%, primarily reflecting the reduced gross margin and increased research and development expenses in 2001.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339"/>
        <w:spacing w:after="0"/>
        <w:rPr>
          <w:sz w:val="20"/>
          <w:szCs w:val="20"/>
          <w:color w:val="auto"/>
        </w:rPr>
      </w:pPr>
      <w:r>
        <w:rPr>
          <w:rFonts w:ascii="Courier New" w:cs="Courier New" w:eastAsia="Courier New" w:hAnsi="Courier New"/>
          <w:sz w:val="15"/>
          <w:szCs w:val="15"/>
          <w:color w:val="auto"/>
        </w:rPr>
        <w:t>Percentage 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w:t>
            </w:r>
          </w:p>
        </w:tc>
      </w:tr>
      <w:tr>
        <w:trPr>
          <w:trHeight w:val="336"/>
        </w:trPr>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40" w:space="720"/>
            <w:col w:w="2179"/>
          </w:cols>
          <w:pgMar w:left="220" w:top="624" w:right="1440" w:bottom="1440" w:gutter="0" w:footer="0" w:header="0"/>
        </w:sectPr>
      </w:pPr>
    </w:p>
    <w:bookmarkStart w:id="12" w:name="page13"/>
    <w:bookmarkEnd w:id="12"/>
    <w:p>
      <w:pPr>
        <w:spacing w:after="0"/>
        <w:tabs>
          <w:tab w:leader="none" w:pos="208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2000 TO 1999</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Net Sales. Automotive net sales increased by 14% and mirror shipments increased by 13%, from 5,960,000 to 6,757,000 units, primarily reflecting increased penetration on foreign 2000 and 2001 model year vehicles for interior and exterior electrochromic NVS(R) Mirrors. North American unit shipments increased by 3%, while overseas unit shipments increased by 39% during 2000. Net sales of the Company's fire protection products increased 2%.</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Cost of Goods Sold. As a percentage of net sales, cost of goods sold increased from 57% to 58%, primarily reflecting automotive customer price reductions and the opening of a third automotive manufacturing facility in 2000, partially offset by engineering and purchasing cost reductions, improved exterior mirror element glass yields, and increased sales volume spread over fixed overhead expenses.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Operating Expenses. Research and development expenses increased approximately $3,145,000, and increased from 5% to 6% of net sales, primarily due to additional staffing for new electronic and telematics product development. Selling, general and administrative expenses increased approximately $3,584,000, and increased from 5% to 6% of net sales, primarily reflecting additional staffing in Europe and Japan, including the opening of a new sales and engineering office in France, to support the Company's current and future overseas sales growth.</w:t>
      </w:r>
    </w:p>
    <w:p>
      <w:pPr>
        <w:spacing w:after="0" w:line="177"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Other Income -- Net. Investment income increased $4,899,000 in 2000, primarily due to higher investable fund balances and higher interest rates, and other income decreased $1,480,000 in 2000, primarily due to realized equity losses in 2000 compared to realized equity gains in 1999.</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 in 2000 primarily due to Foreign Sales Corporation exempted taxable income from increased foreign sales, and tax-exempt interest income.</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Net Income. Net income increased by 9%, primarily reflecting the increased sales level and investment income, partially offset by reduced gross and operating margins in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Company's financial condition throughout the periods presented has remained very strong.</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Company's current ratio increased from 9.7 in 2000, to 12.4 in 2001, primarily as a result of the increase in cash and short-term investments generated from operations and maturities of long-term investments. Despite higher sales, accounts receivable decreased due to the timing of payments by the Company's largest customer.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Management considers the Company's working capital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$238,873,000 and long-term investments of approximately $132,771,000 at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2001, together with internally generated cash flow and an unsecured</w:t>
      </w:r>
    </w:p>
    <w:p>
      <w:pPr>
        <w:spacing w:after="0" w:line="237" w:lineRule="auto"/>
        <w:rPr>
          <w:sz w:val="20"/>
          <w:szCs w:val="20"/>
          <w:color w:val="auto"/>
        </w:rPr>
      </w:pPr>
      <w:r>
        <w:rPr>
          <w:rFonts w:ascii="Courier New" w:cs="Courier New" w:eastAsia="Courier New" w:hAnsi="Courier New"/>
          <w:sz w:val="15"/>
          <w:szCs w:val="15"/>
          <w:color w:val="auto"/>
        </w:rPr>
        <w:t>$5,000,000 line of credit from a bank, to be sufficient to cover anticipated</w:t>
      </w:r>
    </w:p>
    <w:p>
      <w:pPr>
        <w:spacing w:after="0" w:line="238" w:lineRule="auto"/>
        <w:rPr>
          <w:sz w:val="20"/>
          <w:szCs w:val="20"/>
          <w:color w:val="auto"/>
        </w:rPr>
      </w:pPr>
      <w:r>
        <w:rPr>
          <w:rFonts w:ascii="Courier New" w:cs="Courier New" w:eastAsia="Courier New" w:hAnsi="Courier New"/>
          <w:sz w:val="15"/>
          <w:szCs w:val="15"/>
          <w:color w:val="auto"/>
        </w:rPr>
        <w:t>cash needs for the foreseeable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addition to price reductions over the life of its long-term agreements, the Company continues to experience pricing pressures from its automotive customers, which have affected, and which will continue to affect, its margins to the extent that the Company is unable to offset the price reductions with productivity and yield improvements, engineering and purchasing cost reductions, and increases in sales volume. In addition, the Company continues to experience some pressure for raw material cost increases.</w:t>
      </w:r>
    </w:p>
    <w:p>
      <w:pPr>
        <w:spacing w:after="0" w:line="166"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Company currently supplies NVS(R) Mirrors to DaimlerChrysler AG (North America) and General Motors Corporation under long-term agreements. The long-term supply agreement with DaimlerChrysler AG runs through the 2003 Model Year, and the GM contract runs through the 2004 Model Year for inside mirrors.</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39"/>
          </w:cols>
          <w:pgMar w:left="220" w:top="617" w:right="1440" w:bottom="1440" w:gutter="0" w:footer="0" w:header="0"/>
        </w:sectPr>
      </w:pPr>
    </w:p>
    <w:bookmarkStart w:id="13" w:name="page14"/>
    <w:bookmarkEnd w:id="13"/>
    <w:p>
      <w:pPr>
        <w:ind w:right="1120" w:firstLine="787"/>
        <w:spacing w:after="0" w:line="255" w:lineRule="auto"/>
        <w:rPr>
          <w:sz w:val="20"/>
          <w:szCs w:val="20"/>
          <w:color w:val="auto"/>
        </w:rPr>
      </w:pPr>
      <w:r>
        <w:rPr>
          <w:rFonts w:ascii="Courier New" w:cs="Courier New" w:eastAsia="Courier New" w:hAnsi="Courier New"/>
          <w:sz w:val="14"/>
          <w:szCs w:val="14"/>
          <w:color w:val="auto"/>
        </w:rPr>
        <w:t>North American automakers have been experiencing increased volatility and uncertainty in executing planned new programs which have, in some cases, resulted in cancellations or delays of new vehicle platforms, package reconfigurations and inaccurate volume forecasts. This increased volatility and uncertainty has made it more difficult for the Company to forecast future sales and effectively utilize capital, R &amp; D, and human resource investments.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 DISCLOSURE</w:t>
      </w:r>
    </w:p>
    <w:p>
      <w:pPr>
        <w:spacing w:after="0" w:line="173" w:lineRule="exact"/>
        <w:rPr>
          <w:sz w:val="20"/>
          <w:szCs w:val="20"/>
          <w:color w:val="auto"/>
        </w:rPr>
      </w:pPr>
    </w:p>
    <w:p>
      <w:pPr>
        <w:ind w:right="1040" w:firstLine="787"/>
        <w:spacing w:after="0" w:line="235" w:lineRule="auto"/>
        <w:rPr>
          <w:sz w:val="20"/>
          <w:szCs w:val="20"/>
          <w:color w:val="auto"/>
        </w:rPr>
      </w:pPr>
      <w:r>
        <w:rPr>
          <w:rFonts w:ascii="Courier New" w:cs="Courier New" w:eastAsia="Courier New" w:hAnsi="Courier New"/>
          <w:sz w:val="15"/>
          <w:szCs w:val="15"/>
          <w:color w:val="auto"/>
        </w:rPr>
        <w:t>The Company is subject to market risk exposures of varying correlations and volatilities, including foreign exchange rate risk, interest rate risk and equity price risk.</w:t>
      </w:r>
    </w:p>
    <w:p>
      <w:pPr>
        <w:spacing w:after="0" w:line="174" w:lineRule="exact"/>
        <w:rPr>
          <w:sz w:val="20"/>
          <w:szCs w:val="20"/>
          <w:color w:val="auto"/>
        </w:rPr>
      </w:pPr>
    </w:p>
    <w:p>
      <w:pPr>
        <w:ind w:right="1120" w:firstLine="787"/>
        <w:spacing w:after="0" w:line="236" w:lineRule="auto"/>
        <w:rPr>
          <w:sz w:val="20"/>
          <w:szCs w:val="20"/>
          <w:color w:val="auto"/>
        </w:rPr>
      </w:pPr>
      <w:r>
        <w:rPr>
          <w:rFonts w:ascii="Courier New" w:cs="Courier New" w:eastAsia="Courier New" w:hAnsi="Courier New"/>
          <w:sz w:val="15"/>
          <w:szCs w:val="15"/>
          <w:color w:val="auto"/>
        </w:rPr>
        <w:t>The Company has some assets, liabilities and operations outside the United States, which currently are not significant. Because the Company sells its automotive mirrors throughout the world, it could be significantly affected by weak economic conditions in foreign markets that could reduce demand for its products.</w:t>
      </w:r>
    </w:p>
    <w:p>
      <w:pPr>
        <w:spacing w:after="0" w:line="174" w:lineRule="exact"/>
        <w:rPr>
          <w:sz w:val="20"/>
          <w:szCs w:val="20"/>
          <w:color w:val="auto"/>
        </w:rPr>
      </w:pPr>
    </w:p>
    <w:p>
      <w:pPr>
        <w:ind w:right="1120" w:firstLine="787"/>
        <w:spacing w:after="0" w:line="236" w:lineRule="auto"/>
        <w:rPr>
          <w:sz w:val="20"/>
          <w:szCs w:val="20"/>
          <w:color w:val="auto"/>
        </w:rPr>
      </w:pPr>
      <w:r>
        <w:rPr>
          <w:rFonts w:ascii="Courier New" w:cs="Courier New" w:eastAsia="Courier New" w:hAnsi="Courier New"/>
          <w:sz w:val="15"/>
          <w:szCs w:val="15"/>
          <w:color w:val="auto"/>
        </w:rPr>
        <w:t>Virtually all non-U.S. sales are invoiced and paid in U.S. dollars; during 2001, approximately 1% of the Company's net sales were invoiced and paid in European euros. The Company currently expects that approximately 5% of the Company's net sales in 2002 will be invoiced and paid in European euros. The Company does not engage in hedging activities.</w:t>
      </w:r>
    </w:p>
    <w:p>
      <w:pPr>
        <w:spacing w:after="0" w:line="174" w:lineRule="exact"/>
        <w:rPr>
          <w:sz w:val="20"/>
          <w:szCs w:val="20"/>
          <w:color w:val="auto"/>
        </w:rPr>
      </w:pPr>
    </w:p>
    <w:p>
      <w:pPr>
        <w:ind w:right="1200" w:firstLine="787"/>
        <w:spacing w:after="0" w:line="236" w:lineRule="auto"/>
        <w:rPr>
          <w:sz w:val="20"/>
          <w:szCs w:val="20"/>
          <w:color w:val="auto"/>
        </w:rPr>
      </w:pPr>
      <w:r>
        <w:rPr>
          <w:rFonts w:ascii="Courier New" w:cs="Courier New" w:eastAsia="Courier New" w:hAnsi="Courier New"/>
          <w:sz w:val="15"/>
          <w:szCs w:val="15"/>
          <w:color w:val="auto"/>
        </w:rPr>
        <w:t>The Company manages interest rate risk and default risk in its fixed-income investment portfolio by investing in shorter-term maturities and investment grade issues. The Company's fixed-income investments' maturities at carrying value ($000,000), which closely approximates fair value, and average interest rates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2006/07</w:t>
            </w:r>
          </w:p>
        </w:tc>
      </w:tr>
      <w:tr>
        <w:trPr>
          <w:trHeight w:val="168"/>
        </w:trPr>
        <w:tc>
          <w:tcPr>
            <w:tcW w:w="2500" w:type="dxa"/>
            <w:vAlign w:val="bottom"/>
          </w:tcPr>
          <w:p>
            <w:pPr>
              <w:spacing w:after="0"/>
              <w:rPr>
                <w:sz w:val="14"/>
                <w:szCs w:val="14"/>
                <w:color w:val="auto"/>
              </w:rPr>
            </w:pPr>
          </w:p>
        </w:tc>
        <w:tc>
          <w:tcPr>
            <w:tcW w:w="53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U.S. Treasuries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$49.3</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$22.9</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Municipal</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*After-tax</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41" w:lineRule="exact"/>
        <w:rPr>
          <w:sz w:val="20"/>
          <w:szCs w:val="20"/>
          <w:color w:val="auto"/>
        </w:rPr>
      </w:pPr>
    </w:p>
    <w:p>
      <w:pPr>
        <w:ind w:right="1380" w:firstLine="787"/>
        <w:spacing w:after="0" w:line="235" w:lineRule="auto"/>
        <w:rPr>
          <w:sz w:val="20"/>
          <w:szCs w:val="20"/>
          <w:color w:val="auto"/>
        </w:rPr>
      </w:pPr>
      <w:r>
        <w:rPr>
          <w:rFonts w:ascii="Courier New" w:cs="Courier New" w:eastAsia="Courier New" w:hAnsi="Courier New"/>
          <w:sz w:val="15"/>
          <w:szCs w:val="15"/>
          <w:color w:val="auto"/>
        </w:rPr>
        <w:t>Most of the Company's equity investments are managed by a number of outside equity fund managers who invest primarily in large capitalization companies trading on the U.S. stock markets.</w:t>
      </w:r>
    </w:p>
    <w:p>
      <w:pPr>
        <w:spacing w:after="0" w:line="33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7. 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See "Market Risk Disclosure" in Management's Discussion and Analysis</w:t>
      </w:r>
    </w:p>
    <w:p>
      <w:pPr>
        <w:spacing w:after="0" w:line="237" w:lineRule="auto"/>
        <w:rPr>
          <w:sz w:val="20"/>
          <w:szCs w:val="20"/>
          <w:color w:val="auto"/>
        </w:rPr>
      </w:pPr>
      <w:r>
        <w:rPr>
          <w:rFonts w:ascii="Courier New" w:cs="Courier New" w:eastAsia="Courier New" w:hAnsi="Courier New"/>
          <w:sz w:val="15"/>
          <w:szCs w:val="15"/>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Total Balance</w:t>
      </w:r>
    </w:p>
    <w:p>
      <w:pPr>
        <w:ind w:left="440"/>
        <w:spacing w:after="0" w:line="237" w:lineRule="auto"/>
        <w:rPr>
          <w:sz w:val="20"/>
          <w:szCs w:val="20"/>
          <w:color w:val="auto"/>
        </w:rPr>
      </w:pPr>
      <w:r>
        <w:rPr>
          <w:rFonts w:ascii="Courier New" w:cs="Courier New" w:eastAsia="Courier New" w:hAnsi="Courier New"/>
          <w:sz w:val="15"/>
          <w:szCs w:val="15"/>
          <w:color w:val="auto"/>
        </w:rPr>
        <w:t>as of December 31,</w:t>
      </w:r>
    </w:p>
    <w:p>
      <w:pPr>
        <w:jc w:val="both"/>
        <w:ind w:left="3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$72.2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$81.1</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$27.0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$34.4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bl>
    <w:p>
      <w:pPr>
        <w:sectPr>
          <w:pgSz w:w="11900" w:h="16838" w:orient="portrait"/>
          <w:cols w:equalWidth="0" w:num="2">
            <w:col w:w="8040" w:space="720"/>
            <w:col w:w="2180"/>
          </w:cols>
          <w:pgMar w:left="220" w:top="624" w:right="739" w:bottom="1440" w:gutter="0" w:footer="0" w:header="0"/>
        </w:sectPr>
      </w:pPr>
    </w:p>
    <w:bookmarkStart w:id="14" w:name="page15"/>
    <w:bookmarkEnd w:id="14"/>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jc w:val="both"/>
        <w:ind w:right="4280" w:firstLine="787"/>
        <w:spacing w:after="0" w:line="261" w:lineRule="auto"/>
        <w:rPr>
          <w:sz w:val="20"/>
          <w:szCs w:val="20"/>
          <w:color w:val="auto"/>
        </w:rPr>
      </w:pPr>
      <w:r>
        <w:rPr>
          <w:rFonts w:ascii="Courier New" w:cs="Courier New" w:eastAsia="Courier New" w:hAnsi="Courier New"/>
          <w:sz w:val="14"/>
          <w:szCs w:val="14"/>
          <w:color w:val="auto"/>
        </w:rPr>
        <w:t>The following financial statements and reports of independent auditors are filed with this report as pages 18 through 31 following the signature page:</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Balance Sheets as of December 31, 2001 and 2000</w:t>
      </w:r>
    </w:p>
    <w:p>
      <w:pPr>
        <w:spacing w:after="0" w:line="173" w:lineRule="exact"/>
        <w:rPr>
          <w:sz w:val="20"/>
          <w:szCs w:val="20"/>
          <w:color w:val="auto"/>
        </w:rPr>
      </w:pPr>
    </w:p>
    <w:p>
      <w:pPr>
        <w:ind w:left="800" w:right="4640"/>
        <w:spacing w:after="0" w:line="234" w:lineRule="auto"/>
        <w:rPr>
          <w:sz w:val="20"/>
          <w:szCs w:val="20"/>
          <w:color w:val="auto"/>
        </w:rPr>
      </w:pPr>
      <w:r>
        <w:rPr>
          <w:rFonts w:ascii="Courier New" w:cs="Courier New" w:eastAsia="Courier New" w:hAnsi="Courier New"/>
          <w:sz w:val="15"/>
          <w:szCs w:val="15"/>
          <w:color w:val="auto"/>
        </w:rPr>
        <w:t>Consolidated Statements of Income for the years ended December 31, 2001, 2000 and 1999</w:t>
      </w:r>
    </w:p>
    <w:p>
      <w:pPr>
        <w:spacing w:after="0" w:line="173" w:lineRule="exact"/>
        <w:rPr>
          <w:sz w:val="20"/>
          <w:szCs w:val="20"/>
          <w:color w:val="auto"/>
        </w:rPr>
      </w:pPr>
    </w:p>
    <w:p>
      <w:pPr>
        <w:ind w:left="800" w:right="4720"/>
        <w:spacing w:after="0" w:line="234" w:lineRule="auto"/>
        <w:rPr>
          <w:sz w:val="20"/>
          <w:szCs w:val="20"/>
          <w:color w:val="auto"/>
        </w:rPr>
      </w:pPr>
      <w:r>
        <w:rPr>
          <w:rFonts w:ascii="Courier New" w:cs="Courier New" w:eastAsia="Courier New" w:hAnsi="Courier New"/>
          <w:sz w:val="15"/>
          <w:szCs w:val="15"/>
          <w:color w:val="auto"/>
        </w:rPr>
        <w:t>Consolidated Statements of Shareholders' Investment for the years ended December 31, 2001, 2000 and 1999</w:t>
      </w:r>
    </w:p>
    <w:p>
      <w:pPr>
        <w:spacing w:after="0" w:line="173" w:lineRule="exact"/>
        <w:rPr>
          <w:sz w:val="20"/>
          <w:szCs w:val="20"/>
          <w:color w:val="auto"/>
        </w:rPr>
      </w:pPr>
    </w:p>
    <w:p>
      <w:pPr>
        <w:ind w:left="800" w:right="4280"/>
        <w:spacing w:after="0" w:line="234" w:lineRule="auto"/>
        <w:rPr>
          <w:sz w:val="20"/>
          <w:szCs w:val="20"/>
          <w:color w:val="auto"/>
        </w:rPr>
      </w:pPr>
      <w:r>
        <w:rPr>
          <w:rFonts w:ascii="Courier New" w:cs="Courier New" w:eastAsia="Courier New" w:hAnsi="Courier New"/>
          <w:sz w:val="15"/>
          <w:szCs w:val="15"/>
          <w:color w:val="auto"/>
        </w:rPr>
        <w:t>Consolidated Statements of Cash Flows for the years ended December 31, 2001, 2000 and 1999</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1"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Selected quarterly financial data for the past two years appears in the following table:</w:t>
      </w:r>
    </w:p>
    <w:p>
      <w:pPr>
        <w:spacing w:after="0" w:line="200" w:lineRule="exact"/>
        <w:rPr>
          <w:sz w:val="20"/>
          <w:szCs w:val="20"/>
          <w:color w:val="auto"/>
        </w:rPr>
      </w:pPr>
    </w:p>
    <w:p>
      <w:pPr>
        <w:spacing w:after="0" w:line="303"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Quarterly Results of Operations</w:t>
      </w:r>
    </w:p>
    <w:p>
      <w:pPr>
        <w:ind w:left="448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28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14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First</w:t>
            </w:r>
          </w:p>
        </w:tc>
        <w:tc>
          <w:tcPr>
            <w:tcW w:w="820" w:type="dxa"/>
            <w:vAlign w:val="bottom"/>
          </w:tcPr>
          <w:p>
            <w:pPr>
              <w:spacing w:after="0"/>
              <w:rPr>
                <w:sz w:val="14"/>
                <w:szCs w:val="14"/>
                <w:color w:val="auto"/>
              </w:rPr>
            </w:pPr>
          </w:p>
        </w:tc>
        <w:tc>
          <w:tcPr>
            <w:tcW w:w="154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6"/>
              </w:rPr>
              <w:t>Second</w:t>
            </w:r>
          </w:p>
        </w:tc>
        <w:tc>
          <w:tcPr>
            <w:tcW w:w="1000" w:type="dxa"/>
            <w:vAlign w:val="bottom"/>
          </w:tcPr>
          <w:p>
            <w:pPr>
              <w:spacing w:after="0"/>
              <w:rPr>
                <w:sz w:val="14"/>
                <w:szCs w:val="14"/>
                <w:color w:val="auto"/>
              </w:rPr>
            </w:pPr>
          </w:p>
        </w:tc>
        <w:tc>
          <w:tcPr>
            <w:tcW w:w="144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3"/>
              </w:rPr>
              <w:t>Third</w:t>
            </w:r>
          </w:p>
        </w:tc>
        <w:tc>
          <w:tcPr>
            <w:tcW w:w="96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Fourth</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79,397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73,877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77,075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76,756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74,116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71,934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79,717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74,854</w:t>
            </w:r>
          </w:p>
        </w:tc>
      </w:tr>
      <w:tr>
        <w:trPr>
          <w:trHeight w:val="336"/>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Gross Profit</w:t>
            </w:r>
          </w:p>
        </w:tc>
        <w:tc>
          <w:tcPr>
            <w:tcW w:w="30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31,726</w:t>
            </w:r>
          </w:p>
        </w:tc>
        <w:tc>
          <w:tcPr>
            <w:tcW w:w="26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32,507</w:t>
            </w:r>
          </w:p>
        </w:tc>
        <w:tc>
          <w:tcPr>
            <w:tcW w:w="48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30,364</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32,120</w:t>
            </w:r>
          </w:p>
        </w:tc>
        <w:tc>
          <w:tcPr>
            <w:tcW w:w="52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28,430</w:t>
            </w:r>
          </w:p>
        </w:tc>
        <w:tc>
          <w:tcPr>
            <w:tcW w:w="260" w:type="dxa"/>
            <w:vAlign w:val="bottom"/>
          </w:tcPr>
          <w:p>
            <w:pPr>
              <w:spacing w:after="0"/>
              <w:rPr>
                <w:sz w:val="24"/>
                <w:szCs w:val="2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28,550</w:t>
            </w:r>
          </w:p>
        </w:tc>
        <w:tc>
          <w:tcPr>
            <w:tcW w:w="5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31,484</w:t>
            </w: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31,776</w:t>
            </w:r>
          </w:p>
        </w:tc>
      </w:tr>
      <w:tr>
        <w:trPr>
          <w:trHeight w:val="336"/>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30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21,901</w:t>
            </w:r>
          </w:p>
        </w:tc>
        <w:tc>
          <w:tcPr>
            <w:tcW w:w="26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24,494</w:t>
            </w:r>
          </w:p>
        </w:tc>
        <w:tc>
          <w:tcPr>
            <w:tcW w:w="48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20,258</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23,363</w:t>
            </w:r>
          </w:p>
        </w:tc>
        <w:tc>
          <w:tcPr>
            <w:tcW w:w="52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18,654</w:t>
            </w:r>
          </w:p>
        </w:tc>
        <w:tc>
          <w:tcPr>
            <w:tcW w:w="260" w:type="dxa"/>
            <w:vAlign w:val="bottom"/>
          </w:tcPr>
          <w:p>
            <w:pPr>
              <w:spacing w:after="0"/>
              <w:rPr>
                <w:sz w:val="24"/>
                <w:szCs w:val="2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19,985</w:t>
            </w:r>
          </w:p>
        </w:tc>
        <w:tc>
          <w:tcPr>
            <w:tcW w:w="5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21,246</w:t>
            </w: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22,570</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30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17,253</w:t>
            </w:r>
          </w:p>
        </w:tc>
        <w:tc>
          <w:tcPr>
            <w:tcW w:w="26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18,550</w:t>
            </w:r>
          </w:p>
        </w:tc>
        <w:tc>
          <w:tcPr>
            <w:tcW w:w="48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16,196</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18,360</w:t>
            </w:r>
          </w:p>
        </w:tc>
        <w:tc>
          <w:tcPr>
            <w:tcW w:w="52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14,928</w:t>
            </w:r>
          </w:p>
        </w:tc>
        <w:tc>
          <w:tcPr>
            <w:tcW w:w="260" w:type="dxa"/>
            <w:vAlign w:val="bottom"/>
          </w:tcPr>
          <w:p>
            <w:pPr>
              <w:spacing w:after="0"/>
              <w:rPr>
                <w:sz w:val="24"/>
                <w:szCs w:val="2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15,854</w:t>
            </w:r>
          </w:p>
        </w:tc>
        <w:tc>
          <w:tcPr>
            <w:tcW w:w="5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16,839</w:t>
            </w: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17,780</w:t>
            </w:r>
          </w:p>
        </w:tc>
      </w:tr>
      <w:tr>
        <w:trPr>
          <w:trHeight w:val="336"/>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w:t>
      </w:r>
    </w:p>
    <w:p>
      <w:pPr>
        <w:spacing w:after="0" w:line="341" w:lineRule="exact"/>
        <w:rPr>
          <w:sz w:val="20"/>
          <w:szCs w:val="20"/>
          <w:color w:val="auto"/>
        </w:rPr>
      </w:pPr>
    </w:p>
    <w:p>
      <w:pPr>
        <w:ind w:right="4360"/>
        <w:spacing w:after="0" w:line="234" w:lineRule="auto"/>
        <w:rPr>
          <w:sz w:val="20"/>
          <w:szCs w:val="20"/>
          <w:color w:val="auto"/>
        </w:rPr>
      </w:pPr>
      <w:r>
        <w:rPr>
          <w:rFonts w:ascii="Courier New" w:cs="Courier New" w:eastAsia="Courier New" w:hAnsi="Courier New"/>
          <w:sz w:val="15"/>
          <w:szCs w:val="15"/>
          <w:color w:val="auto"/>
        </w:rPr>
        <w:t>ITEM 9. CHANGES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1200"/>
          </w:cols>
          <w:pgMar w:left="220" w:top="617" w:right="479" w:bottom="1440" w:gutter="0" w:footer="0" w:header="0"/>
        </w:sectPr>
      </w:pPr>
    </w:p>
    <w:bookmarkStart w:id="15" w:name="page16"/>
    <w:bookmarkEnd w:id="15"/>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2002 Annual Meeting of Shareholders and filed with the Commission is hereby incorporated herein by reference. Information concerning compliance with Section 16(a) of the Securities and Exchange Act of 1934 appearing under the caption "Section 16(A) Beneficial Ownership Reporting Compliance" in the definitive Proxy Statement for the 2002 Annual Meeting of Shareholders and filed with the Commission is hereby incorporated herein by reference.</w:t>
      </w:r>
    </w:p>
    <w:p>
      <w:pPr>
        <w:spacing w:after="0" w:line="17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information contained under the caption "Executive Compensation" contained in the definitive Proxy Statement for the 2002 Annual Meeting of Shareholders and filed with the Commission is hereby incorporated herein by reference.</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contained under the captions "Securities Ownership of Management" and "Securities Ownership of Certain Beneficial Owners" contained in the definitive Proxy Statement for the 2002 Annual Meeting of Shareholders and filed with the Commission is hereby incorporated herein by reference.</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The information contained under the caption "Transactions with Management" contained in the definitive Proxy Statement for the 2002 Annual Meeting of Shareholders and filed with the Commission is hereby incorporated herein by reference.</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1320" w:hanging="523"/>
        <w:spacing w:after="0"/>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 See Item 8.</w:t>
      </w:r>
    </w:p>
    <w:p>
      <w:pPr>
        <w:spacing w:after="0" w:line="172" w:lineRule="exact"/>
        <w:rPr>
          <w:rFonts w:ascii="Courier New" w:cs="Courier New" w:eastAsia="Courier New" w:hAnsi="Courier New"/>
          <w:sz w:val="15"/>
          <w:szCs w:val="15"/>
          <w:color w:val="auto"/>
        </w:rPr>
      </w:pPr>
    </w:p>
    <w:p>
      <w:pPr>
        <w:ind w:left="1760" w:right="3939" w:hanging="438"/>
        <w:spacing w:after="0" w:line="234" w:lineRule="auto"/>
        <w:tabs>
          <w:tab w:leader="none" w:pos="17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Schedules. None required or not applicable.</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Exhibit Index located on page 32.</w:t>
      </w:r>
    </w:p>
    <w:p>
      <w:pPr>
        <w:spacing w:after="0" w:line="172" w:lineRule="exact"/>
        <w:rPr>
          <w:rFonts w:ascii="Courier New" w:cs="Courier New" w:eastAsia="Courier New" w:hAnsi="Courier New"/>
          <w:sz w:val="15"/>
          <w:szCs w:val="15"/>
          <w:color w:val="auto"/>
        </w:rPr>
      </w:pPr>
    </w:p>
    <w:p>
      <w:pPr>
        <w:ind w:left="1320" w:right="3399" w:hanging="523"/>
        <w:spacing w:after="0" w:line="234"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three-month period ended December 31, 2001.</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10239"/>
          </w:cols>
          <w:pgMar w:left="220" w:top="449" w:right="1440" w:bottom="1440" w:gutter="0" w:footer="0" w:header="0"/>
        </w:sectPr>
      </w:pPr>
    </w:p>
    <w:bookmarkStart w:id="16" w:name="page17"/>
    <w:bookmarkEnd w:id="16"/>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449"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March 6,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368" w:lineRule="exact"/>
        <w:rPr>
          <w:sz w:val="20"/>
          <w:szCs w:val="20"/>
          <w:color w:val="auto"/>
        </w:rPr>
      </w:pPr>
    </w:p>
    <w:p>
      <w:pPr>
        <w:sectPr>
          <w:pgSz w:w="11900" w:h="16838" w:orient="portrait"/>
          <w:cols w:equalWidth="0" w:num="3">
            <w:col w:w="540" w:space="340"/>
            <w:col w:w="1760" w:space="260"/>
            <w:col w:w="7339"/>
          </w:cols>
          <w:pgMar w:left="220" w:top="449" w:right="1440" w:bottom="1440" w:gutter="0" w:footer="0" w:header="0"/>
          <w:type w:val="continuous"/>
        </w:sect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Bauer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 Bauer, Chairman and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w:t>
      </w:r>
    </w:p>
    <w:p>
      <w:pPr>
        <w:spacing w:after="0" w:line="166" w:lineRule="exact"/>
        <w:rPr>
          <w:sz w:val="20"/>
          <w:szCs w:val="20"/>
          <w:color w:val="auto"/>
        </w:rPr>
      </w:pPr>
    </w:p>
    <w:p>
      <w:pPr>
        <w:sectPr>
          <w:pgSz w:w="11900" w:h="16838" w:orient="portrait"/>
          <w:cols w:equalWidth="0" w:num="2">
            <w:col w:w="3160" w:space="180"/>
            <w:col w:w="6899"/>
          </w:cols>
          <w:pgMar w:left="220" w:top="449"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 Enoch Jen</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rPr>
          <w:sz w:val="20"/>
          <w:szCs w:val="20"/>
          <w:color w:val="auto"/>
        </w:rPr>
      </w:pPr>
      <w:r>
        <w:rPr>
          <w:rFonts w:ascii="Courier New" w:cs="Courier New" w:eastAsia="Courier New" w:hAnsi="Courier New"/>
          <w:sz w:val="15"/>
          <w:szCs w:val="15"/>
          <w:color w:val="auto"/>
        </w:rPr>
        <w:t>Enoch Jen, Vice President-Finance and</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Principal Financial and Accounting Officer</w:t>
      </w:r>
    </w:p>
    <w:p>
      <w:pPr>
        <w:sectPr>
          <w:pgSz w:w="11900" w:h="16838" w:orient="portrait"/>
          <w:cols w:equalWidth="0" w:num="1">
            <w:col w:w="10239"/>
          </w:cols>
          <w:pgMar w:left="220" w:top="449" w:right="1440" w:bottom="1440" w:gutter="0" w:footer="0" w:header="0"/>
          <w:type w:val="continuous"/>
        </w:sectPr>
      </w:pPr>
    </w:p>
    <w:p>
      <w:pPr>
        <w:spacing w:after="0" w:line="346"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6th day of March, 2001, by the following persons on behalf of the Registrant and in the capacities indicated.</w:t>
      </w:r>
    </w:p>
    <w:p>
      <w:pPr>
        <w:spacing w:after="0" w:line="16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Kenneth La Grand, each of them individually, as his attorney-in-fact to sign in his name and on his behalf, and to file with the Commission any and all amendments to this report on Form 10-K to the same extent and with the same effect as if done personally.</w:t>
      </w:r>
    </w:p>
    <w:p>
      <w:pPr>
        <w:spacing w:after="0" w:line="335"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 Fred Bauer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Fred Bauer</w:t>
      </w:r>
    </w:p>
    <w:p>
      <w:pPr>
        <w:spacing w:after="0" w:line="335"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 Mickey E. Fouts</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Mickey E. Fouts</w:t>
      </w:r>
    </w:p>
    <w:p>
      <w:pPr>
        <w:spacing w:after="0" w:line="335"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 Kenneth La Grand</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Kenneth La Grand</w:t>
      </w:r>
    </w:p>
    <w:p>
      <w:pPr>
        <w:spacing w:after="0" w:line="335"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 Arlyn Lanting</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Arlyn Lanting</w:t>
      </w:r>
    </w:p>
    <w:p>
      <w:pPr>
        <w:spacing w:after="0" w:line="335"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 John Mulder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Mulder</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Fred Sotok</w:t>
      </w:r>
    </w:p>
    <w:p>
      <w:pPr>
        <w:spacing w:after="0" w:line="167"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 Ted Thompson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Ted Thompson</w:t>
      </w:r>
    </w:p>
    <w:p>
      <w:pPr>
        <w:spacing w:after="0" w:line="335"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 Leo Weber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Leo Weber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t>
      </w:r>
    </w:p>
    <w:p>
      <w:pPr>
        <w:sectPr>
          <w:pgSz w:w="11900" w:h="16838" w:orient="portrait"/>
          <w:cols w:equalWidth="0" w:num="1">
            <w:col w:w="10239"/>
          </w:cols>
          <w:pgMar w:left="220" w:top="449" w:right="1440" w:bottom="1440" w:gutter="0" w:footer="0" w:header="0"/>
          <w:type w:val="continuous"/>
        </w:sectPr>
      </w:pPr>
    </w:p>
    <w:bookmarkStart w:id="17" w:name="page18"/>
    <w:bookmarkEnd w:id="17"/>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Gentex Corporation: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Gentex Corporation and subsidiaries as of December 31, 2001 and 2000, and the related consolidated statements of income, shareholders' investment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Gentex Corporation and subsidiaries at December 31, 2001 and 2000, and the consolidated results of their operations and their cash flows for each of the three years in the period ended December 31, 2001, in conformity with accounting principles generally accepted in the United States.</w:t>
      </w:r>
    </w:p>
    <w:p>
      <w:pPr>
        <w:spacing w:after="0" w:line="337" w:lineRule="exact"/>
        <w:rPr>
          <w:sz w:val="20"/>
          <w:szCs w:val="20"/>
          <w:color w:val="auto"/>
        </w:rPr>
      </w:pPr>
    </w:p>
    <w:p>
      <w:pPr>
        <w:ind w:left="3500"/>
        <w:spacing w:after="0"/>
        <w:tabs>
          <w:tab w:leader="none" w:pos="3920" w:val="left"/>
          <w:tab w:leader="none" w:pos="5240" w:val="left"/>
        </w:tabs>
        <w:rPr>
          <w:sz w:val="20"/>
          <w:szCs w:val="20"/>
          <w:color w:val="auto"/>
        </w:rPr>
      </w:pPr>
      <w:r>
        <w:rPr>
          <w:rFonts w:ascii="Courier New" w:cs="Courier New" w:eastAsia="Courier New" w:hAnsi="Courier New"/>
          <w:sz w:val="15"/>
          <w:szCs w:val="15"/>
          <w:color w:val="auto"/>
        </w:rPr>
        <w:t>/s/</w:t>
        <w:tab/>
        <w:t>Ernst &amp; Young</w:t>
      </w:r>
      <w:r>
        <w:rPr>
          <w:sz w:val="20"/>
          <w:szCs w:val="20"/>
          <w:color w:val="auto"/>
        </w:rPr>
        <w:tab/>
      </w:r>
      <w:r>
        <w:rPr>
          <w:rFonts w:ascii="Courier New" w:cs="Courier New" w:eastAsia="Courier New" w:hAnsi="Courier New"/>
          <w:sz w:val="14"/>
          <w:szCs w:val="14"/>
          <w:color w:val="auto"/>
        </w:rPr>
        <w:t>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18, 2002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39"/>
          </w:cols>
          <w:pgMar w:left="220" w:top="449" w:right="1440" w:bottom="1440"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OF DECEMBER 31, 2001 AND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9"/>
              </w:rPr>
              <w:t>2000</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$ 139,784,721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$ 110,195,583</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65,859,016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28,246,967</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allowances</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$375,000 and $350,000 in 2001 and 2000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31,994,939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35,614,669</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14,405,350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12,087,513</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7,814,468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4,411,118</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259,858,494</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190,555,850</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PLANT AND EQUIPMENT:</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Land, buildings and improvements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45,923,054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40,400,929</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118,809,575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84,480,366</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Construction-in-process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6,446,221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4,816,097</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171,178,850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129,697,392</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Less-Accumulated depreciation</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(60,316,540)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(47,777,724)</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4"/>
                <w:szCs w:val="24"/>
                <w:color w:val="auto"/>
              </w:rPr>
            </w:pP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110,862,310</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81,919,668</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132,771,234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153,016,195</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Patents and other assets, net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3,330,760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2,636,980</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136,101,994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155,653,175</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4"/>
                <w:szCs w:val="24"/>
                <w:color w:val="auto"/>
              </w:rPr>
            </w:pP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$ 506,822,798</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$ 428,128,693</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2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INVESTMENT</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9,378,937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9,328,155</w:t>
            </w:r>
          </w:p>
        </w:tc>
      </w:tr>
      <w:tr>
        <w:trPr>
          <w:trHeight w:val="168"/>
        </w:trPr>
        <w:tc>
          <w:tcPr>
            <w:tcW w:w="4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Salaries, wages and vacation</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2,219,079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1,973,485</w:t>
            </w: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taxes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1,947,404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1,805,500</w:t>
            </w: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Royalties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4,165,428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3,684,822</w:t>
            </w: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3,274,556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2,899,290</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ind w:left="1240"/>
              <w:spacing w:after="0"/>
              <w:rPr>
                <w:sz w:val="20"/>
                <w:szCs w:val="20"/>
                <w:color w:val="auto"/>
              </w:rPr>
            </w:pPr>
            <w:r>
              <w:rPr>
                <w:rFonts w:ascii="Courier New" w:cs="Courier New" w:eastAsia="Courier New" w:hAnsi="Courier New"/>
                <w:sz w:val="15"/>
                <w:szCs w:val="15"/>
                <w:color w:val="auto"/>
              </w:rPr>
              <w:t>Total current liabilities</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20,985,404</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19,691,252</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6,836,865</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6,333,880</w:t>
            </w:r>
          </w:p>
        </w:tc>
      </w:tr>
      <w:tr>
        <w:trPr>
          <w:trHeight w:val="673"/>
        </w:trPr>
        <w:tc>
          <w:tcPr>
            <w:tcW w:w="4260" w:type="dxa"/>
            <w:vAlign w:val="bottom"/>
          </w:tcPr>
          <w:p>
            <w:pPr>
              <w:spacing w:after="0"/>
              <w:rPr>
                <w:sz w:val="20"/>
                <w:szCs w:val="20"/>
                <w:color w:val="auto"/>
              </w:rPr>
            </w:pPr>
            <w:r>
              <w:rPr>
                <w:rFonts w:ascii="Courier New" w:cs="Courier New" w:eastAsia="Courier New" w:hAnsi="Courier New"/>
                <w:sz w:val="15"/>
                <w:szCs w:val="15"/>
                <w:color w:val="auto"/>
              </w:rPr>
              <w:t>SHAREHOLDERS' INVESTMENT:</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 no par value,</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5,000,000 shares authorized; none</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issued or outstanding</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 par value $.06 per share;</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100,000,000 shares authorized</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4,510,317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4,457,465</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105,327,971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92,132,617</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368,430,152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303,213,652</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(3,035,580)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(2,532,327)</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3,832,074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4,874,928</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(64,405)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(42,774)</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shareholders' investment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479,000,529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402,103,561</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4"/>
                <w:szCs w:val="24"/>
                <w:color w:val="auto"/>
              </w:rPr>
            </w:pP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$ 506,822,798</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$ 428,128,693</w:t>
            </w:r>
          </w:p>
        </w:tc>
      </w:tr>
      <w:tr>
        <w:trPr>
          <w:trHeight w:val="168"/>
        </w:trPr>
        <w:tc>
          <w:tcPr>
            <w:tcW w:w="42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39"/>
          </w:cols>
          <w:pgMar w:left="220" w:top="449" w:right="1440" w:bottom="12" w:gutter="0" w:footer="0" w:header="0"/>
        </w:sectPr>
      </w:pPr>
    </w:p>
    <w:bookmarkStart w:id="19" w:name="page20"/>
    <w:bookmarkEnd w:id="19"/>
    <w:p>
      <w:pPr>
        <w:jc w:val="center"/>
        <w:ind w:right="340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2001, 2000 AND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jc w:val="right"/>
              <w:ind w:right="787"/>
              <w:spacing w:after="0"/>
              <w:rPr>
                <w:sz w:val="20"/>
                <w:szCs w:val="20"/>
                <w:color w:val="auto"/>
              </w:rPr>
            </w:pPr>
            <w:r>
              <w:rPr>
                <w:rFonts w:ascii="Courier New" w:cs="Courier New" w:eastAsia="Courier New" w:hAnsi="Courier New"/>
                <w:sz w:val="15"/>
                <w:szCs w:val="15"/>
                <w:color w:val="auto"/>
                <w:w w:val="94"/>
              </w:rPr>
              <w:t>2001</w:t>
            </w:r>
          </w:p>
        </w:tc>
        <w:tc>
          <w:tcPr>
            <w:tcW w:w="540" w:type="dxa"/>
            <w:vAlign w:val="bottom"/>
          </w:tcPr>
          <w:p>
            <w:pPr>
              <w:spacing w:after="0"/>
              <w:rPr>
                <w:sz w:val="14"/>
                <w:szCs w:val="14"/>
                <w:color w:val="auto"/>
              </w:rPr>
            </w:pPr>
          </w:p>
        </w:tc>
        <w:tc>
          <w:tcPr>
            <w:tcW w:w="12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1999</w:t>
            </w:r>
          </w:p>
        </w:tc>
      </w:tr>
      <w:tr>
        <w:trPr>
          <w:trHeight w:val="168"/>
        </w:trPr>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w w:val="94"/>
              </w:rPr>
              <w:t>----</w:t>
            </w:r>
          </w:p>
        </w:tc>
        <w:tc>
          <w:tcPr>
            <w:tcW w:w="540" w:type="dxa"/>
            <w:vAlign w:val="bottom"/>
          </w:tcPr>
          <w:p>
            <w:pPr>
              <w:spacing w:after="0"/>
              <w:rPr>
                <w:sz w:val="14"/>
                <w:szCs w:val="14"/>
                <w:color w:val="auto"/>
              </w:rPr>
            </w:pPr>
          </w:p>
        </w:tc>
        <w:tc>
          <w:tcPr>
            <w:tcW w:w="1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$310,304,996</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$297,420,802</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$262,155,498</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188,301,693</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172,467,846</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148,820,129</w:t>
            </w:r>
          </w:p>
        </w:tc>
      </w:tr>
      <w:tr>
        <w:trPr>
          <w:trHeight w:val="168"/>
        </w:trPr>
        <w:tc>
          <w:tcPr>
            <w:tcW w:w="4740" w:type="dxa"/>
            <w:vAlign w:val="bottom"/>
          </w:tcPr>
          <w:p>
            <w:pPr>
              <w:spacing w:after="0"/>
              <w:rPr>
                <w:sz w:val="14"/>
                <w:szCs w:val="14"/>
                <w:color w:val="auto"/>
              </w:rPr>
            </w:pPr>
          </w:p>
        </w:tc>
        <w:tc>
          <w:tcPr>
            <w:tcW w:w="2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620"/>
              <w:spacing w:after="0"/>
              <w:rPr>
                <w:sz w:val="20"/>
                <w:szCs w:val="20"/>
                <w:color w:val="auto"/>
              </w:rPr>
            </w:pPr>
            <w:r>
              <w:rPr>
                <w:rFonts w:ascii="Courier New" w:cs="Courier New" w:eastAsia="Courier New" w:hAnsi="Courier New"/>
                <w:sz w:val="15"/>
                <w:szCs w:val="15"/>
                <w:color w:val="auto"/>
              </w:rPr>
              <w:t>Gross profit</w:t>
            </w:r>
          </w:p>
        </w:tc>
        <w:tc>
          <w:tcPr>
            <w:tcW w:w="2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122,003,303</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124,952,956</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113,335,369</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20,684,996</w:t>
            </w:r>
          </w:p>
        </w:tc>
        <w:tc>
          <w:tcPr>
            <w:tcW w:w="5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16,900,659</w:t>
            </w:r>
          </w:p>
        </w:tc>
        <w:tc>
          <w:tcPr>
            <w:tcW w:w="5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13,755,318</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19,259,065</w:t>
            </w:r>
          </w:p>
        </w:tc>
        <w:tc>
          <w:tcPr>
            <w:tcW w:w="5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17,641,306</w:t>
            </w:r>
          </w:p>
        </w:tc>
        <w:tc>
          <w:tcPr>
            <w:tcW w:w="5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14,057,560</w:t>
            </w:r>
          </w:p>
        </w:tc>
      </w:tr>
      <w:tr>
        <w:trPr>
          <w:trHeight w:val="168"/>
        </w:trPr>
        <w:tc>
          <w:tcPr>
            <w:tcW w:w="4740" w:type="dxa"/>
            <w:vAlign w:val="bottom"/>
          </w:tcPr>
          <w:p>
            <w:pPr>
              <w:spacing w:after="0"/>
              <w:rPr>
                <w:sz w:val="14"/>
                <w:szCs w:val="14"/>
                <w:color w:val="auto"/>
              </w:rPr>
            </w:pPr>
          </w:p>
        </w:tc>
        <w:tc>
          <w:tcPr>
            <w:tcW w:w="2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expenses</w:t>
            </w:r>
          </w:p>
        </w:tc>
        <w:tc>
          <w:tcPr>
            <w:tcW w:w="13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39,944,061</w:t>
            </w:r>
          </w:p>
        </w:tc>
        <w:tc>
          <w:tcPr>
            <w:tcW w:w="54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34,541,965</w:t>
            </w:r>
          </w:p>
        </w:tc>
        <w:tc>
          <w:tcPr>
            <w:tcW w:w="5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27,812,878</w:t>
            </w:r>
          </w:p>
        </w:tc>
      </w:tr>
      <w:tr>
        <w:trPr>
          <w:trHeight w:val="168"/>
        </w:trPr>
        <w:tc>
          <w:tcPr>
            <w:tcW w:w="4740" w:type="dxa"/>
            <w:vAlign w:val="bottom"/>
          </w:tcPr>
          <w:p>
            <w:pPr>
              <w:spacing w:after="0"/>
              <w:rPr>
                <w:sz w:val="14"/>
                <w:szCs w:val="14"/>
                <w:color w:val="auto"/>
              </w:rPr>
            </w:pPr>
          </w:p>
        </w:tc>
        <w:tc>
          <w:tcPr>
            <w:tcW w:w="2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540"/>
              <w:spacing w:after="0"/>
              <w:rPr>
                <w:sz w:val="20"/>
                <w:szCs w:val="20"/>
                <w:color w:val="auto"/>
              </w:rPr>
            </w:pPr>
            <w:r>
              <w:rPr>
                <w:rFonts w:ascii="Courier New" w:cs="Courier New" w:eastAsia="Courier New" w:hAnsi="Courier New"/>
                <w:sz w:val="15"/>
                <w:szCs w:val="15"/>
                <w:color w:val="auto"/>
              </w:rPr>
              <w:t>Operating income</w:t>
            </w:r>
          </w:p>
        </w:tc>
        <w:tc>
          <w:tcPr>
            <w:tcW w:w="13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82,059,242</w:t>
            </w:r>
          </w:p>
        </w:tc>
        <w:tc>
          <w:tcPr>
            <w:tcW w:w="54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90,410,991</w:t>
            </w:r>
          </w:p>
        </w:tc>
        <w:tc>
          <w:tcPr>
            <w:tcW w:w="5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85,522,491</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 income</w:t>
            </w:r>
          </w:p>
        </w:tc>
        <w:tc>
          <w:tcPr>
            <w:tcW w:w="1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13,283,546</w:t>
            </w:r>
          </w:p>
        </w:tc>
        <w:tc>
          <w:tcPr>
            <w:tcW w:w="5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13,358,636</w:t>
            </w:r>
          </w:p>
        </w:tc>
        <w:tc>
          <w:tcPr>
            <w:tcW w:w="5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8,459,607</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net</w:t>
            </w:r>
          </w:p>
        </w:tc>
        <w:tc>
          <w:tcPr>
            <w:tcW w:w="1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1,274,712</w:t>
            </w:r>
          </w:p>
        </w:tc>
        <w:tc>
          <w:tcPr>
            <w:tcW w:w="5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753,439</w:t>
            </w:r>
          </w:p>
        </w:tc>
        <w:tc>
          <w:tcPr>
            <w:tcW w:w="5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2,233,658</w:t>
            </w:r>
          </w:p>
        </w:tc>
      </w:tr>
      <w:tr>
        <w:trPr>
          <w:trHeight w:val="168"/>
        </w:trPr>
        <w:tc>
          <w:tcPr>
            <w:tcW w:w="4740" w:type="dxa"/>
            <w:vAlign w:val="bottom"/>
          </w:tcPr>
          <w:p>
            <w:pPr>
              <w:spacing w:after="0"/>
              <w:rPr>
                <w:sz w:val="14"/>
                <w:szCs w:val="14"/>
                <w:color w:val="auto"/>
              </w:rPr>
            </w:pPr>
          </w:p>
        </w:tc>
        <w:tc>
          <w:tcPr>
            <w:tcW w:w="2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880"/>
              <w:spacing w:after="0"/>
              <w:rPr>
                <w:sz w:val="20"/>
                <w:szCs w:val="20"/>
                <w:color w:val="auto"/>
              </w:rPr>
            </w:pPr>
            <w:r>
              <w:rPr>
                <w:rFonts w:ascii="Courier New" w:cs="Courier New" w:eastAsia="Courier New" w:hAnsi="Courier New"/>
                <w:sz w:val="15"/>
                <w:szCs w:val="15"/>
                <w:color w:val="auto"/>
              </w:rPr>
              <w:t>Total other income</w:t>
            </w:r>
          </w:p>
        </w:tc>
        <w:tc>
          <w:tcPr>
            <w:tcW w:w="13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14,558,258</w:t>
            </w:r>
          </w:p>
        </w:tc>
        <w:tc>
          <w:tcPr>
            <w:tcW w:w="54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14,112,075</w:t>
            </w:r>
          </w:p>
        </w:tc>
        <w:tc>
          <w:tcPr>
            <w:tcW w:w="5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10,693,265</w:t>
            </w:r>
          </w:p>
        </w:tc>
      </w:tr>
      <w:tr>
        <w:trPr>
          <w:trHeight w:val="168"/>
        </w:trPr>
        <w:tc>
          <w:tcPr>
            <w:tcW w:w="4740" w:type="dxa"/>
            <w:vAlign w:val="bottom"/>
          </w:tcPr>
          <w:p>
            <w:pPr>
              <w:spacing w:after="0"/>
              <w:rPr>
                <w:sz w:val="14"/>
                <w:szCs w:val="14"/>
                <w:color w:val="auto"/>
              </w:rPr>
            </w:pPr>
          </w:p>
        </w:tc>
        <w:tc>
          <w:tcPr>
            <w:tcW w:w="2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540"/>
              <w:spacing w:after="0"/>
              <w:rPr>
                <w:sz w:val="20"/>
                <w:szCs w:val="20"/>
                <w:color w:val="auto"/>
              </w:rPr>
            </w:pPr>
            <w:r>
              <w:rPr>
                <w:rFonts w:ascii="Courier New" w:cs="Courier New" w:eastAsia="Courier New" w:hAnsi="Courier New"/>
                <w:sz w:val="15"/>
                <w:szCs w:val="15"/>
                <w:color w:val="auto"/>
              </w:rPr>
              <w:t>Income before provision</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 income taxes</w:t>
            </w:r>
          </w:p>
        </w:tc>
        <w:tc>
          <w:tcPr>
            <w:tcW w:w="13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96,617,500</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104,523,066</w:t>
            </w:r>
          </w:p>
        </w:tc>
        <w:tc>
          <w:tcPr>
            <w:tcW w:w="5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96,215,756</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0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31,401,000</w:t>
            </w:r>
          </w:p>
        </w:tc>
        <w:tc>
          <w:tcPr>
            <w:tcW w:w="54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33,979,000</w:t>
            </w:r>
          </w:p>
        </w:tc>
        <w:tc>
          <w:tcPr>
            <w:tcW w:w="5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31,352,000</w:t>
            </w:r>
          </w:p>
        </w:tc>
      </w:tr>
      <w:tr>
        <w:trPr>
          <w:trHeight w:val="168"/>
        </w:trPr>
        <w:tc>
          <w:tcPr>
            <w:tcW w:w="4740" w:type="dxa"/>
            <w:vAlign w:val="bottom"/>
          </w:tcPr>
          <w:p>
            <w:pPr>
              <w:spacing w:after="0"/>
              <w:rPr>
                <w:sz w:val="14"/>
                <w:szCs w:val="14"/>
                <w:color w:val="auto"/>
              </w:rPr>
            </w:pPr>
          </w:p>
        </w:tc>
        <w:tc>
          <w:tcPr>
            <w:tcW w:w="2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$65,216,500</w:t>
            </w:r>
          </w:p>
        </w:tc>
        <w:tc>
          <w:tcPr>
            <w:tcW w:w="18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$70,544,066</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$64,863,756</w:t>
            </w:r>
          </w:p>
        </w:tc>
      </w:tr>
      <w:tr>
        <w:trPr>
          <w:trHeight w:val="168"/>
        </w:trPr>
        <w:tc>
          <w:tcPr>
            <w:tcW w:w="4740" w:type="dxa"/>
            <w:vAlign w:val="bottom"/>
          </w:tcPr>
          <w:p>
            <w:pPr>
              <w:spacing w:after="0"/>
              <w:rPr>
                <w:sz w:val="14"/>
                <w:szCs w:val="14"/>
                <w:color w:val="auto"/>
              </w:rPr>
            </w:pPr>
          </w:p>
        </w:tc>
        <w:tc>
          <w:tcPr>
            <w:tcW w:w="2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0.87</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0.95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0.89</w:t>
            </w:r>
          </w:p>
        </w:tc>
      </w:tr>
      <w:tr>
        <w:trPr>
          <w:trHeight w:val="168"/>
        </w:trPr>
        <w:tc>
          <w:tcPr>
            <w:tcW w:w="4740" w:type="dxa"/>
            <w:vAlign w:val="bottom"/>
          </w:tcPr>
          <w:p>
            <w:pPr>
              <w:spacing w:after="0"/>
              <w:rPr>
                <w:sz w:val="14"/>
                <w:szCs w:val="14"/>
                <w:color w:val="auto"/>
              </w:rPr>
            </w:pPr>
          </w:p>
        </w:tc>
        <w:tc>
          <w:tcPr>
            <w:tcW w:w="2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0.93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0.86</w:t>
            </w:r>
          </w:p>
        </w:tc>
      </w:tr>
      <w:tr>
        <w:trPr>
          <w:trHeight w:val="168"/>
        </w:trPr>
        <w:tc>
          <w:tcPr>
            <w:tcW w:w="4740" w:type="dxa"/>
            <w:vAlign w:val="bottom"/>
          </w:tcPr>
          <w:p>
            <w:pPr>
              <w:spacing w:after="0"/>
              <w:rPr>
                <w:sz w:val="14"/>
                <w:szCs w:val="14"/>
                <w:color w:val="auto"/>
              </w:rPr>
            </w:pPr>
          </w:p>
        </w:tc>
        <w:tc>
          <w:tcPr>
            <w:tcW w:w="2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58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500"/>
          </w:cols>
          <w:pgMar w:left="220" w:top="617" w:right="1179" w:bottom="1440" w:gutter="0" w:footer="0" w:header="0"/>
        </w:sectPr>
      </w:pPr>
    </w:p>
    <w:bookmarkStart w:id="20" w:name="page21"/>
    <w:bookmarkEnd w:id="20"/>
    <w:p>
      <w:pPr>
        <w:jc w:val="center"/>
        <w:ind w:right="3139"/>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SHAREHOLDERS' INVESTMENT</w:t>
      </w:r>
    </w:p>
    <w:p>
      <w:pPr>
        <w:jc w:val="center"/>
        <w:ind w:right="3139"/>
        <w:spacing w:after="0" w:line="238" w:lineRule="auto"/>
        <w:rPr>
          <w:sz w:val="20"/>
          <w:szCs w:val="20"/>
          <w:color w:val="auto"/>
        </w:rPr>
      </w:pPr>
      <w:r>
        <w:rPr>
          <w:rFonts w:ascii="Courier New" w:cs="Courier New" w:eastAsia="Courier New" w:hAnsi="Courier New"/>
          <w:sz w:val="15"/>
          <w:szCs w:val="15"/>
          <w:color w:val="auto"/>
        </w:rPr>
        <w:t>FOR THE YEARS ENDED DECEMBER 31, 2001, 2000, AND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880" w:type="dxa"/>
            <w:vAlign w:val="bottom"/>
            <w:gridSpan w:val="3"/>
          </w:tcPr>
          <w:p>
            <w:pPr>
              <w:jc w:val="right"/>
              <w:ind w:right="847"/>
              <w:spacing w:after="0"/>
              <w:rPr>
                <w:sz w:val="20"/>
                <w:szCs w:val="20"/>
                <w:color w:val="auto"/>
              </w:rPr>
            </w:pPr>
            <w:r>
              <w:rPr>
                <w:rFonts w:ascii="Courier New" w:cs="Courier New" w:eastAsia="Courier New" w:hAnsi="Courier New"/>
                <w:sz w:val="15"/>
                <w:szCs w:val="15"/>
                <w:color w:val="auto"/>
              </w:rPr>
              <w:t>Common Stock</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88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Paid-In</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Comprehensive</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340" w:type="dxa"/>
            <w:vAlign w:val="bottom"/>
          </w:tcPr>
          <w:p>
            <w:pPr>
              <w:spacing w:after="0"/>
              <w:rPr>
                <w:sz w:val="14"/>
                <w:szCs w:val="14"/>
                <w:color w:val="auto"/>
              </w:rPr>
            </w:pPr>
          </w:p>
        </w:tc>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Amount</w:t>
            </w: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Capital</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1998</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72,258,917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4,335,535</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$ 64,876,098</w:t>
            </w:r>
          </w:p>
        </w:tc>
        <w:tc>
          <w:tcPr>
            <w:tcW w:w="1360" w:type="dxa"/>
            <w:vAlign w:val="bottom"/>
          </w:tcPr>
          <w:p>
            <w:pPr>
              <w:spacing w:after="0"/>
              <w:rPr>
                <w:sz w:val="24"/>
                <w:szCs w:val="2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1,153,399</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69,204</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14,794,203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$ 64,863,756</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(26,505)</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gain on investments, net of tax</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359,069</w:t>
            </w:r>
          </w:p>
        </w:tc>
      </w:tr>
      <w:tr>
        <w:trPr>
          <w:trHeight w:val="168"/>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332,564</w:t>
            </w:r>
          </w:p>
        </w:tc>
      </w:tr>
      <w:tr>
        <w:trPr>
          <w:trHeight w:val="168"/>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$65,196,320</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 1999</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73,412,316</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4,404,739</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79,670,301</w:t>
            </w:r>
          </w:p>
        </w:tc>
        <w:tc>
          <w:tcPr>
            <w:tcW w:w="1360" w:type="dxa"/>
            <w:vAlign w:val="bottom"/>
          </w:tcPr>
          <w:p>
            <w:pPr>
              <w:spacing w:after="0"/>
              <w:rPr>
                <w:sz w:val="14"/>
                <w:szCs w:val="14"/>
                <w:color w:val="auto"/>
              </w:rPr>
            </w:pP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878,766</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52,726</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12,462,316</w:t>
            </w:r>
          </w:p>
        </w:tc>
        <w:tc>
          <w:tcPr>
            <w:tcW w:w="13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$ 70,544,066</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(53,566)</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gain on investments, net of tax</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2,508,291</w:t>
            </w:r>
          </w:p>
        </w:tc>
      </w:tr>
      <w:tr>
        <w:trPr>
          <w:trHeight w:val="168"/>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2,454,725</w:t>
            </w:r>
          </w:p>
        </w:tc>
      </w:tr>
      <w:tr>
        <w:trPr>
          <w:trHeight w:val="168"/>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$72,998,791</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 2000</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74,291,082</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4,457,465</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92,132,617</w:t>
            </w:r>
          </w:p>
        </w:tc>
        <w:tc>
          <w:tcPr>
            <w:tcW w:w="1360" w:type="dxa"/>
            <w:vAlign w:val="bottom"/>
          </w:tcPr>
          <w:p>
            <w:pPr>
              <w:spacing w:after="0"/>
              <w:rPr>
                <w:sz w:val="14"/>
                <w:szCs w:val="14"/>
                <w:color w:val="auto"/>
              </w:rPr>
            </w:pPr>
          </w:p>
        </w:tc>
      </w:tr>
      <w:tr>
        <w:trPr>
          <w:trHeight w:val="673"/>
        </w:trPr>
        <w:tc>
          <w:tcPr>
            <w:tcW w:w="42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880,869</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52,852</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13,195,354</w:t>
            </w:r>
          </w:p>
        </w:tc>
        <w:tc>
          <w:tcPr>
            <w:tcW w:w="13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$ 65,216,500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(21,631)</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loss on investments, net of tax</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(1,042,854)</w:t>
            </w:r>
          </w:p>
        </w:tc>
      </w:tr>
      <w:tr>
        <w:trPr>
          <w:trHeight w:val="168"/>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comprehensive loss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(1,064,485)</w:t>
            </w:r>
          </w:p>
        </w:tc>
      </w:tr>
      <w:tr>
        <w:trPr>
          <w:trHeight w:val="168"/>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$64,152,015</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2001</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75,171,951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4,510,317</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$105,327,971</w:t>
            </w:r>
          </w:p>
        </w:tc>
        <w:tc>
          <w:tcPr>
            <w:tcW w:w="1360" w:type="dxa"/>
            <w:vAlign w:val="bottom"/>
          </w:tcPr>
          <w:p>
            <w:pPr>
              <w:spacing w:after="0"/>
              <w:rPr>
                <w:sz w:val="24"/>
                <w:szCs w:val="24"/>
                <w:color w:val="auto"/>
              </w:rPr>
            </w:pPr>
          </w:p>
        </w:tc>
      </w:tr>
      <w:tr>
        <w:trPr>
          <w:trHeight w:val="168"/>
        </w:trPr>
        <w:tc>
          <w:tcPr>
            <w:tcW w:w="42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673"/>
        </w:trPr>
        <w:tc>
          <w:tcPr>
            <w:tcW w:w="4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tcPr>
          <w:p>
            <w:pPr>
              <w:spacing w:after="0"/>
              <w:rPr>
                <w:sz w:val="24"/>
                <w:szCs w:val="24"/>
                <w:color w:val="auto"/>
              </w:rPr>
            </w:pPr>
          </w:p>
        </w:tc>
      </w:tr>
      <w:tr>
        <w:trPr>
          <w:trHeight w:val="168"/>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Retained</w:t>
            </w:r>
          </w:p>
        </w:tc>
        <w:tc>
          <w:tcPr>
            <w:tcW w:w="340" w:type="dxa"/>
            <w:vAlign w:val="bottom"/>
          </w:tcPr>
          <w:p>
            <w:pPr>
              <w:spacing w:after="0"/>
              <w:rPr>
                <w:sz w:val="14"/>
                <w:szCs w:val="14"/>
                <w:color w:val="auto"/>
              </w:rPr>
            </w:pPr>
          </w:p>
        </w:tc>
        <w:tc>
          <w:tcPr>
            <w:tcW w:w="11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Deferred</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Comprehensive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Earnings</w:t>
            </w:r>
          </w:p>
        </w:tc>
        <w:tc>
          <w:tcPr>
            <w:tcW w:w="14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Income</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1998</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$ 167,805,830</w:t>
            </w:r>
          </w:p>
        </w:tc>
        <w:tc>
          <w:tcPr>
            <w:tcW w:w="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(2,054,110)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2,044,865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$ 237,008,218</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(759,504)</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14,103,903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742,975</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742,975</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64,863,756</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64,863,756</w:t>
            </w:r>
          </w:p>
        </w:tc>
      </w:tr>
      <w:tr>
        <w:trPr>
          <w:trHeight w:val="336"/>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gain on investments, net of tax</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332,564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332,564</w:t>
            </w:r>
          </w:p>
        </w:tc>
      </w:tr>
      <w:tr>
        <w:trPr>
          <w:trHeight w:val="336"/>
        </w:trPr>
        <w:tc>
          <w:tcPr>
            <w:tcW w:w="426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1999</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232,669,586</w:t>
            </w:r>
          </w:p>
        </w:tc>
        <w:tc>
          <w:tcPr>
            <w:tcW w:w="34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(2,070,639)</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2,377,429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317,051,416</w:t>
            </w:r>
          </w:p>
        </w:tc>
      </w:tr>
      <w:tr>
        <w:trPr>
          <w:trHeight w:val="505"/>
        </w:trPr>
        <w:tc>
          <w:tcPr>
            <w:tcW w:w="42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(1,269,959)</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11,245,083</w:t>
            </w:r>
          </w:p>
        </w:tc>
      </w:tr>
    </w:tbl>
    <w:p>
      <w:pPr>
        <w:sectPr>
          <w:pgSz w:w="11900" w:h="16838" w:orient="portrait"/>
          <w:cols w:equalWidth="0" w:num="1">
            <w:col w:w="10239"/>
          </w:cols>
          <w:pgMar w:left="220" w:top="449"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808,271</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808,271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70,544,066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70,544,066</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gain on investments, net of tax</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2,454,725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2,454,725</w:t>
            </w:r>
          </w:p>
        </w:tc>
      </w:tr>
      <w:tr>
        <w:trPr>
          <w:trHeight w:val="336"/>
        </w:trPr>
        <w:tc>
          <w:tcPr>
            <w:tcW w:w="426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303,213,652</w:t>
            </w:r>
          </w:p>
        </w:tc>
        <w:tc>
          <w:tcPr>
            <w:tcW w:w="1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(2,532,327)</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4,832,154</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402,103,561</w:t>
            </w:r>
          </w:p>
        </w:tc>
      </w:tr>
      <w:tr>
        <w:trPr>
          <w:trHeight w:val="673"/>
        </w:trPr>
        <w:tc>
          <w:tcPr>
            <w:tcW w:w="42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(1,444,019)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11,804,187</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940,766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940,766</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65,216,500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65,216,500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loss on investments, net of tax</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loss</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(1,064,485)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(1,064,485)</w:t>
            </w:r>
          </w:p>
        </w:tc>
      </w:tr>
      <w:tr>
        <w:trPr>
          <w:trHeight w:val="336"/>
        </w:trPr>
        <w:tc>
          <w:tcPr>
            <w:tcW w:w="4260" w:type="dxa"/>
            <w:vAlign w:val="bottom"/>
          </w:tcPr>
          <w:p>
            <w:pPr>
              <w:ind w:left="1320"/>
              <w:spacing w:after="0"/>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2001</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$ 368,430,152</w:t>
            </w:r>
          </w:p>
        </w:tc>
        <w:tc>
          <w:tcPr>
            <w:tcW w:w="1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(3,035,580)</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3,767,669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$ 479,000,529</w:t>
            </w:r>
          </w:p>
        </w:tc>
      </w:tr>
      <w:tr>
        <w:trPr>
          <w:trHeight w:val="168"/>
        </w:trPr>
        <w:tc>
          <w:tcPr>
            <w:tcW w:w="42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39"/>
          </w:cols>
          <w:pgMar w:left="220" w:top="135" w:right="1440" w:bottom="1440" w:gutter="0" w:footer="0" w:header="0"/>
        </w:sectPr>
      </w:pPr>
    </w:p>
    <w:bookmarkStart w:id="22" w:name="page23"/>
    <w:bookmarkEnd w:id="22"/>
    <w:p>
      <w:pPr>
        <w:jc w:val="center"/>
        <w:ind w:right="366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2001, 2000, AND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8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7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$65,216,500</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$70,544,066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$64,863,756</w:t>
            </w: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7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15,192,818</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11,334,104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9,656,700</w:t>
            </w:r>
          </w:p>
        </w:tc>
      </w:tr>
      <w:tr>
        <w:trPr>
          <w:trHeight w:val="168"/>
        </w:trPr>
        <w:tc>
          <w:tcPr>
            <w:tcW w:w="57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(Gain) loss on disposal of assets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152,757</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5,026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(112,252)</w:t>
            </w:r>
          </w:p>
        </w:tc>
      </w:tr>
      <w:tr>
        <w:trPr>
          <w:trHeight w:val="168"/>
        </w:trPr>
        <w:tc>
          <w:tcPr>
            <w:tcW w:w="57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Gain on sale of investments</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(1,595,634)</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(1,443,772)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(2,580,397)</w:t>
            </w:r>
          </w:p>
        </w:tc>
      </w:tr>
      <w:tr>
        <w:trPr>
          <w:trHeight w:val="168"/>
        </w:trPr>
        <w:tc>
          <w:tcPr>
            <w:tcW w:w="57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Loss on sale of investments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1,259,381</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2,068,229</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1,068,288</w:t>
            </w:r>
          </w:p>
        </w:tc>
      </w:tr>
      <w:tr>
        <w:trPr>
          <w:trHeight w:val="168"/>
        </w:trPr>
        <w:tc>
          <w:tcPr>
            <w:tcW w:w="57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1,035,648</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497,162</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719,999</w:t>
            </w:r>
          </w:p>
        </w:tc>
      </w:tr>
      <w:tr>
        <w:trPr>
          <w:trHeight w:val="168"/>
        </w:trPr>
        <w:tc>
          <w:tcPr>
            <w:tcW w:w="57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940,766</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808,271</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742,975</w:t>
            </w:r>
          </w:p>
        </w:tc>
      </w:tr>
      <w:tr>
        <w:trPr>
          <w:trHeight w:val="168"/>
        </w:trPr>
        <w:tc>
          <w:tcPr>
            <w:tcW w:w="57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3,619,730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(4,981,168)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(376,706)</w:t>
            </w:r>
          </w:p>
        </w:tc>
      </w:tr>
      <w:tr>
        <w:trPr>
          <w:trHeight w:val="168"/>
        </w:trPr>
        <w:tc>
          <w:tcPr>
            <w:tcW w:w="5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Inventories</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(2,317,837)</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(2,112,335)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(1,248,758)</w:t>
            </w:r>
          </w:p>
        </w:tc>
      </w:tr>
      <w:tr>
        <w:trPr>
          <w:trHeight w:val="168"/>
        </w:trPr>
        <w:tc>
          <w:tcPr>
            <w:tcW w:w="5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(3,374,477)</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(1,202,885)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(358,346)</w:t>
            </w:r>
          </w:p>
        </w:tc>
      </w:tr>
      <w:tr>
        <w:trPr>
          <w:trHeight w:val="168"/>
        </w:trPr>
        <w:tc>
          <w:tcPr>
            <w:tcW w:w="5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50,782</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1,039,828</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685,394</w:t>
            </w:r>
          </w:p>
        </w:tc>
      </w:tr>
      <w:tr>
        <w:trPr>
          <w:trHeight w:val="168"/>
        </w:trPr>
        <w:tc>
          <w:tcPr>
            <w:tcW w:w="5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1,243,370</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2,181,213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937,927</w:t>
            </w:r>
          </w:p>
        </w:tc>
      </w:tr>
      <w:tr>
        <w:trPr>
          <w:trHeight w:val="168"/>
        </w:trPr>
        <w:tc>
          <w:tcPr>
            <w:tcW w:w="57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7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81,423,804</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78,737,739</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73,998,580</w:t>
            </w:r>
          </w:p>
        </w:tc>
      </w:tr>
      <w:tr>
        <w:trPr>
          <w:trHeight w:val="168"/>
        </w:trPr>
        <w:tc>
          <w:tcPr>
            <w:tcW w:w="57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Activity in Held-To-Maturity Securities</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Sales Proceeds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952,230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Maturities and Calls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25,658,600</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23,160,550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22,755,000</w:t>
            </w:r>
          </w:p>
        </w:tc>
      </w:tr>
      <w:tr>
        <w:trPr>
          <w:trHeight w:val="168"/>
        </w:trPr>
        <w:tc>
          <w:tcPr>
            <w:tcW w:w="5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Purchases</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(28,828,709)</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(23,558,062)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(8,753,236)</w:t>
            </w: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Activity in Available-For-Sale Securities</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Sales Proceeds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9,697,480</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7,023,476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9,431,697</w:t>
            </w:r>
          </w:p>
        </w:tc>
      </w:tr>
      <w:tr>
        <w:trPr>
          <w:trHeight w:val="168"/>
        </w:trPr>
        <w:tc>
          <w:tcPr>
            <w:tcW w:w="5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Purchases</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(25,162,596)</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(34,284,618)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(69,912,210)</w:t>
            </w: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Plant and equipment additions</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(45,298,429)</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(21,617,088)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(21,968,447)</w:t>
            </w: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sale of plant and equipment</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1,248,287</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51,200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516,184</w:t>
            </w: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(953,486)</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(742,899)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(971,246)</w:t>
            </w:r>
          </w:p>
        </w:tc>
      </w:tr>
      <w:tr>
        <w:trPr>
          <w:trHeight w:val="168"/>
        </w:trPr>
        <w:tc>
          <w:tcPr>
            <w:tcW w:w="57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Net cash used for</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7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(63,638,853)</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(49,015,211)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(68,902,258)</w:t>
            </w:r>
          </w:p>
        </w:tc>
      </w:tr>
      <w:tr>
        <w:trPr>
          <w:trHeight w:val="168"/>
        </w:trPr>
        <w:tc>
          <w:tcPr>
            <w:tcW w:w="57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Issuance of common stock and the tax benefit of</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stock plan transactions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11,804,187</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11,245,083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14,103,903</w:t>
            </w:r>
          </w:p>
        </w:tc>
      </w:tr>
      <w:tr>
        <w:trPr>
          <w:trHeight w:val="168"/>
        </w:trPr>
        <w:tc>
          <w:tcPr>
            <w:tcW w:w="57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7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11,804,187</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11,245,083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14,103,903</w:t>
            </w:r>
          </w:p>
        </w:tc>
      </w:tr>
      <w:tr>
        <w:trPr>
          <w:trHeight w:val="168"/>
        </w:trPr>
        <w:tc>
          <w:tcPr>
            <w:tcW w:w="57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INCREASE IN CASH AND</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EQUIVALENTS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29,589,138</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40,967,611</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19,200,225</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110,195,583</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69,227,972</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50,027,747</w:t>
            </w:r>
          </w:p>
        </w:tc>
      </w:tr>
      <w:tr>
        <w:trPr>
          <w:trHeight w:val="168"/>
        </w:trPr>
        <w:tc>
          <w:tcPr>
            <w:tcW w:w="57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$139,784,721</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$110,195,583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$69,227,972</w:t>
            </w:r>
          </w:p>
        </w:tc>
      </w:tr>
      <w:tr>
        <w:trPr>
          <w:trHeight w:val="168"/>
        </w:trPr>
        <w:tc>
          <w:tcPr>
            <w:tcW w:w="578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840"/>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760"/>
          </w:cols>
          <w:pgMar w:left="220" w:top="617" w:right="919" w:bottom="1440" w:gutter="0" w:footer="0" w:header="0"/>
        </w:sectPr>
      </w:pPr>
    </w:p>
    <w:bookmarkStart w:id="23" w:name="page24"/>
    <w:bookmarkEnd w:id="23"/>
    <w:p>
      <w:pPr>
        <w:ind w:left="2020"/>
        <w:spacing w:after="0"/>
        <w:rPr>
          <w:sz w:val="20"/>
          <w:szCs w:val="20"/>
          <w:color w:val="auto"/>
        </w:rPr>
      </w:pPr>
      <w:r>
        <w:rPr>
          <w:rFonts w:ascii="Courier New" w:cs="Courier New" w:eastAsia="Courier New" w:hAnsi="Courier New"/>
          <w:sz w:val="15"/>
          <w:szCs w:val="15"/>
          <w:color w:val="auto"/>
        </w:rPr>
        <w:t>GENTEX CORPORATION AND SUBSIDIARIES</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left="440" w:right="4899" w:hanging="430"/>
        <w:spacing w:after="0" w:line="465"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spacing w:after="0" w:line="14" w:lineRule="exact"/>
        <w:rPr>
          <w:rFonts w:ascii="Courier New" w:cs="Courier New" w:eastAsia="Courier New" w:hAnsi="Courier New"/>
          <w:sz w:val="15"/>
          <w:szCs w:val="15"/>
          <w:color w:val="auto"/>
        </w:rPr>
      </w:pPr>
    </w:p>
    <w:p>
      <w:pPr>
        <w:ind w:left="70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Gentex Corporation designs, develops, manufactures and markets proprietary electro-optical products: automatic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w:t>
      </w:r>
    </w:p>
    <w:p>
      <w:pPr>
        <w:spacing w:after="0" w:line="165" w:lineRule="exact"/>
        <w:rPr>
          <w:rFonts w:ascii="Courier New" w:cs="Courier New" w:eastAsia="Courier New" w:hAnsi="Courier New"/>
          <w:sz w:val="15"/>
          <w:szCs w:val="15"/>
          <w:color w:val="auto"/>
        </w:rPr>
      </w:pPr>
    </w:p>
    <w:p>
      <w:pPr>
        <w:ind w:left="4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w:t>
      </w:r>
    </w:p>
    <w:p>
      <w:pPr>
        <w:spacing w:after="0" w:line="4" w:lineRule="exact"/>
        <w:rPr>
          <w:rFonts w:ascii="Courier New" w:cs="Courier New" w:eastAsia="Courier New" w:hAnsi="Courier New"/>
          <w:sz w:val="15"/>
          <w:szCs w:val="15"/>
          <w:color w:val="auto"/>
        </w:rPr>
      </w:pPr>
    </w:p>
    <w:p>
      <w:pPr>
        <w:ind w:left="700" w:right="331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of funds invested in money market accounts.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4" w:lineRule="exact"/>
        <w:rPr>
          <w:rFonts w:ascii="Courier New" w:cs="Courier New" w:eastAsia="Courier New" w:hAnsi="Courier New"/>
          <w:sz w:val="15"/>
          <w:szCs w:val="15"/>
          <w:color w:val="auto"/>
        </w:rPr>
      </w:pPr>
    </w:p>
    <w:p>
      <w:pPr>
        <w:ind w:left="70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Equity securities and U.S. Treasuries are available for sale and are stated at fair value based on quoted market prices. Adjustments to the fair value of available for sale investments are recorded as increases or decreases, net of income taxes, within accumulated other comprehensive income in shareholders' investment. Fixed income securities, excluding U.S. Treasuries, are considered held to maturity and, accordingly, are carried at amortized cost.</w:t>
      </w:r>
    </w:p>
    <w:p>
      <w:pPr>
        <w:spacing w:after="0" w:line="175" w:lineRule="exact"/>
        <w:rPr>
          <w:rFonts w:ascii="Courier New" w:cs="Courier New" w:eastAsia="Courier New" w:hAnsi="Courier New"/>
          <w:sz w:val="15"/>
          <w:szCs w:val="15"/>
          <w:color w:val="auto"/>
        </w:rPr>
      </w:pPr>
    </w:p>
    <w:p>
      <w:pPr>
        <w:ind w:left="700" w:right="375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amortized cost, unrealized gains and losses, and market value of securities held to maturity and available for sale are shown as of December 31, 2001 and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0"/>
        <w:spacing w:after="0"/>
        <w:tabs>
          <w:tab w:leader="none" w:pos="3660" w:val="left"/>
          <w:tab w:leader="none" w:pos="5580" w:val="left"/>
          <w:tab w:leader="none" w:pos="7420" w:val="left"/>
          <w:tab w:leader="none" w:pos="892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4"/>
          <w:szCs w:val="14"/>
          <w:color w:val="auto"/>
        </w:rPr>
        <w:t>Market Value</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U.S. Treasuries</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$ 69,991,935</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$2,172,456</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$ 72,164,391</w:t>
            </w:r>
          </w:p>
        </w:tc>
      </w:tr>
      <w:tr>
        <w:trPr>
          <w:trHeight w:val="168"/>
        </w:trPr>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Municipal</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27,008,487</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227,952</w:t>
            </w:r>
          </w:p>
        </w:tc>
        <w:tc>
          <w:tcPr>
            <w:tcW w:w="56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(42,554)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27,193,885</w:t>
            </w:r>
          </w:p>
        </w:tc>
      </w:tr>
      <w:tr>
        <w:trPr>
          <w:trHeight w:val="168"/>
        </w:trPr>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Fixed Income</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34,427,986</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506,260</w:t>
            </w:r>
          </w:p>
        </w:tc>
        <w:tc>
          <w:tcPr>
            <w:tcW w:w="56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(7,375)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34,926,871</w:t>
            </w:r>
          </w:p>
        </w:tc>
      </w:tr>
      <w:tr>
        <w:trPr>
          <w:trHeight w:val="168"/>
        </w:trPr>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Equity</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61,306,343</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5,345,938</w:t>
            </w:r>
          </w:p>
        </w:tc>
        <w:tc>
          <w:tcPr>
            <w:tcW w:w="56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(1,622,895)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65,029,386</w:t>
            </w:r>
          </w:p>
        </w:tc>
      </w:tr>
      <w:tr>
        <w:trPr>
          <w:trHeight w:val="168"/>
        </w:trPr>
        <w:tc>
          <w:tcPr>
            <w:tcW w:w="2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$192,734,751</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$8,252,606</w:t>
            </w:r>
          </w:p>
        </w:tc>
        <w:tc>
          <w:tcPr>
            <w:tcW w:w="19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$(1,672,824)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$199,314,533</w:t>
            </w:r>
          </w:p>
        </w:tc>
      </w:tr>
      <w:tr>
        <w:trPr>
          <w:trHeight w:val="168"/>
        </w:trPr>
        <w:tc>
          <w:tcPr>
            <w:tcW w:w="2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U.S. Treasuries</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$ 80,010,620</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$1,109,708</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(5,062)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$ 81,115,266</w:t>
            </w:r>
          </w:p>
        </w:tc>
      </w:tr>
      <w:tr>
        <w:trPr>
          <w:trHeight w:val="168"/>
        </w:trPr>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Municipal</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21,070,646</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51,298</w:t>
            </w:r>
          </w:p>
        </w:tc>
        <w:tc>
          <w:tcPr>
            <w:tcW w:w="56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(29,381)</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21,092,563</w:t>
            </w:r>
          </w:p>
        </w:tc>
      </w:tr>
      <w:tr>
        <w:trPr>
          <w:trHeight w:val="168"/>
        </w:trPr>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Fixed Income</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27,095,719</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175,666</w:t>
            </w:r>
          </w:p>
        </w:tc>
        <w:tc>
          <w:tcPr>
            <w:tcW w:w="56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(39,377)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27,232,008</w:t>
            </w:r>
          </w:p>
        </w:tc>
      </w:tr>
      <w:tr>
        <w:trPr>
          <w:trHeight w:val="168"/>
        </w:trPr>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Equity</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45,586,289</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7,130,465</w:t>
            </w:r>
          </w:p>
        </w:tc>
        <w:tc>
          <w:tcPr>
            <w:tcW w:w="56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(735,222)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51,981,532</w:t>
            </w:r>
          </w:p>
        </w:tc>
      </w:tr>
      <w:tr>
        <w:trPr>
          <w:trHeight w:val="168"/>
        </w:trPr>
        <w:tc>
          <w:tcPr>
            <w:tcW w:w="2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$173,763,274</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$8,467,137</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(809,042)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$181,421,369</w:t>
            </w:r>
          </w:p>
        </w:tc>
      </w:tr>
      <w:tr>
        <w:trPr>
          <w:trHeight w:val="168"/>
        </w:trPr>
        <w:tc>
          <w:tcPr>
            <w:tcW w:w="218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Fixed income securities as of December 31, 2001, have contractual maturities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2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Held to Maturity</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U.S. Treasuries</w:t>
            </w:r>
          </w:p>
        </w:tc>
      </w:tr>
      <w:tr>
        <w:trPr>
          <w:trHeight w:val="168"/>
        </w:trPr>
        <w:tc>
          <w:tcPr>
            <w:tcW w:w="2880" w:type="dxa"/>
            <w:vAlign w:val="bottom"/>
          </w:tcPr>
          <w:p>
            <w:pPr>
              <w:spacing w:after="0"/>
              <w:rPr>
                <w:sz w:val="14"/>
                <w:szCs w:val="14"/>
                <w:color w:val="auto"/>
              </w:rPr>
            </w:pPr>
          </w:p>
        </w:tc>
        <w:tc>
          <w:tcPr>
            <w:tcW w:w="2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80" w:type="dxa"/>
            <w:vAlign w:val="bottom"/>
          </w:tcPr>
          <w:p>
            <w:pPr>
              <w:spacing w:after="0"/>
              <w:rPr>
                <w:sz w:val="20"/>
                <w:szCs w:val="20"/>
                <w:color w:val="auto"/>
              </w:rPr>
            </w:pPr>
            <w:r>
              <w:rPr>
                <w:rFonts w:ascii="Courier New" w:cs="Courier New" w:eastAsia="Courier New" w:hAnsi="Courier New"/>
                <w:sz w:val="15"/>
                <w:szCs w:val="15"/>
                <w:color w:val="auto"/>
              </w:rPr>
              <w:t>Due within one year</w:t>
            </w:r>
          </w:p>
        </w:tc>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$16,546,500</w:t>
            </w:r>
          </w:p>
        </w:tc>
        <w:tc>
          <w:tcPr>
            <w:tcW w:w="1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$48,239,263</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between one and five years</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44,598,954</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21,752,672</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Due over five years</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291,019</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80" w:type="dxa"/>
            <w:vAlign w:val="bottom"/>
          </w:tcPr>
          <w:p>
            <w:pPr>
              <w:spacing w:after="0"/>
              <w:rPr>
                <w:sz w:val="14"/>
                <w:szCs w:val="14"/>
                <w:color w:val="auto"/>
              </w:rPr>
            </w:pP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80" w:type="dxa"/>
            <w:vAlign w:val="bottom"/>
          </w:tcPr>
          <w:p>
            <w:pPr>
              <w:spacing w:after="0"/>
              <w:rPr>
                <w:sz w:val="14"/>
                <w:szCs w:val="14"/>
                <w:color w:val="auto"/>
              </w:rPr>
            </w:pP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$61,436,473</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$69,991,935</w:t>
            </w:r>
          </w:p>
        </w:tc>
      </w:tr>
      <w:tr>
        <w:trPr>
          <w:trHeight w:val="168"/>
        </w:trPr>
        <w:tc>
          <w:tcPr>
            <w:tcW w:w="2880" w:type="dxa"/>
            <w:vAlign w:val="bottom"/>
          </w:tcPr>
          <w:p>
            <w:pPr>
              <w:spacing w:after="0"/>
              <w:rPr>
                <w:sz w:val="14"/>
                <w:szCs w:val="14"/>
                <w:color w:val="auto"/>
              </w:rPr>
            </w:pP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700" w:right="3319" w:hanging="261"/>
        <w:spacing w:after="0" w:line="235" w:lineRule="auto"/>
        <w:rPr>
          <w:sz w:val="20"/>
          <w:szCs w:val="20"/>
          <w:color w:val="auto"/>
        </w:rPr>
      </w:pPr>
      <w:r>
        <w:rPr>
          <w:rFonts w:ascii="Courier New" w:cs="Courier New" w:eastAsia="Courier New" w:hAnsi="Courier New"/>
          <w:sz w:val="15"/>
          <w:szCs w:val="15"/>
          <w:color w:val="auto"/>
        </w:rPr>
        <w:t>During 2000, the Company sold approximately $947,000 of securities classified as held to maturity for $952,000. The decision to sell these securities was based on deterioration in the credit worthiness of the issuer.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39"/>
          </w:cols>
          <w:pgMar w:left="220" w:top="449" w:right="1440" w:bottom="12" w:gutter="0" w:footer="0" w:header="0"/>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left="440" w:right="3939" w:hanging="430"/>
        <w:spacing w:after="0" w:line="46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Inventories</w:t>
      </w:r>
    </w:p>
    <w:p>
      <w:pPr>
        <w:spacing w:after="0" w:line="14" w:lineRule="exact"/>
        <w:rPr>
          <w:rFonts w:ascii="Courier New" w:cs="Courier New" w:eastAsia="Courier New" w:hAnsi="Courier New"/>
          <w:sz w:val="15"/>
          <w:szCs w:val="15"/>
          <w:color w:val="auto"/>
        </w:rPr>
      </w:pPr>
    </w:p>
    <w:p>
      <w:pPr>
        <w:ind w:left="700" w:right="3239" w:hanging="262"/>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Inventories include material, direct labor and manufacturing overhead and are valued at the lower of first-in, first-out (FIFO) cost or market. Inventories consisted of the following as of December 31, 2001 and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21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1920" w:type="dxa"/>
            <w:vAlign w:val="bottom"/>
          </w:tcPr>
          <w:p>
            <w:pPr>
              <w:spacing w:after="0"/>
              <w:rPr>
                <w:sz w:val="14"/>
                <w:szCs w:val="14"/>
                <w:color w:val="auto"/>
              </w:rPr>
            </w:pPr>
          </w:p>
        </w:tc>
        <w:tc>
          <w:tcPr>
            <w:tcW w:w="21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$ 8,376,321</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$ 7,362,544</w:t>
            </w: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Work-in-process</w:t>
            </w:r>
          </w:p>
        </w:tc>
        <w:tc>
          <w:tcPr>
            <w:tcW w:w="2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1,649,389</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1,488,326</w:t>
            </w: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4,379,640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3,236,643</w:t>
            </w:r>
          </w:p>
        </w:tc>
      </w:tr>
      <w:tr>
        <w:trPr>
          <w:trHeight w:val="168"/>
        </w:trPr>
        <w:tc>
          <w:tcPr>
            <w:tcW w:w="1920" w:type="dxa"/>
            <w:vAlign w:val="bottom"/>
          </w:tcPr>
          <w:p>
            <w:pPr>
              <w:spacing w:after="0"/>
              <w:rPr>
                <w:sz w:val="14"/>
                <w:szCs w:val="14"/>
                <w:color w:val="auto"/>
              </w:rPr>
            </w:pPr>
          </w:p>
        </w:tc>
        <w:tc>
          <w:tcPr>
            <w:tcW w:w="2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20" w:type="dxa"/>
            <w:vAlign w:val="bottom"/>
          </w:tcPr>
          <w:p>
            <w:pPr>
              <w:spacing w:after="0"/>
              <w:rPr>
                <w:sz w:val="14"/>
                <w:szCs w:val="14"/>
                <w:color w:val="auto"/>
              </w:rPr>
            </w:pPr>
          </w:p>
        </w:tc>
        <w:tc>
          <w:tcPr>
            <w:tcW w:w="2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$14,405,350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$12,087,513</w:t>
            </w:r>
          </w:p>
        </w:tc>
      </w:tr>
      <w:tr>
        <w:trPr>
          <w:trHeight w:val="168"/>
        </w:trPr>
        <w:tc>
          <w:tcPr>
            <w:tcW w:w="1920" w:type="dxa"/>
            <w:vAlign w:val="bottom"/>
          </w:tcPr>
          <w:p>
            <w:pPr>
              <w:spacing w:after="0"/>
              <w:rPr>
                <w:sz w:val="14"/>
                <w:szCs w:val="14"/>
                <w:color w:val="auto"/>
              </w:rPr>
            </w:pPr>
          </w:p>
        </w:tc>
        <w:tc>
          <w:tcPr>
            <w:tcW w:w="21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Plant and Equipment</w:t>
      </w:r>
    </w:p>
    <w:p>
      <w:pPr>
        <w:spacing w:after="0" w:line="173" w:lineRule="exact"/>
        <w:rPr>
          <w:sz w:val="20"/>
          <w:szCs w:val="20"/>
          <w:color w:val="auto"/>
        </w:rPr>
      </w:pPr>
    </w:p>
    <w:p>
      <w:pPr>
        <w:ind w:left="700" w:right="3399" w:hanging="261"/>
        <w:spacing w:after="0" w:line="256" w:lineRule="auto"/>
        <w:rPr>
          <w:sz w:val="20"/>
          <w:szCs w:val="20"/>
          <w:color w:val="auto"/>
        </w:rPr>
      </w:pPr>
      <w:r>
        <w:rPr>
          <w:rFonts w:ascii="Courier New" w:cs="Courier New" w:eastAsia="Courier New" w:hAnsi="Courier New"/>
          <w:sz w:val="14"/>
          <w:szCs w:val="14"/>
          <w:color w:val="auto"/>
        </w:rPr>
        <w:t>Plant 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Patents</w:t>
      </w:r>
    </w:p>
    <w:p>
      <w:pPr>
        <w:spacing w:after="0" w:line="173" w:lineRule="exact"/>
        <w:rPr>
          <w:sz w:val="20"/>
          <w:szCs w:val="20"/>
          <w:color w:val="auto"/>
        </w:rPr>
      </w:pPr>
    </w:p>
    <w:p>
      <w:pPr>
        <w:ind w:left="700" w:right="3239" w:hanging="261"/>
        <w:spacing w:after="0" w:line="236" w:lineRule="auto"/>
        <w:rPr>
          <w:sz w:val="20"/>
          <w:szCs w:val="20"/>
          <w:color w:val="auto"/>
        </w:rPr>
      </w:pPr>
      <w:r>
        <w:rPr>
          <w:rFonts w:ascii="Courier New" w:cs="Courier New" w:eastAsia="Courier New" w:hAnsi="Courier New"/>
          <w:sz w:val="15"/>
          <w:szCs w:val="15"/>
          <w:color w:val="auto"/>
        </w:rPr>
        <w:t>The Company's policy is to capitalize costs incurred to obtain patents. The cost of patents is amortized over their useful lives. The cost of patents in process is not amortized until issuance. Accumulated amortization was approximately $2,333,000 and $2,095,000 at December 31, 2001 and 2000, respectively. In 2000, fully amortized patents with an original cost of approximately $3,200,000 were written off. Patent amortization expense was approximately $238,000, $355,000 and $71,000 in 2001, 2000, and 1999, respectively.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left="700" w:right="3499" w:hanging="261"/>
        <w:spacing w:after="0" w:line="235" w:lineRule="auto"/>
        <w:rPr>
          <w:sz w:val="20"/>
          <w:szCs w:val="20"/>
          <w:color w:val="auto"/>
        </w:rPr>
      </w:pPr>
      <w:r>
        <w:rPr>
          <w:rFonts w:ascii="Courier New" w:cs="Courier New" w:eastAsia="Courier New" w:hAnsi="Courier New"/>
          <w:sz w:val="15"/>
          <w:szCs w:val="15"/>
          <w:color w:val="auto"/>
        </w:rPr>
        <w:t>The Company's revenue is generated primarily from sales of its products. Sales are recognized when the product is shipped and legal title has passed to the customer.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 and Promotional Materials</w:t>
      </w:r>
    </w:p>
    <w:p>
      <w:pPr>
        <w:spacing w:after="0" w:line="16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All advertising and promotional costs are expensed as incurred and amounted</w:t>
      </w:r>
    </w:p>
    <w:p>
      <w:pPr>
        <w:spacing w:after="0" w:line="5" w:lineRule="exact"/>
        <w:rPr>
          <w:sz w:val="20"/>
          <w:szCs w:val="20"/>
          <w:color w:val="auto"/>
        </w:rPr>
      </w:pPr>
    </w:p>
    <w:p>
      <w:pPr>
        <w:ind w:left="700" w:right="3499"/>
        <w:spacing w:after="0" w:line="234" w:lineRule="auto"/>
        <w:rPr>
          <w:sz w:val="20"/>
          <w:szCs w:val="20"/>
          <w:color w:val="auto"/>
        </w:rPr>
      </w:pPr>
      <w:r>
        <w:rPr>
          <w:rFonts w:ascii="Courier New" w:cs="Courier New" w:eastAsia="Courier New" w:hAnsi="Courier New"/>
          <w:sz w:val="15"/>
          <w:szCs w:val="15"/>
          <w:color w:val="auto"/>
        </w:rPr>
        <w:t>to approximately $653,000, $932,000, and $808,000, in 2001, 2000, and 1999, respectively.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Repairs and Maintenance</w:t>
      </w:r>
    </w:p>
    <w:p>
      <w:pPr>
        <w:spacing w:after="0" w:line="173" w:lineRule="exact"/>
        <w:rPr>
          <w:sz w:val="20"/>
          <w:szCs w:val="20"/>
          <w:color w:val="auto"/>
        </w:rPr>
      </w:pPr>
    </w:p>
    <w:p>
      <w:pPr>
        <w:ind w:left="700" w:right="3319" w:hanging="261"/>
        <w:spacing w:after="0" w:line="236" w:lineRule="auto"/>
        <w:rPr>
          <w:sz w:val="20"/>
          <w:szCs w:val="20"/>
          <w:color w:val="auto"/>
        </w:rPr>
      </w:pPr>
      <w:r>
        <w:rPr>
          <w:rFonts w:ascii="Courier New" w:cs="Courier New" w:eastAsia="Courier New" w:hAnsi="Courier New"/>
          <w:sz w:val="15"/>
          <w:szCs w:val="15"/>
          <w:color w:val="auto"/>
        </w:rPr>
        <w:t>Major renewals and improvements of property and equipment are capitalized, and repairs and maintenance are expensed as incurred. The Company incurred expenses relating to the repair and maintenance of plant and equipment of approximately $3,780,000, $3,182,000, and $2,535,000, in 2001, 2000, and 1999, respectively.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Self-Insurance</w:t>
      </w:r>
    </w:p>
    <w:p>
      <w:pPr>
        <w:spacing w:after="0" w:line="173" w:lineRule="exact"/>
        <w:rPr>
          <w:sz w:val="20"/>
          <w:szCs w:val="20"/>
          <w:color w:val="auto"/>
        </w:rPr>
      </w:pPr>
    </w:p>
    <w:p>
      <w:pPr>
        <w:ind w:left="700" w:right="3239" w:hanging="261"/>
        <w:spacing w:after="0" w:line="236" w:lineRule="auto"/>
        <w:rPr>
          <w:sz w:val="20"/>
          <w:szCs w:val="20"/>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- 24 -</w:t>
      </w:r>
    </w:p>
    <w:p>
      <w:pPr>
        <w:sectPr>
          <w:pgSz w:w="11900" w:h="16838" w:orient="portrait"/>
          <w:cols w:equalWidth="0" w:num="1">
            <w:col w:w="10239"/>
          </w:cols>
          <w:pgMar w:left="220" w:top="449" w:right="1440" w:bottom="1440" w:gutter="0" w:footer="0" w:header="0"/>
        </w:sectPr>
      </w:pPr>
    </w:p>
    <w:bookmarkStart w:id="25" w:name="page26"/>
    <w:bookmarkEnd w:id="25"/>
    <w:p>
      <w:pPr>
        <w:jc w:val="center"/>
        <w:ind w:right="428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43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2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w:t>
      </w:r>
    </w:p>
    <w:p>
      <w:pPr>
        <w:spacing w:after="0" w:line="33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2" w:lineRule="exact"/>
        <w:rPr>
          <w:rFonts w:ascii="Courier New" w:cs="Courier New" w:eastAsia="Courier New" w:hAnsi="Courier New"/>
          <w:sz w:val="15"/>
          <w:szCs w:val="15"/>
          <w:color w:val="auto"/>
        </w:rPr>
      </w:pPr>
    </w:p>
    <w:p>
      <w:pPr>
        <w:ind w:left="700" w:right="4460"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numerators and denominators used in the calculations of basic and diluted earnings per share (EPS) for each of the last three years:</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74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Numerators:</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5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Numerator for both basic and diluted EPS, net income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$65,216,500</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$70,544,066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$64,863,756</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Denominators:</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weighted-average common shares outstanding</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74,778,518</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73,941,256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72,999,601</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Potentially dilutive shares resulting from stock option plans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1,093,268</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1,576,877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1,996,713</w:t>
            </w:r>
          </w:p>
        </w:tc>
      </w:tr>
      <w:tr>
        <w:trPr>
          <w:trHeight w:val="168"/>
        </w:trPr>
        <w:tc>
          <w:tcPr>
            <w:tcW w:w="57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Denominator for diluted EPS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75,871,786</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75,518,133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74,996,314</w:t>
            </w:r>
          </w:p>
        </w:tc>
      </w:tr>
      <w:tr>
        <w:trPr>
          <w:trHeight w:val="168"/>
        </w:trPr>
        <w:tc>
          <w:tcPr>
            <w:tcW w:w="574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700" w:right="4460" w:hanging="261"/>
        <w:spacing w:after="0" w:line="235" w:lineRule="auto"/>
        <w:rPr>
          <w:sz w:val="20"/>
          <w:szCs w:val="20"/>
          <w:color w:val="auto"/>
        </w:rPr>
      </w:pPr>
      <w:r>
        <w:rPr>
          <w:rFonts w:ascii="Courier New" w:cs="Courier New" w:eastAsia="Courier New" w:hAnsi="Courier New"/>
          <w:sz w:val="15"/>
          <w:szCs w:val="15"/>
          <w:color w:val="auto"/>
        </w:rPr>
        <w:t>For the years ended December 31, 2001, 2000, and 1999, 490,508, 373,865, and 101,897 shares related to stock option plans were not included in diluted average common shares outstanding because their effect would be antidilutive.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Comprehensive Income</w:t>
      </w:r>
    </w:p>
    <w:p>
      <w:pPr>
        <w:spacing w:after="0" w:line="173" w:lineRule="exact"/>
        <w:rPr>
          <w:sz w:val="20"/>
          <w:szCs w:val="20"/>
          <w:color w:val="auto"/>
        </w:rPr>
      </w:pPr>
    </w:p>
    <w:p>
      <w:pPr>
        <w:ind w:left="700" w:right="4380" w:hanging="261"/>
        <w:spacing w:after="0" w:line="236" w:lineRule="auto"/>
        <w:rPr>
          <w:sz w:val="20"/>
          <w:szCs w:val="20"/>
          <w:color w:val="auto"/>
        </w:rPr>
      </w:pPr>
      <w:r>
        <w:rPr>
          <w:rFonts w:ascii="Courier New" w:cs="Courier New" w:eastAsia="Courier New" w:hAnsi="Courier New"/>
          <w:sz w:val="15"/>
          <w:szCs w:val="15"/>
          <w:color w:val="auto"/>
        </w:rPr>
        <w:t>Statement of Financial Accounting Standards (SFAS) No. 130, "Reporting Comprehensive Income" establishes standards for reporting and display of comprehensive income and its components. Comprehensive income reflects the change in equity of a business enterprise during a period from transactions and other events and circumstances from non-owner sources. For Gentex, comprehensive income represents net income adjusted for unrealized gains and losses on certain investments and foreign currency translation adjustments. The changes in the components of other comprehensive income (loss)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Years Ended December 31,</w:t>
            </w:r>
          </w:p>
        </w:tc>
        <w:tc>
          <w:tcPr>
            <w:tcW w:w="1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848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460" w:type="dxa"/>
            <w:vAlign w:val="bottom"/>
          </w:tcPr>
          <w:p>
            <w:pPr>
              <w:spacing w:after="0"/>
              <w:rPr>
                <w:sz w:val="14"/>
                <w:szCs w:val="14"/>
                <w:color w:val="auto"/>
              </w:rPr>
            </w:pP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1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Pre-Tax</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Tax Exp.</w:t>
            </w:r>
          </w:p>
        </w:tc>
        <w:tc>
          <w:tcPr>
            <w:tcW w:w="1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Pre-Tax</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Tax Exp.</w:t>
            </w:r>
          </w:p>
        </w:tc>
        <w:tc>
          <w:tcPr>
            <w:tcW w:w="1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Pre-Tax</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Exp.</w:t>
            </w:r>
          </w:p>
        </w:tc>
      </w:tr>
      <w:tr>
        <w:trPr>
          <w:trHeight w:val="168"/>
        </w:trPr>
        <w:tc>
          <w:tcPr>
            <w:tcW w:w="246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(Credit)</w:t>
            </w:r>
          </w:p>
        </w:tc>
        <w:tc>
          <w:tcPr>
            <w:tcW w:w="1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Amount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(Credit)</w:t>
            </w:r>
          </w:p>
        </w:tc>
        <w:tc>
          <w:tcPr>
            <w:tcW w:w="1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(Credit)</w:t>
            </w:r>
          </w:p>
        </w:tc>
      </w:tr>
      <w:tr>
        <w:trPr>
          <w:trHeight w:val="168"/>
        </w:trPr>
        <w:tc>
          <w:tcPr>
            <w:tcW w:w="246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Unrealized Gain (Loss)</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Securities</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$(1,604,391)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$(561,537)</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$3,858,909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$1,350,618</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$552,415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$193,346</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Foreign Currency</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Translation Adjustments</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(33,278)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(11,647)</w:t>
            </w:r>
          </w:p>
        </w:tc>
        <w:tc>
          <w:tcPr>
            <w:tcW w:w="1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(82,409)</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(28,843)</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(40,777)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(14,272)</w:t>
            </w:r>
          </w:p>
        </w:tc>
      </w:tr>
      <w:tr>
        <w:trPr>
          <w:trHeight w:val="168"/>
        </w:trPr>
        <w:tc>
          <w:tcPr>
            <w:tcW w:w="246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Other Comprehensive</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Income (Loss)</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$(1,637,669)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$(573,184)</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$3,776,500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$1,321,775</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$511,638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$179,074</w:t>
            </w:r>
          </w:p>
        </w:tc>
      </w:tr>
      <w:tr>
        <w:trPr>
          <w:trHeight w:val="168"/>
        </w:trPr>
        <w:tc>
          <w:tcPr>
            <w:tcW w:w="246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left="700" w:right="4460" w:hanging="261"/>
        <w:spacing w:after="0" w:line="236" w:lineRule="auto"/>
        <w:rPr>
          <w:sz w:val="20"/>
          <w:szCs w:val="20"/>
          <w:color w:val="auto"/>
        </w:rPr>
      </w:pPr>
      <w:r>
        <w:rPr>
          <w:rFonts w:ascii="Courier New" w:cs="Courier New" w:eastAsia="Courier New" w:hAnsi="Courier New"/>
          <w:sz w:val="15"/>
          <w:szCs w:val="15"/>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Estimates</w:t>
      </w:r>
    </w:p>
    <w:p>
      <w:pPr>
        <w:spacing w:after="0" w:line="173" w:lineRule="exact"/>
        <w:rPr>
          <w:sz w:val="20"/>
          <w:szCs w:val="20"/>
          <w:color w:val="auto"/>
        </w:rPr>
      </w:pPr>
    </w:p>
    <w:p>
      <w:pPr>
        <w:ind w:left="700" w:right="4540" w:hanging="261"/>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9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- 25 -</w:t>
      </w:r>
    </w:p>
    <w:p>
      <w:pPr>
        <w:sectPr>
          <w:pgSz w:w="11900" w:h="16838" w:orient="portrait"/>
          <w:cols w:equalWidth="0" w:num="1">
            <w:col w:w="11380"/>
          </w:cols>
          <w:pgMar w:left="220" w:top="449" w:right="299" w:bottom="12" w:gutter="0" w:footer="0" w:header="0"/>
        </w:sectPr>
      </w:pPr>
    </w:p>
    <w:bookmarkStart w:id="26" w:name="page27"/>
    <w:bookmarkEnd w:id="26"/>
    <w:p>
      <w:pPr>
        <w:ind w:left="2020"/>
        <w:spacing w:after="0"/>
        <w:rPr>
          <w:sz w:val="20"/>
          <w:szCs w:val="20"/>
          <w:color w:val="auto"/>
        </w:rPr>
      </w:pPr>
      <w:r>
        <w:rPr>
          <w:rFonts w:ascii="Courier New" w:cs="Courier New" w:eastAsia="Courier New" w:hAnsi="Courier New"/>
          <w:sz w:val="15"/>
          <w:szCs w:val="15"/>
          <w:color w:val="auto"/>
        </w:rPr>
        <w:t>GENTEX CORPORATION AND SUBSIDIARIES</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SUMMARY OF SIGNIFICANT ACCOUNTING AND REPORTING POLICIES,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Accounting Standards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June 1998 and June 2000, the Financial Accounting Standards Board issued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SFAS No. 133, "Accounting for Derivative Instruments and Hedging</w:t>
      </w:r>
    </w:p>
    <w:p>
      <w:pPr>
        <w:ind w:left="700"/>
        <w:spacing w:after="0" w:line="237" w:lineRule="auto"/>
        <w:rPr>
          <w:sz w:val="20"/>
          <w:szCs w:val="20"/>
          <w:color w:val="auto"/>
        </w:rPr>
      </w:pPr>
      <w:r>
        <w:rPr>
          <w:rFonts w:ascii="Courier New" w:cs="Courier New" w:eastAsia="Courier New" w:hAnsi="Courier New"/>
          <w:sz w:val="15"/>
          <w:szCs w:val="15"/>
          <w:color w:val="auto"/>
        </w:rPr>
        <w:t>Activities," and SFAS No. 138, "Accounting for Certain Derivative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Instruments and Certain Hedging Activities -- an amendment of SFAS No.</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133", respectively, which establish accounting and reporting standards</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 all derivative instruments and hedging activities. These statements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require an entity to recognize all derivatives as either assets or</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liabilities in the balance sheet and measure those investments at fair</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value. Adoption of these pronouncements on January 1, 2001, had no</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effect on the Company's consolidated results of operations or financial</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position, because the Company does not hold derivative instruments or</w:t>
      </w:r>
    </w:p>
    <w:p>
      <w:pPr>
        <w:ind w:left="700"/>
        <w:spacing w:after="0" w:line="237" w:lineRule="auto"/>
        <w:rPr>
          <w:sz w:val="20"/>
          <w:szCs w:val="20"/>
          <w:color w:val="auto"/>
        </w:rPr>
      </w:pPr>
      <w:r>
        <w:rPr>
          <w:rFonts w:ascii="Courier New" w:cs="Courier New" w:eastAsia="Courier New" w:hAnsi="Courier New"/>
          <w:sz w:val="15"/>
          <w:szCs w:val="15"/>
          <w:color w:val="auto"/>
        </w:rPr>
        <w:t>engage in hedging activities.</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(2)</w:t>
        <w:tab/>
        <w:t>LINE OF CREDIT</w:t>
      </w:r>
    </w:p>
    <w:p>
      <w:pPr>
        <w:spacing w:after="0" w:line="173" w:lineRule="exact"/>
        <w:rPr>
          <w:sz w:val="20"/>
          <w:szCs w:val="20"/>
          <w:color w:val="auto"/>
        </w:rPr>
      </w:pPr>
    </w:p>
    <w:p>
      <w:pPr>
        <w:ind w:left="700" w:right="3319" w:hanging="261"/>
        <w:spacing w:after="0" w:line="236" w:lineRule="auto"/>
        <w:rPr>
          <w:sz w:val="20"/>
          <w:szCs w:val="20"/>
          <w:color w:val="auto"/>
        </w:rPr>
      </w:pPr>
      <w:r>
        <w:rPr>
          <w:rFonts w:ascii="Courier New" w:cs="Courier New" w:eastAsia="Courier New" w:hAnsi="Courier New"/>
          <w:sz w:val="15"/>
          <w:szCs w:val="15"/>
          <w:color w:val="auto"/>
        </w:rPr>
        <w:t>The Company has available an unsecured $5,000,000 line of credit from a bank at an interest rate equal to the lower of the bank's prime rate or 1.5% above the LIBOR rate. No borrowings were outstanding under this line in 2001 or 2000. No compensating balances are required under this line.</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w:t>
        <w:tab/>
        <w:t>INCOME TAXES</w:t>
      </w:r>
    </w:p>
    <w:p>
      <w:pPr>
        <w:spacing w:after="0" w:line="173" w:lineRule="exact"/>
        <w:rPr>
          <w:sz w:val="20"/>
          <w:szCs w:val="20"/>
          <w:color w:val="auto"/>
        </w:rPr>
      </w:pPr>
    </w:p>
    <w:p>
      <w:pPr>
        <w:ind w:left="700" w:right="3239" w:hanging="261"/>
        <w:spacing w:after="0" w:line="236" w:lineRule="auto"/>
        <w:rPr>
          <w:sz w:val="20"/>
          <w:szCs w:val="20"/>
          <w:color w:val="auto"/>
        </w:rPr>
      </w:pPr>
      <w:r>
        <w:rPr>
          <w:rFonts w:ascii="Courier New" w:cs="Courier New" w:eastAsia="Courier New" w:hAnsi="Courier New"/>
          <w:sz w:val="15"/>
          <w:szCs w:val="15"/>
          <w:color w:val="auto"/>
        </w:rPr>
        <w:t>The provision for income taxes is based on the earnings reported in the accompanying consolidated financial statements. The Company recognizes deferred tax liabilities and assets for the expected future tax consequences of events that have been included in the consolidated financial statements or tax returns. Under this method, deferred tax liabilities and assets are determined based on the cumulative temporary differences between the financial statement and tax bases of assets and liabilities using enacted tax rates in effect for the year in which the differences are expected to reverse. Deferred income tax expense is measured by the net change in deferred income tax assets and liabilities during the year.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provision for income taxes are as follows:</w:t>
      </w:r>
    </w:p>
    <w:p>
      <w:pPr>
        <w:sectPr>
          <w:pgSz w:w="11900" w:h="16838" w:orient="portrait"/>
          <w:cols w:equalWidth="0" w:num="1">
            <w:col w:w="10239"/>
          </w:cols>
          <w:pgMar w:left="220" w:top="6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180"/>
        <w:spacing w:after="0"/>
        <w:rPr>
          <w:sz w:val="20"/>
          <w:szCs w:val="20"/>
          <w:color w:val="auto"/>
        </w:rPr>
      </w:pPr>
      <w:r>
        <w:rPr>
          <w:rFonts w:ascii="Courier New" w:cs="Courier New" w:eastAsia="Courier New" w:hAnsi="Courier New"/>
          <w:sz w:val="15"/>
          <w:szCs w:val="15"/>
          <w:color w:val="auto"/>
        </w:rPr>
        <w:t>2001</w:t>
      </w:r>
    </w:p>
    <w:p>
      <w:pPr>
        <w:spacing w:after="0" w:line="5" w:lineRule="exact"/>
        <w:rPr>
          <w:sz w:val="20"/>
          <w:szCs w:val="20"/>
          <w:color w:val="auto"/>
        </w:rPr>
      </w:pPr>
    </w:p>
    <w:p>
      <w:pPr>
        <w:jc w:val="center"/>
        <w:ind w:left="3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5"/>
          <w:szCs w:val="15"/>
          <w:color w:val="auto"/>
        </w:rPr>
        <w:t>2000</w:t>
      </w:r>
    </w:p>
    <w:p>
      <w:pPr>
        <w:spacing w:after="0" w:line="5"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5420" w:space="720"/>
            <w:col w:w="1800" w:space="720"/>
            <w:col w:w="1579"/>
          </w:cols>
          <w:pgMar w:left="220" w:top="617"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Currently payable:</w:t>
      </w:r>
    </w:p>
    <w:p>
      <w:pPr>
        <w:sectPr>
          <w:pgSz w:w="11900" w:h="16838" w:orient="portrait"/>
          <w:cols w:equalWidth="0" w:num="1">
            <w:col w:w="10239"/>
          </w:cols>
          <w:pgMar w:left="220" w:top="617" w:right="1440" w:bottom="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Federal</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State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Foreign</w:t>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right"/>
        <w:ind w:right="760"/>
        <w:spacing w:after="0"/>
        <w:rPr>
          <w:sz w:val="20"/>
          <w:szCs w:val="20"/>
          <w:color w:val="auto"/>
        </w:rPr>
      </w:pPr>
      <w:r>
        <w:rPr>
          <w:rFonts w:ascii="Courier New" w:cs="Courier New" w:eastAsia="Courier New" w:hAnsi="Courier New"/>
          <w:sz w:val="14"/>
          <w:szCs w:val="14"/>
          <w:color w:val="auto"/>
        </w:rPr>
        <w:t>$30,084,000</w:t>
      </w:r>
    </w:p>
    <w:p>
      <w:pPr>
        <w:spacing w:after="0" w:line="3"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5"/>
          <w:szCs w:val="15"/>
          <w:color w:val="auto"/>
        </w:rPr>
        <w:t>104,000</w:t>
      </w:r>
    </w:p>
    <w:p>
      <w:pPr>
        <w:jc w:val="right"/>
        <w:ind w:right="760"/>
        <w:spacing w:after="0" w:line="237" w:lineRule="auto"/>
        <w:rPr>
          <w:sz w:val="20"/>
          <w:szCs w:val="20"/>
          <w:color w:val="auto"/>
        </w:rPr>
      </w:pPr>
      <w:r>
        <w:rPr>
          <w:rFonts w:ascii="Courier New" w:cs="Courier New" w:eastAsia="Courier New" w:hAnsi="Courier New"/>
          <w:sz w:val="15"/>
          <w:szCs w:val="15"/>
          <w:color w:val="auto"/>
        </w:rPr>
        <w:t>177,000</w:t>
      </w:r>
    </w:p>
    <w:p>
      <w:pPr>
        <w:spacing w:after="0" w:line="5"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5"/>
          <w:szCs w:val="15"/>
          <w:color w:val="auto"/>
        </w:rPr>
        <w:t>30,365,000</w:t>
      </w:r>
    </w:p>
    <w:p>
      <w:pPr>
        <w:spacing w:after="0" w:line="5"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760"/>
        <w:spacing w:after="0"/>
        <w:rPr>
          <w:sz w:val="20"/>
          <w:szCs w:val="20"/>
          <w:color w:val="auto"/>
        </w:rPr>
      </w:pPr>
      <w:r>
        <w:rPr>
          <w:rFonts w:ascii="Courier New" w:cs="Courier New" w:eastAsia="Courier New" w:hAnsi="Courier New"/>
          <w:sz w:val="14"/>
          <w:szCs w:val="14"/>
          <w:color w:val="auto"/>
        </w:rPr>
        <w:t>$33,417,000</w:t>
      </w:r>
    </w:p>
    <w:p>
      <w:pPr>
        <w:spacing w:after="0" w:line="3"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5"/>
          <w:szCs w:val="15"/>
          <w:color w:val="auto"/>
        </w:rPr>
        <w:t>65,000</w:t>
      </w:r>
    </w:p>
    <w:p>
      <w:pPr>
        <w:jc w:val="right"/>
        <w:ind w:right="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5"/>
          <w:szCs w:val="15"/>
          <w:color w:val="auto"/>
        </w:rPr>
        <w:t>33,482,000</w:t>
      </w:r>
    </w:p>
    <w:p>
      <w:pPr>
        <w:spacing w:after="0" w:line="5"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599"/>
        <w:spacing w:after="0"/>
        <w:rPr>
          <w:sz w:val="20"/>
          <w:szCs w:val="20"/>
          <w:color w:val="auto"/>
        </w:rPr>
      </w:pPr>
      <w:r>
        <w:rPr>
          <w:rFonts w:ascii="Courier New" w:cs="Courier New" w:eastAsia="Courier New" w:hAnsi="Courier New"/>
          <w:sz w:val="14"/>
          <w:szCs w:val="14"/>
          <w:color w:val="auto"/>
        </w:rPr>
        <w:t>$30,173,000</w:t>
      </w:r>
    </w:p>
    <w:p>
      <w:pPr>
        <w:spacing w:after="0" w:line="3" w:lineRule="exact"/>
        <w:rPr>
          <w:sz w:val="20"/>
          <w:szCs w:val="20"/>
          <w:color w:val="auto"/>
        </w:rPr>
      </w:pPr>
    </w:p>
    <w:p>
      <w:pPr>
        <w:jc w:val="right"/>
        <w:ind w:right="599"/>
        <w:spacing w:after="0"/>
        <w:rPr>
          <w:sz w:val="20"/>
          <w:szCs w:val="20"/>
          <w:color w:val="auto"/>
        </w:rPr>
      </w:pPr>
      <w:r>
        <w:rPr>
          <w:rFonts w:ascii="Courier New" w:cs="Courier New" w:eastAsia="Courier New" w:hAnsi="Courier New"/>
          <w:sz w:val="15"/>
          <w:szCs w:val="15"/>
          <w:color w:val="auto"/>
        </w:rPr>
        <w:t>459,000</w:t>
      </w:r>
    </w:p>
    <w:p>
      <w:pPr>
        <w:jc w:val="right"/>
        <w:ind w:right="59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599"/>
        <w:spacing w:after="0"/>
        <w:rPr>
          <w:sz w:val="20"/>
          <w:szCs w:val="20"/>
          <w:color w:val="auto"/>
        </w:rPr>
      </w:pPr>
      <w:r>
        <w:rPr>
          <w:rFonts w:ascii="Courier New" w:cs="Courier New" w:eastAsia="Courier New" w:hAnsi="Courier New"/>
          <w:sz w:val="15"/>
          <w:szCs w:val="15"/>
          <w:color w:val="auto"/>
        </w:rPr>
        <w:t>30,632,000</w:t>
      </w:r>
    </w:p>
    <w:p>
      <w:pPr>
        <w:spacing w:after="0" w:line="5" w:lineRule="exact"/>
        <w:rPr>
          <w:sz w:val="20"/>
          <w:szCs w:val="20"/>
          <w:color w:val="auto"/>
        </w:rPr>
      </w:pPr>
    </w:p>
    <w:p>
      <w:pPr>
        <w:jc w:val="right"/>
        <w:ind w:right="59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4">
            <w:col w:w="3060" w:space="720"/>
            <w:col w:w="1720" w:space="720"/>
            <w:col w:w="1720" w:space="720"/>
            <w:col w:w="1579"/>
          </w:cols>
          <w:pgMar w:left="220" w:top="617"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deferred:</w:t>
      </w:r>
    </w:p>
    <w:p>
      <w:pPr>
        <w:sectPr>
          <w:pgSz w:w="11900" w:h="16838" w:orient="portrait"/>
          <w:cols w:equalWidth="0" w:num="1">
            <w:col w:w="10239"/>
          </w:cols>
          <w:pgMar w:left="220" w:top="617" w:right="1440" w:bottom="0" w:gutter="0" w:footer="0" w:header="0"/>
          <w:type w:val="continuous"/>
        </w:sectPr>
      </w:pP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Federal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1,036,000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$31,401,000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497,000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$33,979,000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720,000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$31,352,000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3060" w:space="720"/>
            <w:col w:w="1720" w:space="720"/>
            <w:col w:w="1720" w:space="720"/>
            <w:col w:w="1579"/>
          </w:cols>
          <w:pgMar w:left="220" w:top="617" w:right="1440" w:bottom="0" w:gutter="0" w:footer="0" w:header="0"/>
          <w:type w:val="continuous"/>
        </w:sectPr>
      </w:pPr>
    </w:p>
    <w:p>
      <w:pPr>
        <w:spacing w:after="0" w:line="314" w:lineRule="exact"/>
        <w:rPr>
          <w:sz w:val="20"/>
          <w:szCs w:val="20"/>
          <w:color w:val="auto"/>
        </w:rPr>
      </w:pPr>
    </w:p>
    <w:p>
      <w:pPr>
        <w:ind w:left="700" w:right="3319" w:hanging="261"/>
        <w:spacing w:after="0" w:line="236" w:lineRule="auto"/>
        <w:rPr>
          <w:sz w:val="20"/>
          <w:szCs w:val="20"/>
          <w:color w:val="auto"/>
        </w:rPr>
      </w:pPr>
      <w:r>
        <w:rPr>
          <w:rFonts w:ascii="Courier New" w:cs="Courier New" w:eastAsia="Courier New" w:hAnsi="Courier New"/>
          <w:sz w:val="15"/>
          <w:szCs w:val="15"/>
          <w:color w:val="auto"/>
        </w:rPr>
        <w:t>The currently payable provision is further reduced by the tax benefits associated with the exercise, vesting or disposition of stock under the stock plans described in Note 6. These reductions totaled approximately $3,929,000, $4,878,000, and $6,415,000, in 2001, 2000, and 1999, respectively.</w:t>
      </w:r>
    </w:p>
    <w:p>
      <w:pPr>
        <w:spacing w:after="0" w:line="174" w:lineRule="exact"/>
        <w:rPr>
          <w:sz w:val="20"/>
          <w:szCs w:val="20"/>
          <w:color w:val="auto"/>
        </w:rPr>
      </w:pPr>
    </w:p>
    <w:p>
      <w:pPr>
        <w:ind w:left="700" w:right="3579" w:hanging="261"/>
        <w:spacing w:after="0" w:line="234" w:lineRule="auto"/>
        <w:rPr>
          <w:sz w:val="20"/>
          <w:szCs w:val="20"/>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00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35.0%</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 federal income tax benefit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0.1</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Sales Corporation exempted income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Tax-exempt investment income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(0.3)</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(0.1)</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500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income tax rate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32.5%</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500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239"/>
          </w:cols>
          <w:pgMar w:left="220" w:top="617" w:right="1440" w:bottom="0" w:gutter="0" w:footer="0" w:header="0"/>
          <w:type w:val="continuous"/>
        </w:sectPr>
      </w:pPr>
    </w:p>
    <w:bookmarkStart w:id="27" w:name="page28"/>
    <w:bookmarkEnd w:id="27"/>
    <w:p>
      <w:pPr>
        <w:jc w:val="center"/>
        <w:ind w:left="20" w:right="1660"/>
        <w:spacing w:after="0" w:line="235" w:lineRule="auto"/>
        <w:rPr>
          <w:sz w:val="20"/>
          <w:szCs w:val="20"/>
          <w:color w:val="auto"/>
        </w:rPr>
      </w:pPr>
      <w:r>
        <w:rPr>
          <w:rFonts w:ascii="Courier New" w:cs="Courier New" w:eastAsia="Courier New" w:hAnsi="Courier New"/>
          <w:sz w:val="15"/>
          <w:szCs w:val="15"/>
          <w:color w:val="auto"/>
        </w:rPr>
        <w:t>GENTEX CORPORATION AND SUBSIDIARIES NOTES TO CONSOLIDATED FINANCIAL STATEMENTS (Continued)</w:t>
      </w:r>
    </w:p>
    <w:p>
      <w:pPr>
        <w:spacing w:after="0" w:line="167"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172" w:lineRule="exact"/>
        <w:rPr>
          <w:rFonts w:ascii="Courier New" w:cs="Courier New" w:eastAsia="Courier New" w:hAnsi="Courier New"/>
          <w:sz w:val="15"/>
          <w:szCs w:val="15"/>
          <w:color w:val="auto"/>
        </w:rPr>
      </w:pPr>
    </w:p>
    <w:p>
      <w:pPr>
        <w:ind w:left="700" w:right="260" w:hanging="262"/>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tax effect of temporary differences which give rise to deferred tax assets and liabilities at December 31, 2001 and 2000,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3640" w:type="dxa"/>
            <w:vAlign w:val="bottom"/>
          </w:tcPr>
          <w:p>
            <w:pPr>
              <w:spacing w:after="0"/>
              <w:rPr>
                <w:sz w:val="14"/>
                <w:szCs w:val="14"/>
                <w:color w:val="auto"/>
              </w:rPr>
            </w:pPr>
          </w:p>
        </w:tc>
        <w:tc>
          <w:tcPr>
            <w:tcW w:w="3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Current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Non-Current</w:t>
            </w:r>
          </w:p>
        </w:tc>
      </w:tr>
      <w:tr>
        <w:trPr>
          <w:trHeight w:val="168"/>
        </w:trPr>
        <w:tc>
          <w:tcPr>
            <w:tcW w:w="364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Accruals not currently deductible</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$ 1,073,408</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274,803</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817,110</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1,098,961</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7,920</w:t>
            </w:r>
          </w:p>
        </w:tc>
      </w:tr>
      <w:tr>
        <w:trPr>
          <w:trHeight w:val="168"/>
        </w:trPr>
        <w:tc>
          <w:tcPr>
            <w:tcW w:w="3640" w:type="dxa"/>
            <w:vAlign w:val="bottom"/>
          </w:tcPr>
          <w:p>
            <w:pPr>
              <w:spacing w:after="0"/>
              <w:rPr>
                <w:sz w:val="14"/>
                <w:szCs w:val="14"/>
                <w:color w:val="auto"/>
              </w:rPr>
            </w:pP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deferred tax assets</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2,172,369</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1,099,833</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Excess tax over book depreciation</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(5,418,282)</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Patent costs</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(454,992)</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gain/loss on investments</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(2,063,424)</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(257,916)</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deferred taxes</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$ 1,914,453</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$(6,836,865)</w:t>
            </w:r>
          </w:p>
        </w:tc>
      </w:tr>
      <w:tr>
        <w:trPr>
          <w:trHeight w:val="168"/>
        </w:trPr>
        <w:tc>
          <w:tcPr>
            <w:tcW w:w="3640" w:type="dxa"/>
            <w:vAlign w:val="bottom"/>
          </w:tcPr>
          <w:p>
            <w:pPr>
              <w:spacing w:after="0"/>
              <w:rPr>
                <w:sz w:val="14"/>
                <w:szCs w:val="14"/>
                <w:color w:val="auto"/>
              </w:rPr>
            </w:pP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700" w:right="160"/>
        <w:spacing w:after="0" w:line="234" w:lineRule="auto"/>
        <w:rPr>
          <w:sz w:val="20"/>
          <w:szCs w:val="20"/>
          <w:color w:val="auto"/>
        </w:rPr>
      </w:pPr>
      <w:r>
        <w:rPr>
          <w:rFonts w:ascii="Courier New" w:cs="Courier New" w:eastAsia="Courier New" w:hAnsi="Courier New"/>
          <w:sz w:val="15"/>
          <w:szCs w:val="15"/>
          <w:color w:val="auto"/>
        </w:rPr>
        <w:t>Income taxes paid in cash were approximately $26,546,000, $28,302,000, and $26,530,000, in 2001, 2000, and 1999, respectively.</w:t>
      </w:r>
    </w:p>
    <w:p>
      <w:pPr>
        <w:spacing w:after="0" w:line="167"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2" w:lineRule="exact"/>
        <w:rPr>
          <w:rFonts w:ascii="Courier New" w:cs="Courier New" w:eastAsia="Courier New" w:hAnsi="Courier New"/>
          <w:sz w:val="15"/>
          <w:szCs w:val="15"/>
          <w:color w:val="auto"/>
        </w:rPr>
      </w:pPr>
    </w:p>
    <w:p>
      <w:pPr>
        <w:ind w:left="800" w:hanging="35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2001, 2000, and 1999, the Company's contributions were approximately $718,000, $620,000, and $526,000, respectively.</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provide health care benefits to retired employees.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PROTECTION RIGHTS PLAN</w:t>
      </w:r>
    </w:p>
    <w:p>
      <w:pPr>
        <w:spacing w:after="0" w:line="172" w:lineRule="exact"/>
        <w:rPr>
          <w:rFonts w:ascii="Courier New" w:cs="Courier New" w:eastAsia="Courier New" w:hAnsi="Courier New"/>
          <w:sz w:val="15"/>
          <w:szCs w:val="15"/>
          <w:color w:val="auto"/>
        </w:rPr>
      </w:pPr>
    </w:p>
    <w:p>
      <w:pPr>
        <w:ind w:left="800" w:right="160" w:hanging="35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2001, the Company's Board of Directors adopted an Amended and Restated Shareholder Protection Rights Plan (the Plan). The Plan is designed to protect shareholders against unsolicited attempts to acquire control of the Company in a manner that does not offer a fair price to all shareholders.</w:t>
      </w:r>
    </w:p>
    <w:p>
      <w:pPr>
        <w:spacing w:after="0" w:line="173" w:lineRule="exact"/>
        <w:rPr>
          <w:rFonts w:ascii="Courier New" w:cs="Courier New" w:eastAsia="Courier New" w:hAnsi="Courier New"/>
          <w:sz w:val="15"/>
          <w:szCs w:val="15"/>
          <w:color w:val="auto"/>
        </w:rPr>
      </w:pPr>
    </w:p>
    <w:p>
      <w:pPr>
        <w:ind w:left="800" w:hanging="35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$110,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$.005 per Right and, unless earlier redeemed, will expire on March 29, 2011. Rights beneficially owned by holders of 15 percent or more of the Company's common stock, or their transferees, automatically become void.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tabs>
          <w:tab w:leader="none" w:pos="1900"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Non-Current</w:t>
      </w:r>
    </w:p>
    <w:p>
      <w:pPr>
        <w:ind w:left="340"/>
        <w:spacing w:after="0" w:line="237" w:lineRule="auto"/>
        <w:tabs>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ind w:left="80"/>
        <w:spacing w:after="0"/>
        <w:tabs>
          <w:tab w:leader="none" w:pos="420" w:val="left"/>
          <w:tab w:leader="none" w:pos="1820" w:val="left"/>
          <w:tab w:leader="none" w:pos="2160" w:val="left"/>
        </w:tabs>
        <w:rPr>
          <w:sz w:val="20"/>
          <w:szCs w:val="20"/>
          <w:color w:val="auto"/>
        </w:rPr>
      </w:pPr>
      <w:r>
        <w:rPr>
          <w:rFonts w:ascii="Courier New" w:cs="Courier New" w:eastAsia="Courier New" w:hAnsi="Courier New"/>
          <w:sz w:val="15"/>
          <w:szCs w:val="15"/>
          <w:color w:val="auto"/>
        </w:rPr>
        <w:t>$</w:t>
        <w:tab/>
        <w:t>969,589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262,203</w:t>
      </w:r>
    </w:p>
    <w:p>
      <w:pPr>
        <w:ind w:left="2180" w:hanging="1309"/>
        <w:spacing w:after="0" w:line="237" w:lineRule="auto"/>
        <w:tabs>
          <w:tab w:leader="none" w:pos="2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635,326</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1,109,233</w:t>
      </w:r>
      <w:r>
        <w:rPr>
          <w:rFonts w:ascii="Courier New" w:cs="Courier New" w:eastAsia="Courier New" w:hAnsi="Courier New"/>
          <w:sz w:val="14"/>
          <w:szCs w:val="14"/>
          <w:color w:val="auto"/>
        </w:rPr>
        <w:t>11,880</w:t>
      </w:r>
    </w:p>
    <w:tbl>
      <w:tblPr>
        <w:tblLayout w:type="fixed"/>
        <w:tblInd w:w="80" w:type="dxa"/>
        <w:tblCellMar>
          <w:top w:w="0" w:type="dxa"/>
          <w:left w:w="0" w:type="dxa"/>
          <w:bottom w:w="0" w:type="dxa"/>
          <w:right w:w="0" w:type="dxa"/>
        </w:tblCellMar>
      </w:tblPr>
      <w:tr>
        <w:trPr>
          <w:trHeight w:val="169"/>
        </w:trPr>
        <w:tc>
          <w:tcPr>
            <w:tcW w:w="13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2,078,822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909,409</w:t>
            </w:r>
          </w:p>
        </w:tc>
      </w:tr>
    </w:tbl>
    <w:p>
      <w:pPr>
        <w:spacing w:after="0" w:line="335" w:lineRule="exact"/>
        <w:rPr>
          <w:sz w:val="20"/>
          <w:szCs w:val="20"/>
          <w:color w:val="auto"/>
        </w:rPr>
      </w:pPr>
    </w:p>
    <w:p>
      <w:pPr>
        <w:ind w:left="1920" w:hanging="1049"/>
        <w:spacing w:after="0"/>
        <w:tabs>
          <w:tab w:leader="none" w:pos="19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(4,257,983)</w:t>
      </w:r>
    </w:p>
    <w:p>
      <w:pPr>
        <w:ind w:left="2100" w:hanging="1229"/>
        <w:spacing w:after="0" w:line="237" w:lineRule="auto"/>
        <w:tabs>
          <w:tab w:leader="none" w:pos="21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(360,345)</w:t>
      </w:r>
    </w:p>
    <w:p>
      <w:pPr>
        <w:ind w:left="1920" w:hanging="1049"/>
        <w:spacing w:after="0" w:line="237" w:lineRule="auto"/>
        <w:tabs>
          <w:tab w:leader="none" w:pos="19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(2,624,961)</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(193,242)</w:t>
      </w:r>
      <w:r>
        <w:rPr>
          <w:rFonts w:ascii="Courier New" w:cs="Courier New" w:eastAsia="Courier New" w:hAnsi="Courier New"/>
          <w:sz w:val="14"/>
          <w:szCs w:val="14"/>
          <w:color w:val="auto"/>
        </w:rPr>
        <w:t>--</w:t>
      </w:r>
    </w:p>
    <w:p>
      <w:pPr>
        <w:ind w:left="80"/>
        <w:spacing w:after="0" w:line="238" w:lineRule="auto"/>
        <w:tabs>
          <w:tab w:leader="none" w:pos="1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80"/>
        <w:spacing w:after="0"/>
        <w:tabs>
          <w:tab w:leader="none" w:pos="1820" w:val="left"/>
        </w:tabs>
        <w:rPr>
          <w:sz w:val="20"/>
          <w:szCs w:val="20"/>
          <w:color w:val="auto"/>
        </w:rPr>
      </w:pPr>
      <w:r>
        <w:rPr>
          <w:rFonts w:ascii="Courier New" w:cs="Courier New" w:eastAsia="Courier New" w:hAnsi="Courier New"/>
          <w:sz w:val="15"/>
          <w:szCs w:val="15"/>
          <w:color w:val="auto"/>
        </w:rPr>
        <w:t>$ 1,885,580</w:t>
      </w:r>
      <w:r>
        <w:rPr>
          <w:sz w:val="20"/>
          <w:szCs w:val="20"/>
          <w:color w:val="auto"/>
        </w:rPr>
        <w:tab/>
      </w:r>
      <w:r>
        <w:rPr>
          <w:rFonts w:ascii="Courier New" w:cs="Courier New" w:eastAsia="Courier New" w:hAnsi="Courier New"/>
          <w:sz w:val="14"/>
          <w:szCs w:val="14"/>
          <w:color w:val="auto"/>
        </w:rPr>
        <w:t>$(6,333,880)</w:t>
      </w:r>
    </w:p>
    <w:p>
      <w:pPr>
        <w:ind w:left="80"/>
        <w:spacing w:after="0" w:line="238" w:lineRule="auto"/>
        <w:tabs>
          <w:tab w:leader="none" w:pos="1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432" w:lineRule="exact"/>
        <w:rPr>
          <w:sz w:val="20"/>
          <w:szCs w:val="20"/>
          <w:color w:val="auto"/>
        </w:rPr>
      </w:pPr>
    </w:p>
    <w:p>
      <w:pPr>
        <w:sectPr>
          <w:pgSz w:w="11900" w:h="16838" w:orient="portrait"/>
          <w:cols w:equalWidth="0" w:num="2">
            <w:col w:w="7000" w:space="360"/>
            <w:col w:w="2980"/>
          </w:cols>
          <w:pgMar w:left="220" w:top="455" w:right="1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- 27 -</w:t>
      </w:r>
    </w:p>
    <w:p>
      <w:pPr>
        <w:sectPr>
          <w:pgSz w:w="11900" w:h="16838" w:orient="portrait"/>
          <w:cols w:equalWidth="0" w:num="1">
            <w:col w:w="10340"/>
          </w:cols>
          <w:pgMar w:left="220" w:top="455" w:right="1339" w:bottom="1440" w:gutter="0" w:footer="0" w:header="0"/>
          <w:type w:val="continuous"/>
        </w:sectPr>
      </w:pPr>
    </w:p>
    <w:bookmarkStart w:id="28" w:name="page29"/>
    <w:bookmarkEnd w:id="28"/>
    <w:p>
      <w:pPr>
        <w:jc w:val="center"/>
        <w:ind w:right="402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410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02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w:t>
      </w:r>
    </w:p>
    <w:p>
      <w:pPr>
        <w:spacing w:after="0" w:line="172" w:lineRule="exact"/>
        <w:rPr>
          <w:rFonts w:ascii="Courier New" w:cs="Courier New" w:eastAsia="Courier New" w:hAnsi="Courier New"/>
          <w:sz w:val="15"/>
          <w:szCs w:val="15"/>
          <w:color w:val="auto"/>
        </w:rPr>
      </w:pPr>
    </w:p>
    <w:p>
      <w:pPr>
        <w:ind w:left="700" w:right="4120"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two stock option plans, including an employee stock option plan ("Employee Plan") and a non-employee directors stock option plan ("Director Plan"), and an employee stock purchase plan. The Company accounts for these plans in accordance with APB Opinion No. 25, as amended by FIN 44, "Accounting for Certain Transactions Involving Stock Compensation," under which no compensation cost has been recognized. Had compensation cost for these plans been determined consistent with FASB Statement No. 123, the Company's net income and earnings per share would have been reduced to the following pro-forma amounts: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spacing w:after="0"/>
              <w:rPr>
                <w:sz w:val="14"/>
                <w:szCs w:val="14"/>
                <w:color w:val="auto"/>
              </w:rPr>
            </w:pPr>
          </w:p>
        </w:tc>
        <w:tc>
          <w:tcPr>
            <w:tcW w:w="15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9"/>
              </w:rPr>
              <w:t>65,216,500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3"/>
              </w:rPr>
              <w:t>70,544,066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0"/>
                <w:szCs w:val="20"/>
                <w:color w:val="auto"/>
              </w:rPr>
            </w:pPr>
            <w:r>
              <w:rPr>
                <w:rFonts w:ascii="Courier New" w:cs="Courier New" w:eastAsia="Courier New" w:hAnsi="Courier New"/>
                <w:sz w:val="15"/>
                <w:szCs w:val="15"/>
                <w:color w:val="auto"/>
                <w:w w:val="93"/>
              </w:rPr>
              <w:t>64,863,756</w:t>
            </w:r>
          </w:p>
        </w:tc>
      </w:tr>
      <w:tr>
        <w:trPr>
          <w:trHeight w:val="168"/>
        </w:trPr>
        <w:tc>
          <w:tcPr>
            <w:tcW w:w="1580" w:type="dxa"/>
            <w:vAlign w:val="bottom"/>
          </w:tcPr>
          <w:p>
            <w:pPr>
              <w:spacing w:after="0"/>
              <w:rPr>
                <w:sz w:val="14"/>
                <w:szCs w:val="14"/>
                <w:color w:val="auto"/>
              </w:rPr>
            </w:pPr>
          </w:p>
        </w:tc>
        <w:tc>
          <w:tcPr>
            <w:tcW w:w="1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4"/>
                <w:szCs w:val="14"/>
                <w:color w:val="auto"/>
              </w:rPr>
            </w:pP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9"/>
              </w:rPr>
              <w:t>58,212,674</w:t>
            </w:r>
          </w:p>
        </w:tc>
        <w:tc>
          <w:tcPr>
            <w:tcW w:w="76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64,500,375</w:t>
            </w:r>
          </w:p>
        </w:tc>
        <w:tc>
          <w:tcPr>
            <w:tcW w:w="80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60,394,893</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EPS (diluted):</w:t>
            </w:r>
          </w:p>
        </w:tc>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0.86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440"/>
              <w:spacing w:after="0"/>
              <w:rPr>
                <w:sz w:val="20"/>
                <w:szCs w:val="20"/>
                <w:color w:val="auto"/>
              </w:rPr>
            </w:pPr>
            <w:r>
              <w:rPr>
                <w:rFonts w:ascii="Courier New" w:cs="Courier New" w:eastAsia="Courier New" w:hAnsi="Courier New"/>
                <w:sz w:val="15"/>
                <w:szCs w:val="15"/>
                <w:color w:val="auto"/>
              </w:rPr>
              <w:t>0.86</w:t>
            </w:r>
          </w:p>
        </w:tc>
      </w:tr>
      <w:tr>
        <w:trPr>
          <w:trHeight w:val="168"/>
        </w:trPr>
        <w:tc>
          <w:tcPr>
            <w:tcW w:w="1580" w:type="dxa"/>
            <w:vAlign w:val="bottom"/>
          </w:tcPr>
          <w:p>
            <w:pPr>
              <w:spacing w:after="0"/>
              <w:rPr>
                <w:sz w:val="14"/>
                <w:szCs w:val="14"/>
                <w:color w:val="auto"/>
              </w:rPr>
            </w:pPr>
          </w:p>
        </w:tc>
        <w:tc>
          <w:tcPr>
            <w:tcW w:w="1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4"/>
                <w:szCs w:val="14"/>
                <w:color w:val="auto"/>
              </w:rPr>
            </w:pP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0.77</w:t>
            </w:r>
          </w:p>
        </w:tc>
        <w:tc>
          <w:tcPr>
            <w:tcW w:w="76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0.85</w:t>
            </w:r>
          </w:p>
        </w:tc>
        <w:tc>
          <w:tcPr>
            <w:tcW w:w="800" w:type="dxa"/>
            <w:vAlign w:val="bottom"/>
          </w:tcPr>
          <w:p>
            <w:pPr>
              <w:spacing w:after="0"/>
              <w:rPr>
                <w:sz w:val="14"/>
                <w:szCs w:val="14"/>
                <w:color w:val="auto"/>
              </w:rPr>
            </w:pPr>
          </w:p>
        </w:tc>
        <w:tc>
          <w:tcPr>
            <w:tcW w:w="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0.81</w:t>
            </w:r>
          </w:p>
        </w:tc>
      </w:tr>
    </w:tbl>
    <w:p>
      <w:pPr>
        <w:spacing w:after="0" w:line="200" w:lineRule="exact"/>
        <w:rPr>
          <w:sz w:val="20"/>
          <w:szCs w:val="20"/>
          <w:color w:val="auto"/>
        </w:rPr>
      </w:pPr>
    </w:p>
    <w:p>
      <w:pPr>
        <w:spacing w:after="0" w:line="309" w:lineRule="exact"/>
        <w:rPr>
          <w:sz w:val="20"/>
          <w:szCs w:val="20"/>
          <w:color w:val="auto"/>
        </w:rPr>
      </w:pPr>
    </w:p>
    <w:p>
      <w:pPr>
        <w:ind w:left="700" w:right="4380" w:hanging="261"/>
        <w:spacing w:after="0" w:line="235" w:lineRule="auto"/>
        <w:rPr>
          <w:sz w:val="20"/>
          <w:szCs w:val="20"/>
          <w:color w:val="auto"/>
        </w:rPr>
      </w:pPr>
      <w:r>
        <w:rPr>
          <w:rFonts w:ascii="Courier New" w:cs="Courier New" w:eastAsia="Courier New" w:hAnsi="Courier New"/>
          <w:sz w:val="15"/>
          <w:szCs w:val="15"/>
          <w:color w:val="auto"/>
        </w:rPr>
        <w:t>Because the Statement 123 method of accounting has not been applied to options granted prior to January 1, 1995, the resulting pro forma compensation cost may not be representative of that to be expected in future years.</w:t>
      </w:r>
    </w:p>
    <w:p>
      <w:pPr>
        <w:spacing w:after="0" w:line="175" w:lineRule="exact"/>
        <w:rPr>
          <w:sz w:val="20"/>
          <w:szCs w:val="20"/>
          <w:color w:val="auto"/>
        </w:rPr>
      </w:pPr>
    </w:p>
    <w:p>
      <w:pPr>
        <w:ind w:left="700" w:right="4120" w:hanging="261"/>
        <w:spacing w:after="0" w:line="236" w:lineRule="auto"/>
        <w:rPr>
          <w:sz w:val="20"/>
          <w:szCs w:val="20"/>
          <w:color w:val="auto"/>
        </w:rPr>
      </w:pPr>
      <w:r>
        <w:rPr>
          <w:rFonts w:ascii="Courier New" w:cs="Courier New" w:eastAsia="Courier New" w:hAnsi="Courier New"/>
          <w:sz w:val="15"/>
          <w:szCs w:val="15"/>
          <w:color w:val="auto"/>
        </w:rPr>
        <w:t>The Company may sell up to 1,600,000 shares of stock to its employees under the Employee Stock Purchase Plan. The Company has sold to employees 45,463 shares, 47,023 shares, and 50,550 shares in 2001, 2000, and 1999, respectively, and has sold a total of 517,178 shares through December 31, 2001. The Company sells shares at 85% of the stock's market price at date of purchase. The weighted average fair value of shares sold in 2001 was approximately $20.75.</w:t>
      </w:r>
    </w:p>
    <w:p>
      <w:pPr>
        <w:spacing w:after="0" w:line="176" w:lineRule="exact"/>
        <w:rPr>
          <w:sz w:val="20"/>
          <w:szCs w:val="20"/>
          <w:color w:val="auto"/>
        </w:rPr>
      </w:pPr>
    </w:p>
    <w:p>
      <w:pPr>
        <w:ind w:left="700" w:right="4120" w:hanging="261"/>
        <w:spacing w:after="0" w:line="236" w:lineRule="auto"/>
        <w:rPr>
          <w:sz w:val="20"/>
          <w:szCs w:val="20"/>
          <w:color w:val="auto"/>
        </w:rPr>
      </w:pPr>
      <w:r>
        <w:rPr>
          <w:rFonts w:ascii="Courier New" w:cs="Courier New" w:eastAsia="Courier New" w:hAnsi="Courier New"/>
          <w:sz w:val="15"/>
          <w:szCs w:val="15"/>
          <w:color w:val="auto"/>
        </w:rPr>
        <w:t>The Company may grant options for up to 9,000,000 shares under the Employee Plan. The Company has granted options on 6,487,710 shares through December 31, 2001. Under the Plan, the option exercise price equals the stock's market price on date of grant. The options vest after one to five years, and expire after five to seven years.</w:t>
      </w:r>
    </w:p>
    <w:p>
      <w:pPr>
        <w:spacing w:after="0" w:line="174" w:lineRule="exact"/>
        <w:rPr>
          <w:sz w:val="20"/>
          <w:szCs w:val="20"/>
          <w:color w:val="auto"/>
        </w:rPr>
      </w:pPr>
    </w:p>
    <w:p>
      <w:pPr>
        <w:jc w:val="both"/>
        <w:ind w:left="700" w:right="4460" w:hanging="253"/>
        <w:spacing w:after="0" w:line="235" w:lineRule="auto"/>
        <w:tabs>
          <w:tab w:leader="none" w:pos="7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the Company's employee stock option plan at December 31, 2001, 2000, and 1999, and changes during the years then ended is presented in the table and narrative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spacing w:after="0"/>
              <w:rPr>
                <w:sz w:val="14"/>
                <w:szCs w:val="14"/>
                <w:color w:val="auto"/>
              </w:rPr>
            </w:pPr>
          </w:p>
        </w:tc>
        <w:tc>
          <w:tcPr>
            <w:tcW w:w="1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280" w:type="dxa"/>
            <w:vAlign w:val="bottom"/>
          </w:tcPr>
          <w:p>
            <w:pPr>
              <w:spacing w:after="0"/>
              <w:rPr>
                <w:sz w:val="14"/>
                <w:szCs w:val="14"/>
                <w:color w:val="auto"/>
              </w:rPr>
            </w:pPr>
          </w:p>
        </w:tc>
        <w:tc>
          <w:tcPr>
            <w:tcW w:w="24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Wtd. Avg.</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Wtd. Avg.</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Wtd. Avg.</w:t>
            </w:r>
          </w:p>
        </w:tc>
      </w:tr>
      <w:tr>
        <w:trPr>
          <w:trHeight w:val="168"/>
        </w:trPr>
        <w:tc>
          <w:tcPr>
            <w:tcW w:w="32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 Price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(000)</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 Price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 Price</w:t>
            </w:r>
          </w:p>
        </w:tc>
      </w:tr>
      <w:tr>
        <w:trPr>
          <w:trHeight w:val="168"/>
        </w:trPr>
        <w:tc>
          <w:tcPr>
            <w:tcW w:w="32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3,901</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18</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3,807</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4,145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1,017</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(754)</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4,144</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3,901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3,807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2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1,792</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Avg. Fair Value</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Options Granted</w:t>
            </w:r>
          </w:p>
        </w:tc>
        <w:tc>
          <w:tcPr>
            <w:tcW w:w="1140" w:type="dxa"/>
            <w:vAlign w:val="bottom"/>
          </w:tcPr>
          <w:p>
            <w:pPr>
              <w:spacing w:after="0"/>
              <w:rPr>
                <w:sz w:val="14"/>
                <w:szCs w:val="14"/>
                <w:color w:val="auto"/>
              </w:rPr>
            </w:pP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w:t>
            </w:r>
          </w:p>
        </w:tc>
        <w:tc>
          <w:tcPr>
            <w:tcW w:w="8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9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Outstanding and Exercisable by Price Range As of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20" w:type="dxa"/>
            <w:vAlign w:val="bottom"/>
            <w:gridSpan w:val="2"/>
          </w:tcPr>
          <w:p>
            <w:pPr>
              <w:jc w:val="right"/>
              <w:ind w:right="1047"/>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1800" w:type="dxa"/>
            <w:vAlign w:val="bottom"/>
          </w:tcPr>
          <w:p>
            <w:pPr>
              <w:spacing w:after="0"/>
              <w:rPr>
                <w:sz w:val="14"/>
                <w:szCs w:val="14"/>
                <w:color w:val="auto"/>
              </w:rPr>
            </w:pPr>
          </w:p>
        </w:tc>
        <w:tc>
          <w:tcPr>
            <w:tcW w:w="3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gridSpan w:val="2"/>
          </w:tcPr>
          <w:p>
            <w:pPr>
              <w:jc w:val="right"/>
              <w:spacing w:after="0"/>
              <w:rPr>
                <w:sz w:val="20"/>
                <w:szCs w:val="20"/>
                <w:color w:val="auto"/>
              </w:rPr>
            </w:pPr>
            <w:r>
              <w:rPr>
                <w:rFonts w:ascii="Courier New" w:cs="Courier New" w:eastAsia="Courier New" w:hAnsi="Courier New"/>
                <w:sz w:val="1"/>
                <w:szCs w:val="1"/>
                <w:color w:val="auto"/>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Weighted Average</w:t>
            </w:r>
          </w:p>
        </w:tc>
      </w:tr>
      <w:tr>
        <w:trPr>
          <w:trHeight w:val="168"/>
        </w:trPr>
        <w:tc>
          <w:tcPr>
            <w:tcW w:w="360" w:type="dxa"/>
            <w:vAlign w:val="bottom"/>
          </w:tcPr>
          <w:p>
            <w:pPr>
              <w:spacing w:after="0"/>
              <w:rPr>
                <w:sz w:val="14"/>
                <w:szCs w:val="14"/>
                <w:color w:val="auto"/>
              </w:rPr>
            </w:pPr>
          </w:p>
        </w:tc>
        <w:tc>
          <w:tcPr>
            <w:tcW w:w="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Range</w:t>
            </w:r>
          </w:p>
        </w:tc>
        <w:tc>
          <w:tcPr>
            <w:tcW w:w="8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of</w:t>
            </w:r>
          </w:p>
        </w:tc>
        <w:tc>
          <w:tcPr>
            <w:tcW w:w="20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Remaining</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Weighted Average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Prices</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(000)</w:t>
            </w: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Exercise Price</w:t>
            </w:r>
          </w:p>
        </w:tc>
        <w:tc>
          <w:tcPr>
            <w:tcW w:w="1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(000)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120" w:type="dxa"/>
            <w:vAlign w:val="bottom"/>
            <w:gridSpan w:val="2"/>
          </w:tcPr>
          <w:p>
            <w:pPr>
              <w:jc w:val="right"/>
              <w:ind w:right="567"/>
              <w:spacing w:after="0"/>
              <w:rPr>
                <w:sz w:val="20"/>
                <w:szCs w:val="20"/>
                <w:color w:val="auto"/>
              </w:rPr>
            </w:pPr>
            <w:r>
              <w:rPr>
                <w:rFonts w:ascii="Courier New" w:cs="Courier New" w:eastAsia="Courier New" w:hAnsi="Courier New"/>
                <w:sz w:val="15"/>
                <w:szCs w:val="15"/>
                <w:color w:val="auto"/>
              </w:rPr>
              <w:t>- $10</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291</w:t>
            </w:r>
          </w:p>
        </w:tc>
        <w:tc>
          <w:tcPr>
            <w:tcW w:w="170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1</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$ 8</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286</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$ 8</w:t>
            </w:r>
          </w:p>
        </w:tc>
      </w:tr>
      <w:tr>
        <w:trPr>
          <w:trHeight w:val="168"/>
        </w:trPr>
        <w:tc>
          <w:tcPr>
            <w:tcW w:w="360" w:type="dxa"/>
            <w:vAlign w:val="bottom"/>
          </w:tcPr>
          <w:p>
            <w:pPr>
              <w:jc w:val="right"/>
              <w:ind w:right="44"/>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11</w:t>
            </w:r>
          </w:p>
        </w:tc>
        <w:tc>
          <w:tcPr>
            <w:tcW w:w="112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 $20</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1,443</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w:t>
            </w:r>
          </w:p>
        </w:tc>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15</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1,023</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60" w:type="dxa"/>
            <w:vAlign w:val="bottom"/>
          </w:tcPr>
          <w:p>
            <w:pPr>
              <w:jc w:val="right"/>
              <w:ind w:right="44"/>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21</w:t>
            </w:r>
          </w:p>
        </w:tc>
        <w:tc>
          <w:tcPr>
            <w:tcW w:w="112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 $37</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2,410</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w:t>
            </w:r>
          </w:p>
        </w:tc>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26</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483</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120"/>
          </w:cols>
          <w:pgMar w:left="220" w:top="617" w:right="559" w:bottom="0" w:gutter="0" w:footer="0" w:header="0"/>
        </w:sectPr>
      </w:pPr>
    </w:p>
    <w:bookmarkStart w:id="29" w:name="page30"/>
    <w:bookmarkEnd w:id="29"/>
    <w:p>
      <w:pPr>
        <w:spacing w:after="0"/>
        <w:tabs>
          <w:tab w:leader="none" w:pos="2260" w:val="left"/>
          <w:tab w:leader="none" w:pos="4180" w:val="left"/>
          <w:tab w:leader="none" w:pos="5940" w:val="left"/>
          <w:tab w:leader="none" w:pos="7680" w:val="left"/>
          <w:tab w:leader="none" w:pos="91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4,144</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1,792</w:t>
      </w:r>
      <w:r>
        <w:rPr>
          <w:sz w:val="20"/>
          <w:szCs w:val="20"/>
          <w:color w:val="auto"/>
        </w:rPr>
        <w:tab/>
      </w:r>
      <w:r>
        <w:rPr>
          <w:rFonts w:ascii="Courier New" w:cs="Courier New" w:eastAsia="Courier New" w:hAnsi="Courier New"/>
          <w:sz w:val="14"/>
          <w:szCs w:val="14"/>
          <w:color w:val="auto"/>
        </w:rPr>
        <w:t>$16</w:t>
      </w:r>
    </w:p>
    <w:p>
      <w:pPr>
        <w:sectPr>
          <w:pgSz w:w="11900" w:h="16838" w:orient="portrait"/>
          <w:cols w:equalWidth="0" w:num="1">
            <w:col w:w="9460"/>
          </w:cols>
          <w:pgMar w:left="1360" w:top="13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- 28 -</w:t>
      </w:r>
    </w:p>
    <w:p>
      <w:pPr>
        <w:sectPr>
          <w:pgSz w:w="11900" w:h="16838" w:orient="portrait"/>
          <w:cols w:equalWidth="0" w:num="1">
            <w:col w:w="9460"/>
          </w:cols>
          <w:pgMar w:left="1360" w:top="135" w:right="1079" w:bottom="1440" w:gutter="0" w:footer="0" w:header="0"/>
          <w:type w:val="continuous"/>
        </w:sectPr>
      </w:pPr>
    </w:p>
    <w:bookmarkStart w:id="30" w:name="page31"/>
    <w:bookmarkEnd w:id="30"/>
    <w:p>
      <w:pPr>
        <w:jc w:val="center"/>
        <w:ind w:right="3840"/>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92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84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 continued</w:t>
      </w:r>
    </w:p>
    <w:p>
      <w:pPr>
        <w:spacing w:after="0" w:line="172" w:lineRule="exact"/>
        <w:rPr>
          <w:rFonts w:ascii="Courier New" w:cs="Courier New" w:eastAsia="Courier New" w:hAnsi="Courier New"/>
          <w:sz w:val="15"/>
          <w:szCs w:val="15"/>
          <w:color w:val="auto"/>
        </w:rPr>
      </w:pPr>
    </w:p>
    <w:p>
      <w:pPr>
        <w:ind w:left="700" w:right="3940"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each option grant is estimated on the date of grant using the Black-Scholes option pricing model with the following weighted-average assumptions used for grants in 2001, 2000, and 1999, respectively: risk-free interest rates of 4.4, 4.8, and 5.9 percent; expected dividend yields of 0.0, 0.0 and 0.0 percent; expected lives of 5, 5 and 5 years; expected volatility of 54, 54, and 52 percent.</w:t>
      </w:r>
    </w:p>
    <w:p>
      <w:pPr>
        <w:spacing w:after="0" w:line="174" w:lineRule="exact"/>
        <w:rPr>
          <w:rFonts w:ascii="Courier New" w:cs="Courier New" w:eastAsia="Courier New" w:hAnsi="Courier New"/>
          <w:sz w:val="15"/>
          <w:szCs w:val="15"/>
          <w:color w:val="auto"/>
        </w:rPr>
      </w:pPr>
    </w:p>
    <w:p>
      <w:pPr>
        <w:ind w:left="700" w:right="3940"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grant options for up to 2,000,000 shares under the Director Plan. The Company has granted options on 1,124,590 shares through December 31, 2001. Under the plan the option exercise price equals the stock's market price on date of grant. The Director Plan options vest after six months, and all expire after ten years.</w:t>
      </w:r>
    </w:p>
    <w:p>
      <w:pPr>
        <w:spacing w:after="0" w:line="173" w:lineRule="exact"/>
        <w:rPr>
          <w:rFonts w:ascii="Courier New" w:cs="Courier New" w:eastAsia="Courier New" w:hAnsi="Courier New"/>
          <w:sz w:val="15"/>
          <w:szCs w:val="15"/>
          <w:color w:val="auto"/>
        </w:rPr>
      </w:pPr>
    </w:p>
    <w:p>
      <w:pPr>
        <w:ind w:left="700" w:right="4100"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the Director Plan at December 31, 2001, 2000, and 1999, and changes during the years then ended is presented in the table and narrative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4"/>
              </w:rPr>
              <w:t>2001</w:t>
            </w:r>
          </w:p>
        </w:tc>
        <w:tc>
          <w:tcPr>
            <w:tcW w:w="820" w:type="dxa"/>
            <w:vAlign w:val="bottom"/>
          </w:tcPr>
          <w:p>
            <w:pPr>
              <w:spacing w:after="0"/>
              <w:rPr>
                <w:sz w:val="14"/>
                <w:szCs w:val="14"/>
                <w:color w:val="auto"/>
              </w:rPr>
            </w:pPr>
          </w:p>
        </w:tc>
        <w:tc>
          <w:tcPr>
            <w:tcW w:w="12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c>
          <w:tcPr>
            <w:tcW w:w="108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1999</w:t>
            </w:r>
          </w:p>
        </w:tc>
      </w:tr>
      <w:tr>
        <w:trPr>
          <w:trHeight w:val="168"/>
        </w:trPr>
        <w:tc>
          <w:tcPr>
            <w:tcW w:w="3160" w:type="dxa"/>
            <w:vAlign w:val="bottom"/>
          </w:tcPr>
          <w:p>
            <w:pPr>
              <w:spacing w:after="0"/>
              <w:rPr>
                <w:sz w:val="14"/>
                <w:szCs w:val="14"/>
                <w:color w:val="auto"/>
              </w:rPr>
            </w:pPr>
          </w:p>
        </w:tc>
        <w:tc>
          <w:tcPr>
            <w:tcW w:w="2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Wtd. Avg.</w:t>
            </w: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Shares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Wtd. Avg.</w:t>
            </w: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Wtd. Avg.</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 Price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 Price</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 Price</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9</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w:t>
            </w:r>
          </w:p>
        </w:tc>
        <w:tc>
          <w:tcPr>
            <w:tcW w:w="1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469</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1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469</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Avg. Fair Value</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Options Granted</w:t>
            </w:r>
          </w:p>
        </w:tc>
        <w:tc>
          <w:tcPr>
            <w:tcW w:w="9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w:t>
            </w:r>
          </w:p>
        </w:tc>
        <w:tc>
          <w:tcPr>
            <w:tcW w:w="82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w:t>
            </w:r>
          </w:p>
        </w:tc>
        <w:tc>
          <w:tcPr>
            <w:tcW w:w="80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Outstanding and Exercisable by Price Range As Of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60" w:type="dxa"/>
            <w:vAlign w:val="bottom"/>
            <w:gridSpan w:val="2"/>
          </w:tcPr>
          <w:p>
            <w:pPr>
              <w:jc w:val="right"/>
              <w:ind w:right="1047"/>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1760" w:type="dxa"/>
            <w:vAlign w:val="bottom"/>
          </w:tcPr>
          <w:p>
            <w:pPr>
              <w:spacing w:after="0"/>
              <w:rPr>
                <w:sz w:val="14"/>
                <w:szCs w:val="14"/>
                <w:color w:val="auto"/>
              </w:rPr>
            </w:pPr>
          </w:p>
        </w:tc>
        <w:tc>
          <w:tcPr>
            <w:tcW w:w="2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0"/>
              </w:rPr>
              <w:t>---------------------------------</w:t>
            </w:r>
          </w:p>
        </w:tc>
      </w:tr>
      <w:tr>
        <w:trPr>
          <w:trHeight w:val="168"/>
        </w:trPr>
        <w:tc>
          <w:tcPr>
            <w:tcW w:w="16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5"/>
              </w:rPr>
              <w:t>--------------------------------------------------------------------------------</w:t>
            </w: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Weighted Average</w:t>
            </w:r>
          </w:p>
        </w:tc>
      </w:tr>
      <w:tr>
        <w:trPr>
          <w:trHeight w:val="168"/>
        </w:trPr>
        <w:tc>
          <w:tcPr>
            <w:tcW w:w="880" w:type="dxa"/>
            <w:vAlign w:val="bottom"/>
          </w:tcPr>
          <w:p>
            <w:pPr>
              <w:jc w:val="right"/>
              <w:ind w:right="16"/>
              <w:spacing w:after="0" w:line="168" w:lineRule="exact"/>
              <w:rPr>
                <w:sz w:val="20"/>
                <w:szCs w:val="20"/>
                <w:color w:val="auto"/>
              </w:rPr>
            </w:pPr>
            <w:r>
              <w:rPr>
                <w:rFonts w:ascii="Courier New" w:cs="Courier New" w:eastAsia="Courier New" w:hAnsi="Courier New"/>
                <w:sz w:val="15"/>
                <w:szCs w:val="15"/>
                <w:color w:val="auto"/>
              </w:rPr>
              <w:t>Range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Remaining</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Weighted Average</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880" w:type="dxa"/>
            <w:vAlign w:val="bottom"/>
          </w:tcPr>
          <w:p>
            <w:pPr>
              <w:jc w:val="right"/>
              <w:ind w:right="16"/>
              <w:spacing w:after="0" w:line="168" w:lineRule="exact"/>
              <w:rPr>
                <w:sz w:val="20"/>
                <w:szCs w:val="20"/>
                <w:color w:val="auto"/>
              </w:rPr>
            </w:pPr>
            <w:r>
              <w:rPr>
                <w:rFonts w:ascii="Courier New" w:cs="Courier New" w:eastAsia="Courier New" w:hAnsi="Courier New"/>
                <w:sz w:val="15"/>
                <w:szCs w:val="15"/>
                <w:color w:val="auto"/>
              </w:rPr>
              <w:t>Exercise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20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(000)</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 Price</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jc w:val="right"/>
              <w:ind w:right="16"/>
              <w:spacing w:after="0"/>
              <w:rPr>
                <w:sz w:val="20"/>
                <w:szCs w:val="20"/>
                <w:color w:val="auto"/>
              </w:rPr>
            </w:pPr>
            <w:r>
              <w:rPr>
                <w:rFonts w:ascii="Courier New" w:cs="Courier New" w:eastAsia="Courier New" w:hAnsi="Courier New"/>
                <w:sz w:val="15"/>
                <w:szCs w:val="15"/>
                <w:color w:val="auto"/>
              </w:rPr>
              <w:t>$1 -</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360</w:t>
            </w:r>
          </w:p>
        </w:tc>
        <w:tc>
          <w:tcPr>
            <w:tcW w:w="174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3</w:t>
            </w:r>
          </w:p>
        </w:tc>
        <w:tc>
          <w:tcPr>
            <w:tcW w:w="17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6</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w:t>
            </w:r>
          </w:p>
        </w:tc>
      </w:tr>
      <w:tr>
        <w:trPr>
          <w:trHeight w:val="168"/>
        </w:trPr>
        <w:tc>
          <w:tcPr>
            <w:tcW w:w="880" w:type="dxa"/>
            <w:vAlign w:val="bottom"/>
          </w:tcPr>
          <w:p>
            <w:pPr>
              <w:jc w:val="right"/>
              <w:ind w:right="16"/>
              <w:spacing w:after="0" w:line="168" w:lineRule="exact"/>
              <w:rPr>
                <w:sz w:val="20"/>
                <w:szCs w:val="20"/>
                <w:color w:val="auto"/>
              </w:rPr>
            </w:pPr>
            <w:r>
              <w:rPr>
                <w:rFonts w:ascii="Courier New" w:cs="Courier New" w:eastAsia="Courier New" w:hAnsi="Courier New"/>
                <w:sz w:val="15"/>
                <w:szCs w:val="15"/>
                <w:color w:val="auto"/>
              </w:rPr>
              <w:t>$11 -</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$31</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109</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8</w:t>
            </w:r>
          </w:p>
        </w:tc>
        <w:tc>
          <w:tcPr>
            <w:tcW w:w="17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469</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w:t>
            </w:r>
          </w:p>
        </w:tc>
        <w:tc>
          <w:tcPr>
            <w:tcW w:w="17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$ 10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$ 10</w:t>
            </w:r>
          </w:p>
        </w:tc>
      </w:tr>
    </w:tbl>
    <w:p>
      <w:pPr>
        <w:spacing w:after="0" w:line="200" w:lineRule="exact"/>
        <w:rPr>
          <w:sz w:val="20"/>
          <w:szCs w:val="20"/>
          <w:color w:val="auto"/>
        </w:rPr>
      </w:pPr>
    </w:p>
    <w:p>
      <w:pPr>
        <w:spacing w:after="0" w:line="309" w:lineRule="exact"/>
        <w:rPr>
          <w:sz w:val="20"/>
          <w:szCs w:val="20"/>
          <w:color w:val="auto"/>
        </w:rPr>
      </w:pPr>
    </w:p>
    <w:p>
      <w:pPr>
        <w:ind w:left="700" w:right="3940" w:hanging="261"/>
        <w:spacing w:after="0" w:line="23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 pricing model with the following weighted-average assumptions used for grants in 2001, 2000, and 1999, respectively: risk-free interest rates of 5.1, 5.0, and 5.6 percent; expected dividend yields of 0.0, 0.0 and 0.0 percent; expected lives of 9, 9, and 9 years; expected volatility of 54, 54, and 52 percent.</w:t>
      </w:r>
    </w:p>
    <w:p>
      <w:pPr>
        <w:spacing w:after="0" w:line="175" w:lineRule="exact"/>
        <w:rPr>
          <w:sz w:val="20"/>
          <w:szCs w:val="20"/>
          <w:color w:val="auto"/>
        </w:rPr>
      </w:pPr>
    </w:p>
    <w:p>
      <w:pPr>
        <w:ind w:left="700" w:right="4020" w:hanging="261"/>
        <w:spacing w:after="0" w:line="237" w:lineRule="auto"/>
        <w:rPr>
          <w:sz w:val="20"/>
          <w:szCs w:val="20"/>
          <w:color w:val="auto"/>
        </w:rPr>
      </w:pPr>
      <w:r>
        <w:rPr>
          <w:rFonts w:ascii="Courier New" w:cs="Courier New" w:eastAsia="Courier New" w:hAnsi="Courier New"/>
          <w:sz w:val="15"/>
          <w:szCs w:val="15"/>
          <w:color w:val="auto"/>
        </w:rPr>
        <w:t>In 2001, a restricted stock plan covering 1,600,000 shares expired, and a new restricted stock plan covering 500,000 shares of common stock was approved. The purpose of the plans is to permit grants of shares, subject to restrictions, to key employees of the Company as a means of retaining and rewarding them for long-term performance and to increase their ownership in the Company. Shares awarded under the plans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2001, 2000, and 1999, 57,800, 47,800, and 31,600 shares, respectively, were granted with restriction periods of four to six years at market prices ranging from $23.59 to $26.97 in 2001, $18.75 to $37.625 in 2000, and $20.72 to $33.063 in 1999. The related expense is reflected as a deferred compensation component of shareholders' investment in the accompanying consolidated financial statements and is being amortized over the applicable restriction periods.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- 29 -</w:t>
      </w:r>
    </w:p>
    <w:p>
      <w:pPr>
        <w:sectPr>
          <w:pgSz w:w="11900" w:h="16838" w:orient="portrait"/>
          <w:cols w:equalWidth="0" w:num="1">
            <w:col w:w="10940"/>
          </w:cols>
          <w:pgMar w:left="220" w:top="449" w:right="739" w:bottom="0" w:gutter="0" w:footer="0" w:header="0"/>
        </w:sectPr>
      </w:pPr>
    </w:p>
    <w:bookmarkStart w:id="31" w:name="page32"/>
    <w:bookmarkEnd w:id="31"/>
    <w:p>
      <w:pPr>
        <w:jc w:val="center"/>
        <w:ind w:right="3139"/>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2" w:lineRule="exact"/>
        <w:rPr>
          <w:rFonts w:ascii="Courier New" w:cs="Courier New" w:eastAsia="Courier New" w:hAnsi="Courier New"/>
          <w:sz w:val="15"/>
          <w:szCs w:val="15"/>
          <w:color w:val="auto"/>
        </w:rPr>
      </w:pPr>
    </w:p>
    <w:p>
      <w:pPr>
        <w:ind w:left="700" w:right="339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the Company is subject to legal proceedings and claims which arise in the ordinary course of its business. In the opinion of management, the amount of ultimate liability with respect to these actions will not materially affect the financial position or future results of operations of the Company.</w:t>
      </w:r>
    </w:p>
    <w:p>
      <w:pPr>
        <w:spacing w:after="0" w:line="335"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2" w:lineRule="exact"/>
        <w:rPr>
          <w:rFonts w:ascii="Courier New" w:cs="Courier New" w:eastAsia="Courier New" w:hAnsi="Courier New"/>
          <w:sz w:val="15"/>
          <w:szCs w:val="15"/>
          <w:color w:val="auto"/>
        </w:rPr>
      </w:pPr>
    </w:p>
    <w:p>
      <w:pPr>
        <w:ind w:left="70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131, "Disclosures About Segments of an Enterprise and Related Information"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8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2001</w:t>
            </w:r>
          </w:p>
        </w:tc>
        <w:tc>
          <w:tcPr>
            <w:tcW w:w="18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$153,685,309</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$154,972,098</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$151,222,877</w:t>
            </w:r>
          </w:p>
        </w:tc>
      </w:tr>
      <w:tr>
        <w:trPr>
          <w:trHeight w:val="168"/>
        </w:trPr>
        <w:tc>
          <w:tcPr>
            <w:tcW w:w="2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Germany</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63,245,473</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60,754,241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47,870,761</w:t>
            </w:r>
          </w:p>
        </w:tc>
      </w:tr>
      <w:tr>
        <w:trPr>
          <w:trHeight w:val="168"/>
        </w:trPr>
        <w:tc>
          <w:tcPr>
            <w:tcW w:w="2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72,493,418</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60,127,795</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41,979,787</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20,880,796</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21,566,668</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21,082,073</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$310,304,996</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$297,420,802</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$262,155,498</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$ 78,041,939</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$ 86,218,950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$ 81,757,998</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4,017,303</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4,192,041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3,764,493</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$ 82,059,242</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$ 90,410,991</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$ 85,522,491</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$144,204,490</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$119,720,400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$101,257,610</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3,779,501</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4,396,643</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4,353,082</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358,838,807</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304,011,650</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232,062,078</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$506,822,798</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$428,128,693</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$337,672,770</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Depreciation &amp; Amortization:</w:t>
            </w: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$ 13,699,709</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$ 10,349,325</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8,645,455</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294,956</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315,018</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323,477</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1,198,153</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669,761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687,768</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$ 15,192,818</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$ 11,334,104</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9,656,700</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$ 39,383,150</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$ 21,084,629</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$ 19,279,715</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280,251</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192,222</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322,962</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5,635,028</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340,237</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2,365,770</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$ 45,298,429</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$ 21,617,088</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$ 21,968,447</w:t>
            </w:r>
          </w:p>
        </w:tc>
      </w:tr>
      <w:tr>
        <w:trPr>
          <w:trHeight w:val="168"/>
        </w:trPr>
        <w:tc>
          <w:tcPr>
            <w:tcW w:w="2860" w:type="dxa"/>
            <w:vAlign w:val="bottom"/>
          </w:tcPr>
          <w:p>
            <w:pPr>
              <w:spacing w:after="0"/>
              <w:rPr>
                <w:sz w:val="14"/>
                <w:szCs w:val="14"/>
                <w:color w:val="auto"/>
              </w:rPr>
            </w:pPr>
          </w:p>
        </w:tc>
        <w:tc>
          <w:tcPr>
            <w:tcW w:w="1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Other assets are principally cash, investments, deferred income taxes, and corporate fixed assets.</w:t>
      </w:r>
    </w:p>
    <w:p>
      <w:pPr>
        <w:spacing w:after="0" w:line="173" w:lineRule="exact"/>
        <w:rPr>
          <w:sz w:val="20"/>
          <w:szCs w:val="20"/>
          <w:color w:val="auto"/>
        </w:rPr>
      </w:pPr>
    </w:p>
    <w:p>
      <w:pPr>
        <w:ind w:left="440" w:right="3319" w:hanging="436"/>
        <w:spacing w:after="0" w:line="256" w:lineRule="auto"/>
        <w:rPr>
          <w:sz w:val="20"/>
          <w:szCs w:val="20"/>
          <w:color w:val="auto"/>
        </w:rPr>
      </w:pPr>
      <w:r>
        <w:rPr>
          <w:rFonts w:ascii="Courier New" w:cs="Courier New" w:eastAsia="Courier New" w:hAnsi="Courier New"/>
          <w:sz w:val="14"/>
          <w:szCs w:val="14"/>
          <w:color w:val="auto"/>
        </w:rPr>
        <w:t>Automotive Products revenues in the "Other" category are sales to U.S. automotive manufacturing plants in Canada, Mexico and other foreign automotive customers, primarily located in Japan. Virtually all non-U.S. sales are invoiced and paid in U.S. dollars; during 2001, approximately 1% of the Company's net sales were invoiced and paid in European euros.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39"/>
          </w:cols>
          <w:pgMar w:left="220" w:top="449" w:right="1440" w:bottom="685" w:gutter="0" w:footer="0" w:header="0"/>
        </w:sectPr>
      </w:pPr>
    </w:p>
    <w:bookmarkStart w:id="32" w:name="page33"/>
    <w:bookmarkEnd w:id="32"/>
    <w:p>
      <w:pPr>
        <w:jc w:val="center"/>
        <w:ind w:right="3139"/>
        <w:spacing w:after="0"/>
        <w:rPr>
          <w:sz w:val="20"/>
          <w:szCs w:val="20"/>
          <w:color w:val="auto"/>
        </w:rPr>
      </w:pPr>
      <w:r>
        <w:rPr>
          <w:rFonts w:ascii="Courier New" w:cs="Courier New" w:eastAsia="Courier New" w:hAnsi="Courier New"/>
          <w:sz w:val="15"/>
          <w:szCs w:val="15"/>
          <w:color w:val="auto"/>
        </w:rPr>
        <w:t>GENTEX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(Continued)</w:t>
      </w:r>
    </w:p>
    <w:p>
      <w:pPr>
        <w:spacing w:after="0" w:line="167"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 continued</w:t>
      </w:r>
    </w:p>
    <w:p>
      <w:pPr>
        <w:spacing w:after="0" w:line="172" w:lineRule="exact"/>
        <w:rPr>
          <w:rFonts w:ascii="Courier New" w:cs="Courier New" w:eastAsia="Courier New" w:hAnsi="Courier New"/>
          <w:sz w:val="15"/>
          <w:szCs w:val="15"/>
          <w:color w:val="auto"/>
        </w:rPr>
      </w:pPr>
    </w:p>
    <w:p>
      <w:pPr>
        <w:ind w:left="700" w:right="3499" w:hanging="262"/>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years presented, the Company had three automotive customers, which individually accounted for 10% or more of net sales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Customer</w:t>
            </w: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4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4"/>
                <w:szCs w:val="24"/>
                <w:color w:val="auto"/>
              </w:rPr>
            </w:pPr>
          </w:p>
        </w:tc>
        <w:tc>
          <w:tcPr>
            <w:tcW w:w="1400" w:type="dxa"/>
            <w:vAlign w:val="bottom"/>
          </w:tcPr>
          <w:p>
            <w:pPr>
              <w:ind w:left="700"/>
              <w:spacing w:after="0"/>
              <w:rPr>
                <w:sz w:val="20"/>
                <w:szCs w:val="20"/>
                <w:color w:val="auto"/>
              </w:rPr>
            </w:pPr>
            <w:r>
              <w:rPr>
                <w:rFonts w:ascii="Courier New" w:cs="Courier New" w:eastAsia="Courier New" w:hAnsi="Courier New"/>
                <w:sz w:val="15"/>
                <w:szCs w:val="15"/>
                <w:color w:val="auto"/>
              </w:rPr>
              <w:t>#1</w:t>
            </w:r>
          </w:p>
        </w:tc>
        <w:tc>
          <w:tcPr>
            <w:tcW w:w="1780" w:type="dxa"/>
            <w:vAlign w:val="bottom"/>
          </w:tcPr>
          <w:p>
            <w:pPr>
              <w:ind w:left="860"/>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68"/>
        </w:trPr>
        <w:tc>
          <w:tcPr>
            <w:tcW w:w="880" w:type="dxa"/>
            <w:vAlign w:val="bottom"/>
          </w:tcPr>
          <w:p>
            <w:pPr>
              <w:spacing w:after="0"/>
              <w:rPr>
                <w:sz w:val="14"/>
                <w:szCs w:val="14"/>
                <w:color w:val="auto"/>
              </w:rPr>
            </w:pP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2001</w:t>
            </w:r>
          </w:p>
        </w:tc>
        <w:tc>
          <w:tcPr>
            <w:tcW w:w="1400" w:type="dxa"/>
            <w:vAlign w:val="bottom"/>
          </w:tcPr>
          <w:p>
            <w:pPr>
              <w:ind w:left="700"/>
              <w:spacing w:after="0"/>
              <w:rPr>
                <w:sz w:val="20"/>
                <w:szCs w:val="20"/>
                <w:color w:val="auto"/>
              </w:rPr>
            </w:pPr>
            <w:r>
              <w:rPr>
                <w:rFonts w:ascii="Courier New" w:cs="Courier New" w:eastAsia="Courier New" w:hAnsi="Courier New"/>
                <w:sz w:val="15"/>
                <w:szCs w:val="15"/>
                <w:color w:val="auto"/>
              </w:rPr>
              <w:t>38%</w:t>
            </w:r>
          </w:p>
        </w:tc>
        <w:tc>
          <w:tcPr>
            <w:tcW w:w="1780" w:type="dxa"/>
            <w:vAlign w:val="bottom"/>
          </w:tcPr>
          <w:p>
            <w:pPr>
              <w:ind w:left="860"/>
              <w:spacing w:after="0"/>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2000</w:t>
            </w: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40%</w:t>
            </w:r>
          </w:p>
        </w:tc>
        <w:tc>
          <w:tcPr>
            <w:tcW w:w="178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1999</w:t>
            </w: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44%</w:t>
            </w:r>
          </w:p>
        </w:tc>
        <w:tc>
          <w:tcPr>
            <w:tcW w:w="178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bl>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0239"/>
          </w:cols>
          <w:pgMar w:left="220" w:top="953"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6520" w:type="dxa"/>
            <w:vAlign w:val="bottom"/>
          </w:tcPr>
          <w:p>
            <w:pPr>
              <w:ind w:left="1960"/>
              <w:spacing w:after="0"/>
              <w:rPr>
                <w:sz w:val="20"/>
                <w:szCs w:val="20"/>
                <w:color w:val="auto"/>
              </w:rPr>
            </w:pPr>
            <w:r>
              <w:rPr>
                <w:rFonts w:ascii="Courier New" w:cs="Courier New" w:eastAsia="Courier New" w:hAnsi="Courier New"/>
                <w:sz w:val="15"/>
                <w:szCs w:val="15"/>
                <w:color w:val="auto"/>
              </w:rPr>
              <w:t>EXHIBIT INDEX</w:t>
            </w:r>
          </w:p>
        </w:tc>
        <w:tc>
          <w:tcPr>
            <w:tcW w:w="860" w:type="dxa"/>
            <w:vAlign w:val="bottom"/>
          </w:tcPr>
          <w:p>
            <w:pPr>
              <w:spacing w:after="0"/>
              <w:rPr>
                <w:sz w:val="14"/>
                <w:szCs w:val="14"/>
                <w:color w:val="auto"/>
              </w:rPr>
            </w:pPr>
          </w:p>
        </w:tc>
      </w:tr>
      <w:tr>
        <w:trPr>
          <w:trHeight w:val="6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520" w:type="dxa"/>
            <w:vAlign w:val="bottom"/>
          </w:tcPr>
          <w:p>
            <w:pPr>
              <w:ind w:left="3100"/>
              <w:spacing w:after="0"/>
              <w:rPr>
                <w:sz w:val="20"/>
                <w:szCs w:val="20"/>
                <w:color w:val="auto"/>
              </w:rPr>
            </w:pPr>
            <w:r>
              <w:rPr>
                <w:rFonts w:ascii="Courier New" w:cs="Courier New" w:eastAsia="Courier New" w:hAnsi="Courier New"/>
                <w:sz w:val="15"/>
                <w:szCs w:val="15"/>
                <w:color w:val="auto"/>
              </w:rPr>
              <w:t>DESCRIPTION</w:t>
            </w:r>
          </w:p>
        </w:tc>
        <w:tc>
          <w:tcPr>
            <w:tcW w:w="860" w:type="dxa"/>
            <w:vAlign w:val="bottom"/>
          </w:tcPr>
          <w:p>
            <w:pPr>
              <w:ind w:left="520"/>
              <w:spacing w:after="0"/>
              <w:rPr>
                <w:sz w:val="20"/>
                <w:szCs w:val="20"/>
                <w:color w:val="auto"/>
              </w:rPr>
            </w:pPr>
            <w:r>
              <w:rPr>
                <w:rFonts w:ascii="Courier New" w:cs="Courier New" w:eastAsia="Courier New" w:hAnsi="Courier New"/>
                <w:sz w:val="15"/>
                <w:szCs w:val="15"/>
                <w:color w:val="auto"/>
                <w:w w:val="88"/>
              </w:rPr>
              <w:t>PAGE</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Registrant's Articles of Incorporation were filed in 1981 as Exhibit</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2(a) to a Registration Statement on Form S-18 (Registration No.</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2-74226C), an Amendment to those Articles was filed as Exhibit 3 to</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Registrant's Report on Form 10-Q in August of 1985, an additional</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Amendment to those Articles was filed as Exhibit 3(a)(1) to</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Registrant's Report on Form 10-Q in August of 1987, and an</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additional Amendment to those Articles was filed as Exhibit 3(a)(2)</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Registrant's Report on Form 10-K dated March 10, 1992, and an</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additional Amendment to those Articles was filed as Exhibit 3(a)(2)</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Registrant's Report on Form 10-Q dated July 31, 1996, all of</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which are hereby incorporated herein by 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3(a)(2)</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Amendment to Articles of Incorporation, adopted on May 21, 1998, was</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filed as Exhibit 3(a)(2) to Registrant's Report on Form 10-Q dated</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July 30, 1998, and the same is hereby incorporated herein by</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3(b)(1)</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Registrant's Bylaws as amended and restated August 18, 2000, were</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filed as Exhibit 3(b)(1) to Registrant's Report on Form 10-Q dated</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October 27, 2000, and the same is hereby incorporated herein by</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A specimen form of certificate for the Registrant's common stock,</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 value $.06 per share, was filed as part of a Registration</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Statement (Registration Number 2-74226C) as Exhibit 3(a), as amended</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Amendment No. 3 to such Registration Statement, and the same is</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hereby incorporated herein by 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Shareholder Protection Rights Agreement, dated</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 March 29, 2001, including as Exhibit A the form of Certificate</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Adoption of Resolution Establishing Series of Shares of Junior</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Participating Preferred Stock of the Company, and as Exhibit B the</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 of Rights Certificate and of Election to Exercise, was filed as</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4(b) to Registrant's Report on Form 10-Q on April 27, 2001,</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 same is hereby incorporated herein by 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A Lease, dated August 15, 1981, was filed as part of a Registration</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Statement (Registration Number 2-74226C) as Exhibit 9(a)(1), and the</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same is hereby incorporated herein by 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A First Amendment to Lease, dated June 28, 1985, was filed as</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 10(m) to Registrant's Report on Form 10-K dated March 18,</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1986, and the same is hereby incorporated herein by 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Gentex Corporation Qualified Stock Option Plan (as amended and</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restated, effective August 25, 1997) was filed as Exhibit 10(b)(1)</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Registrant's Report on Form 10-Q dated July 30, 1998, and the</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same is hereby incorporated herein by 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Gentex Corporation Second Restricted Stock Plan was filed as Exhibit</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10(b)(2) to Registrant's Report on Form 10-Q dated April 27, 2001,</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 same is hereby incorporated herein by 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Gentex Corporation Non-Employee Director Stock Option Plan (as</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amended and restated, effective March 7, 1997) was filed as Exhibit</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10(b)(4) to Registrant's Report on Form 10-K dated March 7, 1997,</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 same is hereby incorporated herein by 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The form of Indemnity Agreement between Registrant and each of the</w:t>
            </w:r>
          </w:p>
        </w:tc>
        <w:tc>
          <w:tcPr>
            <w:tcW w:w="86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Registrant's directors was filed as a part of a Registration</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Statement on Form S-2 (Registration No. 33-30353) as Exhibit 10(k)</w:t>
            </w:r>
          </w:p>
        </w:tc>
        <w:tc>
          <w:tcPr>
            <w:tcW w:w="8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 same is hereby incorporated herein by reference.</w:t>
            </w:r>
          </w:p>
        </w:tc>
        <w:tc>
          <w:tcPr>
            <w:tcW w:w="8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List of Company Subsidiaries</w:t>
            </w:r>
          </w:p>
        </w:tc>
        <w:tc>
          <w:tcPr>
            <w:tcW w:w="860" w:type="dxa"/>
            <w:vAlign w:val="bottom"/>
          </w:tcPr>
          <w:p>
            <w:pPr>
              <w:ind w:left="520"/>
              <w:spacing w:after="0"/>
              <w:rPr>
                <w:sz w:val="20"/>
                <w:szCs w:val="20"/>
                <w:color w:val="auto"/>
              </w:rPr>
            </w:pPr>
            <w:r>
              <w:rPr>
                <w:rFonts w:ascii="Courier New" w:cs="Courier New" w:eastAsia="Courier New" w:hAnsi="Courier New"/>
                <w:sz w:val="15"/>
                <w:szCs w:val="15"/>
                <w:color w:val="auto"/>
              </w:rPr>
              <w:t>33</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6520" w:type="dxa"/>
            <w:vAlign w:val="bottom"/>
          </w:tcPr>
          <w:p>
            <w:pPr>
              <w:ind w:left="40"/>
              <w:spacing w:after="0"/>
              <w:rPr>
                <w:sz w:val="20"/>
                <w:szCs w:val="20"/>
                <w:color w:val="auto"/>
              </w:rPr>
            </w:pPr>
            <w:r>
              <w:rPr>
                <w:rFonts w:ascii="Courier New" w:cs="Courier New" w:eastAsia="Courier New" w:hAnsi="Courier New"/>
                <w:sz w:val="15"/>
                <w:szCs w:val="15"/>
                <w:color w:val="auto"/>
              </w:rPr>
              <w:t>Consent of Independent Auditors</w:t>
            </w:r>
          </w:p>
        </w:tc>
        <w:tc>
          <w:tcPr>
            <w:tcW w:w="860" w:type="dxa"/>
            <w:vAlign w:val="bottom"/>
          </w:tcPr>
          <w:p>
            <w:pPr>
              <w:ind w:left="520"/>
              <w:spacing w:after="0"/>
              <w:rPr>
                <w:sz w:val="20"/>
                <w:szCs w:val="20"/>
                <w:color w:val="auto"/>
              </w:rPr>
            </w:pPr>
            <w:r>
              <w:rPr>
                <w:rFonts w:ascii="Courier New" w:cs="Courier New" w:eastAsia="Courier New" w:hAnsi="Courier New"/>
                <w:sz w:val="15"/>
                <w:szCs w:val="15"/>
                <w:color w:val="auto"/>
              </w:rPr>
              <w:t>34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*Indicates a compensatory plan or arrangement.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239"/>
          </w:cols>
          <w:pgMar w:left="220" w:top="449" w:right="1440" w:bottom="1440" w:gutter="0" w:footer="0" w:header="0"/>
        </w:sectPr>
      </w:pPr>
    </w:p>
    <w:bookmarkStart w:id="34" w:name="page35"/>
    <w:bookmarkEnd w:id="34"/>
    <w:p>
      <w:pPr>
        <w:ind w:left="1830"/>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200" w:lineRule="exact"/>
        <w:rPr>
          <w:sz w:val="20"/>
          <w:szCs w:val="20"/>
          <w:color w:val="auto"/>
        </w:rPr>
      </w:pPr>
    </w:p>
    <w:p>
      <w:pPr>
        <w:spacing w:after="0" w:line="309" w:lineRule="exact"/>
        <w:rPr>
          <w:sz w:val="20"/>
          <w:szCs w:val="20"/>
          <w:color w:val="auto"/>
        </w:rPr>
      </w:pPr>
    </w:p>
    <w:p>
      <w:pPr>
        <w:ind w:left="530" w:right="3499" w:hanging="530"/>
        <w:spacing w:after="0" w:line="234"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173" w:lineRule="exact"/>
        <w:rPr>
          <w:rFonts w:ascii="Courier New" w:cs="Courier New" w:eastAsia="Courier New" w:hAnsi="Courier New"/>
          <w:sz w:val="15"/>
          <w:szCs w:val="15"/>
          <w:color w:val="auto"/>
        </w:rPr>
      </w:pPr>
    </w:p>
    <w:p>
      <w:pPr>
        <w:ind w:left="530" w:right="3239" w:hanging="530"/>
        <w:spacing w:after="0" w:line="261" w:lineRule="auto"/>
        <w:tabs>
          <w:tab w:leader="none" w:pos="53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International Corporation, a Foreign Sales Corporation incorporated in Barbados, is a wholly-owned subsidiary of Gentex Corporation.</w:t>
      </w:r>
    </w:p>
    <w:p>
      <w:pPr>
        <w:spacing w:after="0" w:line="159" w:lineRule="exact"/>
        <w:rPr>
          <w:rFonts w:ascii="Courier New" w:cs="Courier New" w:eastAsia="Courier New" w:hAnsi="Courier New"/>
          <w:sz w:val="14"/>
          <w:szCs w:val="14"/>
          <w:color w:val="auto"/>
        </w:rPr>
      </w:pPr>
    </w:p>
    <w:p>
      <w:pPr>
        <w:ind w:left="530" w:right="4099" w:hanging="530"/>
        <w:spacing w:after="0" w:line="234"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 is a wholly-owned subsidiary of Gentex Corporation.</w:t>
      </w:r>
    </w:p>
    <w:p>
      <w:pPr>
        <w:spacing w:after="0" w:line="173" w:lineRule="exact"/>
        <w:rPr>
          <w:rFonts w:ascii="Courier New" w:cs="Courier New" w:eastAsia="Courier New" w:hAnsi="Courier New"/>
          <w:sz w:val="15"/>
          <w:szCs w:val="15"/>
          <w:color w:val="auto"/>
        </w:rPr>
      </w:pPr>
    </w:p>
    <w:p>
      <w:pPr>
        <w:ind w:left="530" w:right="3239" w:hanging="530"/>
        <w:spacing w:after="0" w:line="234"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GmbH, a German limited liability company, is a subsidiary 50% owned by Gentex Corporation and 50% owned by Gentex Holdings, Inc.</w:t>
      </w:r>
    </w:p>
    <w:p>
      <w:pPr>
        <w:spacing w:after="0" w:line="173" w:lineRule="exact"/>
        <w:rPr>
          <w:rFonts w:ascii="Courier New" w:cs="Courier New" w:eastAsia="Courier New" w:hAnsi="Courier New"/>
          <w:sz w:val="15"/>
          <w:szCs w:val="15"/>
          <w:color w:val="auto"/>
        </w:rPr>
      </w:pPr>
    </w:p>
    <w:p>
      <w:pPr>
        <w:ind w:left="530" w:right="3399" w:hanging="530"/>
        <w:spacing w:after="0" w:line="234"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Japan, Inc., a Japanese corporation, is a wholly-owned subsidiary of Gentex Corporation.</w:t>
      </w:r>
    </w:p>
    <w:p>
      <w:pPr>
        <w:spacing w:after="0" w:line="173" w:lineRule="exact"/>
        <w:rPr>
          <w:rFonts w:ascii="Courier New" w:cs="Courier New" w:eastAsia="Courier New" w:hAnsi="Courier New"/>
          <w:sz w:val="15"/>
          <w:szCs w:val="15"/>
          <w:color w:val="auto"/>
        </w:rPr>
      </w:pPr>
    </w:p>
    <w:p>
      <w:pPr>
        <w:ind w:left="530" w:right="3679" w:hanging="530"/>
        <w:spacing w:after="0" w:line="234"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Mirrors Ltd., a United Kingdom limited liability company, is a wholly-owned subsidiary of Gentex Corporation.</w:t>
      </w:r>
    </w:p>
    <w:p>
      <w:pPr>
        <w:spacing w:after="0" w:line="173" w:lineRule="exact"/>
        <w:rPr>
          <w:rFonts w:ascii="Courier New" w:cs="Courier New" w:eastAsia="Courier New" w:hAnsi="Courier New"/>
          <w:sz w:val="15"/>
          <w:szCs w:val="15"/>
          <w:color w:val="auto"/>
        </w:rPr>
      </w:pPr>
    </w:p>
    <w:p>
      <w:pPr>
        <w:ind w:left="530" w:right="3839" w:hanging="530"/>
        <w:spacing w:after="0" w:line="234" w:lineRule="auto"/>
        <w:tabs>
          <w:tab w:leader="none" w:pos="5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France, SAS, a French simplified liability corporation, is a wholly-owned subsidiary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70"/>
        <w:spacing w:after="0"/>
        <w:rPr>
          <w:sz w:val="20"/>
          <w:szCs w:val="20"/>
          <w:color w:val="auto"/>
        </w:rPr>
      </w:pPr>
      <w:r>
        <w:rPr>
          <w:rFonts w:ascii="Courier New" w:cs="Courier New" w:eastAsia="Courier New" w:hAnsi="Courier New"/>
          <w:sz w:val="15"/>
          <w:szCs w:val="15"/>
          <w:color w:val="auto"/>
        </w:rPr>
        <w:t>Exhibit 21</w:t>
      </w:r>
    </w:p>
    <w:p>
      <w:pPr>
        <w:spacing w:after="0" w:line="200" w:lineRule="exact"/>
        <w:rPr>
          <w:sz w:val="20"/>
          <w:szCs w:val="20"/>
          <w:color w:val="auto"/>
        </w:rPr>
      </w:pPr>
    </w:p>
    <w:p>
      <w:pPr>
        <w:spacing w:after="0" w:line="303"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- 33 -</w:t>
      </w:r>
    </w:p>
    <w:p>
      <w:pPr>
        <w:sectPr>
          <w:pgSz w:w="11900" w:h="16838" w:orient="portrait"/>
          <w:cols w:equalWidth="0" w:num="1">
            <w:col w:w="10229"/>
          </w:cols>
          <w:pgMar w:left="230" w:top="808" w:right="1440" w:bottom="1440" w:gutter="0" w:footer="0" w:header="0"/>
        </w:sectPr>
      </w:pPr>
    </w:p>
    <w:bookmarkStart w:id="35" w:name="page36"/>
    <w:bookmarkEnd w:id="35"/>
    <w:p>
      <w:pPr>
        <w:ind w:left="98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 w:right="357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33-31408, 33-50396,</w:t>
      </w:r>
    </w:p>
    <w:p>
      <w:pPr>
        <w:spacing w:after="0" w:line="1"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33-64504 and 33-65321) pertaining to various stock option and incentive plans of Gentex Corporation of our report dated January 18, 2002, with respect to the consolidated financial statements of Gentex Corporation and subsidiaries included in the Annual Report on Form 10-K 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Grand Rapids, Michigan</w:t>
      </w:r>
    </w:p>
    <w:p>
      <w:pPr>
        <w:ind w:left="360"/>
        <w:spacing w:after="0" w:line="237" w:lineRule="auto"/>
        <w:rPr>
          <w:sz w:val="20"/>
          <w:szCs w:val="20"/>
          <w:color w:val="auto"/>
        </w:rPr>
      </w:pPr>
      <w:r>
        <w:rPr>
          <w:rFonts w:ascii="Courier New" w:cs="Courier New" w:eastAsia="Courier New" w:hAnsi="Courier New"/>
          <w:sz w:val="15"/>
          <w:szCs w:val="15"/>
          <w:color w:val="auto"/>
        </w:rPr>
        <w:t>March 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Exhibit 23(a)</w:t>
      </w: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- 34 -</w:t>
      </w:r>
    </w:p>
    <w:sectPr>
      <w:pgSz w:w="11900" w:h="16838" w:orient="portrait"/>
      <w:cols w:equalWidth="0" w:num="1">
        <w:col w:w="9019"/>
      </w:cols>
      <w:pgMar w:left="144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upperLetter"/>
      <w:start w:val="2"/>
    </w:lvl>
  </w:abstractNum>
  <w:abstractNum w:abstractNumId="3">
    <w:nsid w:val="6B68079A"/>
    <w:multiLevelType w:val="hybridMultilevel"/>
    <w:lvl w:ilvl="0">
      <w:lvlJc w:val="left"/>
      <w:lvlText w:val="(%1)"/>
      <w:numFmt w:val="upperLetter"/>
      <w:start w:val="3"/>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lvl w:ilvl="1">
      <w:lvlJc w:val="left"/>
      <w:lvlText w:val="-"/>
      <w:numFmt w:val="bullet"/>
      <w:start w:val="1"/>
    </w:lvl>
  </w:abstractNum>
  <w:abstractNum w:abstractNumId="6">
    <w:nsid w:val="519B500D"/>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lvl w:ilvl="1">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3"/>
    </w:lvl>
  </w:abstractNum>
  <w:abstractNum w:abstractNumId="19">
    <w:nsid w:val="75A2A8D4"/>
    <w:multiLevelType w:val="hybridMultilevel"/>
    <w:lvl w:ilvl="0">
      <w:lvlJc w:val="left"/>
      <w:lvlText w:val="(%1)"/>
      <w:numFmt w:val="decimal"/>
      <w:start w:val="4"/>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6"/>
    </w:lvl>
  </w:abstractNum>
  <w:abstractNum w:abstractNumId="23">
    <w:nsid w:val="B03E0C6"/>
    <w:multiLevelType w:val="hybridMultilevel"/>
    <w:lvl w:ilvl="0">
      <w:lvlJc w:val="left"/>
      <w:lvlText w:val="A"/>
      <w:numFmt w:val="bullet"/>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decimal"/>
      <w:start w:val="6"/>
    </w:lvl>
  </w:abstractNum>
  <w:abstractNum w:abstractNumId="26">
    <w:nsid w:val="71F32454"/>
    <w:multiLevelType w:val="hybridMultilevel"/>
    <w:lvl w:ilvl="0">
      <w:lvlJc w:val="left"/>
      <w:lvlText w:val="(%1)"/>
      <w:numFmt w:val="decimal"/>
      <w:start w:val="8"/>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2019-12-13T10:53:15Z</dcterms:created>
  <dcterms:modified xsi:type="dcterms:W3CDTF">2019-12-13T10:53:15Z</dcterms:modified>
</cp:coreProperties>
</file>