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10-K</w:t>
      </w:r>
    </w:p>
    <w:p>
      <w:pPr>
        <w:spacing w:after="0" w:line="176" w:lineRule="exact"/>
        <w:rPr>
          <w:sz w:val="24"/>
          <w:szCs w:val="24"/>
          <w:color w:val="auto"/>
        </w:rPr>
      </w:pPr>
    </w:p>
    <w:p>
      <w:pPr>
        <w:ind w:left="348" w:right="3439" w:hanging="348"/>
        <w:spacing w:after="0"/>
        <w:tabs>
          <w:tab w:leader="none" w:pos="3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FISCAL YEAR ENDED DECEMBER 31, 2004.</w:t>
      </w:r>
    </w:p>
    <w:p>
      <w:pPr>
        <w:spacing w:after="0" w:line="176" w:lineRule="exact"/>
        <w:rPr>
          <w:sz w:val="24"/>
          <w:szCs w:val="24"/>
          <w:color w:val="auto"/>
        </w:rPr>
      </w:pPr>
    </w:p>
    <w:p>
      <w:pPr>
        <w:ind w:left="348" w:right="3079" w:hanging="348"/>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4"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For the transition period from__________________ to ______________________</w:t>
      </w:r>
    </w:p>
    <w:p>
      <w:pPr>
        <w:sectPr>
          <w:pgSz w:w="11900" w:h="16838" w:orient="portrait"/>
          <w:cols w:equalWidth="0" w:num="1">
            <w:col w:w="10227"/>
          </w:cols>
          <w:pgMar w:left="232" w:top="575" w:right="1440" w:bottom="1440" w:gutter="0" w:footer="0" w:header="0"/>
        </w:sectPr>
      </w:pPr>
    </w:p>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0-10235</w:t>
      </w:r>
    </w:p>
    <w:p>
      <w:pPr>
        <w:spacing w:after="0" w:line="184" w:lineRule="exact"/>
        <w:rPr>
          <w:sz w:val="24"/>
          <w:szCs w:val="24"/>
          <w:color w:val="auto"/>
        </w:rPr>
      </w:pPr>
    </w:p>
    <w:p>
      <w:pPr>
        <w:sectPr>
          <w:pgSz w:w="11900" w:h="16838" w:orient="portrait"/>
          <w:cols w:equalWidth="0" w:num="2">
            <w:col w:w="1788" w:space="360"/>
            <w:col w:w="8079"/>
          </w:cols>
          <w:pgMar w:left="232" w:top="575" w:right="1440" w:bottom="1440" w:gutter="0" w:footer="0" w:header="0"/>
          <w:type w:val="continuous"/>
        </w:sectPr>
      </w:pPr>
    </w:p>
    <w:p>
      <w:pPr>
        <w:jc w:val="center"/>
        <w:ind w:right="3071"/>
        <w:spacing w:after="0"/>
        <w:rPr>
          <w:sz w:val="20"/>
          <w:szCs w:val="20"/>
          <w:color w:val="auto"/>
        </w:rPr>
      </w:pPr>
      <w:r>
        <w:rPr>
          <w:rFonts w:ascii="Courier New" w:cs="Courier New" w:eastAsia="Courier New" w:hAnsi="Courier New"/>
          <w:sz w:val="15"/>
          <w:szCs w:val="15"/>
          <w:color w:val="auto"/>
        </w:rPr>
        <w:t>GENTEX CORPORATION</w:t>
      </w:r>
    </w:p>
    <w:p>
      <w:pPr>
        <w:spacing w:after="0" w:line="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7"/>
          </w:cols>
          <w:pgMar w:left="232" w:top="575" w:right="1440" w:bottom="1440" w:gutter="0" w:footer="0" w:header="0"/>
          <w:type w:val="continuous"/>
        </w:sectPr>
      </w:pPr>
    </w:p>
    <w:p>
      <w:pPr>
        <w:spacing w:after="0" w:line="184" w:lineRule="exact"/>
        <w:rPr>
          <w:sz w:val="24"/>
          <w:szCs w:val="24"/>
          <w:color w:val="auto"/>
        </w:rPr>
      </w:pPr>
    </w:p>
    <w:p>
      <w:pPr>
        <w:ind w:left="1528"/>
        <w:spacing w:after="0"/>
        <w:rPr>
          <w:sz w:val="20"/>
          <w:szCs w:val="20"/>
          <w:color w:val="auto"/>
        </w:rPr>
      </w:pPr>
      <w:r>
        <w:rPr>
          <w:rFonts w:ascii="Courier New" w:cs="Courier New" w:eastAsia="Courier New" w:hAnsi="Courier New"/>
          <w:sz w:val="15"/>
          <w:szCs w:val="15"/>
          <w:color w:val="auto"/>
        </w:rPr>
        <w:t>MICHIGAN</w:t>
      </w:r>
    </w:p>
    <w:p>
      <w:pPr>
        <w:spacing w:after="0" w:line="4" w:lineRule="exact"/>
        <w:rPr>
          <w:sz w:val="24"/>
          <w:szCs w:val="24"/>
          <w:color w:val="auto"/>
        </w:rPr>
      </w:pPr>
    </w:p>
    <w:p>
      <w:pPr>
        <w:ind w:left="528"/>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38-2030505</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3" w:lineRule="exact"/>
        <w:rPr>
          <w:sz w:val="24"/>
          <w:szCs w:val="24"/>
          <w:color w:val="auto"/>
        </w:rPr>
      </w:pPr>
    </w:p>
    <w:p>
      <w:pPr>
        <w:sectPr>
          <w:pgSz w:w="11900" w:h="16838" w:orient="portrait"/>
          <w:cols w:equalWidth="0" w:num="2">
            <w:col w:w="4108" w:space="720"/>
            <w:col w:w="5399"/>
          </w:cols>
          <w:pgMar w:left="232" w:top="575" w:right="1440" w:bottom="1440" w:gutter="0" w:footer="0" w:header="0"/>
          <w:type w:val="continuous"/>
        </w:sectPr>
      </w:pPr>
    </w:p>
    <w:p>
      <w:pPr>
        <w:spacing w:after="0" w:line="2" w:lineRule="exact"/>
        <w:rPr>
          <w:sz w:val="24"/>
          <w:szCs w:val="24"/>
          <w:color w:val="auto"/>
        </w:rPr>
      </w:pPr>
    </w:p>
    <w:p>
      <w:pPr>
        <w:ind w:left="88" w:right="620" w:hanging="88"/>
        <w:spacing w:after="0" w:line="274" w:lineRule="auto"/>
        <w:rPr>
          <w:sz w:val="20"/>
          <w:szCs w:val="20"/>
          <w:color w:val="auto"/>
        </w:rPr>
      </w:pPr>
      <w:r>
        <w:rPr>
          <w:rFonts w:ascii="Courier New" w:cs="Courier New" w:eastAsia="Courier New" w:hAnsi="Courier New"/>
          <w:sz w:val="14"/>
          <w:szCs w:val="14"/>
          <w:color w:val="auto"/>
        </w:rPr>
        <w:t>600 N. CENTENNIAL STREET, ZEELAND, MICHIGAN (Address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5"/>
          <w:szCs w:val="15"/>
          <w:color w:val="auto"/>
        </w:rPr>
        <w:t>49464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5" w:lineRule="exact"/>
        <w:rPr>
          <w:sz w:val="24"/>
          <w:szCs w:val="24"/>
          <w:color w:val="auto"/>
        </w:rPr>
      </w:pPr>
    </w:p>
    <w:p>
      <w:pPr>
        <w:sectPr>
          <w:pgSz w:w="11900" w:h="16838" w:orient="portrait"/>
          <w:cols w:equalWidth="0" w:num="2">
            <w:col w:w="4468" w:space="720"/>
            <w:col w:w="5039"/>
          </w:cols>
          <w:pgMar w:left="232" w:top="575" w:right="1440" w:bottom="1440" w:gutter="0" w:footer="0" w:header="0"/>
          <w:type w:val="continuous"/>
        </w:sectPr>
      </w:pPr>
    </w:p>
    <w:p>
      <w:pPr>
        <w:ind w:left="2948"/>
        <w:spacing w:after="0"/>
        <w:rPr>
          <w:sz w:val="20"/>
          <w:szCs w:val="20"/>
          <w:color w:val="auto"/>
        </w:rPr>
      </w:pPr>
      <w:r>
        <w:rPr>
          <w:rFonts w:ascii="Courier New" w:cs="Courier New" w:eastAsia="Courier New" w:hAnsi="Courier New"/>
          <w:sz w:val="14"/>
          <w:szCs w:val="14"/>
          <w:color w:val="auto"/>
        </w:rPr>
        <w:t>(616) 772-1800</w:t>
      </w:r>
    </w:p>
    <w:p>
      <w:pPr>
        <w:sectPr>
          <w:pgSz w:w="11900" w:h="16838" w:orient="portrait"/>
          <w:cols w:equalWidth="0" w:num="1">
            <w:col w:w="10227"/>
          </w:cols>
          <w:pgMar w:left="232" w:top="575" w:right="1440" w:bottom="1440" w:gutter="0" w:footer="0" w:header="0"/>
          <w:type w:val="continuous"/>
        </w:sectPr>
      </w:pPr>
    </w:p>
    <w:p>
      <w:pPr>
        <w:spacing w:after="0" w:line="13" w:lineRule="exact"/>
        <w:rPr>
          <w:sz w:val="24"/>
          <w:szCs w:val="24"/>
          <w:color w:val="auto"/>
        </w:rPr>
      </w:pPr>
    </w:p>
    <w:p>
      <w:pPr>
        <w:ind w:left="1248"/>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8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7"/>
          </w:cols>
          <w:pgMar w:left="232" w:top="575" w:right="1440" w:bottom="1440" w:gutter="0" w:footer="0" w:header="0"/>
          <w:type w:val="continuous"/>
        </w:sectPr>
      </w:pPr>
    </w:p>
    <w:p>
      <w:pPr>
        <w:spacing w:after="0" w:line="176" w:lineRule="exact"/>
        <w:rPr>
          <w:sz w:val="24"/>
          <w:szCs w:val="24"/>
          <w:color w:val="auto"/>
        </w:rPr>
      </w:pPr>
    </w:p>
    <w:p>
      <w:pPr>
        <w:ind w:left="528"/>
        <w:spacing w:after="0"/>
        <w:rPr>
          <w:sz w:val="20"/>
          <w:szCs w:val="20"/>
          <w:color w:val="auto"/>
        </w:rPr>
      </w:pPr>
      <w:r>
        <w:rPr>
          <w:rFonts w:ascii="Courier New" w:cs="Courier New" w:eastAsia="Courier New" w:hAnsi="Courier New"/>
          <w:sz w:val="14"/>
          <w:szCs w:val="14"/>
          <w:color w:val="auto"/>
        </w:rPr>
        <w:t>Title of each Class</w:t>
      </w:r>
    </w:p>
    <w:p>
      <w:pPr>
        <w:spacing w:after="0" w:line="12"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183" w:lineRule="exact"/>
        <w:rPr>
          <w:sz w:val="24"/>
          <w:szCs w:val="24"/>
          <w:color w:val="auto"/>
        </w:rPr>
      </w:pPr>
    </w:p>
    <w:p>
      <w:pPr>
        <w:sectPr>
          <w:pgSz w:w="11900" w:h="16838" w:orient="portrait"/>
          <w:cols w:equalWidth="0" w:num="2">
            <w:col w:w="2328" w:space="720"/>
            <w:col w:w="7179"/>
          </w:cols>
          <w:pgMar w:left="232" w:top="575"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COMMON STOCK, PAR VALUE $.06 PER SHARE</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(Title of Class)</w:t>
      </w:r>
    </w:p>
    <w:p>
      <w:pPr>
        <w:spacing w:after="0" w:line="176" w:lineRule="exact"/>
        <w:rPr>
          <w:sz w:val="24"/>
          <w:szCs w:val="24"/>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4" w:lineRule="exact"/>
        <w:rPr>
          <w:sz w:val="24"/>
          <w:szCs w:val="24"/>
          <w:color w:val="auto"/>
        </w:rPr>
      </w:pPr>
    </w:p>
    <w:p>
      <w:pPr>
        <w:ind w:left="808"/>
        <w:spacing w:after="0"/>
        <w:tabs>
          <w:tab w:leader="none" w:pos="2208"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5"/>
          <w:szCs w:val="15"/>
          <w:color w:val="auto"/>
        </w:rPr>
        <w:t>No: [ ]</w:t>
      </w:r>
    </w:p>
    <w:p>
      <w:pPr>
        <w:spacing w:after="0" w:line="176" w:lineRule="exact"/>
        <w:rPr>
          <w:sz w:val="24"/>
          <w:szCs w:val="24"/>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75" w:lineRule="exact"/>
        <w:rPr>
          <w:sz w:val="24"/>
          <w:szCs w:val="24"/>
          <w:color w:val="auto"/>
        </w:rPr>
      </w:pPr>
    </w:p>
    <w:p>
      <w:pPr>
        <w:ind w:left="8" w:right="3079"/>
        <w:spacing w:after="0"/>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w:t>
      </w:r>
    </w:p>
    <w:p>
      <w:pPr>
        <w:spacing w:after="0" w:line="2" w:lineRule="exact"/>
        <w:rPr>
          <w:sz w:val="24"/>
          <w:szCs w:val="24"/>
          <w:color w:val="auto"/>
        </w:rPr>
      </w:pPr>
    </w:p>
    <w:p>
      <w:pPr>
        <w:ind w:left="808"/>
        <w:spacing w:after="0"/>
        <w:tabs>
          <w:tab w:leader="none" w:pos="2208"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5"/>
          <w:szCs w:val="15"/>
          <w:color w:val="auto"/>
        </w:rPr>
        <w:t>No: [ ]</w:t>
      </w:r>
    </w:p>
    <w:p>
      <w:pPr>
        <w:spacing w:after="0" w:line="176" w:lineRule="exact"/>
        <w:rPr>
          <w:sz w:val="24"/>
          <w:szCs w:val="24"/>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As of June 30, 2004 (the last business day of the registrant's most recently completed second fiscal quarter), 77,454,000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$2,937,580,554 computed at the closing price on that date.</w:t>
      </w:r>
    </w:p>
    <w:p>
      <w:pPr>
        <w:spacing w:after="0" w:line="177" w:lineRule="exact"/>
        <w:rPr>
          <w:sz w:val="24"/>
          <w:szCs w:val="24"/>
          <w:color w:val="auto"/>
        </w:rPr>
      </w:pPr>
    </w:p>
    <w:p>
      <w:pPr>
        <w:ind w:left="8" w:right="3159"/>
        <w:spacing w:after="0"/>
        <w:rPr>
          <w:sz w:val="20"/>
          <w:szCs w:val="20"/>
          <w:color w:val="auto"/>
        </w:rPr>
      </w:pPr>
      <w:r>
        <w:rPr>
          <w:rFonts w:ascii="Courier New" w:cs="Courier New" w:eastAsia="Courier New" w:hAnsi="Courier New"/>
          <w:sz w:val="15"/>
          <w:szCs w:val="15"/>
          <w:color w:val="auto"/>
        </w:rPr>
        <w:t>As of February 9, 2005, 77,880,036 shares of the registrant's common stock, par value $.06 per share, were outstanding.</w:t>
      </w:r>
    </w:p>
    <w:p>
      <w:pPr>
        <w:spacing w:after="0" w:line="176" w:lineRule="exact"/>
        <w:rPr>
          <w:sz w:val="24"/>
          <w:szCs w:val="24"/>
          <w:color w:val="auto"/>
        </w:rPr>
      </w:pPr>
    </w:p>
    <w:p>
      <w:pPr>
        <w:ind w:left="8" w:right="3779"/>
        <w:spacing w:after="0"/>
        <w:rPr>
          <w:sz w:val="20"/>
          <w:szCs w:val="20"/>
          <w:color w:val="auto"/>
        </w:rPr>
      </w:pPr>
      <w:r>
        <w:rPr>
          <w:rFonts w:ascii="Courier New" w:cs="Courier New" w:eastAsia="Courier New" w:hAnsi="Courier New"/>
          <w:sz w:val="15"/>
          <w:szCs w:val="15"/>
          <w:color w:val="auto"/>
        </w:rPr>
        <w:t>Portions of the Company's Proxy Statement for its 2005 Annual Meeting of Shareholders are incorporated by reference into Part III.</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Exhibit Index located at Page 36</w:t>
      </w:r>
    </w:p>
    <w:p>
      <w:pPr>
        <w:spacing w:after="0" w:line="174" w:lineRule="exact"/>
        <w:rPr>
          <w:sz w:val="24"/>
          <w:szCs w:val="24"/>
          <w:color w:val="auto"/>
        </w:rPr>
      </w:pPr>
    </w:p>
    <w:p>
      <w:pPr>
        <w:ind w:left="34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575" w:right="1440" w:bottom="1440" w:gutter="0" w:footer="0" w:header="0"/>
          <w:type w:val="continuous"/>
        </w:sectPr>
      </w:pPr>
    </w:p>
    <w:bookmarkStart w:id="1" w:name="page2"/>
    <w:bookmarkEnd w:id="1"/>
    <w:p>
      <w:pPr>
        <w:jc w:val="center"/>
        <w:ind w:right="3151"/>
        <w:spacing w:after="0"/>
        <w:rPr>
          <w:sz w:val="20"/>
          <w:szCs w:val="20"/>
          <w:color w:val="auto"/>
        </w:rPr>
      </w:pPr>
      <w:r>
        <w:rPr>
          <w:rFonts w:ascii="Courier New" w:cs="Courier New" w:eastAsia="Courier New" w:hAnsi="Courier New"/>
          <w:sz w:val="15"/>
          <w:szCs w:val="15"/>
          <w:color w:val="auto"/>
        </w:rPr>
        <w:t>Statements in this Annual Report on Form 10-K which express "belief",</w:t>
      </w:r>
    </w:p>
    <w:p>
      <w:pPr>
        <w:spacing w:after="0" w:line="4" w:lineRule="exact"/>
        <w:rPr>
          <w:sz w:val="20"/>
          <w:szCs w:val="20"/>
          <w:color w:val="auto"/>
        </w:rPr>
      </w:pPr>
    </w:p>
    <w:p>
      <w:pPr>
        <w:jc w:val="center"/>
        <w:ind w:left="240"/>
        <w:spacing w:after="0" w:line="242" w:lineRule="auto"/>
        <w:rPr>
          <w:sz w:val="20"/>
          <w:szCs w:val="20"/>
          <w:color w:val="auto"/>
        </w:rPr>
      </w:pPr>
      <w:r>
        <w:rPr>
          <w:rFonts w:ascii="Courier New" w:cs="Courier New" w:eastAsia="Courier New" w:hAnsi="Courier New"/>
          <w:sz w:val="15"/>
          <w:szCs w:val="15"/>
          <w:color w:val="auto"/>
        </w:rPr>
        <w:t>"anticipation" or "expectation" as well as other statements which are not historical fact, such as availability and the impact of new products and technology (i.g., SmartBeam and LEDs) penetration of the automotive market, competition and foreign exchange rates, are forward-looking statements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177"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1.</w:t>
        <w:tab/>
        <w:t>BUSINESS</w:t>
      </w:r>
    </w:p>
    <w:p>
      <w:pPr>
        <w:spacing w:after="0" w:line="174" w:lineRule="exact"/>
        <w:rPr>
          <w:sz w:val="20"/>
          <w:szCs w:val="20"/>
          <w:color w:val="auto"/>
        </w:rPr>
      </w:pPr>
    </w:p>
    <w:p>
      <w:pPr>
        <w:ind w:left="528" w:hanging="528"/>
        <w:spacing w:after="0"/>
        <w:tabs>
          <w:tab w:leader="none" w:pos="52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DEVELOPMENT OF BUSINESS</w:t>
      </w:r>
    </w:p>
    <w:p>
      <w:pPr>
        <w:spacing w:after="0" w:line="176" w:lineRule="exact"/>
        <w:rPr>
          <w:sz w:val="20"/>
          <w:szCs w:val="20"/>
          <w:color w:val="auto"/>
        </w:rPr>
      </w:pPr>
    </w:p>
    <w:p>
      <w:pPr>
        <w:ind w:left="8" w:right="3339" w:firstLine="626"/>
        <w:spacing w:after="0" w:line="241" w:lineRule="auto"/>
        <w:rPr>
          <w:sz w:val="20"/>
          <w:szCs w:val="20"/>
          <w:color w:val="auto"/>
        </w:rPr>
      </w:pPr>
      <w:r>
        <w:rPr>
          <w:rFonts w:ascii="Courier New" w:cs="Courier New" w:eastAsia="Courier New" w:hAnsi="Courier New"/>
          <w:sz w:val="15"/>
          <w:szCs w:val="15"/>
          <w:color w:val="auto"/>
        </w:rPr>
        <w:t>Gentex Corporation (the "Company") designs, develops, manufactures and markets proprietary products employing electro-optic technology: automatic-dimming rearview mirrors and fire protection products.</w:t>
      </w:r>
    </w:p>
    <w:p>
      <w:pPr>
        <w:spacing w:after="0" w:line="176" w:lineRule="exact"/>
        <w:rPr>
          <w:sz w:val="20"/>
          <w:szCs w:val="20"/>
          <w:color w:val="auto"/>
        </w:rPr>
      </w:pPr>
    </w:p>
    <w:p>
      <w:pPr>
        <w:ind w:left="8" w:right="3079" w:firstLine="537"/>
        <w:spacing w:after="0" w:line="261" w:lineRule="auto"/>
        <w:rPr>
          <w:sz w:val="20"/>
          <w:szCs w:val="20"/>
          <w:color w:val="auto"/>
        </w:rPr>
      </w:pPr>
      <w:r>
        <w:rPr>
          <w:rFonts w:ascii="Courier New" w:cs="Courier New" w:eastAsia="Courier New" w:hAnsi="Courier New"/>
          <w:sz w:val="14"/>
          <w:szCs w:val="14"/>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electrochromic (auto-dimming) mirror, providing the first successful commercial application of electrochromic (EC) technology in the automotive industry and world. Through the use of electrochromic technology, this mirror is continually variable and automatically darkens to the degree required to eliminate rearview headlight glare. In 1991, the Company introduced its exterior electrochromic sub-assembly, which works as a complete glare-control system with the interior auto-dimming mirror. In 1997, the Company began making volume shipments of three new exterior mirror sub-assembly products: thin glass flat, convex and aspheric.</w:t>
      </w:r>
    </w:p>
    <w:p>
      <w:pPr>
        <w:spacing w:after="0" w:line="16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During 2001 and 2002, the Company began making shipments of its auto-dimming mirrors for a number of mid-sized, medium-priced vehicles. During 2003, the Company began making shipments of its auto-dimming mirrors to two new automotive OEM (original equipment manufacturer) customers, Honda and Volvo, and began volume shipments of its proprietary microphone as part of DaimlerChrysler's "U-Connect(R)" telematics system.</w:t>
      </w:r>
    </w:p>
    <w:p>
      <w:pPr>
        <w:spacing w:after="0" w:line="176" w:lineRule="exact"/>
        <w:rPr>
          <w:sz w:val="20"/>
          <w:szCs w:val="20"/>
          <w:color w:val="auto"/>
        </w:rPr>
      </w:pPr>
    </w:p>
    <w:p>
      <w:pPr>
        <w:ind w:left="8" w:right="3339" w:firstLine="537"/>
        <w:spacing w:after="0" w:line="242" w:lineRule="auto"/>
        <w:rPr>
          <w:sz w:val="20"/>
          <w:szCs w:val="20"/>
          <w:color w:val="auto"/>
        </w:rPr>
      </w:pPr>
      <w:r>
        <w:rPr>
          <w:rFonts w:ascii="Courier New" w:cs="Courier New" w:eastAsia="Courier New" w:hAnsi="Courier New"/>
          <w:sz w:val="15"/>
          <w:szCs w:val="15"/>
          <w:color w:val="auto"/>
        </w:rPr>
        <w:t>During 2004, the Company began shipping auto-dimming mirrors with SmartBeam, its proprietary intelligent high-beam headlamp control feature, on the Cadillac STS and Jeep Grand Cherokee. Also during 2004, the Company began making shipments of its auto-dimming mirrors to Peugeot, the Company's first automotive OEM customer in France.</w:t>
      </w:r>
    </w:p>
    <w:p>
      <w:pPr>
        <w:spacing w:after="0" w:line="175" w:lineRule="exact"/>
        <w:rPr>
          <w:sz w:val="20"/>
          <w:szCs w:val="20"/>
          <w:color w:val="auto"/>
        </w:rPr>
      </w:pPr>
    </w:p>
    <w:p>
      <w:pPr>
        <w:ind w:left="8" w:right="3159" w:firstLine="537"/>
        <w:spacing w:after="0" w:line="242" w:lineRule="auto"/>
        <w:rPr>
          <w:sz w:val="20"/>
          <w:szCs w:val="20"/>
          <w:color w:val="auto"/>
        </w:rPr>
      </w:pPr>
      <w:r>
        <w:rPr>
          <w:rFonts w:ascii="Courier New" w:cs="Courier New" w:eastAsia="Courier New" w:hAnsi="Courier New"/>
          <w:sz w:val="15"/>
          <w:szCs w:val="15"/>
          <w:color w:val="auto"/>
        </w:rPr>
        <w:t>The Company's annual report on Form 10-K, quarterly reports on Form 10-Q, current reports on Form 8-K, and all amendments to those reports, will be made available free of charge through the Investor Information section of the Company's Internet website (http://www.gentex.com) as soon as practicable after such material is electronically filed with or furnished to the Securities and Exchange Commission.</w:t>
      </w:r>
    </w:p>
    <w:p>
      <w:pPr>
        <w:spacing w:after="0" w:line="174" w:lineRule="exact"/>
        <w:rPr>
          <w:sz w:val="20"/>
          <w:szCs w:val="20"/>
          <w:color w:val="auto"/>
        </w:rPr>
      </w:pPr>
    </w:p>
    <w:p>
      <w:pPr>
        <w:ind w:left="528" w:hanging="528"/>
        <w:spacing w:after="0"/>
        <w:tabs>
          <w:tab w:leader="none" w:pos="5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INDUSTRY SEGMENTS</w:t>
      </w:r>
    </w:p>
    <w:p>
      <w:pPr>
        <w:spacing w:after="0" w:line="176" w:lineRule="exact"/>
        <w:rPr>
          <w:sz w:val="20"/>
          <w:szCs w:val="20"/>
          <w:color w:val="auto"/>
        </w:rPr>
      </w:pPr>
    </w:p>
    <w:p>
      <w:pPr>
        <w:ind w:left="8" w:right="3699" w:firstLine="537"/>
        <w:spacing w:after="0"/>
        <w:rPr>
          <w:sz w:val="20"/>
          <w:szCs w:val="20"/>
          <w:color w:val="auto"/>
        </w:rPr>
      </w:pPr>
      <w:r>
        <w:rPr>
          <w:rFonts w:ascii="Courier New" w:cs="Courier New" w:eastAsia="Courier New" w:hAnsi="Courier New"/>
          <w:sz w:val="15"/>
          <w:szCs w:val="15"/>
          <w:color w:val="auto"/>
        </w:rPr>
        <w:t>See Note 8 to the Consolidated Financial Statements filed with this report.</w:t>
      </w:r>
    </w:p>
    <w:p>
      <w:pPr>
        <w:spacing w:after="0" w:line="174" w:lineRule="exact"/>
        <w:rPr>
          <w:sz w:val="20"/>
          <w:szCs w:val="20"/>
          <w:color w:val="auto"/>
        </w:rPr>
      </w:pPr>
    </w:p>
    <w:p>
      <w:pPr>
        <w:ind w:left="528" w:hanging="528"/>
        <w:spacing w:after="0"/>
        <w:tabs>
          <w:tab w:leader="none" w:pos="5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w:t>
      </w:r>
    </w:p>
    <w:p>
      <w:pPr>
        <w:spacing w:after="0" w:line="176" w:lineRule="exact"/>
        <w:rPr>
          <w:sz w:val="20"/>
          <w:szCs w:val="20"/>
          <w:color w:val="auto"/>
        </w:rPr>
      </w:pPr>
    </w:p>
    <w:p>
      <w:pPr>
        <w:ind w:left="8" w:right="3599" w:firstLine="537"/>
        <w:spacing w:after="0" w:line="267" w:lineRule="auto"/>
        <w:rPr>
          <w:sz w:val="20"/>
          <w:szCs w:val="20"/>
          <w:color w:val="auto"/>
        </w:rPr>
      </w:pPr>
      <w:r>
        <w:rPr>
          <w:rFonts w:ascii="Courier New" w:cs="Courier New" w:eastAsia="Courier New" w:hAnsi="Courier New"/>
          <w:sz w:val="14"/>
          <w:szCs w:val="14"/>
          <w:color w:val="auto"/>
        </w:rPr>
        <w:t>The Company currently manufactures electro-optic products, including automatic-dimming rearview mirrors for the automotive industry and fire protection products primarily for the commercial building industry.</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AUTOMATIC-DIMMING REARVIEW MIRRORS</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Interior Auto-Dimming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auto-dimming mirror offers all of the continuous reflectance levels between its approximate 85%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w:t>
      </w:r>
    </w:p>
    <w:p>
      <w:pPr>
        <w:spacing w:after="0" w:line="178"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27"/>
          </w:cols>
          <w:pgMar w:left="232" w:top="633" w:right="1440" w:bottom="1440" w:gutter="0" w:footer="0" w:header="0"/>
        </w:sectPr>
      </w:pPr>
    </w:p>
    <w:bookmarkStart w:id="2" w:name="page3"/>
    <w:bookmarkEnd w:id="2"/>
    <w:p>
      <w:pPr>
        <w:ind w:right="3079"/>
        <w:spacing w:after="0" w:line="242" w:lineRule="auto"/>
        <w:rPr>
          <w:sz w:val="20"/>
          <w:szCs w:val="20"/>
          <w:color w:val="auto"/>
        </w:rPr>
      </w:pPr>
      <w:r>
        <w:rPr>
          <w:rFonts w:ascii="Courier New" w:cs="Courier New" w:eastAsia="Courier New" w:hAnsi="Courier New"/>
          <w:sz w:val="15"/>
          <w:szCs w:val="15"/>
          <w:color w:val="auto"/>
        </w:rPr>
        <w:t>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During 1991, the Company began shipping the first advanced-feature interior auto-dimming mirror, the auto-dimming headlamp control mirror, an automatic-dimming mirror that automatically turns car head- and taillamps "on" and "off" at dusk and dawn in response to the level of light observed. During 1993, the Company began shipping an auto-dimming compass mirror, with an electronic compass that automatically compensates for changes in the earth's magnetic field. During 1997, the Company began shipping a new interior auto-dimming mirror that digitally displays either a compass or outside temperature reading. During 1998, the Company began shipping new compass mirrors with its proprietary light-emitting diode (LED) map lamps, a major improvement over mirrors with standard incandescent map lamps, including extremely long life, low heat generation, lower current draw, more resistance to shock, and lower total cost of ownership. In 2000, the Company began shipping to General Motors interior auto-dimming mirrors that serve as the driver interface for the OnStar(R) System, an in-vehicle safety, security and information service using Global Positioning System (GPS) satellite technology. OnStar is a registered trademark of OnStar Corporation.</w:t>
      </w:r>
    </w:p>
    <w:p>
      <w:pPr>
        <w:spacing w:after="0" w:line="184" w:lineRule="exact"/>
        <w:rPr>
          <w:sz w:val="20"/>
          <w:szCs w:val="20"/>
          <w:color w:val="auto"/>
        </w:rPr>
      </w:pPr>
    </w:p>
    <w:p>
      <w:pPr>
        <w:ind w:right="3159" w:firstLine="537"/>
        <w:spacing w:after="0" w:line="274" w:lineRule="auto"/>
        <w:rPr>
          <w:sz w:val="20"/>
          <w:szCs w:val="20"/>
          <w:color w:val="auto"/>
        </w:rPr>
      </w:pPr>
      <w:r>
        <w:rPr>
          <w:rFonts w:ascii="Courier New" w:cs="Courier New" w:eastAsia="Courier New" w:hAnsi="Courier New"/>
          <w:sz w:val="14"/>
          <w:szCs w:val="14"/>
          <w:color w:val="auto"/>
        </w:rPr>
        <w:t>The Company shipped approximately 6,305,000 interior auto-dimming mirrors in 2002, approximately 7,132,000 in 2003, and approximately 8,363,000 in 2004.</w:t>
      </w:r>
    </w:p>
    <w:p>
      <w:pPr>
        <w:spacing w:after="0" w:line="154"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During 2001 and 2002, the Company began making shipments of its auto-dimming mirrors for a number of mid-sized, medium-priced vehicles, including the Toyota Camry, Matrix and Corolla; Ford Taurus and Mercury Sable; Volkswagen Passat, Jetta, Golf GTI and Beetle; Nissan Altima; Opel cross car line; Chrysler Sebring Coupe; Hyundai Santa Fe and Sonata; and Kia Optima and Sorento.</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During 2003, the Company began making shipments of its auto-dimming mirrors to two new automotive OEM customers, Honda and Volvo, and began volume shipments of its microphone as part of DaimlerChrysler's "U-Connect(R)" telematics system.</w:t>
      </w:r>
    </w:p>
    <w:p>
      <w:pPr>
        <w:spacing w:after="0" w:line="175" w:lineRule="exact"/>
        <w:rPr>
          <w:sz w:val="20"/>
          <w:szCs w:val="20"/>
          <w:color w:val="auto"/>
        </w:rPr>
      </w:pPr>
    </w:p>
    <w:p>
      <w:pPr>
        <w:ind w:right="3339" w:firstLine="537"/>
        <w:spacing w:after="0" w:line="241" w:lineRule="auto"/>
        <w:rPr>
          <w:sz w:val="20"/>
          <w:szCs w:val="20"/>
          <w:color w:val="auto"/>
        </w:rPr>
      </w:pPr>
      <w:r>
        <w:rPr>
          <w:rFonts w:ascii="Courier New" w:cs="Courier New" w:eastAsia="Courier New" w:hAnsi="Courier New"/>
          <w:sz w:val="15"/>
          <w:szCs w:val="15"/>
          <w:color w:val="auto"/>
        </w:rPr>
        <w:t>During 2004, the Company began shipping auto-dimming mirrors with SmartBeam, its proprietary intelligent high-beam headlamp control feature, on the Cadillac STS and Jeep Grand Cherokee.</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635" w:right="1440" w:bottom="1440" w:gutter="0" w:footer="0" w:header="0"/>
        </w:sectPr>
      </w:pPr>
    </w:p>
    <w:bookmarkStart w:id="3" w:name="page4"/>
    <w:bookmarkEnd w:id="3"/>
    <w:p>
      <w:pPr>
        <w:ind w:right="3159"/>
        <w:spacing w:after="0" w:line="242" w:lineRule="auto"/>
        <w:rPr>
          <w:sz w:val="20"/>
          <w:szCs w:val="20"/>
          <w:color w:val="auto"/>
        </w:rPr>
      </w:pPr>
      <w:r>
        <w:rPr>
          <w:rFonts w:ascii="Courier New" w:cs="Courier New" w:eastAsia="Courier New" w:hAnsi="Courier New"/>
          <w:sz w:val="15"/>
          <w:szCs w:val="15"/>
          <w:color w:val="auto"/>
        </w:rPr>
        <w:t>During 2004, the growth in total mirror unit shipments resulted from increased penetration of light vehicles manufactured worldwide including the Ford Five Hundred, Freestar and Freestyle; Mercury Montego and Monterey; Chrysler 300 and PT Cruiser; Dodge Magnum, Infiniti QX56; Toyota Tacoma; BMW 6 Series and X3; Volvo V50; Hyundai Trajet and Tucson; Kia Carnival and Cerato; Peugeot 407; Toyota Century and Mark II; and various SEAT and Skoda vehicles. The Company's interior auto-dimming mirrors are standard equipment or factory-installed options on certain trim levels of the following 2005 vehicle models:</w:t>
      </w:r>
    </w:p>
    <w:p>
      <w:pPr>
        <w:spacing w:after="0" w:line="177" w:lineRule="exact"/>
        <w:rPr>
          <w:sz w:val="20"/>
          <w:szCs w:val="20"/>
          <w:color w:val="auto"/>
        </w:rPr>
      </w:pPr>
    </w:p>
    <w:p>
      <w:pPr>
        <w:ind w:left="800" w:right="3699" w:hanging="804"/>
        <w:spacing w:after="0"/>
        <w:rPr>
          <w:sz w:val="20"/>
          <w:szCs w:val="20"/>
          <w:color w:val="auto"/>
        </w:rPr>
      </w:pPr>
      <w:r>
        <w:rPr>
          <w:rFonts w:ascii="Courier New" w:cs="Courier New" w:eastAsia="Courier New" w:hAnsi="Courier New"/>
          <w:sz w:val="15"/>
          <w:szCs w:val="15"/>
          <w:color w:val="auto"/>
        </w:rPr>
        <w:t>TABLE 1. INTERIOR AUTO-DIMMING MIRROR AVAILABILITY BY VEHICLE LINE (NORTH AMERICAN MANUFACTURERS)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Deville / DTS</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DaimlerChrysler</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300</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STS</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 Chrysler</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Pacifica</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CTS</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PT Cruiser</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Escalade</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Sebring</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SRX</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Town &amp; Country</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GM/Buick</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LeSabre</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DaimlerChrysler /</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Dakota</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GM/Hummer</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H2</w:t>
            </w:r>
          </w:p>
        </w:tc>
        <w:tc>
          <w:tcPr>
            <w:tcW w:w="224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Dodge</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Durango</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GM/Pontiac</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Bonneville</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Caravan</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GM/Chevrolet</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Blazer</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Magnum</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Malibu</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Ram Pickup</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SSR</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DaimlerChrysler /</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Grand Cherokee</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Express</w:t>
            </w:r>
          </w:p>
        </w:tc>
        <w:tc>
          <w:tcPr>
            <w:tcW w:w="224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Jeep</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Liberty</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Silverado</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Wrangler</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Suburban</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DaimlerChrysler/</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M Class</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Avalanche</w:t>
            </w:r>
          </w:p>
        </w:tc>
        <w:tc>
          <w:tcPr>
            <w:tcW w:w="2240" w:type="dxa"/>
            <w:vAlign w:val="bottom"/>
          </w:tcPr>
          <w:p>
            <w:pPr>
              <w:ind w:left="540"/>
              <w:spacing w:after="0"/>
              <w:rPr>
                <w:sz w:val="20"/>
                <w:szCs w:val="20"/>
                <w:color w:val="auto"/>
              </w:rPr>
            </w:pPr>
            <w:r>
              <w:rPr>
                <w:rFonts w:ascii="Courier New" w:cs="Courier New" w:eastAsia="Courier New" w:hAnsi="Courier New"/>
                <w:sz w:val="15"/>
                <w:szCs w:val="15"/>
                <w:color w:val="auto"/>
              </w:rPr>
              <w:t>Mercedes-Benz</w:t>
            </w:r>
          </w:p>
        </w:tc>
        <w:tc>
          <w:tcPr>
            <w:tcW w:w="1420" w:type="dxa"/>
            <w:vAlign w:val="bottom"/>
          </w:tcPr>
          <w:p>
            <w:pPr>
              <w:spacing w:after="0"/>
              <w:rPr>
                <w:sz w:val="14"/>
                <w:szCs w:val="14"/>
                <w:color w:val="auto"/>
              </w:rPr>
            </w:pP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Tahoe</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BMW</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X5</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GM/GMC</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Savana</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Mazda</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6</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Sierra</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Mitsubishi / Chrysler</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Sebring</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Yukon</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Mitsubishi / Dodge</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Stratus Coupe</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Ford</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Crown Victoria</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Nissan</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Altima</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Expedition</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Armada</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Five Hundred</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Maxima</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Freestar</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Quest</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Freestyle</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Titan</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F Series</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Nissan / Infiniti</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QX56</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Taurus</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Toyota</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Avalon</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Ford/Lincoln</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LS</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Camry Solara</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Aviator</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Camry</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Navigator</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Corolla</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Town Car</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Matrix</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Ford/Mercury</w:t>
            </w: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Grand Marquis</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Sequoia</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Montego</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Sienna</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Monterey</w:t>
            </w: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Tacoma</w:t>
            </w:r>
          </w:p>
        </w:tc>
      </w:tr>
      <w:tr>
        <w:trPr>
          <w:trHeight w:val="172"/>
        </w:trPr>
        <w:tc>
          <w:tcPr>
            <w:tcW w:w="124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Sable</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Toyota/Lexus</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RX330</w:t>
            </w:r>
          </w:p>
        </w:tc>
      </w:tr>
      <w:tr>
        <w:trPr>
          <w:trHeight w:val="172"/>
        </w:trPr>
        <w:tc>
          <w:tcPr>
            <w:tcW w:w="1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Volkswagen</w:t>
            </w: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Beetle</w:t>
            </w:r>
          </w:p>
        </w:tc>
      </w:tr>
      <w:tr>
        <w:trPr>
          <w:trHeight w:val="172"/>
        </w:trPr>
        <w:tc>
          <w:tcPr>
            <w:tcW w:w="1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Jetta</w:t>
            </w:r>
          </w:p>
        </w:tc>
      </w:tr>
      <w:tr>
        <w:trPr>
          <w:trHeight w:val="516"/>
        </w:trPr>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Courier New" w:cs="Courier New" w:eastAsia="Courier New" w:hAnsi="Courier New"/>
                <w:sz w:val="15"/>
                <w:szCs w:val="15"/>
                <w:color w:val="auto"/>
              </w:rPr>
              <w:t>- 4 -</w:t>
            </w:r>
          </w:p>
        </w:tc>
        <w:tc>
          <w:tcPr>
            <w:tcW w:w="142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4" w:name="page5"/>
    <w:bookmarkEnd w:id="4"/>
    <w:p>
      <w:pPr>
        <w:ind w:left="700" w:right="3259" w:hanging="715"/>
        <w:spacing w:after="0"/>
        <w:rPr>
          <w:sz w:val="20"/>
          <w:szCs w:val="20"/>
          <w:color w:val="auto"/>
        </w:rPr>
      </w:pPr>
      <w:r>
        <w:rPr>
          <w:rFonts w:ascii="Courier New" w:cs="Courier New" w:eastAsia="Courier New" w:hAnsi="Courier New"/>
          <w:sz w:val="15"/>
          <w:szCs w:val="15"/>
          <w:color w:val="auto"/>
        </w:rPr>
        <w:t>TABLE 1. INTERIOR AUTO-DIMMING MIRROR AVAILABILITY BY VEHICLE LINE - CONTINUED (MANUFACTURERS OUTSIDE OF NORTH AMERICA)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Bentley</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Arnage</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MG Rover</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75</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Continental GT</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Mazda</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RX-8</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7 Series</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DaimlerChrysler  /</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 Class</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5 Series</w:t>
            </w:r>
          </w:p>
        </w:tc>
        <w:tc>
          <w:tcPr>
            <w:tcW w:w="2360" w:type="dxa"/>
            <w:vAlign w:val="bottom"/>
          </w:tcPr>
          <w:p>
            <w:pPr>
              <w:ind w:left="480"/>
              <w:spacing w:after="0"/>
              <w:rPr>
                <w:sz w:val="20"/>
                <w:szCs w:val="20"/>
                <w:color w:val="auto"/>
              </w:rPr>
            </w:pPr>
            <w:r>
              <w:rPr>
                <w:rFonts w:ascii="Courier New" w:cs="Courier New" w:eastAsia="Courier New" w:hAnsi="Courier New"/>
                <w:sz w:val="15"/>
                <w:szCs w:val="15"/>
                <w:color w:val="auto"/>
              </w:rPr>
              <w:t>Mercedes-Benz</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CLK</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6 Series</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CLS</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3 Series</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E Class</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X3</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G Wagen</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Daewoo/Ssangyong</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Chairman</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S Class</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Korando</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SL Class</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Musso</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SLK</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Musso Sports</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Mitsubishi</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Magna Verada</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Rodius</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w w:val="97"/>
              </w:rPr>
              <w:t>NQZ Outlander</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Istana</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Nissan</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350Z</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DaimlerChrysler / Chrysler</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Voyager</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Cima</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DaimlerChrysler / Jeep</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Grand Cherokee</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Gloria</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Fiat / Alfa Romeo</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147</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Maxima</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156</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Murano</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166</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Peugeot</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407</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Fiat / Lancia</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Thesis</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Porsche</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Cayenne</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Lybra</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Samsung</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SM5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Fiat (Brazil)</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Marea</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Toyota / Lexus</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IS300</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Stilo</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ES330</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Palio</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GS300</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Ford</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Focus C-Max</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GS430</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Mondeo</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LS430</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Ford / Jaguar</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XK</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RX330</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XJ</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SC300</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S-Type</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SC430</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Ford / Land Rover</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LR3</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GX470</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Range Rover</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LX470</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Ford / Volvo</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S40</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Toyota</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Land Cruiser</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V50</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Camry</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GM / Opel</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Corsa</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Cygnus</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Meriva</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Celsior</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Astra</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Century</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Zafira</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Mark II</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Vectra</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Prius</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Signum</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RAV4</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Honda / Acura</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TSX</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Windom</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Honda</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Inspire</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Highlander</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Hyundai</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Dynasty</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4-Runner</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Grandeur</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Avensis</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Sonata</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Corolla</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Santa Fe</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w w:val="97"/>
              </w:rPr>
              <w:t>Corolla Verso</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Starex</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Volkswagen</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Polo</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Avante</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Golf</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Equus</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Passat</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Tuscani</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Phaeton</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Terracan</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Jetta</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Trajet</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Touareg</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Tucson</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Touran</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Hyundai / Kia Motors</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Carnival</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Transporter</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Cerato</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Volkswagen / Audi</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A3</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Sorento</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A4</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Optima</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A6</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Carens</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A8</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Opirus</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Volkswagen / SEAT</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Altea</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Sportage</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Cordoba</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Nissan / Infiniti</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Q45</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Ibiza</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FX35 / FX45</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Leon</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G35</w:t>
            </w: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Toledo</w:t>
            </w:r>
          </w:p>
        </w:tc>
      </w:tr>
      <w:tr>
        <w:trPr>
          <w:trHeight w:val="172"/>
        </w:trPr>
        <w:tc>
          <w:tcPr>
            <w:tcW w:w="250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M45</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Volkswagen / Skoda</w:t>
            </w: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Octavia</w:t>
            </w:r>
          </w:p>
        </w:tc>
      </w:tr>
      <w:tr>
        <w:trPr>
          <w:trHeight w:val="172"/>
        </w:trPr>
        <w:tc>
          <w:tcPr>
            <w:tcW w:w="2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Superb</w:t>
            </w:r>
          </w:p>
        </w:tc>
      </w:tr>
    </w:tbl>
    <w:p>
      <w:pPr>
        <w:spacing w:after="0" w:line="348" w:lineRule="exact"/>
        <w:rPr>
          <w:sz w:val="20"/>
          <w:szCs w:val="20"/>
          <w:color w:val="auto"/>
        </w:rPr>
      </w:pPr>
    </w:p>
    <w:p>
      <w:pPr>
        <w:ind w:right="3599" w:firstLine="537"/>
        <w:spacing w:after="0" w:line="242" w:lineRule="auto"/>
        <w:rPr>
          <w:sz w:val="20"/>
          <w:szCs w:val="20"/>
          <w:color w:val="auto"/>
        </w:rPr>
      </w:pPr>
      <w:r>
        <w:rPr>
          <w:rFonts w:ascii="Courier New" w:cs="Courier New" w:eastAsia="Courier New" w:hAnsi="Courier New"/>
          <w:sz w:val="15"/>
          <w:szCs w:val="15"/>
          <w:color w:val="auto"/>
        </w:rPr>
        <w:t>Exterior Auto-Dimming Mirror Sub-Assemblies. The Company has devoted substantial research and development efforts to the development of its electrochromic technology to permit its use in exterior rearview mirrors. Exterior auto-dimming mirrors are controlled by the sensors and electronic circuitry in the interior auto-dimming mirror, and both the interior and exterior mirrors dim</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19"/>
          </w:cols>
          <w:pgMar w:left="240" w:top="635" w:right="1440" w:bottom="1440" w:gutter="0" w:footer="0" w:header="0"/>
        </w:sectPr>
      </w:pPr>
    </w:p>
    <w:bookmarkStart w:id="5" w:name="page6"/>
    <w:bookmarkEnd w:id="5"/>
    <w:p>
      <w:pPr>
        <w:ind w:right="460"/>
        <w:spacing w:after="0" w:line="242" w:lineRule="auto"/>
        <w:rPr>
          <w:sz w:val="20"/>
          <w:szCs w:val="20"/>
          <w:color w:val="auto"/>
        </w:rPr>
      </w:pPr>
      <w:r>
        <w:rPr>
          <w:rFonts w:ascii="Courier New" w:cs="Courier New" w:eastAsia="Courier New" w:hAnsi="Courier New"/>
          <w:sz w:val="15"/>
          <w:szCs w:val="15"/>
          <w:color w:val="auto"/>
        </w:rPr>
        <w:t>simultaneously. During 1991, the Company's efforts culminated in a design that is intended to provide acceptable long-term performance in all environments likely to be encountered. In 1994, the Company began shipments of its complete three-mirror system, including the convex (curved glass) wide-angle auto-dimming mirror to BMW. During 1997, the Company began making volume shipments of three new exterior mirror products - - thin glass flat, convex and aspheric. During 2001 and 2002, the Company began making shipments of the world's first exterior automatic-dimming mirrors with built-in turn-signal indicators to Southeast Toyota and General Motors. The Company currently sells its exterior auto-dimming mirror sub-assemblies to exterior mirror suppliers of General Motors, DaimlerChrysler, Ford, Audi, BMW, Bentley, Fiat, Jaguar, Land Rover, Opel, Rolls Royce, Volkswagen, Infiniti, Mitsubishi, Nissan, Toyota, and Ssangyong who assemble the exterior auto-dimming mirror sub-assemblies into full mirror units for subsequent resale to the automakers.</w:t>
      </w:r>
    </w:p>
    <w:p>
      <w:pPr>
        <w:spacing w:after="0" w:line="182" w:lineRule="exact"/>
        <w:rPr>
          <w:sz w:val="20"/>
          <w:szCs w:val="20"/>
          <w:color w:val="auto"/>
        </w:rPr>
      </w:pPr>
    </w:p>
    <w:p>
      <w:pPr>
        <w:ind w:right="460" w:firstLine="537"/>
        <w:spacing w:after="0" w:line="242" w:lineRule="auto"/>
        <w:rPr>
          <w:sz w:val="20"/>
          <w:szCs w:val="20"/>
          <w:color w:val="auto"/>
        </w:rPr>
      </w:pPr>
      <w:r>
        <w:rPr>
          <w:rFonts w:ascii="Courier New" w:cs="Courier New" w:eastAsia="Courier New" w:hAnsi="Courier New"/>
          <w:sz w:val="15"/>
          <w:szCs w:val="15"/>
          <w:color w:val="auto"/>
        </w:rPr>
        <w:t>The Company shipped approximately 2,500,000 exterior auto-dimming mirror sub-assemblies during 2002, approximately 3,128,000 in 2003, and approximately 3,277,000 in 2004. During 2004, unit shipment growth primarily resulted from the increased penetration of light vehicles in Europe.</w:t>
      </w:r>
    </w:p>
    <w:p>
      <w:pPr>
        <w:spacing w:after="0" w:line="175" w:lineRule="exact"/>
        <w:rPr>
          <w:sz w:val="20"/>
          <w:szCs w:val="20"/>
          <w:color w:val="auto"/>
        </w:rPr>
      </w:pPr>
    </w:p>
    <w:p>
      <w:pPr>
        <w:ind w:right="720" w:firstLine="537"/>
        <w:spacing w:after="0" w:line="241" w:lineRule="auto"/>
        <w:rPr>
          <w:sz w:val="20"/>
          <w:szCs w:val="20"/>
          <w:color w:val="auto"/>
        </w:rPr>
      </w:pPr>
      <w:r>
        <w:rPr>
          <w:rFonts w:ascii="Courier New" w:cs="Courier New" w:eastAsia="Courier New" w:hAnsi="Courier New"/>
          <w:sz w:val="15"/>
          <w:szCs w:val="15"/>
          <w:color w:val="auto"/>
        </w:rPr>
        <w:t>The exterior auto-dimming mirror is standard equipment or a factory-installed option on certain trim levels of the following 2005 vehicle models: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2. EXTERIOR AUTO-DIMMING MIRROR AVAILABILITY BY VEHICLE LINE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Deville / DTS</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DaimlerChrysler /</w:t>
            </w: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Escalade</w:t>
            </w:r>
          </w:p>
        </w:tc>
        <w:tc>
          <w:tcPr>
            <w:tcW w:w="2780" w:type="dxa"/>
            <w:vAlign w:val="bottom"/>
          </w:tcPr>
          <w:p>
            <w:pPr>
              <w:ind w:left="1440"/>
              <w:spacing w:after="0"/>
              <w:rPr>
                <w:sz w:val="20"/>
                <w:szCs w:val="20"/>
                <w:color w:val="auto"/>
              </w:rPr>
            </w:pPr>
            <w:r>
              <w:rPr>
                <w:rFonts w:ascii="Courier New" w:cs="Courier New" w:eastAsia="Courier New" w:hAnsi="Courier New"/>
                <w:sz w:val="15"/>
                <w:szCs w:val="15"/>
                <w:color w:val="auto"/>
              </w:rPr>
              <w:t>Mercedes- Benz</w:t>
            </w: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SRX</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XLR</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GM / Buick</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LeSabre</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GM / Chevrolet</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Avalanche</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Blazer</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Corvette</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Silverado</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SSR</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Ford / Jaguar</w:t>
            </w: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Suburban</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Tahoe</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GM / GMC</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Sierra</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Ford / Land Rover</w:t>
            </w: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Yukon</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GM / Opel</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GM / Hummer</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H2</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Maserati</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Ford/Lincoln</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Town Car</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Skoda</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Pacifica</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Volkswagen</w:t>
            </w:r>
          </w:p>
        </w:tc>
      </w:tr>
      <w:tr>
        <w:trPr>
          <w:trHeight w:val="172"/>
        </w:trPr>
        <w:tc>
          <w:tcPr>
            <w:tcW w:w="2140" w:type="dxa"/>
            <w:vAlign w:val="bottom"/>
          </w:tcPr>
          <w:p>
            <w:pPr>
              <w:ind w:left="260"/>
              <w:spacing w:after="0"/>
              <w:rPr>
                <w:sz w:val="20"/>
                <w:szCs w:val="20"/>
                <w:color w:val="auto"/>
              </w:rPr>
            </w:pPr>
            <w:r>
              <w:rPr>
                <w:rFonts w:ascii="Courier New" w:cs="Courier New" w:eastAsia="Courier New" w:hAnsi="Courier New"/>
                <w:sz w:val="15"/>
                <w:szCs w:val="15"/>
                <w:color w:val="auto"/>
              </w:rPr>
              <w:t>Chrysler</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300</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Town &amp; Country</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Nissan / Infiniti</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DaimlerChrysler/Dodge</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Caravan</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Durango</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Toyota / Lexus</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DaimlerChrysler/Jeep</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Grand Cherokee</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Mitsubishi</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Volkswagen / Audi</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A4</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Nissan</w:t>
            </w: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A6</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A8</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Rolls Royce</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7 Series</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w w:val="98"/>
              </w:rPr>
              <w:t>Daewoo / Ssangyong</w:t>
            </w: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6 Series</w:t>
            </w:r>
          </w:p>
        </w:tc>
        <w:tc>
          <w:tcPr>
            <w:tcW w:w="2780" w:type="dxa"/>
            <w:vAlign w:val="bottom"/>
          </w:tcPr>
          <w:p>
            <w:pPr>
              <w:ind w:left="1160"/>
              <w:spacing w:after="0"/>
              <w:rPr>
                <w:sz w:val="20"/>
                <w:szCs w:val="20"/>
                <w:color w:val="auto"/>
              </w:rPr>
            </w:pPr>
            <w:r>
              <w:rPr>
                <w:rFonts w:ascii="Courier New" w:cs="Courier New" w:eastAsia="Courier New" w:hAnsi="Courier New"/>
                <w:sz w:val="15"/>
                <w:szCs w:val="15"/>
                <w:color w:val="auto"/>
              </w:rPr>
              <w:t>Toyota</w:t>
            </w: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5 Series</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X5</w:t>
            </w:r>
          </w:p>
        </w:tc>
        <w:tc>
          <w:tcPr>
            <w:tcW w:w="2780" w:type="dxa"/>
            <w:vAlign w:val="bottom"/>
          </w:tcPr>
          <w:p>
            <w:pPr>
              <w:spacing w:after="0"/>
              <w:rPr>
                <w:sz w:val="14"/>
                <w:szCs w:val="1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Bentley</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Continental GT</w:t>
            </w:r>
          </w:p>
        </w:tc>
        <w:tc>
          <w:tcPr>
            <w:tcW w:w="2780" w:type="dxa"/>
            <w:vAlign w:val="bottom"/>
          </w:tcPr>
          <w:p>
            <w:pPr>
              <w:spacing w:after="0"/>
              <w:rPr>
                <w:sz w:val="14"/>
                <w:szCs w:val="14"/>
                <w:color w:val="auto"/>
              </w:rPr>
            </w:pPr>
          </w:p>
        </w:tc>
      </w:tr>
    </w:tbl>
    <w:p>
      <w:pPr>
        <w:spacing w:after="0" w:line="348" w:lineRule="exact"/>
        <w:rPr>
          <w:sz w:val="20"/>
          <w:szCs w:val="20"/>
          <w:color w:val="auto"/>
        </w:rPr>
      </w:pPr>
    </w:p>
    <w:p>
      <w:pPr>
        <w:ind w:right="460" w:firstLine="537"/>
        <w:spacing w:after="0" w:line="242" w:lineRule="auto"/>
        <w:rPr>
          <w:sz w:val="20"/>
          <w:szCs w:val="20"/>
          <w:color w:val="auto"/>
        </w:rPr>
      </w:pPr>
      <w:r>
        <w:rPr>
          <w:rFonts w:ascii="Courier New" w:cs="Courier New" w:eastAsia="Courier New" w:hAnsi="Courier New"/>
          <w:sz w:val="15"/>
          <w:szCs w:val="15"/>
          <w:color w:val="auto"/>
        </w:rPr>
        <w:t>Product Development. The Company plans to continue introducing additional advanced-feature auto-dimming mirrors. Advanced-feature auto-dimming mirrors currently being offered by the Company include the auto-dimming headlamp control mirror, the auto-dimming lighted mirror with LED map lamps, the auto-dimming compass mirror, the auto-dimming mirror with remote keyless entry, the auto-dimming compass/temperature mirror, the auto-dimming dual display compass/temperature mirror, auto-dimming telematics mirrors and the auto-dimming HomeLink(R) mirror. During 2001, the Company announced a revolutionary new proprietary technology, called SmartBeam(TM), that uses a custom, active-pixel, CMOS (complementary metal oxide semiconductor) sensor, and maximizes a driver's forward vision by significantly improving utilization of the vehicle's highbeam headlamps during nighttime</w:t>
      </w:r>
    </w:p>
    <w:p>
      <w:pPr>
        <w:spacing w:after="0" w:line="17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70" w:hanging="170"/>
        <w:spacing w:after="0"/>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w:t>
      </w:r>
    </w:p>
    <w:p>
      <w:pPr>
        <w:spacing w:after="0" w:line="3" w:lineRule="exact"/>
        <w:rPr>
          <w:rFonts w:ascii="Courier New" w:cs="Courier New" w:eastAsia="Courier New" w:hAnsi="Courier New"/>
          <w:sz w:val="15"/>
          <w:szCs w:val="15"/>
          <w:color w:val="auto"/>
        </w:rPr>
      </w:pPr>
    </w:p>
    <w:p>
      <w:pPr>
        <w:jc w:val="both"/>
        <w:ind w:left="10" w:right="163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CLK CLS</w:t>
      </w:r>
    </w:p>
    <w:p>
      <w:pPr>
        <w:ind w:left="10" w:right="11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 Class G Wagen M Class S Class SL Class</w:t>
      </w:r>
    </w:p>
    <w:p>
      <w:pPr>
        <w:ind w:left="10" w:right="839"/>
        <w:spacing w:after="0" w:line="39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SLK XJ XK S-Type Range Rover Vectra Quattroporte Superb Golf Sharan</w:t>
      </w:r>
    </w:p>
    <w:p>
      <w:pPr>
        <w:spacing w:after="0" w:line="144"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Q45</w:t>
      </w:r>
    </w:p>
    <w:p>
      <w:pPr>
        <w:spacing w:after="0" w:line="2"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M45</w:t>
      </w:r>
    </w:p>
    <w:p>
      <w:pPr>
        <w:spacing w:after="0" w:line="2"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RX330</w:t>
      </w:r>
    </w:p>
    <w:p>
      <w:pPr>
        <w:spacing w:after="0" w:line="3" w:lineRule="exact"/>
        <w:rPr>
          <w:rFonts w:ascii="Courier New" w:cs="Courier New" w:eastAsia="Courier New" w:hAnsi="Courier New"/>
          <w:sz w:val="15"/>
          <w:szCs w:val="15"/>
          <w:color w:val="auto"/>
        </w:rPr>
      </w:pPr>
    </w:p>
    <w:p>
      <w:pPr>
        <w:ind w:left="10" w:right="6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Magna / Verada Cima</w:t>
      </w:r>
    </w:p>
    <w:p>
      <w:pPr>
        <w:spacing w:after="0" w:line="4" w:lineRule="exact"/>
        <w:rPr>
          <w:rFonts w:ascii="Courier New" w:cs="Courier New" w:eastAsia="Courier New" w:hAnsi="Courier New"/>
          <w:sz w:val="15"/>
          <w:szCs w:val="15"/>
          <w:color w:val="auto"/>
        </w:rPr>
      </w:pPr>
    </w:p>
    <w:p>
      <w:pPr>
        <w:ind w:left="10" w:right="83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Maxima Phantom Chairman Avalon Camry Solara Sienna</w:t>
      </w:r>
    </w:p>
    <w:p>
      <w:pPr>
        <w:sectPr>
          <w:pgSz w:w="11900" w:h="16838" w:orient="portrait"/>
          <w:cols w:equalWidth="0" w:num="2">
            <w:col w:w="7600" w:space="710"/>
            <w:col w:w="1909"/>
          </w:cols>
          <w:pgMar w:left="240" w:top="635" w:right="1440" w:bottom="1440" w:gutter="0" w:footer="0" w:header="0"/>
        </w:sectPr>
      </w:pPr>
    </w:p>
    <w:bookmarkStart w:id="6" w:name="page7"/>
    <w:bookmarkEnd w:id="6"/>
    <w:p>
      <w:pPr>
        <w:ind w:right="3079"/>
        <w:spacing w:after="0" w:line="242" w:lineRule="auto"/>
        <w:rPr>
          <w:sz w:val="20"/>
          <w:szCs w:val="20"/>
          <w:color w:val="auto"/>
        </w:rPr>
      </w:pPr>
      <w:r>
        <w:rPr>
          <w:rFonts w:ascii="Courier New" w:cs="Courier New" w:eastAsia="Courier New" w:hAnsi="Courier New"/>
          <w:sz w:val="15"/>
          <w:szCs w:val="15"/>
          <w:color w:val="auto"/>
        </w:rPr>
        <w:t>driving. During 2004, the Company began shipping auto-dimming mirrors with SmartBeam, its proprietary intelligent high-beam headlamp control feature, on the Cadillac STS and Jeep Grand Cherokee. The Company has also received a purchase order from a European automaker for the 2006 calendar year. The Company has also developed a new ALS (Active Light Sensor) technology as a cost-effective, improved-performance, intelligent CMOS light sensor to control the dimming of its rearview mirrors, and the Company began making volume shipments of mirrors incorporating ALS in 2002.</w:t>
      </w:r>
    </w:p>
    <w:p>
      <w:pPr>
        <w:spacing w:after="0" w:line="177"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Also during 2001, the Company developed a new microphone designed specifically for use in the automotive environment for telematics applications. The first volume Gentex microphone application was part of DaimlerChrysler's "U-Connect(R)" telematics system, beginning in 2003.</w:t>
      </w:r>
    </w:p>
    <w:p>
      <w:pPr>
        <w:spacing w:after="0" w:line="175" w:lineRule="exact"/>
        <w:rPr>
          <w:sz w:val="20"/>
          <w:szCs w:val="20"/>
          <w:color w:val="auto"/>
        </w:rPr>
      </w:pPr>
    </w:p>
    <w:p>
      <w:pPr>
        <w:ind w:right="3259" w:firstLine="537"/>
        <w:spacing w:after="0" w:line="263" w:lineRule="auto"/>
        <w:rPr>
          <w:sz w:val="20"/>
          <w:szCs w:val="20"/>
          <w:color w:val="auto"/>
        </w:rPr>
      </w:pPr>
      <w:r>
        <w:rPr>
          <w:rFonts w:ascii="Courier New" w:cs="Courier New" w:eastAsia="Courier New" w:hAnsi="Courier New"/>
          <w:sz w:val="14"/>
          <w:szCs w:val="14"/>
          <w:color w:val="auto"/>
        </w:rPr>
        <w:t>Of particular importance to the Company has been the development of its electrochromic technology for use in complete three-mirror systems. In these systems, both the driver- and passenger-side exterior auto-dimming mirrors are controlled by the sensors and electronic circuitry in the interior rearview mirror, and the interior and both exterior mirrors dim simultaneously.</w:t>
      </w:r>
    </w:p>
    <w:p>
      <w:pPr>
        <w:spacing w:after="0" w:line="163"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1999, the Company announced the development of the second generation of its LED technology, which represents the first time that white light for illumination purposes can be achieved using high intensity Orca(R) power LEDs on a cost-effective basis. LEDs as illuminators could have significant automotive and non-automotive lighting applications as they have many advantages over incandescent lamps, including extremely long life, low heat generation, lower current draw, more resistance to shock, and lower total cost of ownership. In the fourth quarter of 2001, the Company installed a new prototype microelectronics line to produce pilot production LED samples, as well as limited production quantities of Orca LEDs, and SmartBeam sensors. During 2002, the Company announced a high-feature EC mirror including BCW (binary, complementary white) Orca LEDs for the Chrysler Sebring Coupe.</w:t>
      </w:r>
    </w:p>
    <w:p>
      <w:pPr>
        <w:spacing w:after="0" w:line="180"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Progress in adapting electrochromic technology to the specialized requirements of the window market continued in 2004. However, we believe that a commercial product will require several years of additional engineering and intellectual property development work.</w:t>
      </w:r>
    </w:p>
    <w:p>
      <w:pPr>
        <w:spacing w:after="0" w:line="178" w:lineRule="exact"/>
        <w:rPr>
          <w:sz w:val="20"/>
          <w:szCs w:val="20"/>
          <w:color w:val="auto"/>
        </w:rPr>
      </w:pPr>
    </w:p>
    <w:p>
      <w:pPr>
        <w:ind w:right="3159" w:firstLine="537"/>
        <w:spacing w:after="0" w:line="261" w:lineRule="auto"/>
        <w:rPr>
          <w:sz w:val="20"/>
          <w:szCs w:val="20"/>
          <w:color w:val="auto"/>
        </w:rPr>
      </w:pPr>
      <w:r>
        <w:rPr>
          <w:rFonts w:ascii="Courier New" w:cs="Courier New" w:eastAsia="Courier New" w:hAnsi="Courier New"/>
          <w:sz w:val="14"/>
          <w:szCs w:val="14"/>
          <w:color w:val="auto"/>
        </w:rPr>
        <w:t>Markets and Marketing. In North America, the Company markets its products primarily through a direct sales force. The Company generally supplies auto-dimming mirrors to its customers worldwide under annual blanket purchase orders. The Company currently supplies auto-dimming mirrors to General Motors Corporation and DaimlerChrysler AG under long-term agreements. During 2003, the Company negotiated an agreement for inside mirrors with General Motors and an agreement with DaimlerChrysler AG that extend through the 2006 model year. The Company previously had long-term agreements with both General Motors and DaimlerChrysler. The Company's exterior auto-dimming mirror sub-assemblies are supplied by means of sales to exterior mirror suppliers. Effective October 1, 2003, General Motors Corporation, the Company's largest customer, began including a 30-day escape clause into its contracts in the event its suppliers are not competitive on pricing. Effective January 1, 2004, Ford Motor Company began imposing new contract terms, including the right to terminate a supplier contract at any time for any or no reason, etc. The Company has taken written exception to these new contract clauses and terms by General Motors and Ford.</w:t>
      </w:r>
    </w:p>
    <w:p>
      <w:pPr>
        <w:spacing w:after="0" w:line="165"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 established Gentex France, SAS, as a sales and engineering office in France. During 2003, the Company established a satellite office in Munich, Germany. The Company's marketing efforts in Europe are conducted through Gentex GmbH, Gentex Mirrors, Ltd., and Gentex France SAS, with limited assistance from independent manufacturers' representatives. The Company is currently supplying mirrors for Audi, Bavarian Motor Works, A.G. (BMW), Bentley, Fiat, Jaguar, Land Rover, MG Rover, Mercedes-Benz, Opel, Peugeot, Rolls Royce, SEAT, Skoda, Volkswagen and Volvo in Europe.</w:t>
      </w:r>
    </w:p>
    <w:p>
      <w:pPr>
        <w:spacing w:after="0" w:line="17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635" w:right="1440" w:bottom="1440" w:gutter="0" w:footer="0" w:header="0"/>
        </w:sectPr>
      </w:pPr>
    </w:p>
    <w:bookmarkStart w:id="7" w:name="page8"/>
    <w:bookmarkEnd w:id="7"/>
    <w:p>
      <w:pPr>
        <w:ind w:right="3079" w:firstLine="537"/>
        <w:spacing w:after="0" w:line="242" w:lineRule="auto"/>
        <w:rPr>
          <w:sz w:val="20"/>
          <w:szCs w:val="20"/>
          <w:color w:val="auto"/>
        </w:rPr>
      </w:pPr>
      <w:r>
        <w:rPr>
          <w:rFonts w:ascii="Courier New" w:cs="Courier New" w:eastAsia="Courier New" w:hAnsi="Courier New"/>
          <w:sz w:val="15"/>
          <w:szCs w:val="15"/>
          <w:color w:val="auto"/>
        </w:rPr>
        <w:t>In 1991, the Company began shipping electrochromic mirror assemblies for Nissan Motor Co., Ltd. under a reciprocal distribution agreement with Ichikoh Industries, Ltd. (Ichikoh), a major Japanese supplier of automotive products. Under this agreement, Ichikoh marketed the Company's automatic mirrors to certain Japanese automakers and their subsidiaries with manufacturing facilities in Asia. The arrangement involved very limited technology transfer by the Company and did not include the Company's proprietary electrochromic gel formulation. The agreement was terminated by mutual agreement in 2001.</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During 1993, the Company hired a sales agent to market auto-dimming mirrors to other Japanese automakers beyond Nissan. Subsequently in 1998, the Company established Gentex Japan, Inc., as a sales and engineering office in Nagoya, Japan to expand its sales and engineering support in Japan. In 2000, the Company signed an agreement with Murakami Corporation, a major Japanese mirror manufacturer, to cooperate in expanding sales of automatic-dimming mirrors using the Gentex electrochromic technology. During 2002, the Company established Gentex Technologies Korea Co., Ltd. as a sales and engineering office in Seoul, Korea. During 2004, the Company established a satellite office in Yokohama, Japan. The Company is currently supplying mirrors for Daewoo/Ssangyong, Ford, GM, Honda, Hyundai, Infiniti, Kia Motors, Lexus, Mazda, Mitsubishi, Nissan, Samsung and Toyota in Asia.</w:t>
      </w:r>
    </w:p>
    <w:p>
      <w:pPr>
        <w:spacing w:after="0" w:line="180"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auto-dimming mirrors will be offered as standard equipment, in higher option rate packages, and on more models as consumer awareness of the safety and comfort feature becomes more well-known and acceptance grows.</w:t>
      </w:r>
    </w:p>
    <w:p>
      <w:pPr>
        <w:spacing w:after="0" w:line="179" w:lineRule="exact"/>
        <w:rPr>
          <w:sz w:val="20"/>
          <w:szCs w:val="20"/>
          <w:color w:val="auto"/>
        </w:rPr>
      </w:pPr>
    </w:p>
    <w:p>
      <w:pPr>
        <w:ind w:right="3079" w:firstLine="537"/>
        <w:spacing w:after="0" w:line="263" w:lineRule="auto"/>
        <w:rPr>
          <w:sz w:val="20"/>
          <w:szCs w:val="20"/>
          <w:color w:val="auto"/>
        </w:rPr>
      </w:pPr>
      <w:r>
        <w:rPr>
          <w:rFonts w:ascii="Courier New" w:cs="Courier New" w:eastAsia="Courier New" w:hAnsi="Courier New"/>
          <w:sz w:val="14"/>
          <w:szCs w:val="14"/>
          <w:color w:val="auto"/>
        </w:rPr>
        <w:t>Since 1998, Gentex Corporation has contracted with MITO Corporation to sell several of its most popular automatic-dimming mirrors directly to consumers in the automotive aftermarket; in addition, the Company currently sells some auto-dimming mirrors to automotive distributors. It is management's belief that these sales have limited potential until the Company achieves a significantly higher penetration of the original equipment manufacturing market.</w:t>
      </w:r>
    </w:p>
    <w:p>
      <w:pPr>
        <w:spacing w:after="0" w:line="161" w:lineRule="exact"/>
        <w:rPr>
          <w:sz w:val="20"/>
          <w:szCs w:val="20"/>
          <w:color w:val="auto"/>
        </w:rPr>
      </w:pPr>
    </w:p>
    <w:p>
      <w:pPr>
        <w:ind w:right="3159" w:firstLine="537"/>
        <w:spacing w:after="0" w:line="262" w:lineRule="auto"/>
        <w:rPr>
          <w:sz w:val="20"/>
          <w:szCs w:val="20"/>
          <w:color w:val="auto"/>
        </w:rPr>
      </w:pPr>
      <w:r>
        <w:rPr>
          <w:rFonts w:ascii="Courier New" w:cs="Courier New" w:eastAsia="Courier New" w:hAnsi="Courier New"/>
          <w:sz w:val="14"/>
          <w:szCs w:val="14"/>
          <w:color w:val="auto"/>
        </w:rPr>
        <w:t>Competition. Gentex is the leading producer of auto-dimming rearview mirrors in the world and currently is the dominant supplier to the automotive industry with an approximate 78% market share worldwide in 2004, which represents approximately a 1% increase compared to 2003. While the Company believes it will retain a dominant position, one other U.S. manufacturer (Magna Donnelly Mirror Systems) is competing for sales to domestic and foreign vehicle manufacturers and is supplying a number of domestic and foreign vehicle models with its hybrid or solid polymer matrix versions of electrochromic mirrors. In addition, two Japanese manufacturers are currently supplying a few vehicle models in Japan with solid-state electrochromic mirrors.</w:t>
      </w:r>
    </w:p>
    <w:p>
      <w:pPr>
        <w:spacing w:after="0" w:line="334"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On October 1, 2002, Magna International acquired Donnelly Corporation, which was the Company's major competitor for sales of automatic-dimming rearview mirrors to domestic and foreign vehicle manufacturers and their mirror suppliers. The Company also sells certain automatic-dimming rearview mirror sub-assemblies to Magna Donnelly.</w:t>
      </w:r>
    </w:p>
    <w:p>
      <w:pPr>
        <w:spacing w:after="0" w:line="175" w:lineRule="exact"/>
        <w:rPr>
          <w:sz w:val="20"/>
          <w:szCs w:val="20"/>
          <w:color w:val="auto"/>
        </w:rPr>
      </w:pPr>
    </w:p>
    <w:p>
      <w:pPr>
        <w:ind w:right="3259" w:firstLine="537"/>
        <w:spacing w:after="0" w:line="262" w:lineRule="auto"/>
        <w:rPr>
          <w:sz w:val="20"/>
          <w:szCs w:val="20"/>
          <w:color w:val="auto"/>
        </w:rPr>
      </w:pPr>
      <w:r>
        <w:rPr>
          <w:rFonts w:ascii="Courier New" w:cs="Courier New" w:eastAsia="Courier New" w:hAnsi="Courier New"/>
          <w:sz w:val="14"/>
          <w:szCs w:val="14"/>
          <w:color w:val="auto"/>
        </w:rPr>
        <w:t>The Company believes its electrochromic automatic mirrors offer significant performance advantages over competing products. However, Gentex recognizes that Magna Donnelly, a competitor and wholly-owned subsidiary of Magna International, is considerably larger than the Company and may present a more formidable competitive threat in the future. To date, the Company is not aware of any significant impact of Magna's acquisition of Donnelly upon the Company; however, any ultimate significant impact has not yet been determined.</w:t>
      </w:r>
    </w:p>
    <w:p>
      <w:pPr>
        <w:spacing w:after="0" w:line="164"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each of these technologies have inherent cost or performance limitations.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63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FIRE PROTECTION PRODUCTS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Company manufactures approximately 60 different models of smoke alarms and smoke detectors, combined with over 160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over a dozen major cities, over a dozen states, as well as regional and national building and fire alarm codes.</w:t>
      </w:r>
    </w:p>
    <w:p>
      <w:pPr>
        <w:spacing w:after="0" w:line="184"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 certain models are able to communicate with monitored remote stations.</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In recent years, the Company introduced seven new signaling products.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new product series contain over 68 variations of signals.</w:t>
      </w:r>
    </w:p>
    <w:p>
      <w:pPr>
        <w:spacing w:after="0" w:line="176" w:lineRule="exact"/>
        <w:rPr>
          <w:sz w:val="20"/>
          <w:szCs w:val="20"/>
          <w:color w:val="auto"/>
        </w:rPr>
      </w:pPr>
    </w:p>
    <w:p>
      <w:pPr>
        <w:ind w:right="3339" w:firstLine="537"/>
        <w:spacing w:after="0" w:line="242" w:lineRule="auto"/>
        <w:rPr>
          <w:sz w:val="20"/>
          <w:szCs w:val="20"/>
          <w:color w:val="auto"/>
        </w:rPr>
      </w:pPr>
      <w:r>
        <w:rPr>
          <w:rFonts w:ascii="Courier New" w:cs="Courier New" w:eastAsia="Courier New" w:hAnsi="Courier New"/>
          <w:sz w:val="15"/>
          <w:szCs w:val="15"/>
          <w:color w:val="auto"/>
        </w:rPr>
        <w:t>In 2002, the Company introduced the new "selectable" candela audible/visual evacuation signal. This new signal is the only one in the fire alarm industry which will notify the control panel if its light intensity is being changed without authorization.</w:t>
      </w:r>
    </w:p>
    <w:p>
      <w:pPr>
        <w:spacing w:after="0" w:line="175"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Also in 2002, due to changes in government regulations, the Company introduced a new "selectable" ceiling horn/strobe and strobe product. This new product offering gives the Company both wall- and ceiling-mounted product offerings.</w:t>
      </w:r>
    </w:p>
    <w:p>
      <w:pPr>
        <w:spacing w:after="0" w:line="175"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In 2001, the Company introduced a new, high efficiency speaker and speaker/strobe series. Voice intelligibility is critical in life safety applications, and certain distributors throughout the United States prefer the quality of the Company's new speaker series.</w:t>
      </w:r>
    </w:p>
    <w:p>
      <w:pPr>
        <w:spacing w:after="0" w:line="175" w:lineRule="exact"/>
        <w:rPr>
          <w:sz w:val="20"/>
          <w:szCs w:val="20"/>
          <w:color w:val="auto"/>
        </w:rPr>
      </w:pPr>
    </w:p>
    <w:p>
      <w:pPr>
        <w:ind w:right="3079" w:firstLine="537"/>
        <w:spacing w:after="0" w:line="241" w:lineRule="auto"/>
        <w:rPr>
          <w:sz w:val="20"/>
          <w:szCs w:val="20"/>
          <w:color w:val="auto"/>
        </w:rPr>
      </w:pPr>
      <w:r>
        <w:rPr>
          <w:rFonts w:ascii="Courier New" w:cs="Courier New" w:eastAsia="Courier New" w:hAnsi="Courier New"/>
          <w:sz w:val="15"/>
          <w:szCs w:val="15"/>
          <w:color w:val="auto"/>
        </w:rPr>
        <w:t>To meet new international requirements for visual signals, the Company developed a red-lens for the popular general evacuation signals. The new markets are all in Asia and the Company has actively pursued these new markets.</w:t>
      </w:r>
    </w:p>
    <w:p>
      <w:pPr>
        <w:spacing w:after="0" w:line="176" w:lineRule="exact"/>
        <w:rPr>
          <w:sz w:val="20"/>
          <w:szCs w:val="20"/>
          <w:color w:val="auto"/>
        </w:rPr>
      </w:pPr>
    </w:p>
    <w:p>
      <w:pPr>
        <w:ind w:right="3159" w:firstLine="537"/>
        <w:spacing w:after="0" w:line="267" w:lineRule="auto"/>
        <w:rPr>
          <w:sz w:val="20"/>
          <w:szCs w:val="20"/>
          <w:color w:val="auto"/>
        </w:rPr>
      </w:pPr>
      <w:r>
        <w:rPr>
          <w:rFonts w:ascii="Courier New" w:cs="Courier New" w:eastAsia="Courier New" w:hAnsi="Courier New"/>
          <w:sz w:val="14"/>
          <w:szCs w:val="14"/>
          <w:color w:val="auto"/>
        </w:rPr>
        <w:t>Also, to meet the industry requirements for audible and visual synchronization in 2001, the Company introduced a new line of remote signals to be used in any occupancy that requires individual or supplemental notification.</w:t>
      </w:r>
    </w:p>
    <w:p>
      <w:pPr>
        <w:spacing w:after="0" w:line="159" w:lineRule="exact"/>
        <w:rPr>
          <w:sz w:val="20"/>
          <w:szCs w:val="20"/>
          <w:color w:val="auto"/>
        </w:rPr>
      </w:pPr>
    </w:p>
    <w:p>
      <w:pPr>
        <w:ind w:right="3079" w:firstLine="537"/>
        <w:spacing w:after="0" w:line="262" w:lineRule="auto"/>
        <w:rPr>
          <w:sz w:val="20"/>
          <w:szCs w:val="20"/>
          <w:color w:val="auto"/>
        </w:rPr>
      </w:pPr>
      <w:r>
        <w:rPr>
          <w:rFonts w:ascii="Courier New" w:cs="Courier New" w:eastAsia="Courier New" w:hAnsi="Courier New"/>
          <w:sz w:val="14"/>
          <w:szCs w:val="14"/>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fire protection and security industries have experienced a significant number of mergers and consolidations during the past few years. The Company markets its fire protection products throughout the United States through regional sales managers and manufacturer representative organizations.</w:t>
      </w:r>
    </w:p>
    <w:p>
      <w:pPr>
        <w:spacing w:after="0" w:line="163"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Competition. The fire protection products industry is highly competitive in terms of both the smoke detectors and 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 of new products, improvements to its existing products, its diversified product line, and the availability of special features will permit the Company to maintain its competitive position.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63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TRADEMARKS AND PATENTS</w:t>
      </w:r>
    </w:p>
    <w:p>
      <w:pPr>
        <w:spacing w:after="0" w:line="176" w:lineRule="exact"/>
        <w:rPr>
          <w:sz w:val="20"/>
          <w:szCs w:val="20"/>
          <w:color w:val="auto"/>
        </w:rPr>
      </w:pPr>
    </w:p>
    <w:p>
      <w:pPr>
        <w:ind w:right="3339" w:firstLine="537"/>
        <w:spacing w:after="0" w:line="242" w:lineRule="auto"/>
        <w:rPr>
          <w:sz w:val="20"/>
          <w:szCs w:val="20"/>
          <w:color w:val="auto"/>
        </w:rPr>
      </w:pPr>
      <w:r>
        <w:rPr>
          <w:rFonts w:ascii="Courier New" w:cs="Courier New" w:eastAsia="Courier New" w:hAnsi="Courier New"/>
          <w:sz w:val="15"/>
          <w:szCs w:val="15"/>
          <w:color w:val="auto"/>
        </w:rPr>
        <w:t>The Company owns 9 U.S. trademarks and 224 U.S. patents, 216 of which relate to electrochromic technology, automotive rearview mirrors and/or LED technology. These patents expire between 2007 and 2023. The Company believes that these patents provide the Company a significant competitive advantage in the automotive rearview mirror market; however, none of these patents is required for the success of any of the Company's products.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Company also owns 2 foreign trademarks and 56 foreign patents, 55 of which relate to automotive rearview mirrors. These patents expire at various times between 2005 and 2020. The Company believes that the competitive advantage derived in the relevant foreign markets for these patents is comparable to that experienced in the U.S. market.</w:t>
      </w:r>
    </w:p>
    <w:p>
      <w:pPr>
        <w:spacing w:after="0" w:line="175" w:lineRule="exact"/>
        <w:rPr>
          <w:sz w:val="20"/>
          <w:szCs w:val="20"/>
          <w:color w:val="auto"/>
        </w:rPr>
      </w:pPr>
    </w:p>
    <w:p>
      <w:pPr>
        <w:ind w:right="3159" w:firstLine="537"/>
        <w:spacing w:after="0" w:line="241" w:lineRule="auto"/>
        <w:rPr>
          <w:sz w:val="20"/>
          <w:szCs w:val="20"/>
          <w:color w:val="auto"/>
        </w:rPr>
      </w:pPr>
      <w:r>
        <w:rPr>
          <w:rFonts w:ascii="Courier New" w:cs="Courier New" w:eastAsia="Courier New" w:hAnsi="Courier New"/>
          <w:sz w:val="15"/>
          <w:szCs w:val="15"/>
          <w:color w:val="auto"/>
        </w:rPr>
        <w:t>The Company's remaining 8 U.S. patents and 1 foreign patent relate to the Company's fire protection products, and the Company believes that the competitive advantage provided by these patents is relatively small.</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The Company also has in process 118 U.S. patent applications, 259 foreign patent applications, and 16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Company considers itself to be engaged in the manufacture and sale of automatic rearview mirrors for the automotive industry and fire protection products for the commercial building industry. The Company has several important customers within the automotive industry, three of which each account for 10% or more of the Company's annual sales: General Motors Corporation, DaimlerChrysler AG, and Toyota Motor Corporation. The loss of any of these customers could have a material adverse effect on the Company. The Company's backlog of unshipped orders was $132,966,000 and $126,980,000 at February 1, 2005, and 2004, respectively.</w:t>
      </w:r>
    </w:p>
    <w:p>
      <w:pPr>
        <w:spacing w:after="0" w:line="178" w:lineRule="exact"/>
        <w:rPr>
          <w:sz w:val="20"/>
          <w:szCs w:val="20"/>
          <w:color w:val="auto"/>
        </w:rPr>
      </w:pPr>
    </w:p>
    <w:p>
      <w:pPr>
        <w:ind w:right="3339" w:firstLine="537"/>
        <w:spacing w:after="0" w:line="242" w:lineRule="auto"/>
        <w:rPr>
          <w:sz w:val="20"/>
          <w:szCs w:val="20"/>
          <w:color w:val="auto"/>
        </w:rPr>
      </w:pPr>
      <w:r>
        <w:rPr>
          <w:rFonts w:ascii="Courier New" w:cs="Courier New" w:eastAsia="Courier New" w:hAnsi="Courier New"/>
          <w:sz w:val="15"/>
          <w:szCs w:val="15"/>
          <w:color w:val="auto"/>
        </w:rPr>
        <w:t>At February 1, 2005, the Company had 2,047 full-time employees. None of the Company's employees are represented by a labor union or other collective bargaining representative. The Company believes that its relations with its employees are good.</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4"/>
          <w:szCs w:val="14"/>
          <w:color w:val="auto"/>
        </w:rPr>
        <w:t>2. PROPERTIES.</w:t>
      </w:r>
    </w:p>
    <w:p>
      <w:pPr>
        <w:spacing w:after="0" w:line="176" w:lineRule="exact"/>
        <w:rPr>
          <w:sz w:val="20"/>
          <w:szCs w:val="20"/>
          <w:color w:val="auto"/>
        </w:rPr>
      </w:pPr>
    </w:p>
    <w:p>
      <w:pPr>
        <w:ind w:right="3159" w:firstLine="537"/>
        <w:spacing w:after="0" w:line="241" w:lineRule="auto"/>
        <w:rPr>
          <w:sz w:val="20"/>
          <w:szCs w:val="20"/>
          <w:color w:val="auto"/>
        </w:rPr>
      </w:pPr>
      <w:r>
        <w:rPr>
          <w:rFonts w:ascii="Courier New" w:cs="Courier New" w:eastAsia="Courier New" w:hAnsi="Courier New"/>
          <w:sz w:val="15"/>
          <w:szCs w:val="15"/>
          <w:color w:val="auto"/>
        </w:rPr>
        <w:t>The Company operates out of four office/manufacturing facilities in Zeeland, Michigan, approximately 25 miles southwest of Grand Rapids. The office and production facility for the Fire Protection Products Group is a</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25,000-square-foot, one-story building leased by the Company since 1978 from related parties (see Part III, Item 13, of this report).</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corporate office and production facility for the Company's Automotive Products Group is a modern, two-story, 150,000-square-foot building of steel and masonry construction situated on a 40-acre site in a well-kept industrial park. A second 128,000-square-foot office/manufacturing facility on this site was opened during 1996. The Company expanded its automotive production facilities by constructing a third 170,000 square-foot facility on its current site which opened in the second quarter of 2000.</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November 2002, the Company announced plans to expand its manufacturing operations in Zeeland, Michigan, with the construction of a fourth automotive mirror manufacturing facility which is currently scheduled to be completed in spring 2006. During 2003, the Company also announced plans for a new technical office facility linking the fourth manufacturing facility with its existing corporate office and production facility. The Company plans to invest approximately $35 - 40 million for the new facilities, primarily during 2005 and 2006.</w:t>
      </w:r>
    </w:p>
    <w:p>
      <w:pPr>
        <w:spacing w:after="0" w:line="177" w:lineRule="exact"/>
        <w:rPr>
          <w:sz w:val="20"/>
          <w:szCs w:val="20"/>
          <w:color w:val="auto"/>
        </w:rPr>
      </w:pPr>
    </w:p>
    <w:p>
      <w:pPr>
        <w:ind w:right="3079" w:firstLine="537"/>
        <w:spacing w:after="0" w:line="241" w:lineRule="auto"/>
        <w:rPr>
          <w:sz w:val="20"/>
          <w:szCs w:val="20"/>
          <w:color w:val="auto"/>
        </w:rPr>
      </w:pPr>
      <w:r>
        <w:rPr>
          <w:rFonts w:ascii="Courier New" w:cs="Courier New" w:eastAsia="Courier New" w:hAnsi="Courier New"/>
          <w:sz w:val="15"/>
          <w:szCs w:val="15"/>
          <w:color w:val="auto"/>
        </w:rPr>
        <w:t>The Company also constructed a 40,000 square-foot office, distribution and light manufacturing facility near Neckarsulm, Germany, at a cost of approximately $5 million, which was completed at the end of 2003.</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The Company's three automotive mirror manufacturing facilities currently have an estimated building capacity to manufacture approximately 12 million mirror units annually, based on the current product mix. The Company's fourth automotive mirror manufacturing facility under construction will have the potential to increase building manufacturing capacity by 7-8 million mirror units annually.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None that are significant.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6" w:lineRule="exact"/>
        <w:rPr>
          <w:sz w:val="20"/>
          <w:szCs w:val="20"/>
          <w:color w:val="auto"/>
        </w:rPr>
      </w:pPr>
    </w:p>
    <w:p>
      <w:pPr>
        <w:ind w:right="3259" w:firstLine="537"/>
        <w:spacing w:after="0" w:line="241" w:lineRule="auto"/>
        <w:rPr>
          <w:sz w:val="20"/>
          <w:szCs w:val="20"/>
          <w:color w:val="auto"/>
        </w:rPr>
      </w:pPr>
      <w:r>
        <w:rPr>
          <w:rFonts w:ascii="Courier New" w:cs="Courier New" w:eastAsia="Courier New" w:hAnsi="Courier New"/>
          <w:sz w:val="15"/>
          <w:szCs w:val="15"/>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AGE</w:t>
            </w:r>
          </w:p>
        </w:tc>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POSITION</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POSITION HELD SINCE</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5"/>
                <w:szCs w:val="15"/>
                <w:color w:val="auto"/>
              </w:rPr>
              <w:t>Fred Bauer</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w:t>
            </w:r>
          </w:p>
        </w:tc>
        <w:tc>
          <w:tcPr>
            <w:tcW w:w="474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May 1986</w:t>
            </w: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5"/>
                <w:szCs w:val="15"/>
                <w:color w:val="auto"/>
              </w:rPr>
              <w:t>Garth Deur</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474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September 2002</w:t>
            </w: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5"/>
                <w:szCs w:val="15"/>
                <w:color w:val="auto"/>
              </w:rPr>
              <w:t>Dennis Alexejun</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4740" w:type="dxa"/>
            <w:vAlign w:val="bottom"/>
          </w:tcPr>
          <w:p>
            <w:pPr>
              <w:spacing w:after="0"/>
              <w:rPr>
                <w:sz w:val="20"/>
                <w:szCs w:val="20"/>
                <w:color w:val="auto"/>
              </w:rPr>
            </w:pPr>
            <w:r>
              <w:rPr>
                <w:rFonts w:ascii="Courier New" w:cs="Courier New" w:eastAsia="Courier New" w:hAnsi="Courier New"/>
                <w:sz w:val="15"/>
                <w:szCs w:val="15"/>
                <w:color w:val="auto"/>
              </w:rPr>
              <w:t>Vice President, North American Automotive Marketing</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September 1998</w:t>
            </w: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5"/>
                <w:szCs w:val="15"/>
                <w:color w:val="auto"/>
              </w:rPr>
              <w:t>John Carter</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4740" w:type="dxa"/>
            <w:vAlign w:val="bottom"/>
          </w:tcPr>
          <w:p>
            <w:pPr>
              <w:spacing w:after="0"/>
              <w:rPr>
                <w:sz w:val="20"/>
                <w:szCs w:val="20"/>
                <w:color w:val="auto"/>
              </w:rPr>
            </w:pPr>
            <w:r>
              <w:rPr>
                <w:rFonts w:ascii="Courier New" w:cs="Courier New" w:eastAsia="Courier New" w:hAnsi="Courier New"/>
                <w:sz w:val="15"/>
                <w:szCs w:val="15"/>
                <w:color w:val="auto"/>
              </w:rPr>
              <w:t>Vice President, Mechanical Engineering</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June 1997</w:t>
            </w: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5"/>
                <w:szCs w:val="15"/>
                <w:color w:val="auto"/>
              </w:rPr>
              <w:t>Enoch Jen</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4740" w:type="dxa"/>
            <w:vAlign w:val="bottom"/>
          </w:tcPr>
          <w:p>
            <w:pPr>
              <w:spacing w:after="0"/>
              <w:rPr>
                <w:sz w:val="20"/>
                <w:szCs w:val="20"/>
                <w:color w:val="auto"/>
              </w:rPr>
            </w:pPr>
            <w:r>
              <w:rPr>
                <w:rFonts w:ascii="Courier New" w:cs="Courier New" w:eastAsia="Courier New" w:hAnsi="Courier New"/>
                <w:sz w:val="15"/>
                <w:szCs w:val="15"/>
                <w:color w:val="auto"/>
              </w:rPr>
              <w:t>Vice President, Finance</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February 1991</w:t>
            </w:r>
          </w:p>
        </w:tc>
      </w:tr>
    </w:tbl>
    <w:p>
      <w:pPr>
        <w:spacing w:after="0" w:line="348" w:lineRule="exact"/>
        <w:rPr>
          <w:sz w:val="20"/>
          <w:szCs w:val="20"/>
          <w:color w:val="auto"/>
        </w:rPr>
      </w:pPr>
    </w:p>
    <w:p>
      <w:pPr>
        <w:ind w:right="3779" w:firstLine="537"/>
        <w:spacing w:after="0"/>
        <w:rPr>
          <w:sz w:val="20"/>
          <w:szCs w:val="20"/>
          <w:color w:val="auto"/>
        </w:rPr>
      </w:pPr>
      <w:r>
        <w:rPr>
          <w:rFonts w:ascii="Courier New" w:cs="Courier New" w:eastAsia="Courier New" w:hAnsi="Courier New"/>
          <w:sz w:val="15"/>
          <w:szCs w:val="15"/>
          <w:color w:val="auto"/>
        </w:rPr>
        <w:t>There are no family relationships among the officers listed in the preceding table.</w:t>
      </w:r>
    </w:p>
    <w:p>
      <w:pPr>
        <w:spacing w:after="0" w:line="176" w:lineRule="exact"/>
        <w:rPr>
          <w:sz w:val="20"/>
          <w:szCs w:val="20"/>
          <w:color w:val="auto"/>
        </w:rPr>
      </w:pPr>
    </w:p>
    <w:p>
      <w:pPr>
        <w:ind w:right="3339" w:firstLine="537"/>
        <w:spacing w:after="0" w:line="241" w:lineRule="auto"/>
        <w:rPr>
          <w:sz w:val="20"/>
          <w:szCs w:val="20"/>
          <w:color w:val="auto"/>
        </w:rPr>
      </w:pPr>
      <w:r>
        <w:rPr>
          <w:rFonts w:ascii="Courier New" w:cs="Courier New" w:eastAsia="Courier New" w:hAnsi="Courier New"/>
          <w:sz w:val="15"/>
          <w:szCs w:val="15"/>
          <w:color w:val="auto"/>
        </w:rPr>
        <w:t>Except for the executive officer listed below, all other executive officers have held their current position with the Company for more than five years.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Garth Deur has served as Executive Vice President of the Company since September 2002, as Senior Vice President of the Company since May 2001, and joined the Company as Vice President - Business Development and Planning in November 2000. Prior to joining the Company, Mr. Deur served as a Principal of Landmark Group, an investment management company, from March 1999 through November 2000. Prior to that time, Mr. Deur served as Vice President, Chrysler Business Operations, from March 1995 through March 1999, at the Automotive Interiors division of Johnson Controls, Inc. (formerly Prince Corporation, which was acquired by Johnson Controls in 1996).</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3" w:right="1440" w:bottom="1440" w:gutter="0" w:footer="0" w:header="0"/>
        </w:sectPr>
      </w:pPr>
    </w:p>
    <w:bookmarkStart w:id="11" w:name="page12"/>
    <w:bookmarkEnd w:id="11"/>
    <w:p>
      <w:pPr>
        <w:ind w:left="3220"/>
        <w:spacing w:after="0"/>
        <w:rPr>
          <w:sz w:val="20"/>
          <w:szCs w:val="20"/>
          <w:color w:val="auto"/>
        </w:rPr>
      </w:pPr>
      <w:r>
        <w:rPr>
          <w:rFonts w:ascii="Courier New" w:cs="Courier New" w:eastAsia="Courier New" w:hAnsi="Courier New"/>
          <w:sz w:val="15"/>
          <w:szCs w:val="15"/>
          <w:color w:val="auto"/>
        </w:rPr>
        <w:t>PART II</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Company's common stock trades on The Nasdaq Stock Market(R). As of February 1, 2005, there were 2,421 record-holders of the Company's common stock. Ranges of high and low sale prices of the Company's common stock reported through The Nasdaq Stock Market for the past two fiscal years appear in the following table.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 ----</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$ 32.68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$ 23.90</w:t>
            </w:r>
          </w:p>
        </w:tc>
      </w:tr>
      <w:tr>
        <w:trPr>
          <w:trHeight w:val="344"/>
        </w:trPr>
        <w:tc>
          <w:tcPr>
            <w:tcW w:w="5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25.03</w:t>
            </w:r>
          </w:p>
        </w:tc>
      </w:tr>
      <w:tr>
        <w:trPr>
          <w:trHeight w:val="344"/>
        </w:trPr>
        <w:tc>
          <w:tcPr>
            <w:tcW w:w="5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29.83</w:t>
            </w:r>
          </w:p>
        </w:tc>
      </w:tr>
      <w:tr>
        <w:trPr>
          <w:trHeight w:val="344"/>
        </w:trPr>
        <w:tc>
          <w:tcPr>
            <w:tcW w:w="5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34.46</w:t>
            </w:r>
          </w:p>
        </w:tc>
      </w:tr>
      <w:tr>
        <w:trPr>
          <w:trHeight w:val="344"/>
        </w:trPr>
        <w:tc>
          <w:tcPr>
            <w:tcW w:w="5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47.08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39.36</w:t>
            </w:r>
          </w:p>
        </w:tc>
      </w:tr>
      <w:tr>
        <w:trPr>
          <w:trHeight w:val="344"/>
        </w:trPr>
        <w:tc>
          <w:tcPr>
            <w:tcW w:w="5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46.91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34.33</w:t>
            </w:r>
          </w:p>
        </w:tc>
      </w:tr>
      <w:tr>
        <w:trPr>
          <w:trHeight w:val="344"/>
        </w:trPr>
        <w:tc>
          <w:tcPr>
            <w:tcW w:w="5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39.80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32.00</w:t>
            </w:r>
          </w:p>
        </w:tc>
      </w:tr>
      <w:tr>
        <w:trPr>
          <w:trHeight w:val="344"/>
        </w:trPr>
        <w:tc>
          <w:tcPr>
            <w:tcW w:w="5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30.19</w:t>
            </w:r>
          </w:p>
        </w:tc>
      </w:tr>
    </w:tbl>
    <w:p>
      <w:pPr>
        <w:spacing w:after="0" w:line="348"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 August 2003, the Company announced a change in the Company's cash dividend policy and declared an initial cash dividend of $0.15 per share payable in October 2003. In August 2004, the Company's Board of Directors approved a continuing resolution to pay a quarterly dividend of $0.17 per share until the Board takes other action with respect to the payment of dividends. Based on current U.S. income tax laws, the Company intends to continue to pay a quarterly cash dividend at its current level.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580" w:type="dxa"/>
            <w:vAlign w:val="bottom"/>
          </w:tcPr>
          <w:p>
            <w:pPr>
              <w:spacing w:after="0"/>
              <w:rPr>
                <w:sz w:val="14"/>
                <w:szCs w:val="14"/>
                <w:color w:val="auto"/>
              </w:rPr>
            </w:pPr>
          </w:p>
        </w:tc>
      </w:tr>
      <w:tr>
        <w:trPr>
          <w:trHeight w:val="172"/>
        </w:trPr>
        <w:tc>
          <w:tcPr>
            <w:tcW w:w="2280" w:type="dxa"/>
            <w:vAlign w:val="bottom"/>
          </w:tcPr>
          <w:p>
            <w:pPr>
              <w:spacing w:after="0"/>
              <w:rPr>
                <w:sz w:val="14"/>
                <w:szCs w:val="14"/>
                <w:color w:val="auto"/>
              </w:rPr>
            </w:pPr>
          </w:p>
        </w:tc>
        <w:tc>
          <w:tcPr>
            <w:tcW w:w="50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2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505,666</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$469,019</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395,258</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$310,305</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$297,421</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0" w:type="dxa"/>
            <w:vAlign w:val="bottom"/>
          </w:tcPr>
          <w:p>
            <w:pPr>
              <w:spacing w:after="0"/>
              <w:rPr>
                <w:sz w:val="24"/>
                <w:szCs w:val="2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112,657</w:t>
            </w:r>
          </w:p>
        </w:tc>
        <w:tc>
          <w:tcPr>
            <w:tcW w:w="260" w:type="dxa"/>
            <w:vAlign w:val="bottom"/>
          </w:tcPr>
          <w:p>
            <w:pPr>
              <w:spacing w:after="0"/>
              <w:rPr>
                <w:sz w:val="24"/>
                <w:szCs w:val="2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106,761</w:t>
            </w:r>
          </w:p>
        </w:tc>
        <w:tc>
          <w:tcPr>
            <w:tcW w:w="32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85,771</w:t>
            </w:r>
          </w:p>
        </w:tc>
        <w:tc>
          <w:tcPr>
            <w:tcW w:w="260" w:type="dxa"/>
            <w:vAlign w:val="bottom"/>
          </w:tcPr>
          <w:p>
            <w:pPr>
              <w:spacing w:after="0"/>
              <w:rPr>
                <w:sz w:val="24"/>
                <w:szCs w:val="2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65,217</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70,544</w:t>
            </w:r>
          </w:p>
        </w:tc>
      </w:tr>
      <w:tr>
        <w:trPr>
          <w:trHeight w:val="172"/>
        </w:trPr>
        <w:tc>
          <w:tcPr>
            <w:tcW w:w="22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0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w:t>
            </w:r>
          </w:p>
        </w:tc>
        <w:tc>
          <w:tcPr>
            <w:tcW w:w="2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0.86</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0.93</w:t>
            </w:r>
          </w:p>
        </w:tc>
      </w:tr>
      <w:tr>
        <w:trPr>
          <w:trHeight w:val="172"/>
        </w:trPr>
        <w:tc>
          <w:tcPr>
            <w:tcW w:w="22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Cash Dividends Declared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0.30</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856,859</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$762,530</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609,173</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$506,823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$428,129</w:t>
            </w:r>
          </w:p>
        </w:tc>
      </w:tr>
      <w:tr>
        <w:trPr>
          <w:trHeight w:val="172"/>
        </w:trPr>
        <w:tc>
          <w:tcPr>
            <w:tcW w:w="22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Outstanding at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Year End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12" w:name="page13"/>
    <w:bookmarkEnd w:id="12"/>
    <w:p>
      <w:pPr>
        <w:ind w:right="3699"/>
        <w:spacing w:after="0"/>
        <w:rPr>
          <w:sz w:val="20"/>
          <w:szCs w:val="20"/>
          <w:color w:val="auto"/>
        </w:rPr>
      </w:pPr>
      <w:r>
        <w:rPr>
          <w:rFonts w:ascii="Courier New" w:cs="Courier New" w:eastAsia="Courier New" w:hAnsi="Courier New"/>
          <w:sz w:val="15"/>
          <w:szCs w:val="15"/>
          <w:color w:val="auto"/>
        </w:rPr>
        <w:t>ITEM 7. MANAGEMENT'S DISCUSSION AND ANALYSIS OF RESULTS OF OPERATIONS AND FINANCIAL CONDITION. RESULTS OF OPERATIONS.</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2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Percentage of Net Sales</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Change</w:t>
            </w:r>
          </w:p>
        </w:tc>
      </w:tr>
      <w:tr>
        <w:trPr>
          <w:trHeight w:val="172"/>
        </w:trPr>
        <w:tc>
          <w:tcPr>
            <w:tcW w:w="3920" w:type="dxa"/>
            <w:vAlign w:val="bottom"/>
          </w:tcPr>
          <w:p>
            <w:pPr>
              <w:spacing w:after="0"/>
              <w:rPr>
                <w:sz w:val="14"/>
                <w:szCs w:val="14"/>
                <w:color w:val="auto"/>
              </w:rPr>
            </w:pPr>
          </w:p>
        </w:tc>
        <w:tc>
          <w:tcPr>
            <w:tcW w:w="22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22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2003</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3920" w:type="dxa"/>
            <w:vAlign w:val="bottom"/>
          </w:tcPr>
          <w:p>
            <w:pPr>
              <w:spacing w:after="0"/>
              <w:rPr>
                <w:sz w:val="14"/>
                <w:szCs w:val="14"/>
                <w:color w:val="auto"/>
              </w:rPr>
            </w:pPr>
          </w:p>
        </w:tc>
        <w:tc>
          <w:tcPr>
            <w:tcW w:w="22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w:t>
            </w:r>
          </w:p>
        </w:tc>
      </w:tr>
      <w:tr>
        <w:trPr>
          <w:trHeight w:val="172"/>
        </w:trPr>
        <w:tc>
          <w:tcPr>
            <w:tcW w:w="39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2004</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2004</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39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w:t>
            </w:r>
          </w:p>
        </w:tc>
      </w:tr>
      <w:tr>
        <w:trPr>
          <w:trHeight w:val="172"/>
        </w:trPr>
        <w:tc>
          <w:tcPr>
            <w:tcW w:w="39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41.1</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Engineering, Research and Development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w:t>
            </w:r>
          </w:p>
        </w:tc>
      </w:tr>
      <w:tr>
        <w:trPr>
          <w:trHeight w:val="172"/>
        </w:trPr>
        <w:tc>
          <w:tcPr>
            <w:tcW w:w="39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w:t>
            </w:r>
          </w:p>
        </w:tc>
      </w:tr>
      <w:tr>
        <w:trPr>
          <w:trHeight w:val="172"/>
        </w:trPr>
        <w:tc>
          <w:tcPr>
            <w:tcW w:w="39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r>
      <w:tr>
        <w:trPr>
          <w:trHeight w:val="172"/>
        </w:trPr>
        <w:tc>
          <w:tcPr>
            <w:tcW w:w="39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Provision for  Income Taxes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w:t>
            </w:r>
          </w:p>
        </w:tc>
      </w:tr>
      <w:tr>
        <w:trPr>
          <w:trHeight w:val="172"/>
        </w:trPr>
        <w:tc>
          <w:tcPr>
            <w:tcW w:w="39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w:t>
            </w:r>
          </w:p>
        </w:tc>
      </w:tr>
      <w:tr>
        <w:trPr>
          <w:trHeight w:val="172"/>
        </w:trPr>
        <w:tc>
          <w:tcPr>
            <w:tcW w:w="39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2004 TO 2003</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Net Sales. Automotive net sales increased by 8% on a 13% increase in mirror shipments, from 10,260,000 to 11,640,000 units, primarily reflecting increased penetration on European vehicles for base interior auto-dimming mirrors. North American unit shipments increased by 3%, as growth in Asian transplant vehicle penetration was mostly offset by reduced shipments to General Motors, the Company's largest customer, as North American light vehicle production declined by 1% in 2004 compared to 2003. Overseas unit shipments increased by 26% during 2004 due to increased penetration, despite a 1% decline in Western Europe light vehicle production. During 2004, approximately 10% of the Company's net sales were invoiced and paid in European euros. Net sales of the Company's fire protection products decreased 1%, primarily due to the continuing weak commercial construction market in the United States.</w:t>
      </w:r>
    </w:p>
    <w:p>
      <w:pPr>
        <w:spacing w:after="0" w:line="180" w:lineRule="exact"/>
        <w:rPr>
          <w:sz w:val="20"/>
          <w:szCs w:val="20"/>
          <w:color w:val="auto"/>
        </w:rPr>
      </w:pPr>
    </w:p>
    <w:p>
      <w:pPr>
        <w:ind w:right="3079" w:firstLine="537"/>
        <w:spacing w:after="0" w:line="265" w:lineRule="auto"/>
        <w:rPr>
          <w:sz w:val="20"/>
          <w:szCs w:val="20"/>
          <w:color w:val="auto"/>
        </w:rPr>
      </w:pPr>
      <w:r>
        <w:rPr>
          <w:rFonts w:ascii="Courier New" w:cs="Courier New" w:eastAsia="Courier New" w:hAnsi="Courier New"/>
          <w:sz w:val="14"/>
          <w:szCs w:val="14"/>
          <w:color w:val="auto"/>
        </w:rPr>
        <w:t>Cost of Goods Sold. As a percentage of net sales, cost of goods sold increased from 58% to 59%, primarily reflecting annual automotive customer price reductions and product mix, partially offset by improved productivity. Each factor is estimated to have impacted cost of goods sold by approximately 1-2%.</w:t>
      </w:r>
    </w:p>
    <w:p>
      <w:pPr>
        <w:spacing w:after="0" w:line="160"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Operating Expenses. Engineering, research and development expenses increased approximately $4,220,000, but remained at 6% of net sales, primarily due to additional staffing for new electronic product development, including SmartBeam and telematics. Selling, general and administrative expenses increased approximately $3,534,000, but remained at 5% of net sales, primarily reflecting the continued expansion of the Company's overseas sales offices to support the Company's current and future overseas sales growth, as well as the stronger euro exchange rate.</w:t>
      </w:r>
    </w:p>
    <w:p>
      <w:pPr>
        <w:spacing w:after="0" w:line="177"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Other Income - Net. Investment income increased $401,000 in 2004, primarily due to increased mutual fund distribution income, partially offset by lower interest rates due to shorter average maturities. Other income increased $3,677,000 in 2004, primarily due to realized gains on the sale of equity investments and customer-reimbursable projects.</w:t>
      </w:r>
    </w:p>
    <w:p>
      <w:pPr>
        <w:spacing w:after="0" w:line="175" w:lineRule="exact"/>
        <w:rPr>
          <w:sz w:val="20"/>
          <w:szCs w:val="20"/>
          <w:color w:val="auto"/>
        </w:rPr>
      </w:pPr>
    </w:p>
    <w:p>
      <w:pPr>
        <w:ind w:right="3159" w:firstLine="537"/>
        <w:spacing w:after="0" w:line="263" w:lineRule="auto"/>
        <w:rPr>
          <w:sz w:val="20"/>
          <w:szCs w:val="20"/>
          <w:color w:val="auto"/>
        </w:rPr>
      </w:pPr>
      <w:r>
        <w:rPr>
          <w:rFonts w:ascii="Courier New" w:cs="Courier New" w:eastAsia="Courier New" w:hAnsi="Courier New"/>
          <w:sz w:val="14"/>
          <w:szCs w:val="14"/>
          <w:color w:val="auto"/>
        </w:rPr>
        <w:t>Taxes. The provision for federal income taxes varied from the statutory rate in 2004 primarily due to Extra Territorial Income (ETI) Exclusion Act exempted taxable income from increased foreign sales. The effective income tax rate decreased from 32.5% in the first half of 2004 to 31.5% in the second half of 2004, primarily due to the ETI tax benefit from increased foreign sales.</w:t>
      </w:r>
    </w:p>
    <w:p>
      <w:pPr>
        <w:spacing w:after="0" w:line="163" w:lineRule="exact"/>
        <w:rPr>
          <w:sz w:val="20"/>
          <w:szCs w:val="20"/>
          <w:color w:val="auto"/>
        </w:rPr>
      </w:pPr>
    </w:p>
    <w:p>
      <w:pPr>
        <w:ind w:right="3079" w:firstLine="537"/>
        <w:spacing w:after="0" w:line="241" w:lineRule="auto"/>
        <w:rPr>
          <w:sz w:val="20"/>
          <w:szCs w:val="20"/>
          <w:color w:val="auto"/>
        </w:rPr>
      </w:pPr>
      <w:r>
        <w:rPr>
          <w:rFonts w:ascii="Courier New" w:cs="Courier New" w:eastAsia="Courier New" w:hAnsi="Courier New"/>
          <w:sz w:val="15"/>
          <w:szCs w:val="15"/>
          <w:color w:val="auto"/>
        </w:rPr>
        <w:t>Net Income. Net income increased by 6%, primarily reflecting the increased gross margin due to higher sales as well as the increase in other income in 2004.</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RESULTS OF OPERATIONS: 2003 TO 2002</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Net Sales. Automotive net sales increased by 19% on a 17% increase in mirror shipments, from 8,806,000 to 10,260,000 units, primarily reflecting increased penetration on 2003 and 2004 model year vehicles for auto-dimming mirrors plus additional electronic content. North American unit shipments increased by 11%, while overseas unit shipments increased by 24% during 2003. Net sales of the Company's fire protection products increased 8%, primarily due to higher sales of the Company's signaling products.</w:t>
      </w:r>
    </w:p>
    <w:p>
      <w:pPr>
        <w:spacing w:after="0" w:line="177" w:lineRule="exact"/>
        <w:rPr>
          <w:sz w:val="20"/>
          <w:szCs w:val="20"/>
          <w:color w:val="auto"/>
        </w:rPr>
      </w:pPr>
    </w:p>
    <w:p>
      <w:pPr>
        <w:ind w:right="3439" w:firstLine="537"/>
        <w:spacing w:after="0" w:line="242" w:lineRule="auto"/>
        <w:rPr>
          <w:sz w:val="20"/>
          <w:szCs w:val="20"/>
          <w:color w:val="auto"/>
        </w:rPr>
      </w:pPr>
      <w:r>
        <w:rPr>
          <w:rFonts w:ascii="Courier New" w:cs="Courier New" w:eastAsia="Courier New" w:hAnsi="Courier New"/>
          <w:sz w:val="15"/>
          <w:szCs w:val="15"/>
          <w:color w:val="auto"/>
        </w:rPr>
        <w:t>Cost of Goods Sold. As a percentage of net sales, cost of goods sold decreased from 60% to 58%, primarily reflecting product mix, improved productivity, and purchasing cost reductions, partially offset by automotive customer price reductions. Each factor is estimated to have impacted cost of goods sold by approximately 1-2%.</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Operating Expenses. Engineering, research and development expenses increased approximately $3,641,000, but remained at 6% of net sales, primarily due to additional staffing for new electronic product development, including SmartBeam and telematics. Selling, general and administrative expenses increased approximately $1,838,000, but remained at 5% of net sales, primarily reflecting the continued expansion of the Company's overseas sales offices to support the Company's current and future overseas sales growth.</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Other Income - Net. Investment income decreased $1,516,000 in 2003, primarily due to lower interest rates and shorter average maturities. Other income increased $1,232,000 in 2003, primarily due to realized gains on the sale of investments and customer-reimbursable projects.</w:t>
      </w:r>
    </w:p>
    <w:p>
      <w:pPr>
        <w:spacing w:after="0" w:line="175" w:lineRule="exact"/>
        <w:rPr>
          <w:sz w:val="20"/>
          <w:szCs w:val="20"/>
          <w:color w:val="auto"/>
        </w:rPr>
      </w:pPr>
    </w:p>
    <w:p>
      <w:pPr>
        <w:jc w:val="both"/>
        <w:ind w:right="3339" w:firstLine="537"/>
        <w:spacing w:after="0" w:line="241"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 in 2003 primarily due to Extra Territorial Income Exclusion Act exempted taxable income from increased foreign sales.</w:t>
      </w:r>
    </w:p>
    <w:p>
      <w:pPr>
        <w:spacing w:after="0" w:line="176" w:lineRule="exact"/>
        <w:rPr>
          <w:sz w:val="20"/>
          <w:szCs w:val="20"/>
          <w:color w:val="auto"/>
        </w:rPr>
      </w:pPr>
    </w:p>
    <w:p>
      <w:pPr>
        <w:ind w:right="3339" w:firstLine="537"/>
        <w:spacing w:after="0" w:line="241" w:lineRule="auto"/>
        <w:rPr>
          <w:sz w:val="20"/>
          <w:szCs w:val="20"/>
          <w:color w:val="auto"/>
        </w:rPr>
      </w:pPr>
      <w:r>
        <w:rPr>
          <w:rFonts w:ascii="Courier New" w:cs="Courier New" w:eastAsia="Courier New" w:hAnsi="Courier New"/>
          <w:sz w:val="15"/>
          <w:szCs w:val="15"/>
          <w:color w:val="auto"/>
        </w:rPr>
        <w:t>Net Income. Net income increased by 24%, primarily reflecting the increased gross margin and increased sales volume spread over fixed operating expenses in 2003.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439" w:firstLine="537"/>
        <w:spacing w:after="0"/>
        <w:rPr>
          <w:sz w:val="20"/>
          <w:szCs w:val="20"/>
          <w:color w:val="auto"/>
        </w:rPr>
      </w:pPr>
      <w:r>
        <w:rPr>
          <w:rFonts w:ascii="Courier New" w:cs="Courier New" w:eastAsia="Courier New" w:hAnsi="Courier New"/>
          <w:sz w:val="15"/>
          <w:szCs w:val="15"/>
          <w:color w:val="auto"/>
        </w:rPr>
        <w:t>The Company's financial condition throughout the periods presented has remained very strong.</w:t>
      </w:r>
    </w:p>
    <w:p>
      <w:pPr>
        <w:spacing w:after="0" w:line="176" w:lineRule="exact"/>
        <w:rPr>
          <w:sz w:val="20"/>
          <w:szCs w:val="20"/>
          <w:color w:val="auto"/>
        </w:rPr>
      </w:pPr>
    </w:p>
    <w:p>
      <w:pPr>
        <w:jc w:val="both"/>
        <w:ind w:right="3079" w:firstLine="537"/>
        <w:spacing w:after="0" w:line="241" w:lineRule="auto"/>
        <w:rPr>
          <w:sz w:val="20"/>
          <w:szCs w:val="20"/>
          <w:color w:val="auto"/>
        </w:rPr>
      </w:pPr>
      <w:r>
        <w:rPr>
          <w:rFonts w:ascii="Courier New" w:cs="Courier New" w:eastAsia="Courier New" w:hAnsi="Courier New"/>
          <w:sz w:val="15"/>
          <w:szCs w:val="15"/>
          <w:color w:val="auto"/>
        </w:rPr>
        <w:t>The Company's current ratio increased from 9.6 as of December 31, 2003, to 11.7 as of December 31, 2004, primarily as a result of the increase in cash and cash equivalents.</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Cash flow from operating activities for the year ended December 31, 2004, increased $14,785,000 to $131,368,000, compared to $116,583,000 for the same period last year, primarily due to increased net income. Capital expenditures for the year ended December 31, 2004, were $30,535,000, compared to $22,248,000 for the same period last year, primarily due to increased purchase of manufacturing equipment. The Company currently anticipates capital expenditures of approximately $45 - 50 million for new facilities and equipment during 2005, financed from existing cash reserves.</w:t>
      </w:r>
    </w:p>
    <w:p>
      <w:pPr>
        <w:spacing w:after="0" w:line="177" w:lineRule="exact"/>
        <w:rPr>
          <w:sz w:val="20"/>
          <w:szCs w:val="20"/>
          <w:color w:val="auto"/>
        </w:rPr>
      </w:pPr>
    </w:p>
    <w:p>
      <w:pPr>
        <w:ind w:right="3079" w:firstLine="537"/>
        <w:spacing w:after="0" w:line="267" w:lineRule="auto"/>
        <w:rPr>
          <w:sz w:val="20"/>
          <w:szCs w:val="20"/>
          <w:color w:val="auto"/>
        </w:rPr>
      </w:pPr>
      <w:r>
        <w:rPr>
          <w:rFonts w:ascii="Courier New" w:cs="Courier New" w:eastAsia="Courier New" w:hAnsi="Courier New"/>
          <w:sz w:val="14"/>
          <w:szCs w:val="14"/>
          <w:color w:val="auto"/>
        </w:rPr>
        <w:t>Cash and cash equivalents as of December 31, 2004, increased approximately $72,875,748 compared to December 31, 2003. The increase was primarily due to cash flow from operations, partially offset by cash dividends paid.</w:t>
      </w:r>
    </w:p>
    <w:p>
      <w:pPr>
        <w:spacing w:after="0" w:line="159" w:lineRule="exact"/>
        <w:rPr>
          <w:sz w:val="20"/>
          <w:szCs w:val="20"/>
          <w:color w:val="auto"/>
        </w:rPr>
      </w:pPr>
    </w:p>
    <w:p>
      <w:pPr>
        <w:ind w:right="3339" w:firstLine="537"/>
        <w:spacing w:after="0" w:line="265" w:lineRule="auto"/>
        <w:rPr>
          <w:sz w:val="20"/>
          <w:szCs w:val="20"/>
          <w:color w:val="auto"/>
        </w:rPr>
      </w:pPr>
      <w:r>
        <w:rPr>
          <w:rFonts w:ascii="Courier New" w:cs="Courier New" w:eastAsia="Courier New" w:hAnsi="Courier New"/>
          <w:sz w:val="14"/>
          <w:szCs w:val="14"/>
          <w:color w:val="auto"/>
        </w:rPr>
        <w:t>Inventories as of December 31, 2004, increased approximately $9,662,000 compared to December 31, 2003. The increase was primarily due to higher sales and production levels, increased purchase of overseas glass and electronic parts, and increased shipments through its distribution facility in Germany.</w:t>
      </w:r>
    </w:p>
    <w:p>
      <w:pPr>
        <w:spacing w:after="0" w:line="160" w:lineRule="exact"/>
        <w:rPr>
          <w:sz w:val="20"/>
          <w:szCs w:val="20"/>
          <w:color w:val="auto"/>
        </w:rPr>
      </w:pPr>
    </w:p>
    <w:p>
      <w:pPr>
        <w:ind w:right="3439" w:firstLine="537"/>
        <w:spacing w:after="0" w:line="241" w:lineRule="auto"/>
        <w:rPr>
          <w:sz w:val="20"/>
          <w:szCs w:val="20"/>
          <w:color w:val="auto"/>
        </w:rPr>
      </w:pPr>
      <w:r>
        <w:rPr>
          <w:rFonts w:ascii="Courier New" w:cs="Courier New" w:eastAsia="Courier New" w:hAnsi="Courier New"/>
          <w:sz w:val="15"/>
          <w:szCs w:val="15"/>
          <w:color w:val="auto"/>
        </w:rPr>
        <w:t>The increase in deferred taxes as of December 31, 2004, compared to December 31, 2003, is primarily due to an increase in the unrealized gain on investments as of December 31, 2004 .</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Management considers the Company's working capital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$541,753,000 and long-term investments of approximately $122,174,000 at December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2004, together with internally generated cash flow and an unsecured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line of credit from a bank, to be sufficient to cover anticipated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needs for the next year and for the foreseeable future.</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On October 8, 2002, the Company announced a share repurchase plan, under which the Company may purchase up to 4,000,000 shares based on a number of factors, including market conditions, the market price of the Company's common stock, anti-</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3" w:right="1440" w:bottom="1440" w:gutter="0" w:footer="0" w:header="0"/>
        </w:sectPr>
      </w:pPr>
    </w:p>
    <w:bookmarkStart w:id="14" w:name="page15"/>
    <w:bookmarkEnd w:id="14"/>
    <w:p>
      <w:pPr>
        <w:ind w:right="3079"/>
        <w:spacing w:after="0" w:line="242" w:lineRule="auto"/>
        <w:rPr>
          <w:sz w:val="20"/>
          <w:szCs w:val="20"/>
          <w:color w:val="auto"/>
        </w:rPr>
      </w:pPr>
      <w:r>
        <w:rPr>
          <w:rFonts w:ascii="Courier New" w:cs="Courier New" w:eastAsia="Courier New" w:hAnsi="Courier New"/>
          <w:sz w:val="15"/>
          <w:szCs w:val="15"/>
          <w:color w:val="auto"/>
        </w:rPr>
        <w:t>dilutive effect on earnings, available cash and other factors as the Company deems appropriate. During the first quarter of the year ended December 31, 2003, the Company repurchased 415,000 shares at a cost of approximately $10,247,000. There were no shares repurchased during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176" w:lineRule="exact"/>
        <w:rPr>
          <w:sz w:val="20"/>
          <w:szCs w:val="20"/>
          <w:color w:val="auto"/>
        </w:rPr>
      </w:pPr>
    </w:p>
    <w:p>
      <w:pPr>
        <w:ind w:right="3079" w:firstLine="537"/>
        <w:spacing w:after="0" w:line="261" w:lineRule="auto"/>
        <w:rPr>
          <w:sz w:val="20"/>
          <w:szCs w:val="20"/>
          <w:color w:val="auto"/>
        </w:rPr>
      </w:pPr>
      <w:r>
        <w:rPr>
          <w:rFonts w:ascii="Courier New" w:cs="Courier New" w:eastAsia="Courier New" w:hAnsi="Courier New"/>
          <w:sz w:val="14"/>
          <w:szCs w:val="14"/>
          <w:color w:val="auto"/>
        </w:rPr>
        <w:t>In addition to price reductions over the life of its long-term agreements, the Company continues to experience pricing pressures from its automotive customers, which have affected, and which will continue to affect, its margins to the extent that the Company is unable to offset the price reductions with productivity and yield improvements, engineering and purchasing cost reductions, and increases in sales volume. In addition, profit pressures at certain automakers are resulting in increased cost reduction efforts by them, including requests for additional price reductions, decontenting certain features from vehicles, and warranty cost-sharing programs, which could adversely impact the Company's sales growth and margins. Effective October 1, 2003, General Motors Corporation, the Company's largest customer, began including a 30-day escape clause into its contracts in the event its suppliers are not competitive on pricing. Effective January 1, 2004, Ford Motor Company began imposing new contract terms, including the right to terminate a supplier contract at any time for any or no reason, etc. The Company has taken written exception to these new contract clauses and terms by General Motors and Ford. The Company also continues to experience some pressure from raw material cost increases.</w:t>
      </w:r>
    </w:p>
    <w:p>
      <w:pPr>
        <w:spacing w:after="0" w:line="164"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Company generally supplies auto-dimming mirrors to its customers worldwide under annual blanket purchase orders. The Company currently supplies auto-dimming mirrors to DaimlerChrysler AG and interior auto-dimming mirrors to General Motors Corporation under long-term agreements. The long-term supply agreements with DaimlerChrysler AG and General Motors run through the 2006 model year.</w:t>
      </w:r>
    </w:p>
    <w:p>
      <w:pPr>
        <w:spacing w:after="0" w:line="176"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Automakers have been experiencing increased volatility and uncertainty in executing planned new programs which have, in some cases, resulted in cancellations or delays of new vehicle platforms, package reconfigurations and inaccurate volume forecasts. This increased volatility and uncertainty has made it more difficult for the Company to forecast future sales and effectively utilize capital, engineering, research and development, and human resource investments.</w:t>
      </w:r>
    </w:p>
    <w:p>
      <w:pPr>
        <w:spacing w:after="0" w:line="177"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Company currently expects that auto-dimming mirror unit shipments will be flat to five percent higher in the first quarter of 2005 compared with the first quarter of 2004, and that mirror unit shipments will increase approximately ten percent for calendar 2005 compared with calendar 2004. These estimates are based on light vehicle production forecasts in the regions to which the Company ships product, as well as the estimated option rates for its mirrors on prospective vehicle models.</w:t>
      </w:r>
    </w:p>
    <w:p>
      <w:pPr>
        <w:spacing w:after="0" w:line="177"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The Company has begun utilizing the light vehicle production forecasting services of CSM Worldwide, and CSM's current forecasts for light vehicle production for calendar 2005 are approximately 15.9 million units for North America, 20.5 million for Europe and 13.1 million for Japan and Korea. For the first quarter of 2005, CSM is forecasting light vehicle production of 4.0 million units in North America, 5.2 million units in Europe and 3.5 million units in Japan and Korea. There is no significant difference in the overall production numbers when comparing CSM's estimates to those of the Company's previous vendor for the service.</w:t>
      </w:r>
    </w:p>
    <w:p>
      <w:pPr>
        <w:spacing w:after="0" w:line="178" w:lineRule="exact"/>
        <w:rPr>
          <w:sz w:val="20"/>
          <w:szCs w:val="20"/>
          <w:color w:val="auto"/>
        </w:rPr>
      </w:pPr>
    </w:p>
    <w:p>
      <w:pPr>
        <w:ind w:right="3259" w:firstLine="537"/>
        <w:spacing w:after="0" w:line="241" w:lineRule="auto"/>
        <w:rPr>
          <w:sz w:val="20"/>
          <w:szCs w:val="20"/>
          <w:color w:val="auto"/>
        </w:rPr>
      </w:pPr>
      <w:r>
        <w:rPr>
          <w:rFonts w:ascii="Courier New" w:cs="Courier New" w:eastAsia="Courier New" w:hAnsi="Courier New"/>
          <w:sz w:val="15"/>
          <w:szCs w:val="15"/>
          <w:color w:val="auto"/>
        </w:rPr>
        <w:t>The Company does not have any significant off-balance sheet arrangements or commitments that have not been recorded in its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 DISCLOSURE</w:t>
      </w:r>
    </w:p>
    <w:p>
      <w:pPr>
        <w:spacing w:after="0" w:line="176" w:lineRule="exact"/>
        <w:rPr>
          <w:sz w:val="20"/>
          <w:szCs w:val="20"/>
          <w:color w:val="auto"/>
        </w:rPr>
      </w:pPr>
    </w:p>
    <w:p>
      <w:pPr>
        <w:ind w:right="3259" w:firstLine="537"/>
        <w:spacing w:after="0" w:line="241" w:lineRule="auto"/>
        <w:rPr>
          <w:sz w:val="20"/>
          <w:szCs w:val="20"/>
          <w:color w:val="auto"/>
        </w:rPr>
      </w:pPr>
      <w:r>
        <w:rPr>
          <w:rFonts w:ascii="Courier New" w:cs="Courier New" w:eastAsia="Courier New" w:hAnsi="Courier New"/>
          <w:sz w:val="15"/>
          <w:szCs w:val="15"/>
          <w:color w:val="auto"/>
        </w:rPr>
        <w:t>The Company is subject to market risk exposures of varying correlations and volatilities, including foreign exchange rate risk, interest rate risk and equity price risk.</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Company has some assets, liabilities and operations outside the United States, which currently are not significant. Because the Company sells its automotive mirrors throughout the world, it could be significantly affected by weak economic conditions in foreign markets that could reduce demand for its products.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Most of the Company's non-U.S. sales are invoiced and paid in U.S. dollars; during 2004, approximately 10% of the Company's net sales were invoiced and paid in European euros. The Company currently expects that approximately 13-14% of the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5" w:name="page16"/>
    <w:bookmarkEnd w:id="15"/>
    <w:p>
      <w:pPr>
        <w:ind w:right="3439"/>
        <w:spacing w:after="0"/>
        <w:rPr>
          <w:sz w:val="20"/>
          <w:szCs w:val="20"/>
          <w:color w:val="auto"/>
        </w:rPr>
      </w:pPr>
      <w:r>
        <w:rPr>
          <w:rFonts w:ascii="Courier New" w:cs="Courier New" w:eastAsia="Courier New" w:hAnsi="Courier New"/>
          <w:sz w:val="15"/>
          <w:szCs w:val="15"/>
          <w:color w:val="auto"/>
        </w:rPr>
        <w:t>Company's net sales in 2005 will be invoiced and paid in European euros. The Company does not currently engage in hedging activities.</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The Company manages interest rate risk and default risk in its fixed-income investment portfolio by investing in shorter-term maturities and investment grade issues. The Company's fixed-income investments' maturities at fair value (000,000), and average interest rates are as follows: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Total Balance</w:t>
            </w:r>
          </w:p>
        </w:tc>
      </w:tr>
      <w:tr>
        <w:trPr>
          <w:trHeight w:val="172"/>
        </w:trPr>
        <w:tc>
          <w:tcPr>
            <w:tcW w:w="2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2008-</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236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2005</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2006</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2007</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2004</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236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U.S. Government</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$65.2</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$65.2</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$64.9</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Average Interest Rate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Municipal</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$ 4.0</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$ 4.0</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Average Interest Rate*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Certificates of Deposit</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$27.6</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Average Interest Rate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$ 3.2</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$ 3.5</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$21.1</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Average Interest Rate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2"/>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$ 1.1</w:t>
            </w: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$ 1.5</w:t>
            </w:r>
          </w:p>
        </w:tc>
      </w:tr>
      <w:tr>
        <w:trPr>
          <w:trHeight w:val="172"/>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Average Interest Rate</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*After-tax</w:t>
      </w:r>
    </w:p>
    <w:p>
      <w:pPr>
        <w:spacing w:after="0" w:line="176" w:lineRule="exact"/>
        <w:rPr>
          <w:sz w:val="20"/>
          <w:szCs w:val="20"/>
          <w:color w:val="auto"/>
        </w:rPr>
      </w:pPr>
    </w:p>
    <w:p>
      <w:pPr>
        <w:jc w:val="both"/>
        <w:ind w:right="3699" w:firstLine="537"/>
        <w:spacing w:after="0" w:line="241" w:lineRule="auto"/>
        <w:rPr>
          <w:sz w:val="20"/>
          <w:szCs w:val="20"/>
          <w:color w:val="auto"/>
        </w:rPr>
      </w:pPr>
      <w:r>
        <w:rPr>
          <w:rFonts w:ascii="Courier New" w:cs="Courier New" w:eastAsia="Courier New" w:hAnsi="Courier New"/>
          <w:sz w:val="15"/>
          <w:szCs w:val="15"/>
          <w:color w:val="auto"/>
        </w:rPr>
        <w:t>Most of the Company's equity investments are managed by a number of outside equity fund managers who invest primarily in large capitalization companies trading on the U.S. stock markets.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OBLIGATIONS AND OTHER COMMITMENTS</w:t>
      </w:r>
    </w:p>
    <w:p>
      <w:pPr>
        <w:spacing w:after="0" w:line="176" w:lineRule="exact"/>
        <w:rPr>
          <w:sz w:val="20"/>
          <w:szCs w:val="20"/>
          <w:color w:val="auto"/>
        </w:rPr>
      </w:pPr>
    </w:p>
    <w:p>
      <w:pPr>
        <w:ind w:right="4059" w:firstLine="537"/>
        <w:spacing w:after="0"/>
        <w:rPr>
          <w:sz w:val="20"/>
          <w:szCs w:val="20"/>
          <w:color w:val="auto"/>
        </w:rPr>
      </w:pPr>
      <w:r>
        <w:rPr>
          <w:rFonts w:ascii="Courier New" w:cs="Courier New" w:eastAsia="Courier New" w:hAnsi="Courier New"/>
          <w:sz w:val="15"/>
          <w:szCs w:val="15"/>
          <w:color w:val="auto"/>
        </w:rPr>
        <w:t>The Company has the following contractual obligations and other commitments (000,000) as of December 31, 2004:</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1 Year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Years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After 3 Years</w:t>
            </w:r>
          </w:p>
        </w:tc>
      </w:tr>
      <w:tr>
        <w:trPr>
          <w:trHeight w:val="172"/>
        </w:trPr>
        <w:tc>
          <w:tcPr>
            <w:tcW w:w="20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0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Operating leases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spacing w:after="0"/>
              <w:rPr>
                <w:sz w:val="14"/>
                <w:szCs w:val="14"/>
                <w:color w:val="auto"/>
              </w:rPr>
            </w:pP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Purchase obligations*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36.3</w:t>
            </w:r>
          </w:p>
        </w:tc>
        <w:tc>
          <w:tcPr>
            <w:tcW w:w="400" w:type="dxa"/>
            <w:vAlign w:val="bottom"/>
          </w:tcPr>
          <w:p>
            <w:pPr>
              <w:spacing w:after="0"/>
              <w:rPr>
                <w:sz w:val="14"/>
                <w:szCs w:val="14"/>
                <w:color w:val="auto"/>
              </w:rPr>
            </w:pP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Dividends payable</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13.2</w:t>
            </w:r>
          </w:p>
        </w:tc>
        <w:tc>
          <w:tcPr>
            <w:tcW w:w="400" w:type="dxa"/>
            <w:vAlign w:val="bottom"/>
          </w:tcPr>
          <w:p>
            <w:pPr>
              <w:spacing w:after="0"/>
              <w:rPr>
                <w:sz w:val="14"/>
                <w:szCs w:val="14"/>
                <w:color w:val="auto"/>
              </w:rPr>
            </w:pP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$ 0.2</w:t>
            </w:r>
          </w:p>
        </w:tc>
      </w:tr>
      <w:tr>
        <w:trPr>
          <w:trHeight w:val="172"/>
        </w:trPr>
        <w:tc>
          <w:tcPr>
            <w:tcW w:w="204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for inventory parts and capital equipment.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6" w:lineRule="exact"/>
        <w:rPr>
          <w:sz w:val="20"/>
          <w:szCs w:val="20"/>
          <w:color w:val="auto"/>
        </w:rPr>
      </w:pPr>
    </w:p>
    <w:p>
      <w:pPr>
        <w:ind w:right="3259" w:firstLine="537"/>
        <w:spacing w:after="0" w:line="242" w:lineRule="auto"/>
        <w:rPr>
          <w:sz w:val="20"/>
          <w:szCs w:val="20"/>
          <w:color w:val="auto"/>
        </w:rPr>
      </w:pPr>
      <w:r>
        <w:rPr>
          <w:rFonts w:ascii="Courier New" w:cs="Courier New" w:eastAsia="Courier New" w:hAnsi="Courier New"/>
          <w:sz w:val="15"/>
          <w:szCs w:val="15"/>
          <w:color w:val="auto"/>
        </w:rPr>
        <w:t>The Company's significant accounting policies are described in Note 1 to the consolidated financial statements. The policies described below represent those that are broadly applicable to its operations and involve additional management judgment due to the sensitivity of the methods, assumptions and estimates necessary in determining the related amounts.</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Revenue Recognition. The Company recognizes revenue in accordance with SEC Staff Accounting Bulletin No. 104, Revenue Recognition in Financial Statements, as amended. Accordingly, revenue is recognized based on the terms of the customer purchase order that indicates title to the product and risk of ownership passes to the customer upon shipment. Sales are shown net of returns, which have not historically been significant. The Company does not generate sales from sale arrangements with multiple deliverables.</w:t>
      </w:r>
    </w:p>
    <w:p>
      <w:pPr>
        <w:spacing w:after="0" w:line="177"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Inventories. Estimated inventory allowances for slow-moving and obsolete inventories are based on current assessments of future demands, market conditions and related management initiatives. If market conditions or customer requirements change and are less favorable than those projected by management, inventory allowances are adjusted accordingly.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6" w:name="page17"/>
    <w:bookmarkEnd w:id="16"/>
    <w:p>
      <w:pPr>
        <w:ind w:right="3860" w:firstLine="537"/>
        <w:spacing w:after="0" w:line="242" w:lineRule="auto"/>
        <w:rPr>
          <w:sz w:val="20"/>
          <w:szCs w:val="20"/>
          <w:color w:val="auto"/>
        </w:rPr>
      </w:pPr>
      <w:r>
        <w:rPr>
          <w:rFonts w:ascii="Courier New" w:cs="Courier New" w:eastAsia="Courier New" w:hAnsi="Courier New"/>
          <w:sz w:val="15"/>
          <w:szCs w:val="15"/>
          <w:color w:val="auto"/>
        </w:rPr>
        <w:t>Investments. The Company's investment committee regularly reviews its fixed income and equity investment portfolio for any unrealized losses that would be deemed other-than-temporary and require the recognition of an impairment loss in income. Management uses criteria such as the period of time that securities have been in an unrealized loss position, types of securities and their related industries, as well as published investment ratings and analyst reports to evaluate their portfolio. Management considers the unrealized losses at December 31, 2004, to be temporary in nature.</w:t>
      </w:r>
    </w:p>
    <w:p>
      <w:pPr>
        <w:spacing w:after="0" w:line="177" w:lineRule="exact"/>
        <w:rPr>
          <w:sz w:val="20"/>
          <w:szCs w:val="20"/>
          <w:color w:val="auto"/>
        </w:rPr>
      </w:pPr>
    </w:p>
    <w:p>
      <w:pPr>
        <w:ind w:right="4040" w:firstLine="537"/>
        <w:spacing w:after="0" w:line="242" w:lineRule="auto"/>
        <w:rPr>
          <w:sz w:val="20"/>
          <w:szCs w:val="20"/>
          <w:color w:val="auto"/>
        </w:rPr>
      </w:pPr>
      <w:r>
        <w:rPr>
          <w:rFonts w:ascii="Courier New" w:cs="Courier New" w:eastAsia="Courier New" w:hAnsi="Courier New"/>
          <w:sz w:val="15"/>
          <w:szCs w:val="15"/>
          <w:color w:val="auto"/>
        </w:rPr>
        <w:t>Self Insurance. The Company is self-insured for health and workers' compensation benefits up to certain stop-loss limits. Such costs are accrued based on known claims and an estimate of incurred, but not reported (IBNR) claims. IBNR claims are estimated using historical lag information and other data provided by claims administrators. This estimation process is subjective, and to the extent that future actual results differ from original estimates, adjustments to recorded accruals may be necessary.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A. QUANTITATIVE AND QUALITATIVE DISCLOSURES ABOUT MARKET RISK.</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See "Market Risk Disclosure" in Management's Discussion and Analysis (Item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6" w:lineRule="exact"/>
        <w:rPr>
          <w:sz w:val="20"/>
          <w:szCs w:val="20"/>
          <w:color w:val="auto"/>
        </w:rPr>
      </w:pPr>
    </w:p>
    <w:p>
      <w:pPr>
        <w:ind w:right="4040" w:firstLine="537"/>
        <w:spacing w:after="0" w:line="241" w:lineRule="auto"/>
        <w:rPr>
          <w:sz w:val="20"/>
          <w:szCs w:val="20"/>
          <w:color w:val="auto"/>
        </w:rPr>
      </w:pPr>
      <w:r>
        <w:rPr>
          <w:rFonts w:ascii="Courier New" w:cs="Courier New" w:eastAsia="Courier New" w:hAnsi="Courier New"/>
          <w:sz w:val="15"/>
          <w:szCs w:val="15"/>
          <w:color w:val="auto"/>
        </w:rPr>
        <w:t>The following financial statements and reports of independent registered public accounting firm are filed with this report as pages 21 through 35 following the signature page:</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76" w:lineRule="exact"/>
        <w:rPr>
          <w:sz w:val="20"/>
          <w:szCs w:val="20"/>
          <w:color w:val="auto"/>
        </w:rPr>
      </w:pPr>
    </w:p>
    <w:p>
      <w:pPr>
        <w:ind w:left="520" w:right="4480"/>
        <w:spacing w:after="0"/>
        <w:rPr>
          <w:sz w:val="20"/>
          <w:szCs w:val="20"/>
          <w:color w:val="auto"/>
        </w:rPr>
      </w:pPr>
      <w:r>
        <w:rPr>
          <w:rFonts w:ascii="Courier New" w:cs="Courier New" w:eastAsia="Courier New" w:hAnsi="Courier New"/>
          <w:sz w:val="15"/>
          <w:szCs w:val="15"/>
          <w:color w:val="auto"/>
        </w:rPr>
        <w:t>Report of Independent Registered Public Accounting Firm on Internal Control Over Financial Reporting</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Consolidated Balance Sheets as of December 31, 2004 and 2003</w:t>
      </w:r>
    </w:p>
    <w:p>
      <w:pPr>
        <w:spacing w:after="0" w:line="176" w:lineRule="exact"/>
        <w:rPr>
          <w:sz w:val="20"/>
          <w:szCs w:val="20"/>
          <w:color w:val="auto"/>
        </w:rPr>
      </w:pPr>
    </w:p>
    <w:p>
      <w:pPr>
        <w:ind w:left="520" w:right="4040"/>
        <w:spacing w:after="0"/>
        <w:rPr>
          <w:sz w:val="20"/>
          <w:szCs w:val="20"/>
          <w:color w:val="auto"/>
        </w:rPr>
      </w:pPr>
      <w:r>
        <w:rPr>
          <w:rFonts w:ascii="Courier New" w:cs="Courier New" w:eastAsia="Courier New" w:hAnsi="Courier New"/>
          <w:sz w:val="15"/>
          <w:szCs w:val="15"/>
          <w:color w:val="auto"/>
        </w:rPr>
        <w:t>Consolidated Statements of Income for the years ended December 31, 2004, 2003 and 2002</w:t>
      </w:r>
    </w:p>
    <w:p>
      <w:pPr>
        <w:spacing w:after="0" w:line="176" w:lineRule="exact"/>
        <w:rPr>
          <w:sz w:val="20"/>
          <w:szCs w:val="20"/>
          <w:color w:val="auto"/>
        </w:rPr>
      </w:pPr>
    </w:p>
    <w:p>
      <w:pPr>
        <w:ind w:left="520" w:right="4120"/>
        <w:spacing w:after="0"/>
        <w:rPr>
          <w:sz w:val="20"/>
          <w:szCs w:val="20"/>
          <w:color w:val="auto"/>
        </w:rPr>
      </w:pPr>
      <w:r>
        <w:rPr>
          <w:rFonts w:ascii="Courier New" w:cs="Courier New" w:eastAsia="Courier New" w:hAnsi="Courier New"/>
          <w:sz w:val="15"/>
          <w:szCs w:val="15"/>
          <w:color w:val="auto"/>
        </w:rPr>
        <w:t>Consolidated Statements of Shareholders' Investment for the years ended December 31, 2004, 2003 and 2002</w:t>
      </w:r>
    </w:p>
    <w:p>
      <w:pPr>
        <w:spacing w:after="0" w:line="176" w:lineRule="exact"/>
        <w:rPr>
          <w:sz w:val="20"/>
          <w:szCs w:val="20"/>
          <w:color w:val="auto"/>
        </w:rPr>
      </w:pPr>
    </w:p>
    <w:p>
      <w:pPr>
        <w:ind w:left="520" w:right="4220"/>
        <w:spacing w:after="0"/>
        <w:rPr>
          <w:sz w:val="20"/>
          <w:szCs w:val="20"/>
          <w:color w:val="auto"/>
        </w:rPr>
      </w:pPr>
      <w:r>
        <w:rPr>
          <w:rFonts w:ascii="Courier New" w:cs="Courier New" w:eastAsia="Courier New" w:hAnsi="Courier New"/>
          <w:sz w:val="15"/>
          <w:szCs w:val="15"/>
          <w:color w:val="auto"/>
        </w:rPr>
        <w:t>Consolidated Statements of Cash Flows for the years ended December 31, 2004, 2003 and 2002</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right="4660"/>
        <w:spacing w:after="0"/>
        <w:rPr>
          <w:sz w:val="20"/>
          <w:szCs w:val="20"/>
          <w:color w:val="auto"/>
        </w:rPr>
      </w:pPr>
      <w:r>
        <w:rPr>
          <w:rFonts w:ascii="Courier New" w:cs="Courier New" w:eastAsia="Courier New" w:hAnsi="Courier New"/>
          <w:sz w:val="15"/>
          <w:szCs w:val="15"/>
          <w:color w:val="auto"/>
        </w:rPr>
        <w:t>Selected quarterly financial data for the past two years appears in the following table: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Quarterly Results of</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40" w:type="dxa"/>
            <w:vAlign w:val="bottom"/>
            <w:gridSpan w:val="7"/>
          </w:tcPr>
          <w:p>
            <w:pPr>
              <w:jc w:val="right"/>
              <w:ind w:right="685"/>
              <w:spacing w:after="0"/>
              <w:rPr>
                <w:sz w:val="20"/>
                <w:szCs w:val="20"/>
                <w:color w:val="auto"/>
              </w:rPr>
            </w:pPr>
            <w:r>
              <w:rPr>
                <w:rFonts w:ascii="Courier New" w:cs="Courier New" w:eastAsia="Courier New" w:hAnsi="Courier New"/>
                <w:sz w:val="15"/>
                <w:szCs w:val="15"/>
                <w:color w:val="auto"/>
              </w:rPr>
              <w:t>(in thousands, except per share data)</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9080" w:type="dxa"/>
            <w:vAlign w:val="bottom"/>
            <w:gridSpan w:val="1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First</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Second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Third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Fourth</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2004</w:t>
            </w:r>
          </w:p>
        </w:tc>
        <w:tc>
          <w:tcPr>
            <w:tcW w:w="54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1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2004</w:t>
            </w:r>
          </w:p>
        </w:tc>
        <w:tc>
          <w:tcPr>
            <w:tcW w:w="10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2004</w:t>
            </w:r>
          </w:p>
        </w:tc>
        <w:tc>
          <w:tcPr>
            <w:tcW w:w="8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2004</w:t>
            </w:r>
          </w:p>
        </w:tc>
        <w:tc>
          <w:tcPr>
            <w:tcW w:w="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19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13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129,328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115,309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5"/>
              </w:rPr>
              <w:t>129,646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116,917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120,457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112,879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126,236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123,915</w:t>
            </w: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54,884</w:t>
            </w:r>
          </w:p>
        </w:tc>
        <w:tc>
          <w:tcPr>
            <w:tcW w:w="540" w:type="dxa"/>
            <w:vAlign w:val="bottom"/>
          </w:tcPr>
          <w:p>
            <w:pPr>
              <w:spacing w:after="0"/>
              <w:rPr>
                <w:sz w:val="24"/>
                <w:szCs w:val="2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48,116</w:t>
            </w:r>
          </w:p>
        </w:tc>
        <w:tc>
          <w:tcPr>
            <w:tcW w:w="320" w:type="dxa"/>
            <w:vAlign w:val="bottom"/>
          </w:tcPr>
          <w:p>
            <w:pPr>
              <w:spacing w:after="0"/>
              <w:rPr>
                <w:sz w:val="24"/>
                <w:szCs w:val="2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54,455</w:t>
            </w:r>
          </w:p>
        </w:tc>
        <w:tc>
          <w:tcPr>
            <w:tcW w:w="100" w:type="dxa"/>
            <w:vAlign w:val="bottom"/>
          </w:tcPr>
          <w:p>
            <w:pPr>
              <w:spacing w:after="0"/>
              <w:rPr>
                <w:sz w:val="24"/>
                <w:szCs w:val="2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48,282</w:t>
            </w:r>
          </w:p>
        </w:tc>
        <w:tc>
          <w:tcPr>
            <w:tcW w:w="32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47,702</w:t>
            </w:r>
          </w:p>
        </w:tc>
        <w:tc>
          <w:tcPr>
            <w:tcW w:w="80" w:type="dxa"/>
            <w:vAlign w:val="bottom"/>
          </w:tcPr>
          <w:p>
            <w:pPr>
              <w:spacing w:after="0"/>
              <w:rPr>
                <w:sz w:val="24"/>
                <w:szCs w:val="2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47,085</w:t>
            </w:r>
          </w:p>
        </w:tc>
        <w:tc>
          <w:tcPr>
            <w:tcW w:w="300" w:type="dxa"/>
            <w:vAlign w:val="bottom"/>
          </w:tcPr>
          <w:p>
            <w:pPr>
              <w:spacing w:after="0"/>
              <w:rPr>
                <w:sz w:val="24"/>
                <w:szCs w:val="2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50,704</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53,018</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40,696</w:t>
            </w:r>
          </w:p>
        </w:tc>
        <w:tc>
          <w:tcPr>
            <w:tcW w:w="5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36,382</w:t>
            </w:r>
          </w:p>
        </w:tc>
        <w:tc>
          <w:tcPr>
            <w:tcW w:w="32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40,029</w:t>
            </w:r>
          </w:p>
        </w:tc>
        <w:tc>
          <w:tcPr>
            <w:tcW w:w="1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35,880</w:t>
            </w:r>
          </w:p>
        </w:tc>
        <w:tc>
          <w:tcPr>
            <w:tcW w:w="3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33,393</w:t>
            </w:r>
          </w:p>
        </w:tc>
        <w:tc>
          <w:tcPr>
            <w:tcW w:w="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34,448</w:t>
            </w:r>
          </w:p>
        </w:tc>
        <w:tc>
          <w:tcPr>
            <w:tcW w:w="3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35,948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39,866</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29,815</w:t>
            </w:r>
          </w:p>
        </w:tc>
        <w:tc>
          <w:tcPr>
            <w:tcW w:w="54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25,909</w:t>
            </w:r>
          </w:p>
        </w:tc>
        <w:tc>
          <w:tcPr>
            <w:tcW w:w="32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28,985</w:t>
            </w:r>
          </w:p>
        </w:tc>
        <w:tc>
          <w:tcPr>
            <w:tcW w:w="10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26,090</w:t>
            </w:r>
          </w:p>
        </w:tc>
        <w:tc>
          <w:tcPr>
            <w:tcW w:w="3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25,225</w:t>
            </w:r>
          </w:p>
        </w:tc>
        <w:tc>
          <w:tcPr>
            <w:tcW w:w="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25,681</w:t>
            </w:r>
          </w:p>
        </w:tc>
        <w:tc>
          <w:tcPr>
            <w:tcW w:w="3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28,631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29,081</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000"/>
          </w:cols>
          <w:pgMar w:left="240" w:top="635" w:right="659" w:bottom="1440" w:gutter="0" w:footer="0" w:header="0"/>
        </w:sectPr>
      </w:pPr>
    </w:p>
    <w:bookmarkStart w:id="17" w:name="page18"/>
    <w:bookmarkEnd w:id="17"/>
    <w:p>
      <w:pPr>
        <w:ind w:right="3259"/>
        <w:spacing w:after="0"/>
        <w:rPr>
          <w:sz w:val="20"/>
          <w:szCs w:val="20"/>
          <w:color w:val="auto"/>
        </w:rPr>
      </w:pPr>
      <w:r>
        <w:rPr>
          <w:rFonts w:ascii="Courier New" w:cs="Courier New" w:eastAsia="Courier New" w:hAnsi="Courier New"/>
          <w:sz w:val="15"/>
          <w:szCs w:val="15"/>
          <w:color w:val="auto"/>
        </w:rPr>
        <w:t>ITEM 9. CHANGES AND DISAGREEMENTS WITH ACCOUNTANTS ON ACCOUNTING AND FINANCIAL DISCLOSURE.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9A. CONTROLS AND PROCEDURES.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DISCLOSURE CONTROLS AND PROCEDURES.</w:t>
      </w:r>
    </w:p>
    <w:p>
      <w:pPr>
        <w:spacing w:after="0" w:line="176" w:lineRule="exact"/>
        <w:rPr>
          <w:sz w:val="20"/>
          <w:szCs w:val="20"/>
          <w:color w:val="auto"/>
        </w:rPr>
      </w:pPr>
    </w:p>
    <w:p>
      <w:pPr>
        <w:ind w:right="3079" w:firstLine="537"/>
        <w:spacing w:after="0" w:line="260" w:lineRule="auto"/>
        <w:rPr>
          <w:sz w:val="20"/>
          <w:szCs w:val="20"/>
          <w:color w:val="auto"/>
        </w:rPr>
      </w:pPr>
      <w:r>
        <w:rPr>
          <w:rFonts w:ascii="Courier New" w:cs="Courier New" w:eastAsia="Courier New" w:hAnsi="Courier New"/>
          <w:sz w:val="14"/>
          <w:szCs w:val="14"/>
          <w:color w:val="auto"/>
        </w:rPr>
        <w:t>As of December 31, 2004, an evaluation was performed under the supervision and with the participation of the Company's management, including the CEO and CFO, of the effectiveness of the design and operation of the Company's disclosure controls and procedures [(as defined in Exchange Act Rules 13a - 15(e) and 15d - 15(e)]. Based on that evaluation, the Company's management, including the CEO and CFO, concluded that the Company's disclosure controls and procedures were adequate and effective as of December 31, 2004, to ensure that material information relating to the Company would be made known to them by others within the Company, particularly during the period in which this Form</w:t>
      </w:r>
    </w:p>
    <w:p>
      <w:pPr>
        <w:spacing w:after="0" w:line="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10-K was being prepared. During the period covered by this annual report, there have been no changes in the Company's internal controls over financial reporting that have materially affected or are likely to materially affect the Company's internal controls over financial reporting. There have been no significant changes in the Company's internal controls or in other factors that could significantly affect internal controls subsequent to December 31, 2004.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REPORT ON INTERNAL CONTROL OVER FINANCIAL REPORTING.</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2004. Our management's assessment of the effectiveness of our internal control over financial reporting as of December 31, 2004, has been audited by Ernst &amp; Young LLP, an independent registered public accounting firm, as stated in its report, which is included herein.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9B. OTHER INFORMATION.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2005 Annual Meeting of Shareholders and filed with the Commission within 120 days after the Company's fiscal year end, December 31, 2004 (the "Proxy Statement"), is hereby incorporated herein by reference. Information concerning compliance with Section 16(a) of the Securities and Exchange Act of 1934 appearing under the caption "Section 16(A) Beneficial Ownership Reporting Compliance" in the definitive Proxy Statement is hereby incorporated herein by reference. Information relating to the Board of Directors determinations concerning whether at least one member of the Audit Committee is an "audit committee financial expert" as that term is defined under Item 401 (h) of Regulation S-K appearing under the caption "Corporate Governance - Audit Committee" in the definitive Proxy Statement is hereby incorporated by reference.</w:t>
      </w:r>
    </w:p>
    <w:p>
      <w:pPr>
        <w:spacing w:after="0" w:line="182"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The Company has adopted a code of ethics that applies to its principal executive officer and senior financial officers. A copy of the Code of Ethics for Certain Senior Officers is available without charge, upon written request, from the Corporate Secretary of the Company, 600 N. Centennial Street, Zeeland, Michigan 49464. The Company intends to satisfy the disclosure requirement under Item</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18" w:name="page19"/>
    <w:bookmarkEnd w:id="18"/>
    <w:p>
      <w:pPr>
        <w:ind w:right="3079"/>
        <w:spacing w:after="0" w:line="242" w:lineRule="auto"/>
        <w:rPr>
          <w:sz w:val="20"/>
          <w:szCs w:val="20"/>
          <w:color w:val="auto"/>
        </w:rPr>
      </w:pPr>
      <w:r>
        <w:rPr>
          <w:rFonts w:ascii="Courier New" w:cs="Courier New" w:eastAsia="Courier New" w:hAnsi="Courier New"/>
          <w:sz w:val="15"/>
          <w:szCs w:val="15"/>
          <w:color w:val="auto"/>
        </w:rPr>
        <w:t>10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The information contained under the caption "Executive Compensation" contained in the definitive Proxy Statement is hereby incorporated herein by reference. Such incorporation by reference shall not be deemed to specifically incorporate by reference information referred to in Item 402(a)(8) of Regulation S-K.</w:t>
      </w:r>
    </w:p>
    <w:p>
      <w:pPr>
        <w:spacing w:after="0" w:line="175" w:lineRule="exact"/>
        <w:rPr>
          <w:sz w:val="20"/>
          <w:szCs w:val="20"/>
          <w:color w:val="auto"/>
        </w:rPr>
      </w:pPr>
    </w:p>
    <w:p>
      <w:pPr>
        <w:ind w:right="3959"/>
        <w:spacing w:after="0"/>
        <w:rPr>
          <w:sz w:val="20"/>
          <w:szCs w:val="20"/>
          <w:color w:val="auto"/>
        </w:rPr>
      </w:pPr>
      <w:r>
        <w:rPr>
          <w:rFonts w:ascii="Courier New" w:cs="Courier New" w:eastAsia="Courier New" w:hAnsi="Courier New"/>
          <w:sz w:val="15"/>
          <w:szCs w:val="15"/>
          <w:color w:val="auto"/>
        </w:rPr>
        <w:t>ITEM 12. SECURITY OWNERSHIP OF MANAGEMENT AND EQUITY COMPENSATION PLAN INFORMATION.</w:t>
      </w:r>
    </w:p>
    <w:p>
      <w:pPr>
        <w:spacing w:after="0" w:line="176" w:lineRule="exact"/>
        <w:rPr>
          <w:sz w:val="20"/>
          <w:szCs w:val="20"/>
          <w:color w:val="auto"/>
        </w:rPr>
      </w:pPr>
    </w:p>
    <w:p>
      <w:pPr>
        <w:ind w:right="3519" w:firstLine="537"/>
        <w:spacing w:after="0" w:line="241" w:lineRule="auto"/>
        <w:rPr>
          <w:sz w:val="20"/>
          <w:szCs w:val="20"/>
          <w:color w:val="auto"/>
        </w:rPr>
      </w:pPr>
      <w:r>
        <w:rPr>
          <w:rFonts w:ascii="Courier New" w:cs="Courier New" w:eastAsia="Courier New" w:hAnsi="Courier New"/>
          <w:sz w:val="15"/>
          <w:szCs w:val="15"/>
          <w:color w:val="auto"/>
        </w:rPr>
        <w:t>The information contained under the captions "Securities Ownership of Management" and "Equity Compensation Plan Information" contained in the definitive Proxy Statement is hereby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6" w:lineRule="exact"/>
        <w:rPr>
          <w:sz w:val="20"/>
          <w:szCs w:val="20"/>
          <w:color w:val="auto"/>
        </w:rPr>
      </w:pPr>
    </w:p>
    <w:p>
      <w:pPr>
        <w:ind w:right="3439" w:firstLine="537"/>
        <w:spacing w:after="0" w:line="241" w:lineRule="auto"/>
        <w:rPr>
          <w:sz w:val="20"/>
          <w:szCs w:val="20"/>
          <w:color w:val="auto"/>
        </w:rPr>
      </w:pPr>
      <w:r>
        <w:rPr>
          <w:rFonts w:ascii="Courier New" w:cs="Courier New" w:eastAsia="Courier New" w:hAnsi="Courier New"/>
          <w:sz w:val="15"/>
          <w:szCs w:val="15"/>
          <w:color w:val="auto"/>
        </w:rPr>
        <w:t>The information contained under the caption "Certain Transactions" contained in the definitive Proxy Statement is hereby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PRINCIPAL ACCOUNTING FEES AND SERVICES.</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Information regarding principal accounting fees and services is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EXHIBITS, FINANCIAL STATEMENT SCHEDULES AND REPORTS ON FORM 8-K.</w:t>
      </w:r>
    </w:p>
    <w:p>
      <w:pPr>
        <w:spacing w:after="0" w:line="174" w:lineRule="exact"/>
        <w:rPr>
          <w:sz w:val="20"/>
          <w:szCs w:val="20"/>
          <w:color w:val="auto"/>
        </w:rPr>
      </w:pPr>
    </w:p>
    <w:p>
      <w:pPr>
        <w:ind w:left="1060" w:hanging="532"/>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w:t>
      </w:r>
      <w:r>
        <w:rPr>
          <w:rFonts w:ascii="Courier New" w:cs="Courier New" w:eastAsia="Courier New" w:hAnsi="Courier New"/>
          <w:sz w:val="14"/>
          <w:szCs w:val="14"/>
          <w:color w:val="auto"/>
        </w:rPr>
        <w:t>Financial Statements. See Item 8.</w:t>
      </w:r>
    </w:p>
    <w:p>
      <w:pPr>
        <w:spacing w:after="0" w:line="175" w:lineRule="exact"/>
        <w:rPr>
          <w:rFonts w:ascii="Courier New" w:cs="Courier New" w:eastAsia="Courier New" w:hAnsi="Courier New"/>
          <w:sz w:val="15"/>
          <w:szCs w:val="15"/>
          <w:color w:val="auto"/>
        </w:rPr>
      </w:pPr>
    </w:p>
    <w:p>
      <w:pPr>
        <w:ind w:left="1600" w:right="3959" w:hanging="535"/>
        <w:spacing w:after="0"/>
        <w:tabs>
          <w:tab w:leader="none" w:pos="16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Schedules. None required or not applicable.</w:t>
      </w:r>
    </w:p>
    <w:p>
      <w:pPr>
        <w:spacing w:after="0" w:line="174" w:lineRule="exact"/>
        <w:rPr>
          <w:rFonts w:ascii="Courier New" w:cs="Courier New" w:eastAsia="Courier New" w:hAnsi="Courier New"/>
          <w:sz w:val="15"/>
          <w:szCs w:val="15"/>
          <w:color w:val="auto"/>
        </w:rPr>
      </w:pPr>
    </w:p>
    <w:p>
      <w:pPr>
        <w:ind w:left="1600" w:hanging="535"/>
        <w:spacing w:after="0"/>
        <w:tabs>
          <w:tab w:leader="none" w:pos="16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Exhibit Index located on page 36.</w:t>
      </w:r>
    </w:p>
    <w:p>
      <w:pPr>
        <w:spacing w:after="0" w:line="175" w:lineRule="exact"/>
        <w:rPr>
          <w:rFonts w:ascii="Courier New" w:cs="Courier New" w:eastAsia="Courier New" w:hAnsi="Courier New"/>
          <w:sz w:val="15"/>
          <w:szCs w:val="15"/>
          <w:color w:val="auto"/>
        </w:rPr>
      </w:pPr>
    </w:p>
    <w:p>
      <w:pPr>
        <w:ind w:left="1060" w:right="3159" w:hanging="532"/>
        <w:spacing w:after="0" w:line="241"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months ended December 31, 2004, one report on Form 8-K was filed on October 19, 2004, to disclose the Company's financial results for the third quarter ended September 30, 2004.</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19" w:name="page20"/>
    <w:bookmarkEnd w:id="19"/>
    <w:p>
      <w:pPr>
        <w:jc w:val="center"/>
        <w:ind w:right="307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537"/>
        <w:spacing w:after="0" w:line="241"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its behalf by the undersigned, thereunto duly authorized.</w:t>
      </w:r>
    </w:p>
    <w:p>
      <w:pPr>
        <w:sectPr>
          <w:pgSz w:w="11900" w:h="16838" w:orient="portrait"/>
          <w:cols w:equalWidth="0" w:num="1">
            <w:col w:w="10227"/>
          </w:cols>
          <w:pgMar w:left="232" w:top="633"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Dated: February 18,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184" w:lineRule="exact"/>
        <w:rPr>
          <w:sz w:val="20"/>
          <w:szCs w:val="20"/>
          <w:color w:val="auto"/>
        </w:rPr>
      </w:pPr>
    </w:p>
    <w:p>
      <w:pPr>
        <w:sectPr>
          <w:pgSz w:w="11900" w:h="16838" w:orient="portrait"/>
          <w:cols w:equalWidth="0" w:num="2">
            <w:col w:w="2148" w:space="360"/>
            <w:col w:w="7719"/>
          </w:cols>
          <w:pgMar w:left="232" w:top="633" w:right="1440" w:bottom="1440" w:gutter="0" w:footer="0" w:header="0"/>
          <w:type w:val="continuous"/>
        </w:sectPr>
      </w:pPr>
    </w:p>
    <w:p>
      <w:pPr>
        <w:spacing w:after="0" w:line="1" w:lineRule="exact"/>
        <w:rPr>
          <w:sz w:val="20"/>
          <w:szCs w:val="20"/>
          <w:color w:val="auto"/>
        </w:rPr>
      </w:pPr>
    </w:p>
    <w:p>
      <w:pPr>
        <w:ind w:left="2508"/>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Fred Bauer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Fred Bauer, Chairman and Principal Executive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74" w:lineRule="exact"/>
        <w:rPr>
          <w:sz w:val="20"/>
          <w:szCs w:val="20"/>
          <w:color w:val="auto"/>
        </w:rPr>
      </w:pPr>
    </w:p>
    <w:p>
      <w:pPr>
        <w:sectPr>
          <w:pgSz w:w="11900" w:h="16838" w:orient="portrait"/>
          <w:cols w:equalWidth="0" w:num="2">
            <w:col w:w="2768" w:space="180"/>
            <w:col w:w="7279"/>
          </w:cols>
          <w:pgMar w:left="232" w:top="633" w:right="1440" w:bottom="1440" w:gutter="0" w:footer="0" w:header="0"/>
          <w:type w:val="continuous"/>
        </w:sectPr>
      </w:pPr>
    </w:p>
    <w:p>
      <w:pPr>
        <w:ind w:left="2508"/>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/s/ Enoch Jen</w:t>
      </w:r>
    </w:p>
    <w:p>
      <w:pPr>
        <w:spacing w:after="0" w:line="4" w:lineRule="exact"/>
        <w:rPr>
          <w:sz w:val="20"/>
          <w:szCs w:val="20"/>
          <w:color w:val="auto"/>
        </w:rPr>
      </w:pPr>
    </w:p>
    <w:p>
      <w:pPr>
        <w:ind w:left="29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Enoch Jen, Vice President-Finance and</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Principal Financial and Accounting Officer</w:t>
      </w:r>
    </w:p>
    <w:p>
      <w:pPr>
        <w:sectPr>
          <w:pgSz w:w="11900" w:h="16838" w:orient="portrait"/>
          <w:cols w:equalWidth="0" w:num="1">
            <w:col w:w="10227"/>
          </w:cols>
          <w:pgMar w:left="232" w:top="633" w:right="1440" w:bottom="1440" w:gutter="0" w:footer="0" w:header="0"/>
          <w:type w:val="continuous"/>
        </w:sectPr>
      </w:pPr>
    </w:p>
    <w:p>
      <w:pPr>
        <w:spacing w:after="0" w:line="176" w:lineRule="exact"/>
        <w:rPr>
          <w:sz w:val="20"/>
          <w:szCs w:val="20"/>
          <w:color w:val="auto"/>
        </w:rPr>
      </w:pPr>
    </w:p>
    <w:p>
      <w:pPr>
        <w:ind w:left="8" w:right="3159" w:firstLine="537"/>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this 18th day of February, 2005, by the following persons on behalf of the Registrant and in the capacities indicated.</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Garth Deur, each of them individually, as his attorney-in-fact to sign in his name and on his behalf, and to file with the Commission any and all amendments to this report on Form 10-K to the same extent and with the same effect as if done personally.</w:t>
      </w:r>
    </w:p>
    <w:p>
      <w:pPr>
        <w:spacing w:after="0" w:line="174" w:lineRule="exact"/>
        <w:rPr>
          <w:sz w:val="20"/>
          <w:szCs w:val="20"/>
          <w:color w:val="auto"/>
        </w:rPr>
      </w:pPr>
    </w:p>
    <w:p>
      <w:pPr>
        <w:ind w:left="8"/>
        <w:spacing w:after="0"/>
        <w:tabs>
          <w:tab w:leader="none" w:pos="3028" w:val="left"/>
        </w:tabs>
        <w:rPr>
          <w:sz w:val="20"/>
          <w:szCs w:val="20"/>
          <w:color w:val="auto"/>
        </w:rPr>
      </w:pPr>
      <w:r>
        <w:rPr>
          <w:rFonts w:ascii="Courier New" w:cs="Courier New" w:eastAsia="Courier New" w:hAnsi="Courier New"/>
          <w:sz w:val="15"/>
          <w:szCs w:val="15"/>
          <w:color w:val="auto"/>
        </w:rPr>
        <w:t>/s/ Fred Bauer</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Bauer</w:t>
      </w:r>
    </w:p>
    <w:p>
      <w:pPr>
        <w:spacing w:after="0" w:line="174" w:lineRule="exact"/>
        <w:rPr>
          <w:sz w:val="20"/>
          <w:szCs w:val="20"/>
          <w:color w:val="auto"/>
        </w:rPr>
      </w:pPr>
    </w:p>
    <w:p>
      <w:pPr>
        <w:ind w:left="8"/>
        <w:spacing w:after="0"/>
        <w:tabs>
          <w:tab w:leader="none" w:pos="3028" w:val="left"/>
        </w:tabs>
        <w:rPr>
          <w:sz w:val="20"/>
          <w:szCs w:val="20"/>
          <w:color w:val="auto"/>
        </w:rPr>
      </w:pPr>
      <w:r>
        <w:rPr>
          <w:rFonts w:ascii="Courier New" w:cs="Courier New" w:eastAsia="Courier New" w:hAnsi="Courier New"/>
          <w:sz w:val="15"/>
          <w:szCs w:val="15"/>
          <w:color w:val="auto"/>
        </w:rPr>
        <w:t>/s/ Gary Goode</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Gary Goode</w:t>
      </w:r>
    </w:p>
    <w:p>
      <w:pPr>
        <w:spacing w:after="0" w:line="174" w:lineRule="exact"/>
        <w:rPr>
          <w:sz w:val="20"/>
          <w:szCs w:val="20"/>
          <w:color w:val="auto"/>
        </w:rPr>
      </w:pPr>
    </w:p>
    <w:p>
      <w:pPr>
        <w:ind w:left="8"/>
        <w:spacing w:after="0"/>
        <w:tabs>
          <w:tab w:leader="none" w:pos="3028" w:val="left"/>
        </w:tabs>
        <w:rPr>
          <w:sz w:val="20"/>
          <w:szCs w:val="20"/>
          <w:color w:val="auto"/>
        </w:rPr>
      </w:pPr>
      <w:r>
        <w:rPr>
          <w:rFonts w:ascii="Courier New" w:cs="Courier New" w:eastAsia="Courier New" w:hAnsi="Courier New"/>
          <w:sz w:val="15"/>
          <w:szCs w:val="15"/>
          <w:color w:val="auto"/>
        </w:rPr>
        <w:t>/s/ Kenneth La Grand</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Kenneth La Grand</w:t>
      </w:r>
    </w:p>
    <w:p>
      <w:pPr>
        <w:spacing w:after="0" w:line="174" w:lineRule="exact"/>
        <w:rPr>
          <w:sz w:val="20"/>
          <w:szCs w:val="20"/>
          <w:color w:val="auto"/>
        </w:rPr>
      </w:pPr>
    </w:p>
    <w:p>
      <w:pPr>
        <w:ind w:left="8"/>
        <w:spacing w:after="0"/>
        <w:tabs>
          <w:tab w:leader="none" w:pos="3028" w:val="left"/>
        </w:tabs>
        <w:rPr>
          <w:sz w:val="20"/>
          <w:szCs w:val="20"/>
          <w:color w:val="auto"/>
        </w:rPr>
      </w:pPr>
      <w:r>
        <w:rPr>
          <w:rFonts w:ascii="Courier New" w:cs="Courier New" w:eastAsia="Courier New" w:hAnsi="Courier New"/>
          <w:sz w:val="15"/>
          <w:szCs w:val="15"/>
          <w:color w:val="auto"/>
        </w:rPr>
        <w:t>/s/ Arlyn Lanting</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Arlyn Lanting</w:t>
      </w:r>
    </w:p>
    <w:p>
      <w:pPr>
        <w:spacing w:after="0" w:line="174" w:lineRule="exact"/>
        <w:rPr>
          <w:sz w:val="20"/>
          <w:szCs w:val="20"/>
          <w:color w:val="auto"/>
        </w:rPr>
      </w:pPr>
    </w:p>
    <w:p>
      <w:pPr>
        <w:ind w:left="8"/>
        <w:spacing w:after="0"/>
        <w:tabs>
          <w:tab w:leader="none" w:pos="3028" w:val="left"/>
        </w:tabs>
        <w:rPr>
          <w:sz w:val="20"/>
          <w:szCs w:val="20"/>
          <w:color w:val="auto"/>
        </w:rPr>
      </w:pPr>
      <w:r>
        <w:rPr>
          <w:rFonts w:ascii="Courier New" w:cs="Courier New" w:eastAsia="Courier New" w:hAnsi="Courier New"/>
          <w:sz w:val="15"/>
          <w:szCs w:val="15"/>
          <w:color w:val="auto"/>
        </w:rPr>
        <w:t>/s/ John Mulder</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Mulder</w:t>
      </w:r>
    </w:p>
    <w:p>
      <w:pPr>
        <w:spacing w:after="0" w:line="174" w:lineRule="exact"/>
        <w:rPr>
          <w:sz w:val="20"/>
          <w:szCs w:val="20"/>
          <w:color w:val="auto"/>
        </w:rPr>
      </w:pPr>
    </w:p>
    <w:p>
      <w:pPr>
        <w:ind w:left="8"/>
        <w:spacing w:after="0"/>
        <w:tabs>
          <w:tab w:leader="none" w:pos="3028" w:val="left"/>
        </w:tabs>
        <w:rPr>
          <w:sz w:val="20"/>
          <w:szCs w:val="20"/>
          <w:color w:val="auto"/>
        </w:rPr>
      </w:pPr>
      <w:r>
        <w:rPr>
          <w:rFonts w:ascii="Courier New" w:cs="Courier New" w:eastAsia="Courier New" w:hAnsi="Courier New"/>
          <w:sz w:val="15"/>
          <w:szCs w:val="15"/>
          <w:color w:val="auto"/>
        </w:rPr>
        <w:t>/s/ Fred Sotok</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Sotok</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Ted Thompson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Wallace Tsuha Director</w:t>
      </w:r>
    </w:p>
    <w:p>
      <w:pPr>
        <w:spacing w:after="0" w:line="2"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Wallace Tsuha</w:t>
      </w:r>
    </w:p>
    <w:p>
      <w:pPr>
        <w:spacing w:after="0" w:line="174" w:lineRule="exact"/>
        <w:rPr>
          <w:sz w:val="20"/>
          <w:szCs w:val="20"/>
          <w:color w:val="auto"/>
        </w:rPr>
      </w:pPr>
    </w:p>
    <w:p>
      <w:pPr>
        <w:ind w:left="8"/>
        <w:spacing w:after="0"/>
        <w:tabs>
          <w:tab w:leader="none" w:pos="3028" w:val="left"/>
        </w:tabs>
        <w:rPr>
          <w:sz w:val="20"/>
          <w:szCs w:val="20"/>
          <w:color w:val="auto"/>
        </w:rPr>
      </w:pPr>
      <w:r>
        <w:rPr>
          <w:rFonts w:ascii="Courier New" w:cs="Courier New" w:eastAsia="Courier New" w:hAnsi="Courier New"/>
          <w:sz w:val="15"/>
          <w:szCs w:val="15"/>
          <w:color w:val="auto"/>
        </w:rPr>
        <w:t>/s/ Leo Weber</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Leo Weber</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633" w:right="1440" w:bottom="1440" w:gutter="0" w:footer="0" w:header="0"/>
          <w:type w:val="continuous"/>
        </w:sectPr>
      </w:pPr>
    </w:p>
    <w:bookmarkStart w:id="20" w:name="page21"/>
    <w:bookmarkEnd w:id="20"/>
    <w:p>
      <w:pPr>
        <w:ind w:left="116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 of Gentex Corporation: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Gentex Corporation and subsidiaries as of December 31, 2004 and 2003, and the related consolidated statements of income, shareholders' investment and cash flows for each of the three years in the period ended December 31, 2004.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Gentex Corporation and subsidiaries at December 31, 2004 and 2003, and the consolidated results of their operations and their cash flows for each of the three years in the period ended December 31, 2004, in conformity with U.S. generally accepted accounting principles.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also have audited, in accordance with the standards of the Public Company Accounting Oversight Board (United States), the effectiveness of Gentex Corporation's internal control over financial reporting as of December 31, 2004, based on criteria established in Internal Control -- Integrated Framework issued by the Committee of Sponsoring Organizations of the Treadway Commission and our report dated February 9, 2005 expressed an unqualified opinion thereon.</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9, 2005</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3" w:right="1440" w:bottom="1440" w:gutter="0" w:footer="0" w:header="0"/>
        </w:sectPr>
      </w:pPr>
    </w:p>
    <w:bookmarkStart w:id="21" w:name="page22"/>
    <w:bookmarkEnd w:id="21"/>
    <w:p>
      <w:pPr>
        <w:ind w:left="116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ON INTERNAL CONTROL OVER FINANCIAL REPORTING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 of Gentex Corporation: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have audited management's assessment, included in the accompanying Management's Report on Internal Control Over Financial Reporting, that Gentex Corporation maintained effective internal control over financial reporting as of December 31, 2004, based on criteria established in Internal Control -- Integrated Framework issued by the Committee of Sponsoring Organizations of the Treadway Commission (the COSO criteria). Gentex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7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our opinion, management's assessment that Gentex Corporation maintained effective internal control over financial reporting as of December 31, 2004, is fairly stated, in all material respects, based on the COSO criteria. Also, in our opinion, Gentex Corporation maintained, in all material respects, effective internal control over financial reporting as of December 31, 2004, based on the COSO criteria.</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also have audited, in accordance with the standards of the Public Company Accounting Oversight Board (United States), the 2004 consolidated financial statements of Gentex Corporation and subsidiaries and our report dated February 9, 2005 expressed an unqualified opinion thereon.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9, 2005</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3" w:right="1440" w:bottom="1440" w:gutter="0" w:footer="0" w:header="0"/>
        </w:sectPr>
      </w:pPr>
    </w:p>
    <w:bookmarkStart w:id="22" w:name="page23"/>
    <w:bookmarkEnd w:id="22"/>
    <w:p>
      <w:pPr>
        <w:jc w:val="center"/>
        <w:ind w:right="297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gridSpan w:val="3"/>
          </w:tcPr>
          <w:p>
            <w:pPr>
              <w:jc w:val="right"/>
              <w:ind w:right="865"/>
              <w:spacing w:after="0"/>
              <w:rPr>
                <w:sz w:val="20"/>
                <w:szCs w:val="20"/>
                <w:color w:val="auto"/>
              </w:rPr>
            </w:pPr>
            <w:r>
              <w:rPr>
                <w:rFonts w:ascii="Courier New" w:cs="Courier New" w:eastAsia="Courier New" w:hAnsi="Courier New"/>
                <w:sz w:val="15"/>
                <w:szCs w:val="15"/>
                <w:color w:val="auto"/>
              </w:rPr>
              <w:t>AS OF DECEMBER 31, 2004 AND 2003</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88"/>
        </w:trPr>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24"/>
                <w:szCs w:val="24"/>
                <w:color w:val="auto"/>
              </w:rPr>
            </w:pP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395,538,719</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322,662,971</w:t>
            </w: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Short-term investments</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99,341,541</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70,943,685</w:t>
            </w: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56,092,330</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58,955,823</w:t>
            </w: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30,600,789</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20,938,696</w:t>
            </w: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11,035,715</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11,848,156</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ind w:left="520"/>
              <w:spacing w:after="0"/>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24"/>
                <w:szCs w:val="2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592,609,094</w:t>
            </w:r>
          </w:p>
        </w:tc>
        <w:tc>
          <w:tcPr>
            <w:tcW w:w="360" w:type="dxa"/>
            <w:vAlign w:val="bottom"/>
          </w:tcPr>
          <w:p>
            <w:pPr>
              <w:spacing w:after="0"/>
              <w:rPr>
                <w:sz w:val="24"/>
                <w:szCs w:val="2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485,349,331</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PLANT AND EQUIPMENT:</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Land, buildings and improvements</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56,434,237</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49,232,072</w:t>
            </w: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Machinery and equipment</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176,798,924</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159,289,298</w:t>
            </w: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Construction-in-process</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14,485,664</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14,151,833</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247,718,825</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222,673,203</w:t>
            </w:r>
          </w:p>
        </w:tc>
      </w:tr>
      <w:tr>
        <w:trPr>
          <w:trHeight w:val="344"/>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Less-Accumulated depreciation</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4160" w:type="dxa"/>
            <w:vAlign w:val="bottom"/>
          </w:tcPr>
          <w:p>
            <w:pPr>
              <w:ind w:left="520"/>
              <w:spacing w:after="0"/>
              <w:rPr>
                <w:sz w:val="20"/>
                <w:szCs w:val="20"/>
                <w:color w:val="auto"/>
              </w:rPr>
            </w:pPr>
            <w:r>
              <w:rPr>
                <w:rFonts w:ascii="Courier New" w:cs="Courier New" w:eastAsia="Courier New" w:hAnsi="Courier New"/>
                <w:sz w:val="15"/>
                <w:szCs w:val="15"/>
                <w:color w:val="auto"/>
              </w:rPr>
              <w:t>and amortization</w:t>
            </w:r>
          </w:p>
        </w:tc>
        <w:tc>
          <w:tcPr>
            <w:tcW w:w="400" w:type="dxa"/>
            <w:vAlign w:val="bottom"/>
          </w:tcPr>
          <w:p>
            <w:pPr>
              <w:spacing w:after="0"/>
              <w:rPr>
                <w:sz w:val="14"/>
                <w:szCs w:val="14"/>
                <w:color w:val="auto"/>
              </w:rPr>
            </w:pPr>
          </w:p>
        </w:tc>
        <w:tc>
          <w:tcPr>
            <w:tcW w:w="13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(112,069,706)</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(95,866,321)</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135,649,119</w:t>
            </w:r>
          </w:p>
        </w:tc>
        <w:tc>
          <w:tcPr>
            <w:tcW w:w="360" w:type="dxa"/>
            <w:vAlign w:val="bottom"/>
          </w:tcPr>
          <w:p>
            <w:pPr>
              <w:spacing w:after="0"/>
              <w:rPr>
                <w:sz w:val="24"/>
                <w:szCs w:val="2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126,806,882</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Long-term investments</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122,174,030</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145,615,934</w:t>
            </w:r>
          </w:p>
        </w:tc>
      </w:tr>
      <w:tr>
        <w:trPr>
          <w:trHeight w:val="172"/>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Patents and other assets, net</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6,427,185</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4,757,619</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128,601,215</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150,373,553</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4"/>
                <w:szCs w:val="24"/>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856,859,428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762,529,766</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0"/>
        </w:trPr>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2004</w:t>
            </w:r>
          </w:p>
        </w:tc>
        <w:tc>
          <w:tcPr>
            <w:tcW w:w="360" w:type="dxa"/>
            <w:vAlign w:val="bottom"/>
          </w:tcPr>
          <w:p>
            <w:pPr>
              <w:spacing w:after="0"/>
              <w:rPr>
                <w:sz w:val="24"/>
                <w:szCs w:val="24"/>
                <w:color w:val="auto"/>
              </w:rPr>
            </w:pP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INVESTMENT</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416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19,849,569</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18,259,111</w:t>
            </w:r>
          </w:p>
        </w:tc>
      </w:tr>
      <w:tr>
        <w:trPr>
          <w:trHeight w:val="172"/>
        </w:trPr>
        <w:tc>
          <w:tcPr>
            <w:tcW w:w="4160" w:type="dxa"/>
            <w:vAlign w:val="bottom"/>
          </w:tcPr>
          <w:p>
            <w:pPr>
              <w:ind w:left="340"/>
              <w:spacing w:after="0"/>
              <w:rPr>
                <w:sz w:val="20"/>
                <w:szCs w:val="20"/>
                <w:color w:val="auto"/>
              </w:rPr>
            </w:pPr>
            <w:r>
              <w:rPr>
                <w:rFonts w:ascii="Courier New" w:cs="Courier New" w:eastAsia="Courier New" w:hAnsi="Courier New"/>
                <w:sz w:val="15"/>
                <w:szCs w:val="15"/>
                <w:color w:val="auto"/>
              </w:rPr>
              <w:t>Accrued liabilities:</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Salaries, wages and vacation</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3,433,657</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3,657,546</w:t>
            </w:r>
          </w:p>
        </w:tc>
      </w:tr>
      <w:tr>
        <w:trPr>
          <w:trHeight w:val="172"/>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Income taxes</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548,579</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1,161,865</w:t>
            </w:r>
          </w:p>
        </w:tc>
      </w:tr>
      <w:tr>
        <w:trPr>
          <w:trHeight w:val="172"/>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Royalties</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6,689,723</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6,651,645</w:t>
            </w:r>
          </w:p>
        </w:tc>
      </w:tr>
      <w:tr>
        <w:trPr>
          <w:trHeight w:val="172"/>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Dividends declared</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13,237,348</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11,556,122</w:t>
            </w:r>
          </w:p>
        </w:tc>
      </w:tr>
      <w:tr>
        <w:trPr>
          <w:trHeight w:val="172"/>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7,097,382</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9,194,191</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ind w:left="1340"/>
              <w:spacing w:after="0"/>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24"/>
                <w:szCs w:val="2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50,856,258</w:t>
            </w:r>
          </w:p>
        </w:tc>
        <w:tc>
          <w:tcPr>
            <w:tcW w:w="360" w:type="dxa"/>
            <w:vAlign w:val="bottom"/>
          </w:tcPr>
          <w:p>
            <w:pPr>
              <w:spacing w:after="0"/>
              <w:rPr>
                <w:sz w:val="24"/>
                <w:szCs w:val="2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50,480,480</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24"/>
                <w:szCs w:val="2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22,723,198</w:t>
            </w:r>
          </w:p>
        </w:tc>
        <w:tc>
          <w:tcPr>
            <w:tcW w:w="360" w:type="dxa"/>
            <w:vAlign w:val="bottom"/>
          </w:tcPr>
          <w:p>
            <w:pPr>
              <w:spacing w:after="0"/>
              <w:rPr>
                <w:sz w:val="24"/>
                <w:szCs w:val="2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18,405,955</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SHAREHOLDERS' INVESTMENT:</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4"/>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no par value,</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5,000,000 shares authorized; none</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issued or outstanding</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Common stock, par value $.06 per share;</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200,000,000 shares authorized</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4,672,005</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4,622,449</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175,266,114</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152,874,325</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591,546,326</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528,358,825</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Deferred compensation</w:t>
            </w:r>
          </w:p>
        </w:tc>
        <w:tc>
          <w:tcPr>
            <w:tcW w:w="400" w:type="dxa"/>
            <w:vAlign w:val="bottom"/>
          </w:tcPr>
          <w:p>
            <w:pPr>
              <w:spacing w:after="0"/>
              <w:rPr>
                <w:sz w:val="14"/>
                <w:szCs w:val="14"/>
                <w:color w:val="auto"/>
              </w:rPr>
            </w:pPr>
          </w:p>
        </w:tc>
        <w:tc>
          <w:tcPr>
            <w:tcW w:w="13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(5,407,851)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(4,658,450)</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Unrealized gain on investments</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15,558,180</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11,661,722</w:t>
            </w: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Cumulative translation adjustment</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1,645,198</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784,460</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1240"/>
              <w:spacing w:after="0"/>
              <w:rPr>
                <w:sz w:val="20"/>
                <w:szCs w:val="20"/>
                <w:color w:val="auto"/>
              </w:rPr>
            </w:pPr>
            <w:r>
              <w:rPr>
                <w:rFonts w:ascii="Courier New" w:cs="Courier New" w:eastAsia="Courier New" w:hAnsi="Courier New"/>
                <w:sz w:val="15"/>
                <w:szCs w:val="15"/>
                <w:color w:val="auto"/>
              </w:rPr>
              <w:t>Total shareholders' investment</w:t>
            </w:r>
          </w:p>
        </w:tc>
        <w:tc>
          <w:tcPr>
            <w:tcW w:w="4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783,279,972</w:t>
            </w:r>
          </w:p>
        </w:tc>
        <w:tc>
          <w:tcPr>
            <w:tcW w:w="3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693,643,331</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4"/>
                <w:szCs w:val="24"/>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856,859,428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762,529,766</w:t>
            </w:r>
          </w:p>
        </w:tc>
      </w:tr>
      <w:tr>
        <w:trPr>
          <w:trHeight w:val="172"/>
        </w:trPr>
        <w:tc>
          <w:tcPr>
            <w:tcW w:w="41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3" w:right="1440" w:bottom="0" w:gutter="0" w:footer="0" w:header="0"/>
        </w:sectPr>
      </w:pPr>
    </w:p>
    <w:bookmarkStart w:id="23" w:name="page24"/>
    <w:bookmarkEnd w:id="23"/>
    <w:p>
      <w:pPr>
        <w:jc w:val="center"/>
        <w:ind w:right="297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 THE YEARS ENDED DECEMBER 31, 2004, 2003 AND 2002</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4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24"/>
                <w:szCs w:val="24"/>
                <w:color w:val="auto"/>
              </w:rPr>
            </w:pPr>
          </w:p>
        </w:tc>
        <w:tc>
          <w:tcPr>
            <w:tcW w:w="13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2003</w:t>
            </w:r>
          </w:p>
        </w:tc>
        <w:tc>
          <w:tcPr>
            <w:tcW w:w="500" w:type="dxa"/>
            <w:vAlign w:val="bottom"/>
          </w:tcPr>
          <w:p>
            <w:pPr>
              <w:spacing w:after="0"/>
              <w:rPr>
                <w:sz w:val="24"/>
                <w:szCs w:val="24"/>
                <w:color w:val="auto"/>
              </w:rPr>
            </w:pP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4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505,666,335</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469,019,365</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395,258,436</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440" w:type="dxa"/>
            <w:vAlign w:val="bottom"/>
          </w:tcPr>
          <w:p>
            <w:pPr>
              <w:spacing w:after="0"/>
              <w:rPr>
                <w:sz w:val="24"/>
                <w:szCs w:val="2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297,920,747</w:t>
            </w:r>
          </w:p>
        </w:tc>
        <w:tc>
          <w:tcPr>
            <w:tcW w:w="320" w:type="dxa"/>
            <w:vAlign w:val="bottom"/>
          </w:tcPr>
          <w:p>
            <w:pPr>
              <w:spacing w:after="0"/>
              <w:rPr>
                <w:sz w:val="24"/>
                <w:szCs w:val="2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272,518,466</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235,611,182</w:t>
            </w:r>
          </w:p>
        </w:tc>
      </w:tr>
      <w:tr>
        <w:trPr>
          <w:trHeight w:val="172"/>
        </w:trPr>
        <w:tc>
          <w:tcPr>
            <w:tcW w:w="4060" w:type="dxa"/>
            <w:vAlign w:val="bottom"/>
          </w:tcPr>
          <w:p>
            <w:pPr>
              <w:spacing w:after="0"/>
              <w:rPr>
                <w:sz w:val="14"/>
                <w:szCs w:val="14"/>
                <w:color w:val="auto"/>
              </w:rPr>
            </w:pP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24"/>
                <w:szCs w:val="2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207,745,588</w:t>
            </w:r>
          </w:p>
        </w:tc>
        <w:tc>
          <w:tcPr>
            <w:tcW w:w="320" w:type="dxa"/>
            <w:vAlign w:val="bottom"/>
          </w:tcPr>
          <w:p>
            <w:pPr>
              <w:spacing w:after="0"/>
              <w:rPr>
                <w:sz w:val="24"/>
                <w:szCs w:val="2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196,500,899</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159,647,254</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Engineering, research and development</w:t>
            </w:r>
          </w:p>
        </w:tc>
        <w:tc>
          <w:tcPr>
            <w:tcW w:w="440" w:type="dxa"/>
            <w:vAlign w:val="bottom"/>
          </w:tcPr>
          <w:p>
            <w:pPr>
              <w:spacing w:after="0"/>
              <w:rPr>
                <w:sz w:val="14"/>
                <w:szCs w:val="1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30,833,627</w:t>
            </w:r>
          </w:p>
        </w:tc>
        <w:tc>
          <w:tcPr>
            <w:tcW w:w="32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26,613,770</w:t>
            </w:r>
          </w:p>
        </w:tc>
        <w:tc>
          <w:tcPr>
            <w:tcW w:w="5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22,973,027</w:t>
            </w:r>
          </w:p>
        </w:tc>
      </w:tr>
      <w:tr>
        <w:trPr>
          <w:trHeight w:val="172"/>
        </w:trPr>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26,845,748</w:t>
            </w:r>
          </w:p>
        </w:tc>
        <w:tc>
          <w:tcPr>
            <w:tcW w:w="32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23,311,853</w:t>
            </w:r>
          </w:p>
        </w:tc>
        <w:tc>
          <w:tcPr>
            <w:tcW w:w="5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21,474,066</w:t>
            </w:r>
          </w:p>
        </w:tc>
      </w:tr>
      <w:tr>
        <w:trPr>
          <w:trHeight w:val="172"/>
        </w:trPr>
        <w:tc>
          <w:tcPr>
            <w:tcW w:w="4060" w:type="dxa"/>
            <w:vAlign w:val="bottom"/>
          </w:tcPr>
          <w:p>
            <w:pPr>
              <w:spacing w:after="0"/>
              <w:rPr>
                <w:sz w:val="14"/>
                <w:szCs w:val="14"/>
                <w:color w:val="auto"/>
              </w:rPr>
            </w:pP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expenses</w:t>
            </w:r>
          </w:p>
        </w:tc>
        <w:tc>
          <w:tcPr>
            <w:tcW w:w="440" w:type="dxa"/>
            <w:vAlign w:val="bottom"/>
          </w:tcPr>
          <w:p>
            <w:pPr>
              <w:spacing w:after="0"/>
              <w:rPr>
                <w:sz w:val="24"/>
                <w:szCs w:val="2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57,679,375</w:t>
            </w:r>
          </w:p>
        </w:tc>
        <w:tc>
          <w:tcPr>
            <w:tcW w:w="320" w:type="dxa"/>
            <w:vAlign w:val="bottom"/>
          </w:tcPr>
          <w:p>
            <w:pPr>
              <w:spacing w:after="0"/>
              <w:rPr>
                <w:sz w:val="24"/>
                <w:szCs w:val="2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49,925,623</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44,447,093</w:t>
            </w:r>
          </w:p>
        </w:tc>
      </w:tr>
      <w:tr>
        <w:trPr>
          <w:trHeight w:val="172"/>
        </w:trPr>
        <w:tc>
          <w:tcPr>
            <w:tcW w:w="4060" w:type="dxa"/>
            <w:vAlign w:val="bottom"/>
          </w:tcPr>
          <w:p>
            <w:pPr>
              <w:spacing w:after="0"/>
              <w:rPr>
                <w:sz w:val="14"/>
                <w:szCs w:val="14"/>
                <w:color w:val="auto"/>
              </w:rPr>
            </w:pP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Income from operations</w:t>
            </w:r>
          </w:p>
        </w:tc>
        <w:tc>
          <w:tcPr>
            <w:tcW w:w="440" w:type="dxa"/>
            <w:vAlign w:val="bottom"/>
          </w:tcPr>
          <w:p>
            <w:pPr>
              <w:spacing w:after="0"/>
              <w:rPr>
                <w:sz w:val="24"/>
                <w:szCs w:val="2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150,066,213</w:t>
            </w:r>
          </w:p>
        </w:tc>
        <w:tc>
          <w:tcPr>
            <w:tcW w:w="320" w:type="dxa"/>
            <w:vAlign w:val="bottom"/>
          </w:tcPr>
          <w:p>
            <w:pPr>
              <w:spacing w:after="0"/>
              <w:rPr>
                <w:sz w:val="24"/>
                <w:szCs w:val="2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146,575,276</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115,200,161</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Interest and dividend income</w:t>
            </w:r>
          </w:p>
        </w:tc>
        <w:tc>
          <w:tcPr>
            <w:tcW w:w="440" w:type="dxa"/>
            <w:vAlign w:val="bottom"/>
          </w:tcPr>
          <w:p>
            <w:pPr>
              <w:spacing w:after="0"/>
              <w:rPr>
                <w:sz w:val="14"/>
                <w:szCs w:val="1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10,642,129</w:t>
            </w:r>
          </w:p>
        </w:tc>
        <w:tc>
          <w:tcPr>
            <w:tcW w:w="32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10,241,276</w:t>
            </w:r>
          </w:p>
        </w:tc>
        <w:tc>
          <w:tcPr>
            <w:tcW w:w="5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11,756,849</w:t>
            </w:r>
          </w:p>
        </w:tc>
      </w:tr>
      <w:tr>
        <w:trPr>
          <w:trHeight w:val="172"/>
        </w:trPr>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Other, net</w:t>
            </w:r>
          </w:p>
        </w:tc>
        <w:tc>
          <w:tcPr>
            <w:tcW w:w="440" w:type="dxa"/>
            <w:vAlign w:val="bottom"/>
          </w:tcPr>
          <w:p>
            <w:pPr>
              <w:spacing w:after="0"/>
              <w:rPr>
                <w:sz w:val="14"/>
                <w:szCs w:val="1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5,024,176</w:t>
            </w:r>
          </w:p>
        </w:tc>
        <w:tc>
          <w:tcPr>
            <w:tcW w:w="32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1,347,643</w:t>
            </w:r>
          </w:p>
        </w:tc>
        <w:tc>
          <w:tcPr>
            <w:tcW w:w="5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115,781</w:t>
            </w:r>
          </w:p>
        </w:tc>
      </w:tr>
      <w:tr>
        <w:trPr>
          <w:trHeight w:val="172"/>
        </w:trPr>
        <w:tc>
          <w:tcPr>
            <w:tcW w:w="4060" w:type="dxa"/>
            <w:vAlign w:val="bottom"/>
          </w:tcPr>
          <w:p>
            <w:pPr>
              <w:spacing w:after="0"/>
              <w:rPr>
                <w:sz w:val="14"/>
                <w:szCs w:val="14"/>
                <w:color w:val="auto"/>
              </w:rPr>
            </w:pP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ind w:left="880"/>
              <w:spacing w:after="0"/>
              <w:rPr>
                <w:sz w:val="20"/>
                <w:szCs w:val="20"/>
                <w:color w:val="auto"/>
              </w:rPr>
            </w:pPr>
            <w:r>
              <w:rPr>
                <w:rFonts w:ascii="Courier New" w:cs="Courier New" w:eastAsia="Courier New" w:hAnsi="Courier New"/>
                <w:sz w:val="15"/>
                <w:szCs w:val="15"/>
                <w:color w:val="auto"/>
              </w:rPr>
              <w:t>Total other income</w:t>
            </w:r>
          </w:p>
        </w:tc>
        <w:tc>
          <w:tcPr>
            <w:tcW w:w="440" w:type="dxa"/>
            <w:vAlign w:val="bottom"/>
          </w:tcPr>
          <w:p>
            <w:pPr>
              <w:spacing w:after="0"/>
              <w:rPr>
                <w:sz w:val="24"/>
                <w:szCs w:val="2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15,666,305</w:t>
            </w:r>
          </w:p>
        </w:tc>
        <w:tc>
          <w:tcPr>
            <w:tcW w:w="320" w:type="dxa"/>
            <w:vAlign w:val="bottom"/>
          </w:tcPr>
          <w:p>
            <w:pPr>
              <w:spacing w:after="0"/>
              <w:rPr>
                <w:sz w:val="24"/>
                <w:szCs w:val="2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11,588,919</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11,872,630</w:t>
            </w:r>
          </w:p>
        </w:tc>
      </w:tr>
      <w:tr>
        <w:trPr>
          <w:trHeight w:val="172"/>
        </w:trPr>
        <w:tc>
          <w:tcPr>
            <w:tcW w:w="4060" w:type="dxa"/>
            <w:vAlign w:val="bottom"/>
          </w:tcPr>
          <w:p>
            <w:pPr>
              <w:spacing w:after="0"/>
              <w:rPr>
                <w:sz w:val="14"/>
                <w:szCs w:val="14"/>
                <w:color w:val="auto"/>
              </w:rPr>
            </w:pP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Income before provision</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060" w:type="dxa"/>
            <w:vAlign w:val="bottom"/>
          </w:tcPr>
          <w:p>
            <w:pPr>
              <w:ind w:left="700"/>
              <w:spacing w:after="0"/>
              <w:rPr>
                <w:sz w:val="20"/>
                <w:szCs w:val="20"/>
                <w:color w:val="auto"/>
              </w:rPr>
            </w:pPr>
            <w:r>
              <w:rPr>
                <w:rFonts w:ascii="Courier New" w:cs="Courier New" w:eastAsia="Courier New" w:hAnsi="Courier New"/>
                <w:sz w:val="15"/>
                <w:szCs w:val="15"/>
                <w:color w:val="auto"/>
              </w:rPr>
              <w:t>for income taxes</w:t>
            </w:r>
          </w:p>
        </w:tc>
        <w:tc>
          <w:tcPr>
            <w:tcW w:w="440" w:type="dxa"/>
            <w:vAlign w:val="bottom"/>
          </w:tcPr>
          <w:p>
            <w:pPr>
              <w:spacing w:after="0"/>
              <w:rPr>
                <w:sz w:val="14"/>
                <w:szCs w:val="1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165,732,518</w:t>
            </w:r>
          </w:p>
        </w:tc>
        <w:tc>
          <w:tcPr>
            <w:tcW w:w="320" w:type="dxa"/>
            <w:vAlign w:val="bottom"/>
          </w:tcPr>
          <w:p>
            <w:pPr>
              <w:spacing w:after="0"/>
              <w:rPr>
                <w:sz w:val="14"/>
                <w:szCs w:val="1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158,164,195</w:t>
            </w:r>
          </w:p>
        </w:tc>
        <w:tc>
          <w:tcPr>
            <w:tcW w:w="5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127,072,791</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40" w:type="dxa"/>
            <w:vAlign w:val="bottom"/>
          </w:tcPr>
          <w:p>
            <w:pPr>
              <w:spacing w:after="0"/>
              <w:rPr>
                <w:sz w:val="24"/>
                <w:szCs w:val="24"/>
                <w:color w:val="auto"/>
              </w:rPr>
            </w:pP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53,076,000</w:t>
            </w:r>
          </w:p>
        </w:tc>
        <w:tc>
          <w:tcPr>
            <w:tcW w:w="320" w:type="dxa"/>
            <w:vAlign w:val="bottom"/>
          </w:tcPr>
          <w:p>
            <w:pPr>
              <w:spacing w:after="0"/>
              <w:rPr>
                <w:sz w:val="24"/>
                <w:szCs w:val="24"/>
                <w:color w:val="auto"/>
              </w:rPr>
            </w:pP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51,403,000</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41,301,500</w:t>
            </w:r>
          </w:p>
        </w:tc>
      </w:tr>
      <w:tr>
        <w:trPr>
          <w:trHeight w:val="172"/>
        </w:trPr>
        <w:tc>
          <w:tcPr>
            <w:tcW w:w="4060" w:type="dxa"/>
            <w:vAlign w:val="bottom"/>
          </w:tcPr>
          <w:p>
            <w:pPr>
              <w:spacing w:after="0"/>
              <w:rPr>
                <w:sz w:val="14"/>
                <w:szCs w:val="14"/>
                <w:color w:val="auto"/>
              </w:rPr>
            </w:pP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112,656,518</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106,761,195</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85,771,291</w:t>
            </w:r>
          </w:p>
        </w:tc>
      </w:tr>
      <w:tr>
        <w:trPr>
          <w:trHeight w:val="172"/>
        </w:trPr>
        <w:tc>
          <w:tcPr>
            <w:tcW w:w="4060" w:type="dxa"/>
            <w:vAlign w:val="bottom"/>
          </w:tcPr>
          <w:p>
            <w:pPr>
              <w:spacing w:after="0"/>
              <w:rPr>
                <w:sz w:val="14"/>
                <w:szCs w:val="14"/>
                <w:color w:val="auto"/>
              </w:rPr>
            </w:pP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1.39</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4060" w:type="dxa"/>
            <w:vAlign w:val="bottom"/>
          </w:tcPr>
          <w:p>
            <w:pPr>
              <w:spacing w:after="0"/>
              <w:rPr>
                <w:sz w:val="14"/>
                <w:szCs w:val="14"/>
                <w:color w:val="auto"/>
              </w:rPr>
            </w:pP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ind w:left="52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1.37</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2"/>
        </w:trPr>
        <w:tc>
          <w:tcPr>
            <w:tcW w:w="4060" w:type="dxa"/>
            <w:vAlign w:val="bottom"/>
          </w:tcPr>
          <w:p>
            <w:pPr>
              <w:spacing w:after="0"/>
              <w:rPr>
                <w:sz w:val="14"/>
                <w:szCs w:val="14"/>
                <w:color w:val="auto"/>
              </w:rPr>
            </w:pP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0.64</w:t>
            </w:r>
          </w:p>
        </w:tc>
        <w:tc>
          <w:tcPr>
            <w:tcW w:w="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0.30</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r>
    </w:tbl>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3" w:right="1440" w:bottom="1440" w:gutter="0" w:footer="0" w:header="0"/>
        </w:sectPr>
      </w:pPr>
    </w:p>
    <w:bookmarkStart w:id="24" w:name="page25"/>
    <w:bookmarkEnd w:id="24"/>
    <w:p>
      <w:pPr>
        <w:jc w:val="center"/>
        <w:ind w:right="4380"/>
        <w:spacing w:after="0"/>
        <w:rPr>
          <w:sz w:val="20"/>
          <w:szCs w:val="20"/>
          <w:color w:val="auto"/>
        </w:rPr>
      </w:pPr>
      <w:r>
        <w:rPr>
          <w:rFonts w:ascii="Courier New" w:cs="Courier New" w:eastAsia="Courier New" w:hAnsi="Courier New"/>
          <w:sz w:val="15"/>
          <w:szCs w:val="15"/>
          <w:color w:val="auto"/>
        </w:rPr>
        <w:t>GETEX CORPORATION AND SUBSIDIARIES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 OF SHAREHOLDERS' INVESTMENT</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FOR THE YEARS ENDED DECEMBER 31, 2004, 2003 and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Common Stock</w:t>
            </w: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Additional Paid-In</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Comprehensive</w:t>
            </w:r>
          </w:p>
        </w:tc>
      </w:tr>
      <w:tr>
        <w:trPr>
          <w:trHeight w:val="172"/>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Amount</w:t>
            </w:r>
          </w:p>
        </w:tc>
        <w:tc>
          <w:tcPr>
            <w:tcW w:w="360" w:type="dxa"/>
            <w:vAlign w:val="bottom"/>
          </w:tcPr>
          <w:p>
            <w:pPr>
              <w:spacing w:after="0"/>
              <w:rPr>
                <w:sz w:val="14"/>
                <w:szCs w:val="14"/>
                <w:color w:val="auto"/>
              </w:rPr>
            </w:pPr>
          </w:p>
        </w:tc>
        <w:tc>
          <w:tcPr>
            <w:tcW w:w="15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Capital</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Income (Loss)</w:t>
            </w:r>
          </w:p>
        </w:tc>
      </w:tr>
      <w:tr>
        <w:trPr>
          <w:trHeight w:val="172"/>
        </w:trPr>
        <w:tc>
          <w:tcPr>
            <w:tcW w:w="49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2001</w:t>
            </w:r>
          </w:p>
        </w:tc>
        <w:tc>
          <w:tcPr>
            <w:tcW w:w="180" w:type="dxa"/>
            <w:vAlign w:val="bottom"/>
          </w:tcPr>
          <w:p>
            <w:pPr>
              <w:spacing w:after="0"/>
              <w:rPr>
                <w:sz w:val="24"/>
                <w:szCs w:val="2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75,171,951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4,510,317</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105,327,971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 of stock</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plan transactions</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1,049,419</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62,965</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18,595,420</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85,771,291</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141,038</w:t>
            </w: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 on investments, net of tax</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(9,923,526)</w:t>
            </w:r>
          </w:p>
        </w:tc>
      </w:tr>
      <w:tr>
        <w:trPr>
          <w:trHeight w:val="172"/>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center"/>
              <w:ind w:right="1685"/>
              <w:spacing w:after="0"/>
              <w:rPr>
                <w:sz w:val="20"/>
                <w:szCs w:val="20"/>
                <w:color w:val="auto"/>
              </w:rPr>
            </w:pPr>
            <w:r>
              <w:rPr>
                <w:rFonts w:ascii="Courier New" w:cs="Courier New" w:eastAsia="Courier New" w:hAnsi="Courier New"/>
                <w:sz w:val="15"/>
                <w:szCs w:val="15"/>
                <w:color w:val="auto"/>
                <w:w w:val="99"/>
              </w:rPr>
              <w:t>Other comprehensive loss</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(9,782,488)</w:t>
            </w:r>
          </w:p>
        </w:tc>
      </w:tr>
      <w:tr>
        <w:trPr>
          <w:trHeight w:val="172"/>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center"/>
              <w:ind w:right="1685"/>
              <w:spacing w:after="0"/>
              <w:rPr>
                <w:sz w:val="20"/>
                <w:szCs w:val="20"/>
                <w:color w:val="auto"/>
              </w:rPr>
            </w:pPr>
            <w:r>
              <w:rPr>
                <w:rFonts w:ascii="Courier New" w:cs="Courier New" w:eastAsia="Courier New" w:hAnsi="Courier New"/>
                <w:sz w:val="15"/>
                <w:szCs w:val="15"/>
                <w:color w:val="auto"/>
                <w:w w:val="99"/>
              </w:rPr>
              <w:t>Comprehensive income</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75,988,803</w:t>
            </w:r>
          </w:p>
        </w:tc>
      </w:tr>
      <w:tr>
        <w:trPr>
          <w:trHeight w:val="172"/>
        </w:trPr>
        <w:tc>
          <w:tcPr>
            <w:tcW w:w="49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2002</w:t>
            </w:r>
          </w:p>
        </w:tc>
        <w:tc>
          <w:tcPr>
            <w:tcW w:w="180" w:type="dxa"/>
            <w:vAlign w:val="bottom"/>
          </w:tcPr>
          <w:p>
            <w:pPr>
              <w:spacing w:after="0"/>
              <w:rPr>
                <w:sz w:val="24"/>
                <w:szCs w:val="2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76,221,370</w:t>
            </w:r>
          </w:p>
        </w:tc>
        <w:tc>
          <w:tcPr>
            <w:tcW w:w="22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4,573,282</w:t>
            </w:r>
          </w:p>
        </w:tc>
        <w:tc>
          <w:tcPr>
            <w:tcW w:w="360" w:type="dxa"/>
            <w:vAlign w:val="bottom"/>
          </w:tcPr>
          <w:p>
            <w:pPr>
              <w:spacing w:after="0"/>
              <w:rPr>
                <w:sz w:val="24"/>
                <w:szCs w:val="2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123,923,391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 of stock</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plan transactions</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1,234,446</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74,067</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29,631,534</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80" w:type="dxa"/>
            <w:vAlign w:val="bottom"/>
          </w:tcPr>
          <w:p>
            <w:pPr>
              <w:spacing w:after="0"/>
              <w:rPr>
                <w:sz w:val="14"/>
                <w:szCs w:val="14"/>
                <w:color w:val="auto"/>
              </w:rPr>
            </w:pPr>
          </w:p>
        </w:tc>
        <w:tc>
          <w:tcPr>
            <w:tcW w:w="16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(415,000)</w:t>
            </w:r>
          </w:p>
        </w:tc>
        <w:tc>
          <w:tcPr>
            <w:tcW w:w="22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(24,900)</w:t>
            </w:r>
          </w:p>
        </w:tc>
        <w:tc>
          <w:tcPr>
            <w:tcW w:w="360" w:type="dxa"/>
            <w:vAlign w:val="bottom"/>
          </w:tcPr>
          <w:p>
            <w:pPr>
              <w:spacing w:after="0"/>
              <w:rPr>
                <w:sz w:val="14"/>
                <w:szCs w:val="14"/>
                <w:color w:val="auto"/>
              </w:rPr>
            </w:pP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(680,600)</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Dividends declared ($.30 per share)</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24"/>
                <w:szCs w:val="2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$ 106,761,195</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707,827</w:t>
            </w: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 on investments, net of tax</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17,753,174</w:t>
            </w:r>
          </w:p>
        </w:tc>
      </w:tr>
      <w:tr>
        <w:trPr>
          <w:trHeight w:val="172"/>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520"/>
              <w:spacing w:after="0"/>
              <w:rPr>
                <w:sz w:val="20"/>
                <w:szCs w:val="20"/>
                <w:color w:val="auto"/>
              </w:rPr>
            </w:pPr>
            <w:r>
              <w:rPr>
                <w:rFonts w:ascii="Courier New" w:cs="Courier New" w:eastAsia="Courier New" w:hAnsi="Courier New"/>
                <w:sz w:val="15"/>
                <w:szCs w:val="15"/>
                <w:color w:val="auto"/>
              </w:rPr>
              <w:t>Other comprehensive income</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18,461,001</w:t>
            </w:r>
          </w:p>
        </w:tc>
      </w:tr>
      <w:tr>
        <w:trPr>
          <w:trHeight w:val="172"/>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center"/>
              <w:ind w:right="1685"/>
              <w:spacing w:after="0"/>
              <w:rPr>
                <w:sz w:val="20"/>
                <w:szCs w:val="20"/>
                <w:color w:val="auto"/>
              </w:rPr>
            </w:pPr>
            <w:r>
              <w:rPr>
                <w:rFonts w:ascii="Courier New" w:cs="Courier New" w:eastAsia="Courier New" w:hAnsi="Courier New"/>
                <w:sz w:val="15"/>
                <w:szCs w:val="15"/>
                <w:color w:val="auto"/>
                <w:w w:val="99"/>
              </w:rPr>
              <w:t>Comprehensive income</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$ 125,222,196</w:t>
            </w:r>
          </w:p>
        </w:tc>
      </w:tr>
      <w:tr>
        <w:trPr>
          <w:trHeight w:val="172"/>
        </w:trPr>
        <w:tc>
          <w:tcPr>
            <w:tcW w:w="49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2003</w:t>
            </w:r>
          </w:p>
        </w:tc>
        <w:tc>
          <w:tcPr>
            <w:tcW w:w="180" w:type="dxa"/>
            <w:vAlign w:val="bottom"/>
          </w:tcPr>
          <w:p>
            <w:pPr>
              <w:spacing w:after="0"/>
              <w:rPr>
                <w:sz w:val="24"/>
                <w:szCs w:val="2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77,040,816</w:t>
            </w:r>
          </w:p>
        </w:tc>
        <w:tc>
          <w:tcPr>
            <w:tcW w:w="22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4,622,449</w:t>
            </w:r>
          </w:p>
        </w:tc>
        <w:tc>
          <w:tcPr>
            <w:tcW w:w="360" w:type="dxa"/>
            <w:vAlign w:val="bottom"/>
          </w:tcPr>
          <w:p>
            <w:pPr>
              <w:spacing w:after="0"/>
              <w:rPr>
                <w:sz w:val="24"/>
                <w:szCs w:val="2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152,874,325</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 of stock</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plan transactions</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825,935</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49,556</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22,391,789</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Dividends declared ($.64 per share)</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24"/>
                <w:szCs w:val="2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$ 112,656,518</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860,738</w:t>
            </w: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 on investments, net of tax</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3,896,458</w:t>
            </w:r>
          </w:p>
        </w:tc>
      </w:tr>
      <w:tr>
        <w:trPr>
          <w:trHeight w:val="172"/>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520"/>
              <w:spacing w:after="0"/>
              <w:rPr>
                <w:sz w:val="20"/>
                <w:szCs w:val="20"/>
                <w:color w:val="auto"/>
              </w:rPr>
            </w:pPr>
            <w:r>
              <w:rPr>
                <w:rFonts w:ascii="Courier New" w:cs="Courier New" w:eastAsia="Courier New" w:hAnsi="Courier New"/>
                <w:sz w:val="15"/>
                <w:szCs w:val="15"/>
                <w:color w:val="auto"/>
              </w:rPr>
              <w:t>Other comprehensive income</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4,757,196</w:t>
            </w:r>
          </w:p>
        </w:tc>
      </w:tr>
      <w:tr>
        <w:trPr>
          <w:trHeight w:val="172"/>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center"/>
              <w:ind w:right="1685"/>
              <w:spacing w:after="0"/>
              <w:rPr>
                <w:sz w:val="20"/>
                <w:szCs w:val="20"/>
                <w:color w:val="auto"/>
              </w:rPr>
            </w:pPr>
            <w:r>
              <w:rPr>
                <w:rFonts w:ascii="Courier New" w:cs="Courier New" w:eastAsia="Courier New" w:hAnsi="Courier New"/>
                <w:sz w:val="15"/>
                <w:szCs w:val="15"/>
                <w:color w:val="auto"/>
                <w:w w:val="99"/>
              </w:rPr>
              <w:t>Comprehensive income</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$ 117,413,714</w:t>
            </w:r>
          </w:p>
        </w:tc>
      </w:tr>
      <w:tr>
        <w:trPr>
          <w:trHeight w:val="172"/>
        </w:trPr>
        <w:tc>
          <w:tcPr>
            <w:tcW w:w="49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2004</w:t>
            </w:r>
          </w:p>
        </w:tc>
        <w:tc>
          <w:tcPr>
            <w:tcW w:w="180" w:type="dxa"/>
            <w:vAlign w:val="bottom"/>
          </w:tcPr>
          <w:p>
            <w:pPr>
              <w:spacing w:after="0"/>
              <w:rPr>
                <w:sz w:val="24"/>
                <w:szCs w:val="2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77,866,751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4,672,005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175,266,114</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9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Accumulated Other</w:t>
            </w:r>
          </w:p>
        </w:tc>
        <w:tc>
          <w:tcPr>
            <w:tcW w:w="220" w:type="dxa"/>
            <w:vAlign w:val="bottom"/>
          </w:tcPr>
          <w:p>
            <w:pPr>
              <w:spacing w:after="0"/>
              <w:rPr>
                <w:sz w:val="24"/>
                <w:szCs w:val="2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Deferred</w:t>
            </w:r>
          </w:p>
        </w:tc>
        <w:tc>
          <w:tcPr>
            <w:tcW w:w="360" w:type="dxa"/>
            <w:vAlign w:val="bottom"/>
          </w:tcPr>
          <w:p>
            <w:pPr>
              <w:spacing w:after="0"/>
              <w:rPr>
                <w:sz w:val="14"/>
                <w:szCs w:val="14"/>
                <w:color w:val="auto"/>
              </w:rPr>
            </w:pP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Comprehensive</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Shareholders'</w:t>
            </w:r>
          </w:p>
        </w:tc>
      </w:tr>
      <w:tr>
        <w:trPr>
          <w:trHeight w:val="172"/>
        </w:trPr>
        <w:tc>
          <w:tcPr>
            <w:tcW w:w="496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Retained Earnings</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Compensation</w:t>
            </w:r>
          </w:p>
        </w:tc>
        <w:tc>
          <w:tcPr>
            <w:tcW w:w="360" w:type="dxa"/>
            <w:vAlign w:val="bottom"/>
          </w:tcPr>
          <w:p>
            <w:pPr>
              <w:spacing w:after="0"/>
              <w:rPr>
                <w:sz w:val="14"/>
                <w:szCs w:val="14"/>
                <w:color w:val="auto"/>
              </w:rPr>
            </w:pP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Income (Loss)</w:t>
            </w:r>
          </w:p>
        </w:tc>
        <w:tc>
          <w:tcPr>
            <w:tcW w:w="2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Investment</w:t>
            </w:r>
          </w:p>
        </w:tc>
      </w:tr>
      <w:tr>
        <w:trPr>
          <w:trHeight w:val="172"/>
        </w:trPr>
        <w:tc>
          <w:tcPr>
            <w:tcW w:w="49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368,430,152</w:t>
            </w:r>
          </w:p>
        </w:tc>
        <w:tc>
          <w:tcPr>
            <w:tcW w:w="22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($3,035,580)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3,767,669</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$ 479,000,529</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 of stock</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plan transactions</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(1,090,222)</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17,568,163</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1,082,867</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1,082,867</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85,771,291</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85,771,291</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 on investments, net of tax</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center"/>
              <w:ind w:right="1685"/>
              <w:spacing w:after="0"/>
              <w:rPr>
                <w:sz w:val="20"/>
                <w:szCs w:val="20"/>
                <w:color w:val="auto"/>
              </w:rPr>
            </w:pPr>
            <w:r>
              <w:rPr>
                <w:rFonts w:ascii="Courier New" w:cs="Courier New" w:eastAsia="Courier New" w:hAnsi="Courier New"/>
                <w:sz w:val="15"/>
                <w:szCs w:val="15"/>
                <w:color w:val="auto"/>
                <w:w w:val="99"/>
              </w:rPr>
              <w:t>Other comprehensive loss</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(9,782,488)</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(9,782,488)</w:t>
            </w:r>
          </w:p>
        </w:tc>
      </w:tr>
      <w:tr>
        <w:trPr>
          <w:trHeight w:val="344"/>
        </w:trPr>
        <w:tc>
          <w:tcPr>
            <w:tcW w:w="4960" w:type="dxa"/>
            <w:vAlign w:val="bottom"/>
          </w:tcPr>
          <w:p>
            <w:pPr>
              <w:jc w:val="center"/>
              <w:ind w:right="1685"/>
              <w:spacing w:after="0"/>
              <w:rPr>
                <w:sz w:val="20"/>
                <w:szCs w:val="20"/>
                <w:color w:val="auto"/>
              </w:rPr>
            </w:pPr>
            <w:r>
              <w:rPr>
                <w:rFonts w:ascii="Courier New" w:cs="Courier New" w:eastAsia="Courier New" w:hAnsi="Courier New"/>
                <w:sz w:val="15"/>
                <w:szCs w:val="15"/>
                <w:color w:val="auto"/>
                <w:w w:val="99"/>
              </w:rPr>
              <w:t>Comprehensive income</w:t>
            </w:r>
          </w:p>
        </w:tc>
        <w:tc>
          <w:tcPr>
            <w:tcW w:w="180" w:type="dxa"/>
            <w:vAlign w:val="bottom"/>
          </w:tcPr>
          <w:p>
            <w:pPr>
              <w:spacing w:after="0"/>
              <w:rPr>
                <w:sz w:val="24"/>
                <w:szCs w:val="2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17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2002</w:t>
            </w:r>
          </w:p>
        </w:tc>
        <w:tc>
          <w:tcPr>
            <w:tcW w:w="180" w:type="dxa"/>
            <w:vAlign w:val="bottom"/>
          </w:tcPr>
          <w:p>
            <w:pPr>
              <w:spacing w:after="0"/>
              <w:rPr>
                <w:sz w:val="24"/>
                <w:szCs w:val="2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454,201,443</w:t>
            </w:r>
          </w:p>
        </w:tc>
        <w:tc>
          <w:tcPr>
            <w:tcW w:w="22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(3,042,935)</w:t>
            </w:r>
          </w:p>
        </w:tc>
        <w:tc>
          <w:tcPr>
            <w:tcW w:w="360" w:type="dxa"/>
            <w:vAlign w:val="bottom"/>
          </w:tcPr>
          <w:p>
            <w:pPr>
              <w:spacing w:after="0"/>
              <w:rPr>
                <w:sz w:val="24"/>
                <w:szCs w:val="24"/>
                <w:color w:val="auto"/>
              </w:rPr>
            </w:pP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(6,014,819)</w:t>
            </w:r>
          </w:p>
        </w:tc>
        <w:tc>
          <w:tcPr>
            <w:tcW w:w="220" w:type="dxa"/>
            <w:vAlign w:val="bottom"/>
          </w:tcPr>
          <w:p>
            <w:pPr>
              <w:spacing w:after="0"/>
              <w:rPr>
                <w:sz w:val="24"/>
                <w:szCs w:val="2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573,640,362</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 of stock</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plan transactions</w:t>
            </w:r>
          </w:p>
        </w:tc>
        <w:tc>
          <w:tcPr>
            <w:tcW w:w="18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(2,733,723)</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26,971,878</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80" w:type="dxa"/>
            <w:vAlign w:val="bottom"/>
          </w:tcPr>
          <w:p>
            <w:pPr>
              <w:spacing w:after="0"/>
              <w:rPr>
                <w:sz w:val="14"/>
                <w:szCs w:val="14"/>
                <w:color w:val="auto"/>
              </w:rPr>
            </w:pPr>
          </w:p>
        </w:tc>
        <w:tc>
          <w:tcPr>
            <w:tcW w:w="16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(9,541,310)</w:t>
            </w:r>
          </w:p>
        </w:tc>
        <w:tc>
          <w:tcPr>
            <w:tcW w:w="22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(10,246,810)</w:t>
            </w:r>
          </w:p>
        </w:tc>
      </w:tr>
    </w:tbl>
    <w:p>
      <w:pPr>
        <w:sectPr>
          <w:pgSz w:w="11900" w:h="16838" w:orient="portrait"/>
          <w:cols w:equalWidth="0" w:num="1">
            <w:col w:w="11520"/>
          </w:cols>
          <w:pgMar w:left="240" w:top="633" w:right="1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Dividends declared ($.30 per share)</w:t>
            </w:r>
          </w:p>
        </w:tc>
        <w:tc>
          <w:tcPr>
            <w:tcW w:w="1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(23,062,503)</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(23,062,503)</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780" w:type="dxa"/>
            <w:vAlign w:val="bottom"/>
          </w:tcPr>
          <w:p>
            <w:pPr>
              <w:spacing w:after="0"/>
              <w:rPr>
                <w:sz w:val="14"/>
                <w:szCs w:val="14"/>
                <w:color w:val="auto"/>
              </w:rPr>
            </w:pP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1,118,208</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1,118,208</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4"/>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106,761,195</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106,761,195</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 on investments, net of tax</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ind w:left="520"/>
              <w:spacing w:after="0"/>
              <w:rPr>
                <w:sz w:val="20"/>
                <w:szCs w:val="20"/>
                <w:color w:val="auto"/>
              </w:rPr>
            </w:pPr>
            <w:r>
              <w:rPr>
                <w:rFonts w:ascii="Courier New" w:cs="Courier New" w:eastAsia="Courier New" w:hAnsi="Courier New"/>
                <w:sz w:val="15"/>
                <w:szCs w:val="15"/>
                <w:color w:val="auto"/>
              </w:rPr>
              <w:t>Other comprehensive income</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18,461,001</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18,461,001</w:t>
            </w:r>
          </w:p>
        </w:tc>
      </w:tr>
      <w:tr>
        <w:trPr>
          <w:trHeight w:val="172"/>
        </w:trPr>
        <w:tc>
          <w:tcPr>
            <w:tcW w:w="4960" w:type="dxa"/>
            <w:vAlign w:val="bottom"/>
          </w:tcPr>
          <w:p>
            <w:pPr>
              <w:ind w:left="700"/>
              <w:spacing w:after="0"/>
              <w:rPr>
                <w:sz w:val="20"/>
                <w:szCs w:val="20"/>
                <w:color w:val="auto"/>
              </w:rPr>
            </w:pPr>
            <w:r>
              <w:rPr>
                <w:rFonts w:ascii="Courier New" w:cs="Courier New" w:eastAsia="Courier New" w:hAnsi="Courier New"/>
                <w:sz w:val="15"/>
                <w:szCs w:val="15"/>
                <w:color w:val="auto"/>
              </w:rPr>
              <w:t>Comprehensive income</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2003</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528,358,825</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(4,658,450)</w:t>
            </w:r>
          </w:p>
        </w:tc>
        <w:tc>
          <w:tcPr>
            <w:tcW w:w="540" w:type="dxa"/>
            <w:vAlign w:val="bottom"/>
          </w:tcPr>
          <w:p>
            <w:pPr>
              <w:spacing w:after="0"/>
              <w:rPr>
                <w:sz w:val="24"/>
                <w:szCs w:val="2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12,446,182</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693,643,331</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Issuance of common stock and the tax benefit of stock</w:t>
            </w: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plan transactions</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(2,323,123)</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20,118,222</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Dividends declared ($.64 per share)</w:t>
            </w:r>
          </w:p>
        </w:tc>
        <w:tc>
          <w:tcPr>
            <w:tcW w:w="1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(49,469,017)</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(49,469,017)</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Amortization of deferred compensation</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1,573,722</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1,573,722</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4"/>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112,656,518</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112,656,518</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income (loss):</w:t>
            </w: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 adjustment, net of tax</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 on investments, net of tax</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520"/>
              <w:spacing w:after="0"/>
              <w:rPr>
                <w:sz w:val="20"/>
                <w:szCs w:val="20"/>
                <w:color w:val="auto"/>
              </w:rPr>
            </w:pPr>
            <w:r>
              <w:rPr>
                <w:rFonts w:ascii="Courier New" w:cs="Courier New" w:eastAsia="Courier New" w:hAnsi="Courier New"/>
                <w:sz w:val="15"/>
                <w:szCs w:val="15"/>
                <w:color w:val="auto"/>
              </w:rPr>
              <w:t>Other comprehensive income</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4,757,196</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4,757,196</w:t>
            </w:r>
          </w:p>
        </w:tc>
      </w:tr>
      <w:tr>
        <w:trPr>
          <w:trHeight w:val="172"/>
        </w:trPr>
        <w:tc>
          <w:tcPr>
            <w:tcW w:w="4960" w:type="dxa"/>
            <w:vAlign w:val="bottom"/>
          </w:tcPr>
          <w:p>
            <w:pPr>
              <w:ind w:left="700"/>
              <w:spacing w:after="0"/>
              <w:rPr>
                <w:sz w:val="20"/>
                <w:szCs w:val="20"/>
                <w:color w:val="auto"/>
              </w:rPr>
            </w:pPr>
            <w:r>
              <w:rPr>
                <w:rFonts w:ascii="Courier New" w:cs="Courier New" w:eastAsia="Courier New" w:hAnsi="Courier New"/>
                <w:sz w:val="15"/>
                <w:szCs w:val="15"/>
                <w:color w:val="auto"/>
              </w:rPr>
              <w:t>Comprehensive income</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2004</w:t>
            </w: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$591,546,326</w:t>
            </w:r>
          </w:p>
        </w:tc>
        <w:tc>
          <w:tcPr>
            <w:tcW w:w="15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($5,407,851)</w:t>
            </w:r>
          </w:p>
        </w:tc>
        <w:tc>
          <w:tcPr>
            <w:tcW w:w="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17,203,378</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$ 783,279,972</w:t>
            </w:r>
          </w:p>
        </w:tc>
      </w:tr>
      <w:tr>
        <w:trPr>
          <w:trHeight w:val="172"/>
        </w:trPr>
        <w:tc>
          <w:tcPr>
            <w:tcW w:w="4960" w:type="dxa"/>
            <w:vAlign w:val="bottom"/>
          </w:tcPr>
          <w:p>
            <w:pPr>
              <w:spacing w:after="0"/>
              <w:rPr>
                <w:sz w:val="14"/>
                <w:szCs w:val="14"/>
                <w:color w:val="auto"/>
              </w:rPr>
            </w:pPr>
          </w:p>
        </w:tc>
        <w:tc>
          <w:tcPr>
            <w:tcW w:w="1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48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520"/>
          </w:cols>
          <w:pgMar w:left="240" w:top="140" w:right="139" w:bottom="1440" w:gutter="0" w:footer="0" w:header="0"/>
        </w:sectPr>
      </w:pPr>
    </w:p>
    <w:bookmarkStart w:id="26" w:name="page27"/>
    <w:bookmarkEnd w:id="26"/>
    <w:p>
      <w:pPr>
        <w:ind w:left="196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2004, 2003 AND 2002</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20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2004</w:t>
            </w:r>
          </w:p>
        </w:tc>
        <w:tc>
          <w:tcPr>
            <w:tcW w:w="170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2003</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5140" w:type="dxa"/>
            <w:vAlign w:val="bottom"/>
          </w:tcPr>
          <w:p>
            <w:pPr>
              <w:spacing w:after="0"/>
              <w:rPr>
                <w:sz w:val="14"/>
                <w:szCs w:val="14"/>
                <w:color w:val="auto"/>
              </w:rPr>
            </w:pP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$112,656,518</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$106,761,195</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$ 85,771,291</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cash provided by operating activities:</w:t>
            </w: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140" w:type="dxa"/>
            <w:vAlign w:val="bottom"/>
          </w:tcPr>
          <w:p>
            <w:pPr>
              <w:ind w:left="700"/>
              <w:spacing w:after="0"/>
              <w:rPr>
                <w:sz w:val="20"/>
                <w:szCs w:val="20"/>
                <w:color w:val="auto"/>
              </w:rPr>
            </w:pPr>
            <w:r>
              <w:rPr>
                <w:rFonts w:ascii="Courier New" w:cs="Courier New" w:eastAsia="Courier New" w:hAnsi="Courier New"/>
                <w:sz w:val="15"/>
                <w:szCs w:val="15"/>
                <w:color w:val="auto"/>
              </w:rPr>
              <w:t>Depreciation and amortization</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21,740,832</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20,426,207</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18,631,600</w:t>
            </w:r>
          </w:p>
        </w:tc>
      </w:tr>
      <w:tr>
        <w:trPr>
          <w:trHeight w:val="172"/>
        </w:trPr>
        <w:tc>
          <w:tcPr>
            <w:tcW w:w="5140" w:type="dxa"/>
            <w:vAlign w:val="bottom"/>
          </w:tcPr>
          <w:p>
            <w:pPr>
              <w:ind w:left="700"/>
              <w:spacing w:after="0"/>
              <w:rPr>
                <w:sz w:val="20"/>
                <w:szCs w:val="20"/>
                <w:color w:val="auto"/>
              </w:rPr>
            </w:pPr>
            <w:r>
              <w:rPr>
                <w:rFonts w:ascii="Courier New" w:cs="Courier New" w:eastAsia="Courier New" w:hAnsi="Courier New"/>
                <w:sz w:val="15"/>
                <w:szCs w:val="15"/>
                <w:color w:val="auto"/>
              </w:rPr>
              <w:t>Loss on disposal of assets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88,679</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75,626</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11,180</w:t>
            </w:r>
          </w:p>
        </w:tc>
      </w:tr>
      <w:tr>
        <w:trPr>
          <w:trHeight w:val="172"/>
        </w:trPr>
        <w:tc>
          <w:tcPr>
            <w:tcW w:w="5140" w:type="dxa"/>
            <w:vAlign w:val="bottom"/>
          </w:tcPr>
          <w:p>
            <w:pPr>
              <w:ind w:left="700"/>
              <w:spacing w:after="0"/>
              <w:rPr>
                <w:sz w:val="20"/>
                <w:szCs w:val="20"/>
                <w:color w:val="auto"/>
              </w:rPr>
            </w:pPr>
            <w:r>
              <w:rPr>
                <w:rFonts w:ascii="Courier New" w:cs="Courier New" w:eastAsia="Courier New" w:hAnsi="Courier New"/>
                <w:sz w:val="15"/>
                <w:szCs w:val="15"/>
                <w:color w:val="auto"/>
              </w:rPr>
              <w:t>Gain on sale of investments</w:t>
            </w:r>
          </w:p>
        </w:tc>
        <w:tc>
          <w:tcPr>
            <w:tcW w:w="2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(5,655,756)</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(5,181,804)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(2,961,036)</w:t>
            </w:r>
          </w:p>
        </w:tc>
      </w:tr>
      <w:tr>
        <w:trPr>
          <w:trHeight w:val="172"/>
        </w:trPr>
        <w:tc>
          <w:tcPr>
            <w:tcW w:w="5140" w:type="dxa"/>
            <w:vAlign w:val="bottom"/>
          </w:tcPr>
          <w:p>
            <w:pPr>
              <w:ind w:left="700"/>
              <w:spacing w:after="0"/>
              <w:rPr>
                <w:sz w:val="20"/>
                <w:szCs w:val="20"/>
                <w:color w:val="auto"/>
              </w:rPr>
            </w:pPr>
            <w:r>
              <w:rPr>
                <w:rFonts w:ascii="Courier New" w:cs="Courier New" w:eastAsia="Courier New" w:hAnsi="Courier New"/>
                <w:sz w:val="15"/>
                <w:szCs w:val="15"/>
                <w:color w:val="auto"/>
              </w:rPr>
              <w:t>Loss on sale of investments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2,351,347</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6,228,566</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5,361,194</w:t>
            </w:r>
          </w:p>
        </w:tc>
      </w:tr>
      <w:tr>
        <w:trPr>
          <w:trHeight w:val="172"/>
        </w:trPr>
        <w:tc>
          <w:tcPr>
            <w:tcW w:w="5140" w:type="dxa"/>
            <w:vAlign w:val="bottom"/>
          </w:tcPr>
          <w:p>
            <w:pPr>
              <w:ind w:left="700"/>
              <w:spacing w:after="0"/>
              <w:rPr>
                <w:sz w:val="20"/>
                <w:szCs w:val="20"/>
                <w:color w:val="auto"/>
              </w:rPr>
            </w:pPr>
            <w:r>
              <w:rPr>
                <w:rFonts w:ascii="Courier New" w:cs="Courier New" w:eastAsia="Courier New" w:hAnsi="Courier New"/>
                <w:sz w:val="15"/>
                <w:szCs w:val="15"/>
                <w:color w:val="auto"/>
              </w:rPr>
              <w:t>Deferred income taxes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2,403,593</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1,951,787</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3,701,475</w:t>
            </w:r>
          </w:p>
        </w:tc>
      </w:tr>
      <w:tr>
        <w:trPr>
          <w:trHeight w:val="172"/>
        </w:trPr>
        <w:tc>
          <w:tcPr>
            <w:tcW w:w="5140" w:type="dxa"/>
            <w:vAlign w:val="bottom"/>
          </w:tcPr>
          <w:p>
            <w:pPr>
              <w:ind w:left="700"/>
              <w:spacing w:after="0"/>
              <w:rPr>
                <w:sz w:val="20"/>
                <w:szCs w:val="20"/>
                <w:color w:val="auto"/>
              </w:rPr>
            </w:pPr>
            <w:r>
              <w:rPr>
                <w:rFonts w:ascii="Courier New" w:cs="Courier New" w:eastAsia="Courier New" w:hAnsi="Courier New"/>
                <w:sz w:val="15"/>
                <w:szCs w:val="15"/>
                <w:color w:val="auto"/>
              </w:rPr>
              <w:t>Amortization of deferred compensation</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1,573,722</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1,118,208</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1,082,867</w:t>
            </w:r>
          </w:p>
        </w:tc>
      </w:tr>
      <w:tr>
        <w:trPr>
          <w:trHeight w:val="172"/>
        </w:trPr>
        <w:tc>
          <w:tcPr>
            <w:tcW w:w="5140" w:type="dxa"/>
            <w:vAlign w:val="bottom"/>
          </w:tcPr>
          <w:p>
            <w:pPr>
              <w:ind w:left="700"/>
              <w:spacing w:after="0"/>
              <w:rPr>
                <w:sz w:val="20"/>
                <w:szCs w:val="20"/>
                <w:color w:val="auto"/>
              </w:rPr>
            </w:pPr>
            <w:r>
              <w:rPr>
                <w:rFonts w:ascii="Courier New" w:cs="Courier New" w:eastAsia="Courier New" w:hAnsi="Courier New"/>
                <w:sz w:val="15"/>
                <w:szCs w:val="15"/>
                <w:color w:val="auto"/>
              </w:rPr>
              <w:t>Tax benefit of stock plan transactions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3,511,622</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5,511,458</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5,093,396</w:t>
            </w:r>
          </w:p>
        </w:tc>
      </w:tr>
      <w:tr>
        <w:trPr>
          <w:trHeight w:val="172"/>
        </w:trPr>
        <w:tc>
          <w:tcPr>
            <w:tcW w:w="5140" w:type="dxa"/>
            <w:vAlign w:val="bottom"/>
          </w:tcPr>
          <w:p>
            <w:pPr>
              <w:ind w:left="70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Accounts receivable</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2,863,493</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(23,065,443)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(3,895,441)</w:t>
            </w:r>
          </w:p>
        </w:tc>
      </w:tr>
      <w:tr>
        <w:trPr>
          <w:trHeight w:val="172"/>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Inventories</w:t>
            </w:r>
          </w:p>
        </w:tc>
        <w:tc>
          <w:tcPr>
            <w:tcW w:w="2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(9,662,093)</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(3,196,687)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(3,336,659)</w:t>
            </w:r>
          </w:p>
        </w:tc>
      </w:tr>
      <w:tr>
        <w:trPr>
          <w:trHeight w:val="172"/>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Prepaid expenses and other</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627,997</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(3,910,441)</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1,576,617</w:t>
            </w:r>
          </w:p>
        </w:tc>
      </w:tr>
      <w:tr>
        <w:trPr>
          <w:trHeight w:val="172"/>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Accounts payable</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1,590,458</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6,465,385</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2,414,789</w:t>
            </w:r>
          </w:p>
        </w:tc>
      </w:tr>
      <w:tr>
        <w:trPr>
          <w:trHeight w:val="172"/>
        </w:trPr>
        <w:tc>
          <w:tcPr>
            <w:tcW w:w="5140" w:type="dxa"/>
            <w:vAlign w:val="bottom"/>
          </w:tcPr>
          <w:p>
            <w:pPr>
              <w:ind w:left="880"/>
              <w:spacing w:after="0"/>
              <w:rPr>
                <w:sz w:val="20"/>
                <w:szCs w:val="20"/>
                <w:color w:val="auto"/>
              </w:rPr>
            </w:pPr>
            <w:r>
              <w:rPr>
                <w:rFonts w:ascii="Courier New" w:cs="Courier New" w:eastAsia="Courier New" w:hAnsi="Courier New"/>
                <w:sz w:val="15"/>
                <w:szCs w:val="15"/>
                <w:color w:val="auto"/>
              </w:rPr>
              <w:t>Accrued liabilities</w:t>
            </w:r>
          </w:p>
        </w:tc>
        <w:tc>
          <w:tcPr>
            <w:tcW w:w="2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(2,721,956)</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3,398,938</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5,659,842</w:t>
            </w:r>
          </w:p>
        </w:tc>
      </w:tr>
      <w:tr>
        <w:trPr>
          <w:trHeight w:val="172"/>
        </w:trPr>
        <w:tc>
          <w:tcPr>
            <w:tcW w:w="5140" w:type="dxa"/>
            <w:vAlign w:val="bottom"/>
          </w:tcPr>
          <w:p>
            <w:pPr>
              <w:spacing w:after="0"/>
              <w:rPr>
                <w:sz w:val="14"/>
                <w:szCs w:val="14"/>
                <w:color w:val="auto"/>
              </w:rPr>
            </w:pP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1240"/>
              <w:spacing w:after="0"/>
              <w:rPr>
                <w:sz w:val="20"/>
                <w:szCs w:val="20"/>
                <w:color w:val="auto"/>
              </w:rPr>
            </w:pPr>
            <w:r>
              <w:rPr>
                <w:rFonts w:ascii="Courier New" w:cs="Courier New" w:eastAsia="Courier New" w:hAnsi="Courier New"/>
                <w:sz w:val="15"/>
                <w:szCs w:val="15"/>
                <w:color w:val="auto"/>
              </w:rPr>
              <w:t>Net cash provided by</w:t>
            </w: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140" w:type="dxa"/>
            <w:vAlign w:val="bottom"/>
          </w:tcPr>
          <w:p>
            <w:pPr>
              <w:ind w:left="1420"/>
              <w:spacing w:after="0"/>
              <w:rPr>
                <w:sz w:val="20"/>
                <w:szCs w:val="20"/>
                <w:color w:val="auto"/>
              </w:rPr>
            </w:pPr>
            <w:r>
              <w:rPr>
                <w:rFonts w:ascii="Courier New" w:cs="Courier New" w:eastAsia="Courier New" w:hAnsi="Courier New"/>
                <w:sz w:val="15"/>
                <w:szCs w:val="15"/>
                <w:color w:val="auto"/>
              </w:rPr>
              <w:t>operating activities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131,368,456</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116,582,995</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119,111,115</w:t>
            </w:r>
          </w:p>
        </w:tc>
      </w:tr>
      <w:tr>
        <w:trPr>
          <w:trHeight w:val="172"/>
        </w:trPr>
        <w:tc>
          <w:tcPr>
            <w:tcW w:w="5140" w:type="dxa"/>
            <w:vAlign w:val="bottom"/>
          </w:tcPr>
          <w:p>
            <w:pPr>
              <w:spacing w:after="0"/>
              <w:rPr>
                <w:sz w:val="14"/>
                <w:szCs w:val="14"/>
                <w:color w:val="auto"/>
              </w:rPr>
            </w:pP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Activity in held-to-maturity securities:</w:t>
            </w: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Sales proceeds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Maturities and calls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57,571,539</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64,322,716</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Purchases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(122,262,019)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(93,072,612)</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Activity in available-for-sale securities:</w:t>
            </w: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Sales proceeds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31,101,380</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120,578,082</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15,137,464</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Maturities and calls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78,792,849</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91,489,195</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Purchases</w:t>
            </w:r>
          </w:p>
        </w:tc>
        <w:tc>
          <w:tcPr>
            <w:tcW w:w="2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(105,551,220)</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(87,494,979)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(55,600,063)</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Plant and equipment additions</w:t>
            </w:r>
          </w:p>
        </w:tc>
        <w:tc>
          <w:tcPr>
            <w:tcW w:w="2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(30,535,174)</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(22,248,009)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(32,560,646)</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plant and equipment</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56,500</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72,000</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189,926</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Increase in other assets</w:t>
            </w:r>
          </w:p>
        </w:tc>
        <w:tc>
          <w:tcPr>
            <w:tcW w:w="2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(1,001,902)</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(167,174)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(953,277)</w:t>
            </w:r>
          </w:p>
        </w:tc>
      </w:tr>
      <w:tr>
        <w:trPr>
          <w:trHeight w:val="172"/>
        </w:trPr>
        <w:tc>
          <w:tcPr>
            <w:tcW w:w="5140" w:type="dxa"/>
            <w:vAlign w:val="bottom"/>
          </w:tcPr>
          <w:p>
            <w:pPr>
              <w:spacing w:after="0"/>
              <w:rPr>
                <w:sz w:val="14"/>
                <w:szCs w:val="14"/>
                <w:color w:val="auto"/>
              </w:rPr>
            </w:pP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1160"/>
              <w:spacing w:after="0"/>
              <w:rPr>
                <w:sz w:val="20"/>
                <w:szCs w:val="20"/>
                <w:color w:val="auto"/>
              </w:rPr>
            </w:pPr>
            <w:r>
              <w:rPr>
                <w:rFonts w:ascii="Courier New" w:cs="Courier New" w:eastAsia="Courier New" w:hAnsi="Courier New"/>
                <w:sz w:val="15"/>
                <w:szCs w:val="15"/>
                <w:color w:val="auto"/>
              </w:rPr>
              <w:t>Net cash provided by (used for)</w:t>
            </w: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140" w:type="dxa"/>
            <w:vAlign w:val="bottom"/>
          </w:tcPr>
          <w:p>
            <w:pPr>
              <w:ind w:left="1420"/>
              <w:spacing w:after="0"/>
              <w:rPr>
                <w:sz w:val="20"/>
                <w:szCs w:val="20"/>
                <w:color w:val="auto"/>
              </w:rPr>
            </w:pPr>
            <w:r>
              <w:rPr>
                <w:rFonts w:ascii="Courier New" w:cs="Courier New" w:eastAsia="Courier New" w:hAnsi="Courier New"/>
                <w:sz w:val="15"/>
                <w:szCs w:val="15"/>
                <w:color w:val="auto"/>
              </w:rPr>
              <w:t>investing activities</w:t>
            </w:r>
          </w:p>
        </w:tc>
        <w:tc>
          <w:tcPr>
            <w:tcW w:w="2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(27,137,567)</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37,538,635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(102,536,492)</w:t>
            </w:r>
          </w:p>
        </w:tc>
      </w:tr>
      <w:tr>
        <w:trPr>
          <w:trHeight w:val="172"/>
        </w:trPr>
        <w:tc>
          <w:tcPr>
            <w:tcW w:w="5140" w:type="dxa"/>
            <w:vAlign w:val="bottom"/>
          </w:tcPr>
          <w:p>
            <w:pPr>
              <w:spacing w:after="0"/>
              <w:rPr>
                <w:sz w:val="14"/>
                <w:szCs w:val="14"/>
                <w:color w:val="auto"/>
              </w:rPr>
            </w:pP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from</w:t>
            </w: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stock plan transactions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16,606,601</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21,460,422</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12,474,767</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Cash dividends paid</w:t>
            </w:r>
          </w:p>
        </w:tc>
        <w:tc>
          <w:tcPr>
            <w:tcW w:w="2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(47,961,742)</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(11,506,382)</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Repurchases of common stock</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(10,246,810)</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spacing w:after="0"/>
              <w:rPr>
                <w:sz w:val="14"/>
                <w:szCs w:val="14"/>
                <w:color w:val="auto"/>
              </w:rPr>
            </w:pP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tcPr>
          <w:p>
            <w:pPr>
              <w:ind w:left="1160"/>
              <w:spacing w:after="0"/>
              <w:rPr>
                <w:sz w:val="20"/>
                <w:szCs w:val="20"/>
                <w:color w:val="auto"/>
              </w:rPr>
            </w:pPr>
            <w:r>
              <w:rPr>
                <w:rFonts w:ascii="Courier New" w:cs="Courier New" w:eastAsia="Courier New" w:hAnsi="Courier New"/>
                <w:sz w:val="15"/>
                <w:szCs w:val="15"/>
                <w:color w:val="auto"/>
              </w:rPr>
              <w:t>Net cash provided by (used for)</w:t>
            </w: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140" w:type="dxa"/>
            <w:vAlign w:val="bottom"/>
          </w:tcPr>
          <w:p>
            <w:pPr>
              <w:ind w:left="1420"/>
              <w:spacing w:after="0"/>
              <w:rPr>
                <w:sz w:val="20"/>
                <w:szCs w:val="20"/>
                <w:color w:val="auto"/>
              </w:rPr>
            </w:pPr>
            <w:r>
              <w:rPr>
                <w:rFonts w:ascii="Courier New" w:cs="Courier New" w:eastAsia="Courier New" w:hAnsi="Courier New"/>
                <w:sz w:val="15"/>
                <w:szCs w:val="15"/>
                <w:color w:val="auto"/>
              </w:rPr>
              <w:t>financing activities</w:t>
            </w:r>
          </w:p>
        </w:tc>
        <w:tc>
          <w:tcPr>
            <w:tcW w:w="2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(31,355,141)</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(292,770)</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12,474,767</w:t>
            </w:r>
          </w:p>
        </w:tc>
      </w:tr>
      <w:tr>
        <w:trPr>
          <w:trHeight w:val="172"/>
        </w:trPr>
        <w:tc>
          <w:tcPr>
            <w:tcW w:w="5140" w:type="dxa"/>
            <w:vAlign w:val="bottom"/>
          </w:tcPr>
          <w:p>
            <w:pPr>
              <w:spacing w:after="0"/>
              <w:rPr>
                <w:sz w:val="14"/>
                <w:szCs w:val="14"/>
                <w:color w:val="auto"/>
              </w:rPr>
            </w:pP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INCREASE IN CASH AND</w:t>
            </w: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CASH EQUIVALENTS</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72,875,748</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153,828,860</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29,049,390</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Beginning of year</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322,662,971</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168,834,111</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139,784,721</w:t>
            </w:r>
          </w:p>
        </w:tc>
      </w:tr>
      <w:tr>
        <w:trPr>
          <w:trHeight w:val="172"/>
        </w:trPr>
        <w:tc>
          <w:tcPr>
            <w:tcW w:w="5140" w:type="dxa"/>
            <w:vAlign w:val="bottom"/>
          </w:tcPr>
          <w:p>
            <w:pPr>
              <w:spacing w:after="0"/>
              <w:rPr>
                <w:sz w:val="14"/>
                <w:szCs w:val="14"/>
                <w:color w:val="auto"/>
              </w:rPr>
            </w:pP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End of year</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$395,538,719</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$322,662,971</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$168,834,111</w:t>
            </w:r>
          </w:p>
        </w:tc>
      </w:tr>
      <w:tr>
        <w:trPr>
          <w:trHeight w:val="172"/>
        </w:trPr>
        <w:tc>
          <w:tcPr>
            <w:tcW w:w="5140" w:type="dxa"/>
            <w:vAlign w:val="bottom"/>
          </w:tcPr>
          <w:p>
            <w:pPr>
              <w:spacing w:after="0"/>
              <w:rPr>
                <w:sz w:val="14"/>
                <w:szCs w:val="14"/>
                <w:color w:val="auto"/>
              </w:rPr>
            </w:pP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8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80"/>
          </w:cols>
          <w:pgMar w:left="240" w:top="633" w:right="1379" w:bottom="1440" w:gutter="0" w:footer="0" w:header="0"/>
        </w:sectPr>
      </w:pPr>
    </w:p>
    <w:bookmarkStart w:id="27" w:name="page28"/>
    <w:bookmarkEnd w:id="27"/>
    <w:p>
      <w:pPr>
        <w:ind w:left="2048"/>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 w:right="4859" w:hanging="8"/>
        <w:spacing w:after="0" w:line="483" w:lineRule="auto"/>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spacing w:after="0" w:line="4" w:lineRule="exact"/>
        <w:rPr>
          <w:sz w:val="20"/>
          <w:szCs w:val="20"/>
          <w:color w:val="auto"/>
        </w:rPr>
      </w:pPr>
    </w:p>
    <w:p>
      <w:pPr>
        <w:ind w:left="188" w:right="3599" w:hanging="178"/>
        <w:spacing w:after="0" w:line="242" w:lineRule="auto"/>
        <w:rPr>
          <w:sz w:val="20"/>
          <w:szCs w:val="20"/>
          <w:color w:val="auto"/>
        </w:rPr>
      </w:pPr>
      <w:r>
        <w:rPr>
          <w:rFonts w:ascii="Courier New" w:cs="Courier New" w:eastAsia="Courier New" w:hAnsi="Courier New"/>
          <w:sz w:val="15"/>
          <w:szCs w:val="15"/>
          <w:color w:val="auto"/>
        </w:rPr>
        <w:t>Gentex Corporation designs, develops, manufactures and markets proprietary electro-optical products: automatic-dimming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 The Company does not require collateral or other security for trade accounts receivable.</w:t>
      </w:r>
    </w:p>
    <w:p>
      <w:pPr>
        <w:spacing w:after="0" w:line="179"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left="8" w:right="4139"/>
        <w:spacing w:after="0" w:line="260" w:lineRule="auto"/>
        <w:rPr>
          <w:sz w:val="20"/>
          <w:szCs w:val="20"/>
          <w:color w:val="auto"/>
        </w:rPr>
      </w:pPr>
      <w:r>
        <w:rPr>
          <w:rFonts w:ascii="Courier New" w:cs="Courier New" w:eastAsia="Courier New" w:hAnsi="Courier New"/>
          <w:sz w:val="14"/>
          <w:szCs w:val="14"/>
          <w:color w:val="auto"/>
        </w:rPr>
        <w:t>The consolidated financial statements include the accounts of Gentex Corporation and all of its wholly-owned subsidiaries (together the</w:t>
      </w:r>
    </w:p>
    <w:p>
      <w:pPr>
        <w:ind w:left="268" w:right="3599"/>
        <w:spacing w:after="0"/>
        <w:rPr>
          <w:sz w:val="20"/>
          <w:szCs w:val="20"/>
          <w:color w:val="auto"/>
        </w:rPr>
      </w:pPr>
      <w:r>
        <w:rPr>
          <w:rFonts w:ascii="Courier New" w:cs="Courier New" w:eastAsia="Courier New" w:hAnsi="Courier New"/>
          <w:sz w:val="15"/>
          <w:szCs w:val="15"/>
          <w:color w:val="auto"/>
        </w:rPr>
        <w:t>"Company"). All significant intercompany accounts and transactions have been eliminated.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Cash equivalents consist of funds invested in bank accounts that have daily liquidity.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Investments</w:t>
      </w:r>
    </w:p>
    <w:p>
      <w:pPr>
        <w:spacing w:after="0" w:line="4" w:lineRule="exact"/>
        <w:rPr>
          <w:sz w:val="20"/>
          <w:szCs w:val="20"/>
          <w:color w:val="auto"/>
        </w:rPr>
      </w:pPr>
    </w:p>
    <w:p>
      <w:pPr>
        <w:ind w:left="268" w:right="3519" w:hanging="267"/>
        <w:spacing w:after="0" w:line="242" w:lineRule="auto"/>
        <w:rPr>
          <w:sz w:val="20"/>
          <w:szCs w:val="20"/>
          <w:color w:val="auto"/>
        </w:rPr>
      </w:pPr>
      <w:r>
        <w:rPr>
          <w:rFonts w:ascii="Courier New" w:cs="Courier New" w:eastAsia="Courier New" w:hAnsi="Courier New"/>
          <w:sz w:val="15"/>
          <w:szCs w:val="15"/>
          <w:color w:val="auto"/>
        </w:rPr>
        <w:t>At December 31, 2004, investment securities are available for sale and are stated at fair value based on quoted market prices. Adjustments to the fair value of investments are recorded as increases or decreases, net of income taxes, within accumulated other comprehensive income (loss) in shareholders' investment. During 2003, in order to avoid the registration requirements of the Investment Company Act of 1940, the Company changed its intent to hold certain of its held-to-maturity investments and therefore reclassified investments in debt securities with a net carrying value of approximately $202,000,000 to available-for-sale. The unrealized gain on these securities, net of income taxes, was approximately $1,000,000 at the time of the reclassification and was recorded in accumulated other comprehensive income within shareholders' investment. Prior to 2003, these debt securities were carried at amortized cost.</w:t>
      </w:r>
    </w:p>
    <w:p>
      <w:pPr>
        <w:spacing w:after="0" w:line="182" w:lineRule="exact"/>
        <w:rPr>
          <w:sz w:val="20"/>
          <w:szCs w:val="20"/>
          <w:color w:val="auto"/>
        </w:rPr>
      </w:pPr>
    </w:p>
    <w:p>
      <w:pPr>
        <w:ind w:left="8" w:right="4139"/>
        <w:spacing w:after="0" w:line="274" w:lineRule="auto"/>
        <w:rPr>
          <w:sz w:val="20"/>
          <w:szCs w:val="20"/>
          <w:color w:val="auto"/>
        </w:rPr>
      </w:pPr>
      <w:r>
        <w:rPr>
          <w:rFonts w:ascii="Courier New" w:cs="Courier New" w:eastAsia="Courier New" w:hAnsi="Courier New"/>
          <w:sz w:val="14"/>
          <w:szCs w:val="14"/>
          <w:color w:val="auto"/>
        </w:rPr>
        <w:t>The amortized cost, unrealized gains and losses, and market value of investment securities are shown as of December 31, 2004 and 2003:</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Unrealized</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40" w:type="dxa"/>
            <w:vAlign w:val="bottom"/>
            <w:gridSpan w:val="4"/>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220" w:type="dxa"/>
            <w:vAlign w:val="bottom"/>
          </w:tcPr>
          <w:p>
            <w:pPr>
              <w:ind w:left="800"/>
              <w:spacing w:after="0"/>
              <w:rPr>
                <w:sz w:val="20"/>
                <w:szCs w:val="20"/>
                <w:color w:val="auto"/>
              </w:rPr>
            </w:pPr>
            <w:r>
              <w:rPr>
                <w:rFonts w:ascii="Courier New" w:cs="Courier New" w:eastAsia="Courier New" w:hAnsi="Courier New"/>
                <w:sz w:val="15"/>
                <w:szCs w:val="15"/>
                <w:color w:val="auto"/>
              </w:rPr>
              <w:t>2004</w:t>
            </w:r>
          </w:p>
        </w:tc>
        <w:tc>
          <w:tcPr>
            <w:tcW w:w="180" w:type="dxa"/>
            <w:vAlign w:val="bottom"/>
          </w:tcPr>
          <w:p>
            <w:pPr>
              <w:spacing w:after="0"/>
              <w:rPr>
                <w:sz w:val="14"/>
                <w:szCs w:val="14"/>
                <w:color w:val="auto"/>
              </w:rPr>
            </w:pPr>
          </w:p>
        </w:tc>
        <w:tc>
          <w:tcPr>
            <w:tcW w:w="13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Cost</w:t>
            </w:r>
          </w:p>
        </w:tc>
        <w:tc>
          <w:tcPr>
            <w:tcW w:w="320" w:type="dxa"/>
            <w:vAlign w:val="bottom"/>
          </w:tcPr>
          <w:p>
            <w:pPr>
              <w:spacing w:after="0"/>
              <w:rPr>
                <w:sz w:val="14"/>
                <w:szCs w:val="14"/>
                <w:color w:val="auto"/>
              </w:rPr>
            </w:pPr>
          </w:p>
        </w:tc>
        <w:tc>
          <w:tcPr>
            <w:tcW w:w="14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Gains</w:t>
            </w:r>
          </w:p>
        </w:tc>
        <w:tc>
          <w:tcPr>
            <w:tcW w:w="360" w:type="dxa"/>
            <w:vAlign w:val="bottom"/>
          </w:tcPr>
          <w:p>
            <w:pPr>
              <w:spacing w:after="0"/>
              <w:rPr>
                <w:sz w:val="14"/>
                <w:szCs w:val="14"/>
                <w:color w:val="auto"/>
              </w:rPr>
            </w:pP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Losses</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Market Value</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U.S. Government</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65,426,060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(188,580)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65,237,480</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Municipal Bonds</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4,039,922</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w:t>
            </w:r>
          </w:p>
        </w:tc>
        <w:tc>
          <w:tcPr>
            <w:tcW w:w="360" w:type="dxa"/>
            <w:vAlign w:val="bottom"/>
          </w:tcPr>
          <w:p>
            <w:pPr>
              <w:spacing w:after="0"/>
              <w:rPr>
                <w:sz w:val="14"/>
                <w:szCs w:val="14"/>
                <w:color w:val="auto"/>
              </w:rPr>
            </w:pP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(1,663)</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4,038,324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Certificates of Deposit</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32,034,061</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32,034,061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3,403,497</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80,466</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3,483,963</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Fixed Income</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1,054,716</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1,054,716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91,621,653</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24,934,095</w:t>
            </w:r>
          </w:p>
        </w:tc>
        <w:tc>
          <w:tcPr>
            <w:tcW w:w="360" w:type="dxa"/>
            <w:vAlign w:val="bottom"/>
          </w:tcPr>
          <w:p>
            <w:pPr>
              <w:spacing w:after="0"/>
              <w:rPr>
                <w:sz w:val="14"/>
                <w:szCs w:val="14"/>
                <w:color w:val="auto"/>
              </w:rPr>
            </w:pP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(888,721)</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115,667,027</w:t>
            </w:r>
          </w:p>
        </w:tc>
      </w:tr>
      <w:tr>
        <w:trPr>
          <w:trHeight w:val="172"/>
        </w:trPr>
        <w:tc>
          <w:tcPr>
            <w:tcW w:w="222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w w:val="99"/>
              </w:rPr>
              <w:t>$ 197,579,909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25,014,626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(1,078,964)</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$ 221,515,571</w:t>
            </w:r>
          </w:p>
        </w:tc>
      </w:tr>
      <w:tr>
        <w:trPr>
          <w:trHeight w:val="172"/>
        </w:trPr>
        <w:tc>
          <w:tcPr>
            <w:tcW w:w="222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860"/>
        </w:trPr>
        <w:tc>
          <w:tcPr>
            <w:tcW w:w="2220" w:type="dxa"/>
            <w:vAlign w:val="bottom"/>
          </w:tcPr>
          <w:p>
            <w:pPr>
              <w:ind w:left="800"/>
              <w:spacing w:after="0"/>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24"/>
                <w:szCs w:val="24"/>
                <w:color w:val="auto"/>
              </w:rPr>
            </w:pPr>
          </w:p>
        </w:tc>
        <w:tc>
          <w:tcPr>
            <w:tcW w:w="13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Cost</w:t>
            </w:r>
          </w:p>
        </w:tc>
        <w:tc>
          <w:tcPr>
            <w:tcW w:w="320" w:type="dxa"/>
            <w:vAlign w:val="bottom"/>
          </w:tcPr>
          <w:p>
            <w:pPr>
              <w:spacing w:after="0"/>
              <w:rPr>
                <w:sz w:val="24"/>
                <w:szCs w:val="24"/>
                <w:color w:val="auto"/>
              </w:rPr>
            </w:pPr>
          </w:p>
        </w:tc>
        <w:tc>
          <w:tcPr>
            <w:tcW w:w="14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Gains</w:t>
            </w:r>
          </w:p>
        </w:tc>
        <w:tc>
          <w:tcPr>
            <w:tcW w:w="360" w:type="dxa"/>
            <w:vAlign w:val="bottom"/>
          </w:tcPr>
          <w:p>
            <w:pPr>
              <w:spacing w:after="0"/>
              <w:rPr>
                <w:sz w:val="24"/>
                <w:szCs w:val="24"/>
                <w:color w:val="auto"/>
              </w:rPr>
            </w:pPr>
          </w:p>
        </w:tc>
        <w:tc>
          <w:tcPr>
            <w:tcW w:w="14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Losses</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Market Value</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4"/>
                <w:szCs w:val="14"/>
                <w:color w:val="auto"/>
              </w:rPr>
            </w:pP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U.S. Government</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64,781,167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110,504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64,891,020</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Municipal Bonds</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4,005,355</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16,096</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4,021,451</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Certificates of Deposit</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27,565,196</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27,565,196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20,628,265</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454,547</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21,082,812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Fixed Income</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1,509,322</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1,509,322</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8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80,129,204</w:t>
            </w:r>
          </w:p>
        </w:tc>
        <w:tc>
          <w:tcPr>
            <w:tcW w:w="32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18,361,872</w:t>
            </w:r>
          </w:p>
        </w:tc>
        <w:tc>
          <w:tcPr>
            <w:tcW w:w="360" w:type="dxa"/>
            <w:vAlign w:val="bottom"/>
          </w:tcPr>
          <w:p>
            <w:pPr>
              <w:spacing w:after="0"/>
              <w:rPr>
                <w:sz w:val="14"/>
                <w:szCs w:val="14"/>
                <w:color w:val="auto"/>
              </w:rPr>
            </w:pP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(1,001,258)</w:t>
            </w:r>
          </w:p>
        </w:tc>
        <w:tc>
          <w:tcPr>
            <w:tcW w:w="36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97,489,818</w:t>
            </w:r>
          </w:p>
        </w:tc>
      </w:tr>
      <w:tr>
        <w:trPr>
          <w:trHeight w:val="172"/>
        </w:trPr>
        <w:tc>
          <w:tcPr>
            <w:tcW w:w="222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w w:val="99"/>
              </w:rPr>
              <w:t>$ 198,618,509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18,943,019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(1,001,909)</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$ 216,559,619</w:t>
            </w:r>
          </w:p>
        </w:tc>
      </w:tr>
      <w:tr>
        <w:trPr>
          <w:trHeight w:val="172"/>
        </w:trPr>
        <w:tc>
          <w:tcPr>
            <w:tcW w:w="2220" w:type="dxa"/>
            <w:vAlign w:val="bottom"/>
          </w:tcPr>
          <w:p>
            <w:pPr>
              <w:spacing w:after="0"/>
              <w:rPr>
                <w:sz w:val="14"/>
                <w:szCs w:val="14"/>
                <w:color w:val="auto"/>
              </w:rPr>
            </w:pPr>
          </w:p>
        </w:tc>
        <w:tc>
          <w:tcPr>
            <w:tcW w:w="152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Unrealized losses on investments as of December 31, 2004, are as follows:</w:t>
      </w:r>
    </w:p>
    <w:p>
      <w:pPr>
        <w:sectPr>
          <w:pgSz w:w="11900" w:h="16838" w:orient="portrait"/>
          <w:cols w:equalWidth="0" w:num="1">
            <w:col w:w="10227"/>
          </w:cols>
          <w:pgMar w:left="232" w:top="633" w:right="1440" w:bottom="0" w:gutter="0" w:footer="0" w:header="0"/>
        </w:sectPr>
      </w:pPr>
    </w:p>
    <w:p>
      <w:pPr>
        <w:spacing w:after="0" w:line="200" w:lineRule="exact"/>
        <w:rPr>
          <w:sz w:val="20"/>
          <w:szCs w:val="20"/>
          <w:color w:val="auto"/>
        </w:rPr>
      </w:pPr>
    </w:p>
    <w:p>
      <w:pPr>
        <w:spacing w:after="0" w:line="320" w:lineRule="exact"/>
        <w:rPr>
          <w:sz w:val="20"/>
          <w:szCs w:val="20"/>
          <w:color w:val="auto"/>
        </w:rPr>
      </w:pPr>
    </w:p>
    <w:p>
      <w:pPr>
        <w:ind w:left="2228"/>
        <w:spacing w:after="0"/>
        <w:rPr>
          <w:sz w:val="20"/>
          <w:szCs w:val="20"/>
          <w:color w:val="auto"/>
        </w:rPr>
      </w:pPr>
      <w:r>
        <w:rPr>
          <w:rFonts w:ascii="Courier New" w:cs="Courier New" w:eastAsia="Courier New" w:hAnsi="Courier New"/>
          <w:sz w:val="14"/>
          <w:szCs w:val="14"/>
          <w:color w:val="auto"/>
        </w:rPr>
        <w:t>Aggregate Unrealized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Fair Value</w:t>
      </w:r>
    </w:p>
    <w:p>
      <w:pPr>
        <w:spacing w:after="0" w:line="184" w:lineRule="exact"/>
        <w:rPr>
          <w:sz w:val="20"/>
          <w:szCs w:val="20"/>
          <w:color w:val="auto"/>
        </w:rPr>
      </w:pPr>
    </w:p>
    <w:p>
      <w:pPr>
        <w:sectPr>
          <w:pgSz w:w="11900" w:h="16838" w:orient="portrait"/>
          <w:cols w:equalWidth="0" w:num="2">
            <w:col w:w="4648" w:space="720"/>
            <w:col w:w="4859"/>
          </w:cols>
          <w:pgMar w:left="232" w:top="633" w:right="1440" w:bottom="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Less than one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789,814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$75,270,467</w:t>
      </w:r>
    </w:p>
    <w:p>
      <w:pPr>
        <w:sectPr>
          <w:pgSz w:w="11900" w:h="16838" w:orient="portrait"/>
          <w:cols w:equalWidth="0" w:num="4">
            <w:col w:w="2048" w:space="720"/>
            <w:col w:w="100" w:space="260"/>
            <w:col w:w="1880" w:space="720"/>
            <w:col w:w="4499"/>
          </w:cols>
          <w:pgMar w:left="232" w:top="633" w:right="1440" w:bottom="0" w:gutter="0" w:footer="0" w:header="0"/>
          <w:type w:val="continuous"/>
        </w:sectPr>
      </w:pPr>
    </w:p>
    <w:bookmarkStart w:id="28" w:name="page29"/>
    <w:bookmarkEnd w:id="28"/>
    <w:p>
      <w:pPr>
        <w:spacing w:after="0"/>
        <w:tabs>
          <w:tab w:leader="none" w:pos="3100" w:val="left"/>
          <w:tab w:leader="none" w:pos="5880" w:val="left"/>
        </w:tabs>
        <w:rPr>
          <w:sz w:val="20"/>
          <w:szCs w:val="20"/>
          <w:color w:val="auto"/>
        </w:rPr>
      </w:pPr>
      <w:r>
        <w:rPr>
          <w:rFonts w:ascii="Courier New" w:cs="Courier New" w:eastAsia="Courier New" w:hAnsi="Courier New"/>
          <w:sz w:val="15"/>
          <w:szCs w:val="15"/>
          <w:color w:val="auto"/>
        </w:rPr>
        <w:t>Greater than one year</w:t>
      </w:r>
      <w:r>
        <w:rPr>
          <w:sz w:val="20"/>
          <w:szCs w:val="20"/>
          <w:color w:val="auto"/>
        </w:rPr>
        <w:tab/>
      </w:r>
      <w:r>
        <w:rPr>
          <w:rFonts w:ascii="Courier New" w:cs="Courier New" w:eastAsia="Courier New" w:hAnsi="Courier New"/>
          <w:sz w:val="15"/>
          <w:szCs w:val="15"/>
          <w:color w:val="auto"/>
        </w:rPr>
        <w:t>289,150</w:t>
      </w:r>
      <w:r>
        <w:rPr>
          <w:sz w:val="20"/>
          <w:szCs w:val="20"/>
          <w:color w:val="auto"/>
        </w:rPr>
        <w:tab/>
      </w:r>
      <w:r>
        <w:rPr>
          <w:rFonts w:ascii="Courier New" w:cs="Courier New" w:eastAsia="Courier New" w:hAnsi="Courier New"/>
          <w:sz w:val="14"/>
          <w:szCs w:val="14"/>
          <w:color w:val="auto"/>
        </w:rPr>
        <w:t>2,196,218</w:t>
      </w:r>
    </w:p>
    <w:p>
      <w:pPr>
        <w:sectPr>
          <w:pgSz w:w="11900" w:h="16838" w:orient="portrait"/>
          <w:cols w:equalWidth="0" w:num="1">
            <w:col w:w="10219"/>
          </w:cols>
          <w:pgMar w:left="240" w:top="140" w:right="1440" w:bottom="1440" w:gutter="0" w:footer="0" w:header="0"/>
        </w:sectPr>
      </w:pP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19"/>
          </w:cols>
          <w:pgMar w:left="240" w:top="140" w:right="1440" w:bottom="1440" w:gutter="0" w:footer="0" w:header="0"/>
          <w:type w:val="continuous"/>
        </w:sectPr>
      </w:pPr>
    </w:p>
    <w:bookmarkStart w:id="29" w:name="page30"/>
    <w:bookmarkEnd w:id="29"/>
    <w:p>
      <w:pPr>
        <w:ind w:left="20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AND REPORTING POLICIES, continued</w:t>
      </w:r>
    </w:p>
    <w:p>
      <w:pPr>
        <w:spacing w:after="0" w:line="176" w:lineRule="exact"/>
        <w:rPr>
          <w:sz w:val="20"/>
          <w:szCs w:val="20"/>
          <w:color w:val="auto"/>
        </w:rPr>
      </w:pPr>
    </w:p>
    <w:p>
      <w:pPr>
        <w:ind w:left="880" w:right="3079" w:hanging="446"/>
        <w:spacing w:after="0" w:line="242" w:lineRule="auto"/>
        <w:rPr>
          <w:sz w:val="20"/>
          <w:szCs w:val="20"/>
          <w:color w:val="auto"/>
        </w:rPr>
      </w:pPr>
      <w:r>
        <w:rPr>
          <w:rFonts w:ascii="Courier New" w:cs="Courier New" w:eastAsia="Courier New" w:hAnsi="Courier New"/>
          <w:sz w:val="15"/>
          <w:szCs w:val="15"/>
          <w:color w:val="auto"/>
        </w:rPr>
        <w:t>Management has reviewed the unrealized losses in the Company's fixed-income and equity securities as of December 31, 2004, and has determined that they are temporary in nature; accordingly, no losses have been recognized in income as of December 31, 2004.</w:t>
      </w:r>
    </w:p>
    <w:p>
      <w:pPr>
        <w:spacing w:after="0" w:line="175" w:lineRule="exact"/>
        <w:rPr>
          <w:sz w:val="20"/>
          <w:szCs w:val="20"/>
          <w:color w:val="auto"/>
        </w:rPr>
      </w:pPr>
    </w:p>
    <w:p>
      <w:pPr>
        <w:ind w:left="880" w:right="3079" w:hanging="446"/>
        <w:spacing w:after="0"/>
        <w:rPr>
          <w:sz w:val="20"/>
          <w:szCs w:val="20"/>
          <w:color w:val="auto"/>
        </w:rPr>
      </w:pPr>
      <w:r>
        <w:rPr>
          <w:rFonts w:ascii="Courier New" w:cs="Courier New" w:eastAsia="Courier New" w:hAnsi="Courier New"/>
          <w:sz w:val="15"/>
          <w:szCs w:val="15"/>
          <w:color w:val="auto"/>
        </w:rPr>
        <w:t>Fixedincome securities as of December 31, 2004, have contractual maturities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Due within one year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99,463,300</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Due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between one and five years</w:t>
            </w: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6,494,956</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Due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over five years</w:t>
            </w:r>
          </w:p>
        </w:tc>
        <w:tc>
          <w:tcPr>
            <w:tcW w:w="4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105,958,256</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left="880" w:right="3259" w:hanging="446"/>
        <w:spacing w:after="0" w:line="265" w:lineRule="auto"/>
        <w:rPr>
          <w:sz w:val="20"/>
          <w:szCs w:val="20"/>
          <w:color w:val="auto"/>
        </w:rPr>
      </w:pPr>
      <w:r>
        <w:rPr>
          <w:rFonts w:ascii="Courier New" w:cs="Courier New" w:eastAsia="Courier New" w:hAnsi="Courier New"/>
          <w:sz w:val="14"/>
          <w:szCs w:val="14"/>
          <w:color w:val="auto"/>
        </w:rPr>
        <w:t>The Company's financial instruments consist of cash and cash equivalents, investments, accounts receivable and accounts payable. The Company's estimate of the fair values of these financial instruments approximates their carrying amounts at December 31, 2004 and 2003.</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w:t>
      </w:r>
    </w:p>
    <w:p>
      <w:pPr>
        <w:spacing w:after="0" w:line="176" w:lineRule="exact"/>
        <w:rPr>
          <w:sz w:val="20"/>
          <w:szCs w:val="20"/>
          <w:color w:val="auto"/>
        </w:rPr>
      </w:pPr>
    </w:p>
    <w:p>
      <w:pPr>
        <w:ind w:left="880" w:right="3159" w:hanging="446"/>
        <w:spacing w:after="0" w:line="242" w:lineRule="auto"/>
        <w:rPr>
          <w:sz w:val="20"/>
          <w:szCs w:val="20"/>
          <w:color w:val="auto"/>
        </w:rPr>
      </w:pPr>
      <w:r>
        <w:rPr>
          <w:rFonts w:ascii="Courier New" w:cs="Courier New" w:eastAsia="Courier New" w:hAnsi="Courier New"/>
          <w:sz w:val="15"/>
          <w:szCs w:val="15"/>
          <w:color w:val="auto"/>
        </w:rPr>
        <w:t>Inventories include material, direct labor and manufacturing overhead and are valued at the lower of first-in, first-out (FIFO) cost or market. Inventories consisted of the following as of December 31, 2004 and 2003:</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2004</w:t>
            </w:r>
          </w:p>
        </w:tc>
        <w:tc>
          <w:tcPr>
            <w:tcW w:w="6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1880" w:type="dxa"/>
            <w:vAlign w:val="bottom"/>
          </w:tcPr>
          <w:p>
            <w:pPr>
              <w:spacing w:after="0"/>
              <w:rPr>
                <w:sz w:val="14"/>
                <w:szCs w:val="14"/>
                <w:color w:val="auto"/>
              </w:rPr>
            </w:pPr>
          </w:p>
        </w:tc>
        <w:tc>
          <w:tcPr>
            <w:tcW w:w="21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18,102,873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11,041,622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800" w:type="dxa"/>
            <w:vAlign w:val="bottom"/>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3,894,864</w:t>
            </w:r>
          </w:p>
        </w:tc>
        <w:tc>
          <w:tcPr>
            <w:tcW w:w="6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2,401,500</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800" w:type="dxa"/>
            <w:vAlign w:val="bottom"/>
          </w:tcPr>
          <w:p>
            <w:pPr>
              <w:spacing w:after="0"/>
              <w:rPr>
                <w:sz w:val="14"/>
                <w:szCs w:val="14"/>
                <w:color w:val="auto"/>
              </w:rPr>
            </w:pP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8,603,052</w:t>
            </w:r>
          </w:p>
        </w:tc>
        <w:tc>
          <w:tcPr>
            <w:tcW w:w="6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7,495,574</w:t>
            </w:r>
          </w:p>
        </w:tc>
      </w:tr>
      <w:tr>
        <w:trPr>
          <w:trHeight w:val="172"/>
        </w:trPr>
        <w:tc>
          <w:tcPr>
            <w:tcW w:w="1880" w:type="dxa"/>
            <w:vAlign w:val="bottom"/>
          </w:tcPr>
          <w:p>
            <w:pPr>
              <w:spacing w:after="0"/>
              <w:rPr>
                <w:sz w:val="14"/>
                <w:szCs w:val="14"/>
                <w:color w:val="auto"/>
              </w:rPr>
            </w:pPr>
          </w:p>
        </w:tc>
        <w:tc>
          <w:tcPr>
            <w:tcW w:w="21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5"/>
              </w:rPr>
              <w:t>30,600,789</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20,938,696</w:t>
            </w:r>
          </w:p>
        </w:tc>
      </w:tr>
      <w:tr>
        <w:trPr>
          <w:trHeight w:val="172"/>
        </w:trPr>
        <w:tc>
          <w:tcPr>
            <w:tcW w:w="1880" w:type="dxa"/>
            <w:vAlign w:val="bottom"/>
          </w:tcPr>
          <w:p>
            <w:pPr>
              <w:spacing w:after="0"/>
              <w:rPr>
                <w:sz w:val="14"/>
                <w:szCs w:val="14"/>
                <w:color w:val="auto"/>
              </w:rPr>
            </w:pPr>
          </w:p>
        </w:tc>
        <w:tc>
          <w:tcPr>
            <w:tcW w:w="21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80" w:right="3079" w:hanging="446"/>
        <w:spacing w:after="0"/>
        <w:rPr>
          <w:sz w:val="20"/>
          <w:szCs w:val="20"/>
          <w:color w:val="auto"/>
        </w:rPr>
      </w:pPr>
      <w:r>
        <w:rPr>
          <w:rFonts w:ascii="Courier New" w:cs="Courier New" w:eastAsia="Courier New" w:hAnsi="Courier New"/>
          <w:sz w:val="15"/>
          <w:szCs w:val="15"/>
          <w:color w:val="auto"/>
        </w:rPr>
        <w:t>Allowances for slow-moving and obsolete inventories were not significant as of December 31, 2004 and 2003.</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Plant and Equipment</w:t>
      </w:r>
    </w:p>
    <w:p>
      <w:pPr>
        <w:spacing w:after="0" w:line="176" w:lineRule="exact"/>
        <w:rPr>
          <w:sz w:val="20"/>
          <w:szCs w:val="20"/>
          <w:color w:val="auto"/>
        </w:rPr>
      </w:pPr>
    </w:p>
    <w:p>
      <w:pPr>
        <w:ind w:left="880" w:right="3079" w:hanging="446"/>
        <w:spacing w:after="0" w:line="242" w:lineRule="auto"/>
        <w:rPr>
          <w:sz w:val="20"/>
          <w:szCs w:val="20"/>
          <w:color w:val="auto"/>
        </w:rPr>
      </w:pPr>
      <w:r>
        <w:rPr>
          <w:rFonts w:ascii="Courier New" w:cs="Courier New" w:eastAsia="Courier New" w:hAnsi="Courier New"/>
          <w:sz w:val="15"/>
          <w:szCs w:val="15"/>
          <w:color w:val="auto"/>
        </w:rPr>
        <w:t>Plantand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Impairment or Disposal of Long-Lived Assets</w:t>
      </w:r>
    </w:p>
    <w:p>
      <w:pPr>
        <w:spacing w:after="0" w:line="176" w:lineRule="exact"/>
        <w:rPr>
          <w:sz w:val="20"/>
          <w:szCs w:val="20"/>
          <w:color w:val="auto"/>
        </w:rPr>
      </w:pPr>
    </w:p>
    <w:p>
      <w:pPr>
        <w:ind w:left="880" w:right="3079" w:hanging="446"/>
        <w:spacing w:after="0" w:line="263" w:lineRule="auto"/>
        <w:rPr>
          <w:sz w:val="20"/>
          <w:szCs w:val="20"/>
          <w:color w:val="auto"/>
        </w:rPr>
      </w:pPr>
      <w:r>
        <w:rPr>
          <w:rFonts w:ascii="Courier New" w:cs="Courier New" w:eastAsia="Courier New" w:hAnsi="Courier New"/>
          <w:sz w:val="14"/>
          <w:szCs w:val="14"/>
          <w:color w:val="auto"/>
        </w:rPr>
        <w:t>The Company reviews long-lived assets for impairment whenever events or changes in circumstances indicate that the carrying amount of an asset may not be recoverable. If such assets are determined to be impaired, the impairment to be recognized is measured by the amount by which the carrying amount of the assets exceeds the fair value of the assets.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Patents</w:t>
      </w:r>
    </w:p>
    <w:p>
      <w:pPr>
        <w:spacing w:after="0" w:line="176" w:lineRule="exact"/>
        <w:rPr>
          <w:sz w:val="20"/>
          <w:szCs w:val="20"/>
          <w:color w:val="auto"/>
        </w:rPr>
      </w:pPr>
    </w:p>
    <w:p>
      <w:pPr>
        <w:ind w:left="880" w:right="3159" w:hanging="446"/>
        <w:spacing w:after="0" w:line="262" w:lineRule="auto"/>
        <w:rPr>
          <w:sz w:val="20"/>
          <w:szCs w:val="20"/>
          <w:color w:val="auto"/>
        </w:rPr>
      </w:pPr>
      <w:r>
        <w:rPr>
          <w:rFonts w:ascii="Courier New" w:cs="Courier New" w:eastAsia="Courier New" w:hAnsi="Courier New"/>
          <w:sz w:val="14"/>
          <w:szCs w:val="14"/>
          <w:color w:val="auto"/>
        </w:rPr>
        <w:t>The Company's policy is to capitalize costs incurred to obtain patents. The cost of patents is amortized over their useful lives. The cost of patents in process is not amortized until issuance. Accumulated amortization was approximately $3,069,000 and $2,876,000 at December 31, 2004 and 2003, respectively. At December 31, 2004, patents have a weighted average amortization life of 12 years. Patent amortization expense was approximately $193,000, $150,000 and $393,000, in 2004, 2003 and 2002, respectively. For each of the next five years, patent amortization expense will approximate $208,000 annually.</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3" w:right="1440" w:bottom="1440" w:gutter="0" w:footer="0" w:header="0"/>
        </w:sectPr>
      </w:pPr>
    </w:p>
    <w:bookmarkStart w:id="30" w:name="page31"/>
    <w:bookmarkEnd w:id="30"/>
    <w:p>
      <w:pPr>
        <w:ind w:left="2048"/>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(Continued)</w:t>
      </w:r>
    </w:p>
    <w:p>
      <w:pPr>
        <w:spacing w:after="0" w:line="176" w:lineRule="exact"/>
        <w:rPr>
          <w:sz w:val="20"/>
          <w:szCs w:val="20"/>
          <w:color w:val="auto"/>
        </w:rPr>
      </w:pPr>
    </w:p>
    <w:p>
      <w:pPr>
        <w:ind w:left="8" w:right="3779" w:hanging="8"/>
        <w:spacing w:after="0" w:line="483" w:lineRule="auto"/>
        <w:tabs>
          <w:tab w:leader="none" w:pos="45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Revenue Recognition</w:t>
      </w:r>
    </w:p>
    <w:p>
      <w:pPr>
        <w:spacing w:after="0" w:line="4" w:lineRule="exact"/>
        <w:rPr>
          <w:sz w:val="20"/>
          <w:szCs w:val="20"/>
          <w:color w:val="auto"/>
        </w:rPr>
      </w:pPr>
    </w:p>
    <w:p>
      <w:pPr>
        <w:ind w:left="448" w:right="3339" w:hanging="446"/>
        <w:spacing w:after="0" w:line="242" w:lineRule="auto"/>
        <w:rPr>
          <w:sz w:val="20"/>
          <w:szCs w:val="20"/>
          <w:color w:val="auto"/>
        </w:rPr>
      </w:pPr>
      <w:r>
        <w:rPr>
          <w:rFonts w:ascii="Courier New" w:cs="Courier New" w:eastAsia="Courier New" w:hAnsi="Courier New"/>
          <w:sz w:val="15"/>
          <w:szCs w:val="15"/>
          <w:color w:val="auto"/>
        </w:rPr>
        <w:t>The Company's revenue is generated from sales of its products. Sales are recognized when the product is shipped and legal title has passed to the customer. The Company does not generate sales from arrangements with multiple deliverables.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Advertising and Promotional Materials</w:t>
      </w:r>
    </w:p>
    <w:p>
      <w:pPr>
        <w:spacing w:after="0" w:line="176" w:lineRule="exact"/>
        <w:rPr>
          <w:sz w:val="20"/>
          <w:szCs w:val="20"/>
          <w:color w:val="auto"/>
        </w:rPr>
      </w:pPr>
    </w:p>
    <w:p>
      <w:pPr>
        <w:ind w:left="448" w:right="3259" w:hanging="446"/>
        <w:spacing w:after="0" w:line="241" w:lineRule="auto"/>
        <w:rPr>
          <w:sz w:val="20"/>
          <w:szCs w:val="20"/>
          <w:color w:val="auto"/>
        </w:rPr>
      </w:pPr>
      <w:r>
        <w:rPr>
          <w:rFonts w:ascii="Courier New" w:cs="Courier New" w:eastAsia="Courier New" w:hAnsi="Courier New"/>
          <w:sz w:val="15"/>
          <w:szCs w:val="15"/>
          <w:color w:val="auto"/>
        </w:rPr>
        <w:t>All advertising and promotional costs are expensed as incurred and amounted to approximately $1,314,000, $886,000 and $904,000, in 2004, 2003 and 2002, respectively.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Repairs and Maintenance</w:t>
      </w:r>
    </w:p>
    <w:p>
      <w:pPr>
        <w:spacing w:after="0" w:line="176" w:lineRule="exact"/>
        <w:rPr>
          <w:sz w:val="20"/>
          <w:szCs w:val="20"/>
          <w:color w:val="auto"/>
        </w:rPr>
      </w:pPr>
    </w:p>
    <w:p>
      <w:pPr>
        <w:ind w:left="448" w:right="3259" w:hanging="446"/>
        <w:spacing w:after="0" w:line="242" w:lineRule="auto"/>
        <w:rPr>
          <w:sz w:val="20"/>
          <w:szCs w:val="20"/>
          <w:color w:val="auto"/>
        </w:rPr>
      </w:pPr>
      <w:r>
        <w:rPr>
          <w:rFonts w:ascii="Courier New" w:cs="Courier New" w:eastAsia="Courier New" w:hAnsi="Courier New"/>
          <w:sz w:val="15"/>
          <w:szCs w:val="15"/>
          <w:color w:val="auto"/>
        </w:rPr>
        <w:t>Majorrenewals and improvements of property and equipment are capitalized, and repairs and maintenance are expensed as incurred. The Company incurred expenses relating to the repair and maintenance of plant and equipment of approximately $5,171,000, $4,169,000 and $3,761,000, in 2004, 2003 and 2002, respectively.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Self-Insurance</w:t>
      </w:r>
    </w:p>
    <w:p>
      <w:pPr>
        <w:spacing w:after="0" w:line="176" w:lineRule="exact"/>
        <w:rPr>
          <w:sz w:val="20"/>
          <w:szCs w:val="20"/>
          <w:color w:val="auto"/>
        </w:rPr>
      </w:pPr>
    </w:p>
    <w:p>
      <w:pPr>
        <w:ind w:left="448" w:right="3079" w:hanging="446"/>
        <w:spacing w:after="0" w:line="242" w:lineRule="auto"/>
        <w:rPr>
          <w:sz w:val="20"/>
          <w:szCs w:val="20"/>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 based upon historical claims lag information and other data.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Product Warranty</w:t>
      </w:r>
    </w:p>
    <w:p>
      <w:pPr>
        <w:spacing w:after="0" w:line="176" w:lineRule="exact"/>
        <w:rPr>
          <w:sz w:val="20"/>
          <w:szCs w:val="20"/>
          <w:color w:val="auto"/>
        </w:rPr>
      </w:pPr>
    </w:p>
    <w:p>
      <w:pPr>
        <w:ind w:left="448" w:right="3339" w:hanging="446"/>
        <w:spacing w:after="0" w:line="242" w:lineRule="auto"/>
        <w:rPr>
          <w:sz w:val="20"/>
          <w:szCs w:val="20"/>
          <w:color w:val="auto"/>
        </w:rPr>
      </w:pPr>
      <w:r>
        <w:rPr>
          <w:rFonts w:ascii="Courier New" w:cs="Courier New" w:eastAsia="Courier New" w:hAnsi="Courier New"/>
          <w:sz w:val="15"/>
          <w:szCs w:val="15"/>
          <w:color w:val="auto"/>
        </w:rPr>
        <w:t>The Company periodically incurs product warranty costs. Any liabilities associated with product warranty are estimated based on known facts and circumstances and are not significant at December 31, 2004 and 2003. The Company does not offer extended warranties on its products.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448" w:right="3159" w:hanging="446"/>
        <w:spacing w:after="0" w:line="241" w:lineRule="auto"/>
        <w:rPr>
          <w:sz w:val="20"/>
          <w:szCs w:val="20"/>
          <w:color w:val="auto"/>
        </w:rPr>
      </w:pPr>
      <w:r>
        <w:rPr>
          <w:rFonts w:ascii="Courier New" w:cs="Courier New" w:eastAsia="Courier New" w:hAnsi="Courier New"/>
          <w:sz w:val="15"/>
          <w:szCs w:val="15"/>
          <w:color w:val="auto"/>
        </w:rPr>
        <w:t>The following table reconciles the numerators and denominators used in the calculations of basic and diluted earnings per share (EPS) for each of the last three years: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2004</w:t>
            </w:r>
          </w:p>
        </w:tc>
        <w:tc>
          <w:tcPr>
            <w:tcW w:w="160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2003</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tcPr>
          <w:p>
            <w:pPr>
              <w:spacing w:after="0"/>
              <w:rPr>
                <w:sz w:val="20"/>
                <w:szCs w:val="20"/>
                <w:color w:val="auto"/>
              </w:rPr>
            </w:pPr>
            <w:r>
              <w:rPr>
                <w:rFonts w:ascii="Courier New" w:cs="Courier New" w:eastAsia="Courier New" w:hAnsi="Courier New"/>
                <w:sz w:val="15"/>
                <w:szCs w:val="15"/>
                <w:color w:val="auto"/>
              </w:rPr>
              <w:t>Numerators:</w:t>
            </w: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Numerator for both basic and diluted EPS, net income</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$ 112,656,518</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$ 106,761,195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$ 85,771,291</w:t>
            </w:r>
          </w:p>
        </w:tc>
      </w:tr>
      <w:tr>
        <w:trPr>
          <w:trHeight w:val="344"/>
        </w:trPr>
        <w:tc>
          <w:tcPr>
            <w:tcW w:w="5760" w:type="dxa"/>
            <w:vAlign w:val="bottom"/>
          </w:tcPr>
          <w:p>
            <w:pPr>
              <w:spacing w:after="0"/>
              <w:rPr>
                <w:sz w:val="20"/>
                <w:szCs w:val="20"/>
                <w:color w:val="auto"/>
              </w:rPr>
            </w:pPr>
            <w:r>
              <w:rPr>
                <w:rFonts w:ascii="Courier New" w:cs="Courier New" w:eastAsia="Courier New" w:hAnsi="Courier New"/>
                <w:sz w:val="15"/>
                <w:szCs w:val="15"/>
                <w:color w:val="auto"/>
              </w:rPr>
              <w:t>Denominators:</w:t>
            </w: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EPS,</w:t>
            </w: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760" w:type="dxa"/>
            <w:vAlign w:val="bottom"/>
          </w:tcPr>
          <w:p>
            <w:pPr>
              <w:ind w:left="520"/>
              <w:spacing w:after="0"/>
              <w:rPr>
                <w:sz w:val="20"/>
                <w:szCs w:val="20"/>
                <w:color w:val="auto"/>
              </w:rPr>
            </w:pPr>
            <w:r>
              <w:rPr>
                <w:rFonts w:ascii="Courier New" w:cs="Courier New" w:eastAsia="Courier New" w:hAnsi="Courier New"/>
                <w:sz w:val="15"/>
                <w:szCs w:val="15"/>
                <w:color w:val="auto"/>
              </w:rPr>
              <w:t>weighted-average common shares outstanding</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77,160,671</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76,584,876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75,515,271</w:t>
            </w:r>
          </w:p>
        </w:tc>
      </w:tr>
      <w:tr>
        <w:trPr>
          <w:trHeight w:val="172"/>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Potentially dilutive shares resulting from stock option plans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1,199,945</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1,099,614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1,087,131</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diluted EPS</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78,360,616</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77,684,490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76,602,402</w:t>
            </w:r>
          </w:p>
        </w:tc>
      </w:tr>
      <w:tr>
        <w:trPr>
          <w:trHeight w:val="172"/>
        </w:trPr>
        <w:tc>
          <w:tcPr>
            <w:tcW w:w="5760" w:type="dxa"/>
            <w:vAlign w:val="bottom"/>
          </w:tcPr>
          <w:p>
            <w:pPr>
              <w:spacing w:after="0"/>
              <w:rPr>
                <w:sz w:val="14"/>
                <w:szCs w:val="1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448" w:right="3159" w:hanging="446"/>
        <w:spacing w:after="0" w:line="242" w:lineRule="auto"/>
        <w:rPr>
          <w:sz w:val="20"/>
          <w:szCs w:val="20"/>
          <w:color w:val="auto"/>
        </w:rPr>
      </w:pPr>
      <w:r>
        <w:rPr>
          <w:rFonts w:ascii="Courier New" w:cs="Courier New" w:eastAsia="Courier New" w:hAnsi="Courier New"/>
          <w:sz w:val="15"/>
          <w:szCs w:val="15"/>
          <w:color w:val="auto"/>
        </w:rPr>
        <w:t>For the years ended December 31, 2004, 2003 and 2002, 756,391, 268,994 and 645,859 shares, respectively, related to stock option plans were not included in diluted average common shares outstanding because their effect would be antidilutive.</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633" w:right="1440" w:bottom="1440" w:gutter="0" w:footer="0" w:header="0"/>
        </w:sectPr>
      </w:pPr>
    </w:p>
    <w:bookmarkStart w:id="31" w:name="page32"/>
    <w:bookmarkEnd w:id="31"/>
    <w:p>
      <w:pPr>
        <w:ind w:left="2048"/>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74" w:lineRule="exact"/>
        <w:rPr>
          <w:sz w:val="20"/>
          <w:szCs w:val="20"/>
          <w:color w:val="auto"/>
        </w:rPr>
      </w:pPr>
    </w:p>
    <w:p>
      <w:pPr>
        <w:jc w:val="center"/>
        <w:ind w:right="385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(Continued)</w:t>
      </w:r>
    </w:p>
    <w:p>
      <w:pPr>
        <w:spacing w:after="0" w:line="176" w:lineRule="exact"/>
        <w:rPr>
          <w:sz w:val="20"/>
          <w:szCs w:val="20"/>
          <w:color w:val="auto"/>
        </w:rPr>
      </w:pPr>
    </w:p>
    <w:p>
      <w:pPr>
        <w:ind w:left="8" w:right="4660" w:hanging="8"/>
        <w:spacing w:after="0" w:line="483" w:lineRule="auto"/>
        <w:tabs>
          <w:tab w:leader="none" w:pos="3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Other Comprehensive Income (Loss)</w:t>
      </w:r>
    </w:p>
    <w:p>
      <w:pPr>
        <w:spacing w:after="0" w:line="4" w:lineRule="exact"/>
        <w:rPr>
          <w:sz w:val="20"/>
          <w:szCs w:val="20"/>
          <w:color w:val="auto"/>
        </w:rPr>
      </w:pPr>
    </w:p>
    <w:p>
      <w:pPr>
        <w:ind w:left="448" w:right="3940" w:hanging="446"/>
        <w:spacing w:after="0" w:line="242" w:lineRule="auto"/>
        <w:rPr>
          <w:sz w:val="20"/>
          <w:szCs w:val="20"/>
          <w:color w:val="auto"/>
        </w:rPr>
      </w:pPr>
      <w:r>
        <w:rPr>
          <w:rFonts w:ascii="Courier New" w:cs="Courier New" w:eastAsia="Courier New" w:hAnsi="Courier New"/>
          <w:sz w:val="15"/>
          <w:szCs w:val="15"/>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 The changes in the components of other comprehensive income (loss)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Years Ended December 31,</w:t>
            </w: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85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94"/>
              </w:rPr>
              <w:t>2004</w:t>
            </w:r>
          </w:p>
        </w:tc>
        <w:tc>
          <w:tcPr>
            <w:tcW w:w="1300" w:type="dxa"/>
            <w:vAlign w:val="bottom"/>
          </w:tcPr>
          <w:p>
            <w:pPr>
              <w:spacing w:after="0"/>
              <w:rPr>
                <w:sz w:val="14"/>
                <w:szCs w:val="14"/>
                <w:color w:val="auto"/>
              </w:rPr>
            </w:pPr>
          </w:p>
        </w:tc>
        <w:tc>
          <w:tcPr>
            <w:tcW w:w="15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88"/>
              </w:rPr>
              <w:t>2003</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28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4"/>
                <w:szCs w:val="2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Pre-Tax</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Tax Exp.</w:t>
            </w:r>
          </w:p>
        </w:tc>
        <w:tc>
          <w:tcPr>
            <w:tcW w:w="1300" w:type="dxa"/>
            <w:vAlign w:val="bottom"/>
          </w:tcPr>
          <w:p>
            <w:pPr>
              <w:ind w:left="480"/>
              <w:spacing w:after="0"/>
              <w:rPr>
                <w:sz w:val="20"/>
                <w:szCs w:val="20"/>
                <w:color w:val="auto"/>
              </w:rPr>
            </w:pPr>
            <w:r>
              <w:rPr>
                <w:rFonts w:ascii="Courier New" w:cs="Courier New" w:eastAsia="Courier New" w:hAnsi="Courier New"/>
                <w:sz w:val="15"/>
                <w:szCs w:val="15"/>
                <w:color w:val="auto"/>
              </w:rPr>
              <w:t>Pre-Tax</w:t>
            </w: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Tax Exp.</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Pre-Tax</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Tax Exp.</w:t>
            </w:r>
          </w:p>
        </w:tc>
      </w:tr>
      <w:tr>
        <w:trPr>
          <w:trHeight w:val="172"/>
        </w:trPr>
        <w:tc>
          <w:tcPr>
            <w:tcW w:w="250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c>
          <w:tcPr>
            <w:tcW w:w="15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(Credit)</w:t>
            </w:r>
          </w:p>
        </w:tc>
        <w:tc>
          <w:tcPr>
            <w:tcW w:w="1300" w:type="dxa"/>
            <w:vAlign w:val="bottom"/>
          </w:tcPr>
          <w:p>
            <w:pPr>
              <w:ind w:left="480"/>
              <w:spacing w:after="0"/>
              <w:rPr>
                <w:sz w:val="20"/>
                <w:szCs w:val="20"/>
                <w:color w:val="auto"/>
              </w:rPr>
            </w:pPr>
            <w:r>
              <w:rPr>
                <w:rFonts w:ascii="Courier New" w:cs="Courier New" w:eastAsia="Courier New" w:hAnsi="Courier New"/>
                <w:sz w:val="15"/>
                <w:szCs w:val="15"/>
                <w:color w:val="auto"/>
              </w:rPr>
              <w:t>Amount</w:t>
            </w:r>
          </w:p>
        </w:tc>
        <w:tc>
          <w:tcPr>
            <w:tcW w:w="15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(Credit)</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(Credit)</w:t>
            </w:r>
          </w:p>
        </w:tc>
      </w:tr>
      <w:tr>
        <w:trPr>
          <w:trHeight w:val="172"/>
        </w:trPr>
        <w:tc>
          <w:tcPr>
            <w:tcW w:w="2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Unrealized Gain (Loss)</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on Securities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$ 5,994,551</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$ 2,098,093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$ 27,312,575</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$ 9,559,401</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(15,266,964)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 (5,343,438)</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Foreign Currency</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Translation Adjustments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1,324,212</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463,474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1,088,965</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381,138</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216,982</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75,944</w:t>
            </w:r>
          </w:p>
        </w:tc>
      </w:tr>
      <w:tr>
        <w:trPr>
          <w:trHeight w:val="172"/>
        </w:trPr>
        <w:tc>
          <w:tcPr>
            <w:tcW w:w="2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Comprehensive</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Income (Loss)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$ 7,318,763</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$ 2,561,567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$ 28,401,540</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$ 9,940,539</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(15,049,982)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 (5,267,494)</w:t>
            </w:r>
          </w:p>
        </w:tc>
      </w:tr>
      <w:tr>
        <w:trPr>
          <w:trHeight w:val="172"/>
        </w:trPr>
        <w:tc>
          <w:tcPr>
            <w:tcW w:w="2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Foreign Currency Translation</w:t>
      </w:r>
    </w:p>
    <w:p>
      <w:pPr>
        <w:spacing w:after="0" w:line="176" w:lineRule="exact"/>
        <w:rPr>
          <w:sz w:val="20"/>
          <w:szCs w:val="20"/>
          <w:color w:val="auto"/>
        </w:rPr>
      </w:pPr>
    </w:p>
    <w:p>
      <w:pPr>
        <w:ind w:left="448" w:right="3860" w:hanging="446"/>
        <w:spacing w:after="0" w:line="242" w:lineRule="auto"/>
        <w:rPr>
          <w:sz w:val="20"/>
          <w:szCs w:val="20"/>
          <w:color w:val="auto"/>
        </w:rPr>
      </w:pPr>
      <w:r>
        <w:rPr>
          <w:rFonts w:ascii="Courier New" w:cs="Courier New" w:eastAsia="Courier New" w:hAnsi="Courier New"/>
          <w:sz w:val="15"/>
          <w:szCs w:val="15"/>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Stock-Based Compensation Plans</w:t>
      </w:r>
    </w:p>
    <w:p>
      <w:pPr>
        <w:spacing w:after="0" w:line="176" w:lineRule="exact"/>
        <w:rPr>
          <w:sz w:val="20"/>
          <w:szCs w:val="20"/>
          <w:color w:val="auto"/>
        </w:rPr>
      </w:pPr>
    </w:p>
    <w:p>
      <w:pPr>
        <w:ind w:left="448" w:right="3860" w:hanging="446"/>
        <w:spacing w:after="0" w:line="242" w:lineRule="auto"/>
        <w:rPr>
          <w:sz w:val="20"/>
          <w:szCs w:val="20"/>
          <w:color w:val="auto"/>
        </w:rPr>
      </w:pPr>
      <w:r>
        <w:rPr>
          <w:rFonts w:ascii="Courier New" w:cs="Courier New" w:eastAsia="Courier New" w:hAnsi="Courier New"/>
          <w:sz w:val="15"/>
          <w:szCs w:val="15"/>
          <w:color w:val="auto"/>
        </w:rPr>
        <w:t>At December 31, 2004, the Company has two stock option plans and an employee stock purchase plan, which are described more fully in Note 6. The Company accounts for these plans under the recognition and measurement principles of APB Opinion No. 25, "Accounting for Stock Issued to Employees," and related interpretations. No stock-based employee compensation cost is reflected in net income for these plans, as all options granted under these plans have an exercise price equal to the market value of the underlying common stock on the date of grant. The following table illustrates the effect on net income and earnings per share if the Company had applied the fair value recognition provisions of Statement of Financial Accounting Standards (SFAS) No. 123, "Accounting for Stock-Based Compensation," to stock-based employee compensation.</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3300" w:type="dxa"/>
            <w:vAlign w:val="bottom"/>
          </w:tcPr>
          <w:p>
            <w:pPr>
              <w:spacing w:after="0"/>
              <w:rPr>
                <w:sz w:val="14"/>
                <w:szCs w:val="14"/>
                <w:color w:val="auto"/>
              </w:rPr>
            </w:pPr>
          </w:p>
        </w:tc>
        <w:tc>
          <w:tcPr>
            <w:tcW w:w="21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21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$ 112,656,518</w:t>
            </w: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$ 106,761,195</w:t>
            </w:r>
          </w:p>
        </w:tc>
        <w:tc>
          <w:tcPr>
            <w:tcW w:w="14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$ 85,771,291</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Deduct: total stock-based employee</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compensation expense determined</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under fair value-based method for</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all awards, net of tax effects</w:t>
            </w:r>
          </w:p>
        </w:tc>
        <w:tc>
          <w:tcPr>
            <w:tcW w:w="860" w:type="dxa"/>
            <w:vAlign w:val="bottom"/>
          </w:tcPr>
          <w:p>
            <w:pPr>
              <w:spacing w:after="0"/>
              <w:rPr>
                <w:sz w:val="14"/>
                <w:szCs w:val="14"/>
                <w:color w:val="auto"/>
              </w:rPr>
            </w:pPr>
          </w:p>
        </w:tc>
        <w:tc>
          <w:tcPr>
            <w:tcW w:w="12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(14,541,115)</w:t>
            </w:r>
          </w:p>
        </w:tc>
        <w:tc>
          <w:tcPr>
            <w:tcW w:w="220" w:type="dxa"/>
            <w:vAlign w:val="bottom"/>
          </w:tcPr>
          <w:p>
            <w:pPr>
              <w:spacing w:after="0"/>
              <w:rPr>
                <w:sz w:val="14"/>
                <w:szCs w:val="14"/>
                <w:color w:val="auto"/>
              </w:rPr>
            </w:pP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(10,505,316)</w:t>
            </w:r>
          </w:p>
        </w:tc>
        <w:tc>
          <w:tcPr>
            <w:tcW w:w="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(8,084,607)</w:t>
            </w:r>
          </w:p>
        </w:tc>
      </w:tr>
      <w:tr>
        <w:trPr>
          <w:trHeight w:val="172"/>
        </w:trPr>
        <w:tc>
          <w:tcPr>
            <w:tcW w:w="3300" w:type="dxa"/>
            <w:vAlign w:val="bottom"/>
          </w:tcPr>
          <w:p>
            <w:pPr>
              <w:spacing w:after="0"/>
              <w:rPr>
                <w:sz w:val="14"/>
                <w:szCs w:val="14"/>
                <w:color w:val="auto"/>
              </w:rPr>
            </w:pPr>
          </w:p>
        </w:tc>
        <w:tc>
          <w:tcPr>
            <w:tcW w:w="21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98,115,403</w:t>
            </w:r>
          </w:p>
        </w:tc>
        <w:tc>
          <w:tcPr>
            <w:tcW w:w="22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$ 96,255,879</w:t>
            </w:r>
          </w:p>
        </w:tc>
        <w:tc>
          <w:tcPr>
            <w:tcW w:w="40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$77,686,684</w:t>
            </w:r>
          </w:p>
        </w:tc>
      </w:tr>
      <w:tr>
        <w:trPr>
          <w:trHeight w:val="172"/>
        </w:trPr>
        <w:tc>
          <w:tcPr>
            <w:tcW w:w="3300" w:type="dxa"/>
            <w:vAlign w:val="bottom"/>
          </w:tcPr>
          <w:p>
            <w:pPr>
              <w:spacing w:after="0"/>
              <w:rPr>
                <w:sz w:val="14"/>
                <w:szCs w:val="14"/>
                <w:color w:val="auto"/>
              </w:rPr>
            </w:pPr>
          </w:p>
        </w:tc>
        <w:tc>
          <w:tcPr>
            <w:tcW w:w="21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Basic - as reported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w:t>
            </w:r>
          </w:p>
        </w:tc>
      </w:tr>
      <w:tr>
        <w:trPr>
          <w:trHeight w:val="172"/>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Basic - pro forma</w:t>
            </w:r>
          </w:p>
        </w:tc>
        <w:tc>
          <w:tcPr>
            <w:tcW w:w="860" w:type="dxa"/>
            <w:vAlign w:val="bottom"/>
          </w:tcPr>
          <w:p>
            <w:pPr>
              <w:spacing w:after="0"/>
              <w:rPr>
                <w:sz w:val="14"/>
                <w:szCs w:val="14"/>
                <w:color w:val="auto"/>
              </w:rPr>
            </w:pP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w:t>
            </w:r>
          </w:p>
        </w:tc>
        <w:tc>
          <w:tcPr>
            <w:tcW w:w="40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w:t>
            </w:r>
          </w:p>
        </w:tc>
      </w:tr>
      <w:tr>
        <w:trPr>
          <w:trHeight w:val="344"/>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Diluted - as reported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w:t>
            </w:r>
          </w:p>
        </w:tc>
      </w:tr>
      <w:tr>
        <w:trPr>
          <w:trHeight w:val="172"/>
        </w:trPr>
        <w:tc>
          <w:tcPr>
            <w:tcW w:w="3300" w:type="dxa"/>
            <w:vAlign w:val="bottom"/>
          </w:tcPr>
          <w:p>
            <w:pPr>
              <w:ind w:left="260"/>
              <w:spacing w:after="0"/>
              <w:rPr>
                <w:sz w:val="20"/>
                <w:szCs w:val="20"/>
                <w:color w:val="auto"/>
              </w:rPr>
            </w:pPr>
            <w:r>
              <w:rPr>
                <w:rFonts w:ascii="Courier New" w:cs="Courier New" w:eastAsia="Courier New" w:hAnsi="Courier New"/>
                <w:sz w:val="15"/>
                <w:szCs w:val="15"/>
                <w:color w:val="auto"/>
              </w:rPr>
              <w:t>Diluted - pro forma</w:t>
            </w:r>
          </w:p>
        </w:tc>
        <w:tc>
          <w:tcPr>
            <w:tcW w:w="860" w:type="dxa"/>
            <w:vAlign w:val="bottom"/>
          </w:tcPr>
          <w:p>
            <w:pPr>
              <w:spacing w:after="0"/>
              <w:rPr>
                <w:sz w:val="14"/>
                <w:szCs w:val="14"/>
                <w:color w:val="auto"/>
              </w:rPr>
            </w:pP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w:t>
            </w:r>
          </w:p>
        </w:tc>
        <w:tc>
          <w:tcPr>
            <w:tcW w:w="22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w:t>
            </w:r>
          </w:p>
        </w:tc>
        <w:tc>
          <w:tcPr>
            <w:tcW w:w="40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w:t>
            </w:r>
          </w:p>
        </w:tc>
      </w:tr>
      <w:tr>
        <w:trPr>
          <w:trHeight w:val="516"/>
        </w:trPr>
        <w:tc>
          <w:tcPr>
            <w:tcW w:w="3300" w:type="dxa"/>
            <w:vAlign w:val="bottom"/>
          </w:tcPr>
          <w:p>
            <w:pPr>
              <w:spacing w:after="0"/>
              <w:rPr>
                <w:sz w:val="24"/>
                <w:szCs w:val="2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-30-</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008"/>
          </w:cols>
          <w:pgMar w:left="232" w:top="633" w:right="659" w:bottom="506" w:gutter="0" w:footer="0" w:header="0"/>
        </w:sectPr>
      </w:pPr>
    </w:p>
    <w:bookmarkStart w:id="32" w:name="page33"/>
    <w:bookmarkEnd w:id="32"/>
    <w:p>
      <w:pPr>
        <w:ind w:left="2048"/>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(Continued)</w:t>
      </w:r>
    </w:p>
    <w:p>
      <w:pPr>
        <w:spacing w:after="0" w:line="176" w:lineRule="exact"/>
        <w:rPr>
          <w:sz w:val="20"/>
          <w:szCs w:val="20"/>
          <w:color w:val="auto"/>
        </w:rPr>
      </w:pPr>
    </w:p>
    <w:p>
      <w:pPr>
        <w:ind w:left="528" w:right="3699" w:hanging="528"/>
        <w:spacing w:after="0" w:line="483" w:lineRule="auto"/>
        <w:tabs>
          <w:tab w:leader="none" w:pos="52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Stock-Based Compensation Plans, continued</w:t>
      </w:r>
    </w:p>
    <w:p>
      <w:pPr>
        <w:spacing w:after="0" w:line="4"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each option grant in the Employee Stock Option Plan was estimated on the date of grant using the Black-Scholes option pricing model with the following weighted-average assumptions used for grants in 2004, 2003 and 2002, respectively: risk-free interest rates of 3.4, 2.9 and 2.9 percent; expected dividend yields, where applicable of 1.8, 1.6 and 0.0 percent; expected lives of 4, 4 and 4 years; expected volatility of 49, 52 and 53 percent.</w:t>
      </w:r>
    </w:p>
    <w:p>
      <w:pPr>
        <w:spacing w:after="0" w:line="176" w:lineRule="exact"/>
        <w:rPr>
          <w:rFonts w:ascii="Courier New" w:cs="Courier New" w:eastAsia="Courier New" w:hAnsi="Courier New"/>
          <w:sz w:val="15"/>
          <w:szCs w:val="15"/>
          <w:color w:val="auto"/>
        </w:rPr>
      </w:pPr>
    </w:p>
    <w:p>
      <w:pPr>
        <w:ind w:left="808" w:right="3079" w:hanging="268"/>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fair value of each option grant in the Nonemployee Director Stock Option Plans was estimated on the date of grant using the Black-Scholes option pricing model with the following weighted-average assumptions used for grants in 2004, 2003 and 2002, respectively: risk-free interest rates of 4.9, 4.0 and 4.0 percent; expected dividend yields, where applicable of 1.7, 1.5 and 0.0 percent; expected lives of 9, 9 and 9 years; expected volatility of 49, 52 and 53 percent.</w:t>
      </w:r>
    </w:p>
    <w:p>
      <w:pPr>
        <w:spacing w:after="0" w:line="162"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w:t>
      </w:r>
    </w:p>
    <w:p>
      <w:pPr>
        <w:spacing w:after="0" w:line="175" w:lineRule="exact"/>
        <w:rPr>
          <w:rFonts w:ascii="Courier New" w:cs="Courier New" w:eastAsia="Courier New" w:hAnsi="Courier New"/>
          <w:sz w:val="15"/>
          <w:szCs w:val="15"/>
          <w:color w:val="auto"/>
        </w:rPr>
      </w:pPr>
    </w:p>
    <w:p>
      <w:pPr>
        <w:ind w:left="808" w:right="315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5"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16, 2004, the Financial Accounting Standards Board (FASB) issued Statement of Financial Accounting Standards (SFAS) No. 123(R), "Share-Based Payment," which would require all share-based payments to employees, including grants of employee stock options, to be recognized in the income statement based on their fair values, effective for public companies for interim or periods beginning after June 15, 2005. The Company intends to adopt FASB Statement No. 123(R) effective July 1, 2005. Statement 123(R) permits public companies to adopt its requirements using either the modified prospective or retrospective method. The Company is currently evaluating the alternative methods of adoption.</w:t>
      </w:r>
    </w:p>
    <w:p>
      <w:pPr>
        <w:spacing w:after="0" w:line="179"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adoption of Statement 123(R) cannot be predicted at this time because it will depend on levels of share-based payments granted in the future. However, had we adopted Statement 123(R) in prior periods, the impact of that standard would have approximated the pro forma impact of Statement 123 as disclosed above. Statement 123(R) also requires the benefits of tax deductions in excess of recognized compensation cost to be reported as a financing cash flow, rather than as an operating cash flow as required under current literature.</w:t>
      </w:r>
    </w:p>
    <w:p>
      <w:pPr>
        <w:spacing w:after="0" w:line="177"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2003, the Financial Accounting Standards Board (FASB) issued Interpretation No. 46, "Consolidation of Variable Interest Entities." This standard clarifies the application of Accounting Research Bulletin No. 51, "Consolidated Financial Statements," and addresses consolidation by business enterprise of variable interest entities. Interpretation No. 46 requires existing unconsolidated variable interest entities to be consolidated by their primary beneficiaries if the entities do not effectively disperse risk among the parties involved. Interpretation No. 46 also enhances the disclosure requirements related to variable interest entities. This interpretation was effective for any variable interest entered into by the Company as of the end of the first quarter of 2004. The adoption of Interpretation No. 46 did not have any significant effect on the Company's consolidated financial statements.</w:t>
      </w:r>
    </w:p>
    <w:p>
      <w:pPr>
        <w:spacing w:after="0" w:line="179"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5"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available an unsecured $5,000,000 line of credit from a bank at an interest rate equal to the lower of the bank's prime rate or 1.5% above the LIBOR rate. No borrowings were outstanding under this line in 2004 or 2003. No compensating balances are required under this line.</w:t>
      </w:r>
    </w:p>
    <w:p>
      <w:pPr>
        <w:spacing w:after="0" w:line="173"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bases of assets and liabilities using enacted tax rates. Deferred income tax expense is measured by the net change in deferred income tax assets and liabilities during the year.</w:t>
      </w:r>
    </w:p>
    <w:p>
      <w:pPr>
        <w:sectPr>
          <w:pgSz w:w="11900" w:h="16838" w:orient="portrait"/>
          <w:cols w:equalWidth="0" w:num="1">
            <w:col w:w="10227"/>
          </w:cols>
          <w:pgMar w:left="232" w:top="633" w:right="1440" w:bottom="0" w:gutter="0" w:footer="0" w:header="0"/>
        </w:sectPr>
      </w:pPr>
    </w:p>
    <w:bookmarkStart w:id="33" w:name="page34"/>
    <w:bookmarkEnd w:id="33"/>
    <w:p>
      <w:pPr>
        <w:ind w:left="22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9019"/>
          </w:cols>
          <w:pgMar w:left="1440" w:top="313" w:right="1440" w:bottom="1440" w:gutter="0" w:footer="0" w:header="0"/>
        </w:sectPr>
      </w:pPr>
    </w:p>
    <w:bookmarkStart w:id="34" w:name="page35"/>
    <w:bookmarkEnd w:id="34"/>
    <w:p>
      <w:pPr>
        <w:ind w:left="2048"/>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(Continued)</w:t>
      </w:r>
    </w:p>
    <w:p>
      <w:pPr>
        <w:spacing w:after="0" w:line="174" w:lineRule="exact"/>
        <w:rPr>
          <w:sz w:val="20"/>
          <w:szCs w:val="20"/>
          <w:color w:val="auto"/>
        </w:rPr>
      </w:pPr>
    </w:p>
    <w:p>
      <w:pPr>
        <w:ind w:left="528" w:hanging="528"/>
        <w:spacing w:after="0"/>
        <w:tabs>
          <w:tab w:leader="none" w:pos="52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174"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2004</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250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$50,497,000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$48,976,000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$37,188,500</w:t>
            </w: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321,000</w:t>
            </w:r>
          </w:p>
        </w:tc>
      </w:tr>
      <w:tr>
        <w:trPr>
          <w:trHeight w:val="172"/>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91,000</w:t>
            </w:r>
          </w:p>
        </w:tc>
      </w:tr>
      <w:tr>
        <w:trPr>
          <w:trHeight w:val="172"/>
        </w:trPr>
        <w:tc>
          <w:tcPr>
            <w:tcW w:w="250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50,672,000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49,451,000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37,600,500</w:t>
            </w:r>
          </w:p>
        </w:tc>
      </w:tr>
      <w:tr>
        <w:trPr>
          <w:trHeight w:val="172"/>
        </w:trPr>
        <w:tc>
          <w:tcPr>
            <w:tcW w:w="250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deferred:</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Primarily federal</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2,404,000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1,952,000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3,701,000</w:t>
            </w:r>
          </w:p>
        </w:tc>
      </w:tr>
      <w:tr>
        <w:trPr>
          <w:trHeight w:val="172"/>
        </w:trPr>
        <w:tc>
          <w:tcPr>
            <w:tcW w:w="250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$53,076,000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$51,403,000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$41,301,500</w:t>
            </w:r>
          </w:p>
        </w:tc>
      </w:tr>
      <w:tr>
        <w:trPr>
          <w:trHeight w:val="172"/>
        </w:trPr>
        <w:tc>
          <w:tcPr>
            <w:tcW w:w="250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08" w:right="3079" w:hanging="267"/>
        <w:spacing w:after="0" w:line="242" w:lineRule="auto"/>
        <w:rPr>
          <w:sz w:val="20"/>
          <w:szCs w:val="20"/>
          <w:color w:val="auto"/>
        </w:rPr>
      </w:pPr>
      <w:r>
        <w:rPr>
          <w:rFonts w:ascii="Courier New" w:cs="Courier New" w:eastAsia="Courier New" w:hAnsi="Courier New"/>
          <w:sz w:val="15"/>
          <w:szCs w:val="15"/>
          <w:color w:val="auto"/>
        </w:rPr>
        <w:t>Thecurrently payable provision is further reduced by the tax benefits associated with the exercise, vesting or disposition of stock under the stock plans described in Note 6. These reductions totaled approximately $3,512,000, $5,511,000 and $5,093,000, in 2004, 2003 and 2002, respectively, and were recognized as an adjustment of additional paid-in capital.</w:t>
      </w:r>
    </w:p>
    <w:p>
      <w:pPr>
        <w:spacing w:after="0" w:line="176" w:lineRule="exact"/>
        <w:rPr>
          <w:sz w:val="20"/>
          <w:szCs w:val="20"/>
          <w:color w:val="auto"/>
        </w:rPr>
      </w:pPr>
    </w:p>
    <w:p>
      <w:pPr>
        <w:ind w:left="808" w:right="3339" w:hanging="267"/>
        <w:spacing w:after="0"/>
        <w:rPr>
          <w:sz w:val="20"/>
          <w:szCs w:val="20"/>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2004</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486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35.0%</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Foreign source exempted income</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Tax-exempt investment income</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2"/>
        </w:trPr>
        <w:tc>
          <w:tcPr>
            <w:tcW w:w="486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32.0%</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2"/>
        </w:trPr>
        <w:tc>
          <w:tcPr>
            <w:tcW w:w="486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08" w:right="3159" w:hanging="267"/>
        <w:spacing w:after="0" w:line="241" w:lineRule="auto"/>
        <w:rPr>
          <w:sz w:val="20"/>
          <w:szCs w:val="20"/>
          <w:color w:val="auto"/>
        </w:rPr>
      </w:pPr>
      <w:r>
        <w:rPr>
          <w:rFonts w:ascii="Courier New" w:cs="Courier New" w:eastAsia="Courier New" w:hAnsi="Courier New"/>
          <w:sz w:val="15"/>
          <w:szCs w:val="15"/>
          <w:color w:val="auto"/>
        </w:rPr>
        <w:t>Thetax effect of temporary differences which give rise to deferred income tax assets and liabilities at December 31, 2004 and 2003,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2003</w:t>
            </w:r>
          </w:p>
        </w:tc>
      </w:tr>
      <w:tr>
        <w:trPr>
          <w:trHeight w:val="172"/>
        </w:trPr>
        <w:tc>
          <w:tcPr>
            <w:tcW w:w="33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c>
          <w:tcPr>
            <w:tcW w:w="1200" w:type="dxa"/>
            <w:vAlign w:val="bottom"/>
          </w:tcPr>
          <w:p>
            <w:pPr>
              <w:spacing w:after="0"/>
              <w:rPr>
                <w:sz w:val="14"/>
                <w:szCs w:val="14"/>
                <w:color w:val="auto"/>
              </w:rPr>
            </w:pPr>
          </w:p>
        </w:tc>
        <w:tc>
          <w:tcPr>
            <w:tcW w:w="25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14"/>
                <w:szCs w:val="14"/>
                <w:color w:val="auto"/>
              </w:rPr>
            </w:pP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Current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6"/>
              </w:rPr>
              <w:t>Non-Current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Non-Current</w:t>
            </w:r>
          </w:p>
        </w:tc>
      </w:tr>
      <w:tr>
        <w:trPr>
          <w:trHeight w:val="172"/>
        </w:trPr>
        <w:tc>
          <w:tcPr>
            <w:tcW w:w="3340" w:type="dxa"/>
            <w:vAlign w:val="bottom"/>
          </w:tcPr>
          <w:p>
            <w:pPr>
              <w:spacing w:after="0"/>
              <w:rPr>
                <w:sz w:val="14"/>
                <w:szCs w:val="14"/>
                <w:color w:val="auto"/>
              </w:rPr>
            </w:pP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Accruals not currently deductible</w:t>
            </w: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$2,669,471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182,403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$2,276,831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287,403</w:t>
            </w: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Deferred compensation</w:t>
            </w: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1,268,652</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908,863</w:t>
            </w: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1,414,883</w:t>
            </w:r>
          </w:p>
        </w:tc>
        <w:tc>
          <w:tcPr>
            <w:tcW w:w="1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5,209</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1,952,073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5,410</w:t>
            </w:r>
          </w:p>
        </w:tc>
      </w:tr>
      <w:tr>
        <w:trPr>
          <w:trHeight w:val="172"/>
        </w:trPr>
        <w:tc>
          <w:tcPr>
            <w:tcW w:w="3340" w:type="dxa"/>
            <w:vAlign w:val="bottom"/>
          </w:tcPr>
          <w:p>
            <w:pPr>
              <w:spacing w:after="0"/>
              <w:rPr>
                <w:sz w:val="14"/>
                <w:szCs w:val="14"/>
                <w:color w:val="auto"/>
              </w:rPr>
            </w:pP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deferred income tax assets</w:t>
            </w: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4,084,354</w:t>
            </w:r>
          </w:p>
        </w:tc>
        <w:tc>
          <w:tcPr>
            <w:tcW w:w="1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1,456,264</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4,228,904</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1,201,676</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Excess tax over book depreciation</w:t>
            </w: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(14,947,063)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(12,572,140)</w:t>
            </w: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Patent costs</w:t>
            </w: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(854,916)</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(756,102)</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 investments</w:t>
            </w: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(8,377,483)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(6,279,389)</w:t>
            </w:r>
          </w:p>
        </w:tc>
      </w:tr>
      <w:tr>
        <w:trPr>
          <w:trHeight w:val="172"/>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(654,481)</w:t>
            </w:r>
          </w:p>
        </w:tc>
        <w:tc>
          <w:tcPr>
            <w:tcW w:w="1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(614,587)</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14"/>
                <w:szCs w:val="14"/>
                <w:color w:val="auto"/>
              </w:rPr>
            </w:pP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deferred incomes taxes</w:t>
            </w: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$3,429,873</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$(22,723,198)</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$3,614,317</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(18,405,955)</w:t>
            </w:r>
          </w:p>
        </w:tc>
      </w:tr>
      <w:tr>
        <w:trPr>
          <w:trHeight w:val="172"/>
        </w:trPr>
        <w:tc>
          <w:tcPr>
            <w:tcW w:w="3340" w:type="dxa"/>
            <w:vAlign w:val="bottom"/>
          </w:tcPr>
          <w:p>
            <w:pPr>
              <w:spacing w:after="0"/>
              <w:rPr>
                <w:sz w:val="14"/>
                <w:szCs w:val="14"/>
                <w:color w:val="auto"/>
              </w:rPr>
            </w:pPr>
          </w:p>
        </w:tc>
        <w:tc>
          <w:tcPr>
            <w:tcW w:w="13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528" w:right="3159"/>
        <w:spacing w:after="0"/>
        <w:rPr>
          <w:sz w:val="20"/>
          <w:szCs w:val="20"/>
          <w:color w:val="auto"/>
        </w:rPr>
      </w:pPr>
      <w:r>
        <w:rPr>
          <w:rFonts w:ascii="Courier New" w:cs="Courier New" w:eastAsia="Courier New" w:hAnsi="Courier New"/>
          <w:sz w:val="15"/>
          <w:szCs w:val="15"/>
          <w:color w:val="auto"/>
        </w:rPr>
        <w:t>Income taxes paid in cash were approximately $48,556,000, $46,243,000 and $30,828,000, in 2004, 2003 and 2002, respectively.</w:t>
      </w:r>
    </w:p>
    <w:p>
      <w:pPr>
        <w:spacing w:after="0" w:line="174" w:lineRule="exact"/>
        <w:rPr>
          <w:sz w:val="20"/>
          <w:szCs w:val="20"/>
          <w:color w:val="auto"/>
        </w:rPr>
      </w:pPr>
    </w:p>
    <w:p>
      <w:pPr>
        <w:ind w:left="528" w:hanging="528"/>
        <w:spacing w:after="0"/>
        <w:tabs>
          <w:tab w:leader="none" w:pos="52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5"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2004, 2003 and 2002, the Company's contributions were approximately $1,306,000, $1,110,000 and $955,000, respectively.</w:t>
      </w:r>
    </w:p>
    <w:p>
      <w:pPr>
        <w:spacing w:after="0" w:line="174"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provide health care benefits to retired employees.</w:t>
      </w:r>
    </w:p>
    <w:p>
      <w:pPr>
        <w:sectPr>
          <w:pgSz w:w="11900" w:h="16838" w:orient="portrait"/>
          <w:cols w:equalWidth="0" w:num="1">
            <w:col w:w="10227"/>
          </w:cols>
          <w:pgMar w:left="232" w:top="633" w:right="1440" w:bottom="0" w:gutter="0" w:footer="0" w:header="0"/>
        </w:sectPr>
      </w:pPr>
    </w:p>
    <w:bookmarkStart w:id="35" w:name="page36"/>
    <w:bookmarkEnd w:id="35"/>
    <w:p>
      <w:pPr>
        <w:ind w:left="22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9019"/>
          </w:cols>
          <w:pgMar w:left="1440" w:top="314" w:right="1440" w:bottom="1440" w:gutter="0" w:footer="0" w:header="0"/>
        </w:sectPr>
      </w:pPr>
    </w:p>
    <w:bookmarkStart w:id="36" w:name="page37"/>
    <w:bookmarkEnd w:id="36"/>
    <w:p>
      <w:pPr>
        <w:ind w:left="2048"/>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(Continued)</w:t>
      </w:r>
    </w:p>
    <w:p>
      <w:pPr>
        <w:spacing w:after="0" w:line="174" w:lineRule="exact"/>
        <w:rPr>
          <w:sz w:val="20"/>
          <w:szCs w:val="20"/>
          <w:color w:val="auto"/>
        </w:rPr>
      </w:pPr>
    </w:p>
    <w:p>
      <w:pPr>
        <w:ind w:left="528" w:hanging="528"/>
        <w:spacing w:after="0"/>
        <w:tabs>
          <w:tab w:leader="none" w:pos="52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PROTECTION RIGHTS PLAN</w:t>
      </w:r>
    </w:p>
    <w:p>
      <w:pPr>
        <w:spacing w:after="0" w:line="174" w:lineRule="exact"/>
        <w:rPr>
          <w:rFonts w:ascii="Courier New" w:cs="Courier New" w:eastAsia="Courier New" w:hAnsi="Courier New"/>
          <w:sz w:val="15"/>
          <w:szCs w:val="15"/>
          <w:color w:val="auto"/>
        </w:rPr>
      </w:pPr>
    </w:p>
    <w:p>
      <w:pPr>
        <w:ind w:left="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Shareholder Protection Rights Plan (the Plan). The Plan</w:t>
      </w:r>
    </w:p>
    <w:p>
      <w:pPr>
        <w:spacing w:after="0" w:line="3" w:lineRule="exact"/>
        <w:rPr>
          <w:rFonts w:ascii="Courier New" w:cs="Courier New" w:eastAsia="Courier New" w:hAnsi="Courier New"/>
          <w:sz w:val="15"/>
          <w:szCs w:val="15"/>
          <w:color w:val="auto"/>
        </w:rPr>
      </w:pPr>
    </w:p>
    <w:p>
      <w:pPr>
        <w:ind w:left="808"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 designed to protect shareholders against unsolicited attempts to acquire control of the Company in a manner that does not offer a fair price to all shareholders.</w:t>
      </w:r>
    </w:p>
    <w:p>
      <w:pPr>
        <w:spacing w:after="0" w:line="176"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Plan, one purchase Right automatically trades with each share of the Company's common stock. Each Right entitles a shareholder to purchase 1/100 of a share of junior participating preferred stock at a price of $110,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$.005 per Right and, unless earlier redeemed, will expire on March 29, 2011. Rights beneficially owned by holders of 15 percent or more of the Company's common stock, or their transferees, automatically become void.</w:t>
      </w:r>
    </w:p>
    <w:p>
      <w:pPr>
        <w:spacing w:after="0" w:line="178"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w:t>
      </w:r>
    </w:p>
    <w:p>
      <w:pPr>
        <w:spacing w:after="0" w:line="175"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2003, an Employee Stock Purchase Plan covering 1,600,000 shares expired, and a new Employee Stock Purchase Plan covering 600,000 shares was approved. The Company has sold to employees 55,904 shares, 47,905 shares and 44,009 shares under the plans in 2004, 2003 and 2002, respectively, and has sold a total of 87,421 shares under the new plan through December 31, 2004. The Company sells shares at 85% of the stock's market price at date of purchase. The weighted average fair value of shares sold in 2004, 2003 and 2002, was approximately $32.56, $27.92 and $24.86, respectively.</w:t>
      </w:r>
    </w:p>
    <w:p>
      <w:pPr>
        <w:spacing w:after="0" w:line="178" w:lineRule="exact"/>
        <w:rPr>
          <w:rFonts w:ascii="Courier New" w:cs="Courier New" w:eastAsia="Courier New" w:hAnsi="Courier New"/>
          <w:sz w:val="15"/>
          <w:szCs w:val="15"/>
          <w:color w:val="auto"/>
        </w:rPr>
      </w:pPr>
    </w:p>
    <w:p>
      <w:pPr>
        <w:ind w:left="80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2004, a new Employee Stock Option Plan was approved, replacing the prior plan. The Company may grant options for up to 9,000,000 shares under its new Employee Stock Option Plan. The Company has granted options on 1,373,267 shares (net of shares from canceled options) under the new Plan through December 31, 2004. Under the Plans, the option exercise price equals the stock's market price on date of grant. The options vest after one to five years, and expire after two to seven years.</w:t>
      </w:r>
    </w:p>
    <w:p>
      <w:pPr>
        <w:spacing w:after="0" w:line="177" w:lineRule="exact"/>
        <w:rPr>
          <w:rFonts w:ascii="Courier New" w:cs="Courier New" w:eastAsia="Courier New" w:hAnsi="Courier New"/>
          <w:sz w:val="15"/>
          <w:szCs w:val="15"/>
          <w:color w:val="auto"/>
        </w:rPr>
      </w:pPr>
    </w:p>
    <w:p>
      <w:pPr>
        <w:ind w:left="808" w:right="3439" w:hanging="268"/>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the Company's employee stock option plan at December 31, 2004, 2003 and 2002, and changes during the years then ended is presented in the table and narrative below:</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2004</w:t>
            </w:r>
          </w:p>
        </w:tc>
        <w:tc>
          <w:tcPr>
            <w:tcW w:w="660" w:type="dxa"/>
            <w:vAlign w:val="bottom"/>
          </w:tcPr>
          <w:p>
            <w:pPr>
              <w:spacing w:after="0"/>
              <w:rPr>
                <w:sz w:val="14"/>
                <w:szCs w:val="14"/>
                <w:color w:val="auto"/>
              </w:rPr>
            </w:pPr>
          </w:p>
        </w:tc>
        <w:tc>
          <w:tcPr>
            <w:tcW w:w="10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2003</w:t>
            </w:r>
          </w:p>
        </w:tc>
        <w:tc>
          <w:tcPr>
            <w:tcW w:w="62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2002</w:t>
            </w:r>
          </w:p>
        </w:tc>
      </w:tr>
      <w:tr>
        <w:trPr>
          <w:trHeight w:val="172"/>
        </w:trPr>
        <w:tc>
          <w:tcPr>
            <w:tcW w:w="2940" w:type="dxa"/>
            <w:vAlign w:val="bottom"/>
          </w:tcPr>
          <w:p>
            <w:pPr>
              <w:spacing w:after="0"/>
              <w:rPr>
                <w:sz w:val="14"/>
                <w:szCs w:val="14"/>
                <w:color w:val="auto"/>
              </w:rPr>
            </w:pPr>
          </w:p>
        </w:tc>
        <w:tc>
          <w:tcPr>
            <w:tcW w:w="1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9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Wtd. Avg.</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Wtd. Avg.</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Shares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Wtd. Avg.</w:t>
            </w:r>
          </w:p>
        </w:tc>
      </w:tr>
      <w:tr>
        <w:trPr>
          <w:trHeight w:val="172"/>
        </w:trPr>
        <w:tc>
          <w:tcPr>
            <w:tcW w:w="29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 Price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Ex. Price</w:t>
            </w:r>
          </w:p>
        </w:tc>
      </w:tr>
      <w:tr>
        <w:trPr>
          <w:trHeight w:val="172"/>
        </w:trPr>
        <w:tc>
          <w:tcPr>
            <w:tcW w:w="29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4,551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4,270</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4,144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1,299</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1,132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(982)</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(914)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r>
      <w:tr>
        <w:trPr>
          <w:trHeight w:val="172"/>
        </w:trPr>
        <w:tc>
          <w:tcPr>
            <w:tcW w:w="29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4,551</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4,270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w:t>
            </w:r>
          </w:p>
        </w:tc>
      </w:tr>
      <w:tr>
        <w:trPr>
          <w:trHeight w:val="172"/>
        </w:trPr>
        <w:tc>
          <w:tcPr>
            <w:tcW w:w="29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1,595</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1,682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Weighted Avg. Fair Value</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940" w:type="dxa"/>
            <w:vAlign w:val="bottom"/>
          </w:tcPr>
          <w:p>
            <w:pPr>
              <w:ind w:left="440"/>
              <w:spacing w:after="0"/>
              <w:rPr>
                <w:sz w:val="20"/>
                <w:szCs w:val="20"/>
                <w:color w:val="auto"/>
              </w:rPr>
            </w:pPr>
            <w:r>
              <w:rPr>
                <w:rFonts w:ascii="Courier New" w:cs="Courier New" w:eastAsia="Courier New" w:hAnsi="Courier New"/>
                <w:sz w:val="15"/>
                <w:szCs w:val="15"/>
                <w:color w:val="auto"/>
              </w:rPr>
              <w:t>of Options Granted</w:t>
            </w:r>
          </w:p>
        </w:tc>
        <w:tc>
          <w:tcPr>
            <w:tcW w:w="7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c>
          <w:tcPr>
            <w:tcW w:w="660" w:type="dxa"/>
            <w:vAlign w:val="bottom"/>
          </w:tcPr>
          <w:p>
            <w:pPr>
              <w:spacing w:after="0"/>
              <w:rPr>
                <w:sz w:val="14"/>
                <w:szCs w:val="14"/>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r>
    </w:tbl>
    <w:p>
      <w:pPr>
        <w:spacing w:after="0" w:line="346"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Options Outstanding and Exercisable by Price Range As of December 31,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2004:</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172"/>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Options   Outstanding</w:t>
            </w: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1420" w:type="dxa"/>
            <w:vAlign w:val="bottom"/>
            <w:gridSpan w:val="2"/>
          </w:tcPr>
          <w:p>
            <w:pPr>
              <w:spacing w:after="0"/>
              <w:rPr>
                <w:sz w:val="20"/>
                <w:szCs w:val="20"/>
                <w:color w:val="auto"/>
              </w:rPr>
            </w:pPr>
            <w:r>
              <w:rPr>
                <w:rFonts w:ascii="Courier New" w:cs="Courier New" w:eastAsia="Courier New" w:hAnsi="Courier New"/>
                <w:sz w:val="4"/>
                <w:szCs w:val="4"/>
                <w:color w:val="auto"/>
                <w:w w:val="79"/>
              </w:rPr>
              <w:t>- -----------------------------------------------------------------------</w:t>
            </w:r>
          </w:p>
        </w:tc>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Shares</w:t>
            </w:r>
          </w:p>
        </w:tc>
        <w:tc>
          <w:tcPr>
            <w:tcW w:w="1620" w:type="dxa"/>
            <w:vAlign w:val="bottom"/>
          </w:tcPr>
          <w:p>
            <w:pPr>
              <w:ind w:left="100"/>
              <w:spacing w:after="0"/>
              <w:rPr>
                <w:sz w:val="20"/>
                <w:szCs w:val="20"/>
                <w:color w:val="auto"/>
              </w:rPr>
            </w:pPr>
            <w:r>
              <w:rPr>
                <w:rFonts w:ascii="Courier New" w:cs="Courier New" w:eastAsia="Courier New" w:hAnsi="Courier New"/>
                <w:sz w:val="15"/>
                <w:szCs w:val="15"/>
                <w:color w:val="auto"/>
              </w:rPr>
              <w:t>Weighted Average</w:t>
            </w:r>
          </w:p>
        </w:tc>
      </w:tr>
      <w:tr>
        <w:trPr>
          <w:trHeight w:val="172"/>
        </w:trPr>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Range of</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 Outstanding</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Remaining</w:t>
            </w:r>
          </w:p>
        </w:tc>
        <w:tc>
          <w:tcPr>
            <w:tcW w:w="16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Weighted Average</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Exercisable</w:t>
            </w:r>
          </w:p>
        </w:tc>
        <w:tc>
          <w:tcPr>
            <w:tcW w:w="1620" w:type="dxa"/>
            <w:vAlign w:val="bottom"/>
          </w:tcPr>
          <w:p>
            <w:pPr>
              <w:ind w:left="100"/>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Prices</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(000)</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Contractual Life</w:t>
            </w:r>
          </w:p>
        </w:tc>
        <w:tc>
          <w:tcPr>
            <w:tcW w:w="1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Exercise Price</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(000)</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1"/>
              </w:rPr>
              <w:t>-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4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$ 1 - $25</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659</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w:t>
            </w:r>
          </w:p>
        </w:tc>
        <w:tc>
          <w:tcPr>
            <w:tcW w:w="16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519</w:t>
            </w:r>
          </w:p>
        </w:tc>
        <w:tc>
          <w:tcPr>
            <w:tcW w:w="16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$21</w:t>
            </w: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$26</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 $30</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1,800</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w:t>
            </w:r>
          </w:p>
        </w:tc>
        <w:tc>
          <w:tcPr>
            <w:tcW w:w="16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27</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963</w:t>
            </w:r>
          </w:p>
        </w:tc>
        <w:tc>
          <w:tcPr>
            <w:tcW w:w="16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27</w:t>
            </w: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$31</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 $35</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1,057</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w:t>
            </w:r>
          </w:p>
        </w:tc>
        <w:tc>
          <w:tcPr>
            <w:tcW w:w="16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33</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w:t>
            </w:r>
          </w:p>
        </w:tc>
        <w:tc>
          <w:tcPr>
            <w:tcW w:w="16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32</w:t>
            </w:r>
          </w:p>
        </w:tc>
      </w:tr>
      <w:tr>
        <w:trPr>
          <w:trHeight w:val="172"/>
        </w:trPr>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$36</w:t>
            </w: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 $43</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1,777</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w:t>
            </w:r>
          </w:p>
        </w:tc>
        <w:tc>
          <w:tcPr>
            <w:tcW w:w="16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39</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287</w:t>
            </w:r>
          </w:p>
        </w:tc>
        <w:tc>
          <w:tcPr>
            <w:tcW w:w="16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38</w:t>
            </w:r>
          </w:p>
        </w:tc>
      </w:tr>
      <w:tr>
        <w:trPr>
          <w:trHeight w:val="172"/>
        </w:trPr>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spacing w:after="0"/>
              <w:rPr>
                <w:sz w:val="14"/>
                <w:szCs w:val="14"/>
                <w:color w:val="auto"/>
              </w:rPr>
            </w:pP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5,293</w:t>
            </w:r>
          </w:p>
        </w:tc>
        <w:tc>
          <w:tcPr>
            <w:tcW w:w="16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w:t>
            </w:r>
          </w:p>
        </w:tc>
        <w:tc>
          <w:tcPr>
            <w:tcW w:w="16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6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$28</w:t>
            </w:r>
          </w:p>
        </w:tc>
      </w:tr>
      <w:tr>
        <w:trPr>
          <w:trHeight w:val="516"/>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2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-33-</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27"/>
          </w:cols>
          <w:pgMar w:left="232" w:top="633" w:right="1440" w:bottom="0" w:gutter="0" w:footer="0" w:header="0"/>
        </w:sectPr>
      </w:pPr>
    </w:p>
    <w:bookmarkStart w:id="37" w:name="page38"/>
    <w:bookmarkEnd w:id="37"/>
    <w:p>
      <w:pPr>
        <w:ind w:left="2048"/>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74" w:lineRule="exact"/>
        <w:rPr>
          <w:sz w:val="20"/>
          <w:szCs w:val="20"/>
          <w:color w:val="auto"/>
        </w:rPr>
      </w:pPr>
    </w:p>
    <w:p>
      <w:pPr>
        <w:jc w:val="center"/>
        <w:ind w:right="339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(Continued)</w:t>
      </w:r>
    </w:p>
    <w:p>
      <w:pPr>
        <w:spacing w:after="0" w:line="174" w:lineRule="exact"/>
        <w:rPr>
          <w:sz w:val="20"/>
          <w:szCs w:val="20"/>
          <w:color w:val="auto"/>
        </w:rPr>
      </w:pPr>
    </w:p>
    <w:p>
      <w:pPr>
        <w:ind w:left="348" w:hanging="348"/>
        <w:spacing w:after="0"/>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 continued</w:t>
      </w:r>
    </w:p>
    <w:p>
      <w:pPr>
        <w:spacing w:after="0" w:line="175" w:lineRule="exact"/>
        <w:rPr>
          <w:rFonts w:ascii="Courier New" w:cs="Courier New" w:eastAsia="Courier New" w:hAnsi="Courier New"/>
          <w:sz w:val="15"/>
          <w:szCs w:val="15"/>
          <w:color w:val="auto"/>
        </w:rPr>
      </w:pPr>
    </w:p>
    <w:p>
      <w:pPr>
        <w:ind w:left="628" w:right="3400"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2002, a Nonemployee Director Stock Option Plan covering 2,000,000 shares expired, and a new Director Plan covering 500,000 shares of common stock was approved. The Company has granted options on 136,620 shares under the new Director Plan through December 31, 2004. Under the director plans, the option exercise price equals the stock's market price on date of grant. The Director Plan options vest after six months, and all expire after ten years.</w:t>
      </w:r>
    </w:p>
    <w:p>
      <w:pPr>
        <w:spacing w:after="0" w:line="176" w:lineRule="exact"/>
        <w:rPr>
          <w:rFonts w:ascii="Courier New" w:cs="Courier New" w:eastAsia="Courier New" w:hAnsi="Courier New"/>
          <w:sz w:val="15"/>
          <w:szCs w:val="15"/>
          <w:color w:val="auto"/>
        </w:rPr>
      </w:pPr>
    </w:p>
    <w:p>
      <w:pPr>
        <w:ind w:left="628" w:right="3760" w:hanging="268"/>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the Director Plans at December 31, 2004, 2003 and 2002, and changes during the years then ended is presented in the table and narrative below:</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2004</w:t>
            </w:r>
          </w:p>
        </w:tc>
        <w:tc>
          <w:tcPr>
            <w:tcW w:w="900" w:type="dxa"/>
            <w:vAlign w:val="bottom"/>
          </w:tcPr>
          <w:p>
            <w:pPr>
              <w:spacing w:after="0"/>
              <w:rPr>
                <w:sz w:val="14"/>
                <w:szCs w:val="14"/>
                <w:color w:val="auto"/>
              </w:rPr>
            </w:pPr>
          </w:p>
        </w:tc>
        <w:tc>
          <w:tcPr>
            <w:tcW w:w="14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2003</w:t>
            </w:r>
          </w:p>
        </w:tc>
        <w:tc>
          <w:tcPr>
            <w:tcW w:w="940" w:type="dxa"/>
            <w:vAlign w:val="bottom"/>
          </w:tcPr>
          <w:p>
            <w:pPr>
              <w:spacing w:after="0"/>
              <w:rPr>
                <w:sz w:val="14"/>
                <w:szCs w:val="14"/>
                <w:color w:val="auto"/>
              </w:rPr>
            </w:pPr>
          </w:p>
        </w:tc>
        <w:tc>
          <w:tcPr>
            <w:tcW w:w="110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3220" w:type="dxa"/>
            <w:vAlign w:val="bottom"/>
          </w:tcPr>
          <w:p>
            <w:pPr>
              <w:spacing w:after="0"/>
              <w:rPr>
                <w:sz w:val="14"/>
                <w:szCs w:val="14"/>
                <w:color w:val="auto"/>
              </w:rPr>
            </w:pPr>
          </w:p>
        </w:tc>
        <w:tc>
          <w:tcPr>
            <w:tcW w:w="23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Wtd. Avg.</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Wtd. Avg.</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Wtd. Avg.</w:t>
            </w:r>
          </w:p>
        </w:tc>
      </w:tr>
      <w:tr>
        <w:trPr>
          <w:trHeight w:val="172"/>
        </w:trPr>
        <w:tc>
          <w:tcPr>
            <w:tcW w:w="3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Ex. Price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Ex. Price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Ex. Price</w:t>
            </w:r>
          </w:p>
        </w:tc>
      </w:tr>
      <w:tr>
        <w:trPr>
          <w:trHeight w:val="172"/>
        </w:trPr>
        <w:tc>
          <w:tcPr>
            <w:tcW w:w="3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424</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469</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$ 10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32</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255</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424</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w:t>
            </w:r>
          </w:p>
        </w:tc>
      </w:tr>
      <w:tr>
        <w:trPr>
          <w:trHeight w:val="172"/>
        </w:trPr>
        <w:tc>
          <w:tcPr>
            <w:tcW w:w="3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255</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424</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Weighted Avg. Fair Value</w:t>
            </w: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of Options Granted</w:t>
            </w:r>
          </w:p>
        </w:tc>
        <w:tc>
          <w:tcPr>
            <w:tcW w:w="940" w:type="dxa"/>
            <w:vAlign w:val="bottom"/>
          </w:tcPr>
          <w:p>
            <w:pPr>
              <w:spacing w:after="0"/>
              <w:rPr>
                <w:sz w:val="14"/>
                <w:szCs w:val="14"/>
                <w:color w:val="auto"/>
              </w:rPr>
            </w:pP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spacing w:after="0"/>
              <w:rPr>
                <w:sz w:val="14"/>
                <w:szCs w:val="14"/>
                <w:color w:val="auto"/>
              </w:rPr>
            </w:pP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w:t>
            </w:r>
          </w:p>
        </w:tc>
        <w:tc>
          <w:tcPr>
            <w:tcW w:w="94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Options Outstanding and Exercisable by Price Range As of December 31, 2004: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12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1880" w:type="dxa"/>
            <w:vAlign w:val="bottom"/>
          </w:tcPr>
          <w:p>
            <w:pPr>
              <w:spacing w:after="0"/>
              <w:rPr>
                <w:sz w:val="14"/>
                <w:szCs w:val="14"/>
                <w:color w:val="auto"/>
              </w:rPr>
            </w:pPr>
          </w:p>
        </w:tc>
        <w:tc>
          <w:tcPr>
            <w:tcW w:w="3660" w:type="dxa"/>
            <w:vAlign w:val="bottom"/>
            <w:gridSpan w:val="2"/>
          </w:tcPr>
          <w:p>
            <w:pPr>
              <w:jc w:val="right"/>
              <w:ind w:right="1185"/>
              <w:spacing w:after="0"/>
              <w:rPr>
                <w:sz w:val="20"/>
                <w:szCs w:val="20"/>
                <w:color w:val="auto"/>
              </w:rPr>
            </w:pPr>
            <w:r>
              <w:rPr>
                <w:rFonts w:ascii="Courier New" w:cs="Courier New" w:eastAsia="Courier New" w:hAnsi="Courier New"/>
                <w:sz w:val="15"/>
                <w:szCs w:val="15"/>
                <w:color w:val="auto"/>
              </w:rPr>
              <w:t>Options  Outstanding</w:t>
            </w:r>
          </w:p>
        </w:tc>
        <w:tc>
          <w:tcPr>
            <w:tcW w:w="1880" w:type="dxa"/>
            <w:vAlign w:val="bottom"/>
          </w:tcPr>
          <w:p>
            <w:pPr>
              <w:spacing w:after="0"/>
              <w:rPr>
                <w:sz w:val="14"/>
                <w:szCs w:val="14"/>
                <w:color w:val="auto"/>
              </w:rPr>
            </w:pPr>
          </w:p>
        </w:tc>
        <w:tc>
          <w:tcPr>
            <w:tcW w:w="3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0"/>
                <w:szCs w:val="10"/>
                <w:color w:val="auto"/>
                <w:w w:val="76"/>
              </w:rPr>
              <w:t>- -------------------------------------------------------------------------------</w:t>
            </w:r>
          </w:p>
        </w:tc>
        <w:tc>
          <w:tcPr>
            <w:tcW w:w="1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w w:val="97"/>
              </w:rPr>
              <w:t>Weighted Average</w:t>
            </w:r>
          </w:p>
        </w:tc>
      </w:tr>
      <w:tr>
        <w:trPr>
          <w:trHeight w:val="172"/>
        </w:trPr>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Range of</w:t>
            </w:r>
          </w:p>
        </w:tc>
        <w:tc>
          <w:tcPr>
            <w:tcW w:w="18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Shares Outstanding</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Remaining</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Weighted Average</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Exercisable</w:t>
            </w: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86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(000)</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Contractual Life</w:t>
            </w:r>
          </w:p>
        </w:tc>
        <w:tc>
          <w:tcPr>
            <w:tcW w:w="18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Exercise Price</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(000)</w:t>
            </w:r>
          </w:p>
        </w:tc>
        <w:tc>
          <w:tcPr>
            <w:tcW w:w="1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$ 1 - $30</w:t>
            </w:r>
          </w:p>
        </w:tc>
        <w:tc>
          <w:tcPr>
            <w:tcW w:w="18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115</w:t>
            </w:r>
          </w:p>
        </w:tc>
        <w:tc>
          <w:tcPr>
            <w:tcW w:w="18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w:t>
            </w:r>
          </w:p>
        </w:tc>
        <w:tc>
          <w:tcPr>
            <w:tcW w:w="18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$16</w:t>
            </w:r>
          </w:p>
        </w:tc>
        <w:tc>
          <w:tcPr>
            <w:tcW w:w="17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115</w:t>
            </w: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$16</w:t>
            </w:r>
          </w:p>
        </w:tc>
      </w:tr>
      <w:tr>
        <w:trPr>
          <w:trHeight w:val="172"/>
        </w:trPr>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$31 - $41</w:t>
            </w:r>
          </w:p>
        </w:tc>
        <w:tc>
          <w:tcPr>
            <w:tcW w:w="18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140</w:t>
            </w:r>
          </w:p>
        </w:tc>
        <w:tc>
          <w:tcPr>
            <w:tcW w:w="18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8</w:t>
            </w:r>
          </w:p>
        </w:tc>
        <w:tc>
          <w:tcPr>
            <w:tcW w:w="18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33</w:t>
            </w:r>
          </w:p>
        </w:tc>
        <w:tc>
          <w:tcPr>
            <w:tcW w:w="17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140</w:t>
            </w: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33</w:t>
            </w:r>
          </w:p>
        </w:tc>
      </w:tr>
      <w:tr>
        <w:trPr>
          <w:trHeight w:val="172"/>
        </w:trPr>
        <w:tc>
          <w:tcPr>
            <w:tcW w:w="1880" w:type="dxa"/>
            <w:vAlign w:val="bottom"/>
          </w:tcPr>
          <w:p>
            <w:pPr>
              <w:spacing w:after="0"/>
              <w:rPr>
                <w:sz w:val="14"/>
                <w:szCs w:val="14"/>
                <w:color w:val="auto"/>
              </w:rPr>
            </w:pPr>
          </w:p>
        </w:tc>
        <w:tc>
          <w:tcPr>
            <w:tcW w:w="18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8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255</w:t>
            </w:r>
          </w:p>
        </w:tc>
        <w:tc>
          <w:tcPr>
            <w:tcW w:w="18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6</w:t>
            </w:r>
          </w:p>
        </w:tc>
        <w:tc>
          <w:tcPr>
            <w:tcW w:w="18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$25</w:t>
            </w:r>
          </w:p>
        </w:tc>
        <w:tc>
          <w:tcPr>
            <w:tcW w:w="17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255</w:t>
            </w:r>
          </w:p>
        </w:tc>
        <w:tc>
          <w:tcPr>
            <w:tcW w:w="14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$25</w:t>
            </w:r>
          </w:p>
        </w:tc>
      </w:tr>
    </w:tbl>
    <w:p>
      <w:pPr>
        <w:spacing w:after="0" w:line="348" w:lineRule="exact"/>
        <w:rPr>
          <w:sz w:val="20"/>
          <w:szCs w:val="20"/>
          <w:color w:val="auto"/>
        </w:rPr>
      </w:pPr>
    </w:p>
    <w:p>
      <w:pPr>
        <w:ind w:left="628" w:right="3400" w:hanging="267"/>
        <w:spacing w:after="0" w:line="242" w:lineRule="auto"/>
        <w:rPr>
          <w:sz w:val="20"/>
          <w:szCs w:val="20"/>
          <w:color w:val="auto"/>
        </w:rPr>
      </w:pPr>
      <w:r>
        <w:rPr>
          <w:rFonts w:ascii="Courier New" w:cs="Courier New" w:eastAsia="Courier New" w:hAnsi="Courier New"/>
          <w:sz w:val="15"/>
          <w:szCs w:val="15"/>
          <w:color w:val="auto"/>
        </w:rPr>
        <w:t>The Company has a Restricted Stock Plan covering 500,000 shares of common stock that was approved, the purpose of which is to permit grants of shares, subject to restrictions, to key employees of the Company as a means of retaining and rewarding them for long-term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2004, 2003 and 2002, 61,260, 78,100 and 37,900, shares, respectively, were granted with a restriction period of five years at market prices ranging from $34.74 to $42.20 in 2004, $25.64 to $43.00 in 2003 and $27.47 to $32.30 in 2002. The related expense is reflected as a deferred compensation component of shareholders' investment in the accompanying consolidated financial statements and is being amortized over the applicable restriction periods.</w:t>
      </w:r>
    </w:p>
    <w:p>
      <w:pPr>
        <w:spacing w:after="0" w:line="182" w:lineRule="exact"/>
        <w:rPr>
          <w:sz w:val="20"/>
          <w:szCs w:val="20"/>
          <w:color w:val="auto"/>
        </w:rPr>
      </w:pPr>
    </w:p>
    <w:p>
      <w:pPr>
        <w:ind w:left="348" w:hanging="348"/>
        <w:spacing w:after="0"/>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5" w:lineRule="exact"/>
        <w:rPr>
          <w:rFonts w:ascii="Courier New" w:cs="Courier New" w:eastAsia="Courier New" w:hAnsi="Courier New"/>
          <w:sz w:val="15"/>
          <w:szCs w:val="15"/>
          <w:color w:val="auto"/>
        </w:rPr>
      </w:pPr>
    </w:p>
    <w:p>
      <w:pPr>
        <w:ind w:left="628" w:right="3660"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the Company is subject to legal proceedings and claims which arise in the ordinary course of its business. In the opinion of management, the amount of ultimate liability with respect to these actions will not materially affect the financial position or future results of operations of the Company.</w:t>
      </w:r>
    </w:p>
    <w:p>
      <w:pPr>
        <w:spacing w:after="0" w:line="173" w:lineRule="exact"/>
        <w:rPr>
          <w:rFonts w:ascii="Courier New" w:cs="Courier New" w:eastAsia="Courier New" w:hAnsi="Courier New"/>
          <w:sz w:val="15"/>
          <w:szCs w:val="15"/>
          <w:color w:val="auto"/>
        </w:rPr>
      </w:pPr>
    </w:p>
    <w:p>
      <w:pPr>
        <w:ind w:left="3488" w:hanging="179"/>
        <w:spacing w:after="0"/>
        <w:tabs>
          <w:tab w:leader="none" w:pos="348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34 -</w:t>
      </w:r>
    </w:p>
    <w:p>
      <w:pPr>
        <w:sectPr>
          <w:pgSz w:w="11900" w:h="16838" w:orient="portrait"/>
          <w:cols w:equalWidth="0" w:num="1">
            <w:col w:w="10548"/>
          </w:cols>
          <w:pgMar w:left="232" w:top="633" w:right="1119" w:bottom="1022" w:gutter="0" w:footer="0" w:header="0"/>
        </w:sectPr>
      </w:pPr>
    </w:p>
    <w:bookmarkStart w:id="38" w:name="page39"/>
    <w:bookmarkEnd w:id="38"/>
    <w:p>
      <w:pPr>
        <w:ind w:left="2048"/>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(Continued)</w:t>
      </w:r>
    </w:p>
    <w:p>
      <w:pPr>
        <w:spacing w:after="0" w:line="174" w:lineRule="exact"/>
        <w:rPr>
          <w:sz w:val="20"/>
          <w:szCs w:val="20"/>
          <w:color w:val="auto"/>
        </w:rPr>
      </w:pPr>
    </w:p>
    <w:p>
      <w:pPr>
        <w:ind w:left="348" w:hanging="348"/>
        <w:spacing w:after="0"/>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5" w:lineRule="exact"/>
        <w:rPr>
          <w:rFonts w:ascii="Courier New" w:cs="Courier New" w:eastAsia="Courier New" w:hAnsi="Courier New"/>
          <w:sz w:val="15"/>
          <w:szCs w:val="15"/>
          <w:color w:val="auto"/>
        </w:rPr>
      </w:pPr>
    </w:p>
    <w:p>
      <w:pPr>
        <w:ind w:left="628" w:right="3079" w:hanging="26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131, "Disclosures About Segments of an Enterprise and Related Information"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23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2004</w:t>
            </w:r>
          </w:p>
        </w:tc>
        <w:tc>
          <w:tcPr>
            <w:tcW w:w="21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3260" w:type="dxa"/>
            <w:vAlign w:val="bottom"/>
          </w:tcPr>
          <w:p>
            <w:pPr>
              <w:ind w:left="620"/>
              <w:spacing w:after="0"/>
              <w:rPr>
                <w:sz w:val="20"/>
                <w:szCs w:val="20"/>
                <w:color w:val="auto"/>
              </w:rPr>
            </w:pPr>
            <w:r>
              <w:rPr>
                <w:rFonts w:ascii="Courier New" w:cs="Courier New" w:eastAsia="Courier New" w:hAnsi="Courier New"/>
                <w:sz w:val="15"/>
                <w:szCs w:val="15"/>
                <w:color w:val="auto"/>
              </w:rPr>
              <w:t>United States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$230,075,562</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$238,608,596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$203,691,964</w:t>
            </w:r>
          </w:p>
        </w:tc>
      </w:tr>
      <w:tr>
        <w:trPr>
          <w:trHeight w:val="172"/>
        </w:trPr>
        <w:tc>
          <w:tcPr>
            <w:tcW w:w="3260" w:type="dxa"/>
            <w:vAlign w:val="bottom"/>
          </w:tcPr>
          <w:p>
            <w:pPr>
              <w:ind w:left="620"/>
              <w:spacing w:after="0"/>
              <w:rPr>
                <w:sz w:val="20"/>
                <w:szCs w:val="20"/>
                <w:color w:val="auto"/>
              </w:rPr>
            </w:pPr>
            <w:r>
              <w:rPr>
                <w:rFonts w:ascii="Courier New" w:cs="Courier New" w:eastAsia="Courier New" w:hAnsi="Courier New"/>
                <w:sz w:val="15"/>
                <w:szCs w:val="15"/>
                <w:color w:val="auto"/>
              </w:rPr>
              <w:t>Germany</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86,432,114</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69,787,290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70,710,037</w:t>
            </w:r>
          </w:p>
        </w:tc>
      </w:tr>
      <w:tr>
        <w:trPr>
          <w:trHeight w:val="172"/>
        </w:trPr>
        <w:tc>
          <w:tcPr>
            <w:tcW w:w="3260" w:type="dxa"/>
            <w:vAlign w:val="bottom"/>
          </w:tcPr>
          <w:p>
            <w:pPr>
              <w:ind w:left="620"/>
              <w:spacing w:after="0"/>
              <w:rPr>
                <w:sz w:val="20"/>
                <w:szCs w:val="20"/>
                <w:color w:val="auto"/>
              </w:rPr>
            </w:pPr>
            <w:r>
              <w:rPr>
                <w:rFonts w:ascii="Courier New" w:cs="Courier New" w:eastAsia="Courier New" w:hAnsi="Courier New"/>
                <w:sz w:val="15"/>
                <w:szCs w:val="15"/>
                <w:color w:val="auto"/>
              </w:rPr>
              <w:t>Japan</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54,336,447</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53,004,947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44,797,340</w:t>
            </w:r>
          </w:p>
        </w:tc>
      </w:tr>
      <w:tr>
        <w:trPr>
          <w:trHeight w:val="172"/>
        </w:trPr>
        <w:tc>
          <w:tcPr>
            <w:tcW w:w="3260" w:type="dxa"/>
            <w:vAlign w:val="bottom"/>
          </w:tcPr>
          <w:p>
            <w:pPr>
              <w:ind w:left="620"/>
              <w:spacing w:after="0"/>
              <w:rPr>
                <w:sz w:val="20"/>
                <w:szCs w:val="20"/>
                <w:color w:val="auto"/>
              </w:rPr>
            </w:pPr>
            <w:r>
              <w:rPr>
                <w:rFonts w:ascii="Courier New" w:cs="Courier New" w:eastAsia="Courier New" w:hAnsi="Courier New"/>
                <w:sz w:val="15"/>
                <w:szCs w:val="15"/>
                <w:color w:val="auto"/>
              </w:rPr>
              <w:t>Other</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112,306,599</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84,913,322</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55,050,622</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22,515,613</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22,705,210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21,008,473</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$505,666,335</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$469,019,365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$395,258,436</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$145,622,021</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$142,001,646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$111,448,849</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4,444,192</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4,573,630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3,751,312</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$150,066,213</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$146,575,276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$115,200,161</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$202,052,906</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$184,208,278</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$154,685,204</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4,252,818</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4,768,620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4,035,944</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650,553,704</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573,552,868</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450,451,519</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$856,859,428</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$762,529,766</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$609,172,667</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&amp; Amortization:</w:t>
            </w: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$19,323,047</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$18,275,655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$16,930,161</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228,844</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255,301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260,823</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2,188,941</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1,895,251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1,440,616</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$21,740,832</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$20,426,207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$18,631,600</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Automotive Products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$29,233,220</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$22,126,904</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$19,236,000</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Fire Protection Products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251,492</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98,705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442,593</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1,050,462</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22,400</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12,882,053</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$30,535,174</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$22,248,009</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$32,560,646</w:t>
            </w:r>
          </w:p>
        </w:tc>
      </w:tr>
      <w:tr>
        <w:trPr>
          <w:trHeight w:val="172"/>
        </w:trPr>
        <w:tc>
          <w:tcPr>
            <w:tcW w:w="326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628" w:right="3259" w:hanging="267"/>
        <w:spacing w:after="0" w:line="241" w:lineRule="auto"/>
        <w:rPr>
          <w:sz w:val="20"/>
          <w:szCs w:val="20"/>
          <w:color w:val="auto"/>
        </w:rPr>
      </w:pPr>
      <w:r>
        <w:rPr>
          <w:rFonts w:ascii="Courier New" w:cs="Courier New" w:eastAsia="Courier New" w:hAnsi="Courier New"/>
          <w:sz w:val="15"/>
          <w:szCs w:val="15"/>
          <w:color w:val="auto"/>
        </w:rPr>
        <w:t>Other assets are principally cash, investments, deferred income taxes and corporate fixed assets. Substantially all long-lived assets are located in the U.S.</w:t>
      </w:r>
    </w:p>
    <w:p>
      <w:pPr>
        <w:spacing w:after="0" w:line="176" w:lineRule="exact"/>
        <w:rPr>
          <w:sz w:val="20"/>
          <w:szCs w:val="20"/>
          <w:color w:val="auto"/>
        </w:rPr>
      </w:pPr>
    </w:p>
    <w:p>
      <w:pPr>
        <w:ind w:left="628" w:right="3079" w:hanging="267"/>
        <w:spacing w:after="0" w:line="242" w:lineRule="auto"/>
        <w:rPr>
          <w:sz w:val="20"/>
          <w:szCs w:val="20"/>
          <w:color w:val="auto"/>
        </w:rPr>
      </w:pPr>
      <w:r>
        <w:rPr>
          <w:rFonts w:ascii="Courier New" w:cs="Courier New" w:eastAsia="Courier New" w:hAnsi="Courier New"/>
          <w:sz w:val="15"/>
          <w:szCs w:val="15"/>
          <w:color w:val="auto"/>
        </w:rPr>
        <w:t>Automotive Products revenues in the "Other" category are sales to U.S. automotive manufacturing plants in Canada and Mexico, as well as other foreign automotive customers. Nearly all non-U.S. sales are invoiced and paid in U.S. dollars. During 2004, approximately 10% of the Company's net sales were invoiced and paid in European euros.</w:t>
      </w:r>
    </w:p>
    <w:p>
      <w:pPr>
        <w:spacing w:after="0" w:line="175" w:lineRule="exact"/>
        <w:rPr>
          <w:sz w:val="20"/>
          <w:szCs w:val="20"/>
          <w:color w:val="auto"/>
        </w:rPr>
      </w:pPr>
    </w:p>
    <w:p>
      <w:pPr>
        <w:ind w:left="628" w:right="3439" w:hanging="267"/>
        <w:spacing w:after="0" w:line="274" w:lineRule="auto"/>
        <w:rPr>
          <w:sz w:val="20"/>
          <w:szCs w:val="20"/>
          <w:color w:val="auto"/>
        </w:rPr>
      </w:pPr>
      <w:r>
        <w:rPr>
          <w:rFonts w:ascii="Courier New" w:cs="Courier New" w:eastAsia="Courier New" w:hAnsi="Courier New"/>
          <w:sz w:val="14"/>
          <w:szCs w:val="14"/>
          <w:color w:val="auto"/>
        </w:rPr>
        <w:t>During the years presented, the Company had three automotive customers, which individually accounted for 10% or more of net sales as follows:</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40" w:type="dxa"/>
            <w:vAlign w:val="bottom"/>
          </w:tcPr>
          <w:p>
            <w:pPr>
              <w:ind w:left="460"/>
              <w:spacing w:after="0"/>
              <w:rPr>
                <w:sz w:val="20"/>
                <w:szCs w:val="20"/>
                <w:color w:val="auto"/>
              </w:rPr>
            </w:pPr>
            <w:r>
              <w:rPr>
                <w:rFonts w:ascii="Courier New" w:cs="Courier New" w:eastAsia="Courier New" w:hAnsi="Courier New"/>
                <w:sz w:val="15"/>
                <w:szCs w:val="15"/>
                <w:color w:val="auto"/>
              </w:rPr>
              <w:t>Customer</w:t>
            </w:r>
          </w:p>
        </w:tc>
        <w:tc>
          <w:tcPr>
            <w:tcW w:w="500" w:type="dxa"/>
            <w:vAlign w:val="bottom"/>
          </w:tcPr>
          <w:p>
            <w:pPr>
              <w:spacing w:after="0"/>
              <w:rPr>
                <w:sz w:val="14"/>
                <w:szCs w:val="14"/>
                <w:color w:val="auto"/>
              </w:rPr>
            </w:pPr>
          </w:p>
        </w:tc>
      </w:tr>
      <w:tr>
        <w:trPr>
          <w:trHeight w:val="172"/>
        </w:trPr>
        <w:tc>
          <w:tcPr>
            <w:tcW w:w="940" w:type="dxa"/>
            <w:vAlign w:val="bottom"/>
          </w:tcPr>
          <w:p>
            <w:pPr>
              <w:spacing w:after="0"/>
              <w:rPr>
                <w:sz w:val="14"/>
                <w:szCs w:val="14"/>
                <w:color w:val="auto"/>
              </w:rPr>
            </w:pPr>
          </w:p>
        </w:tc>
        <w:tc>
          <w:tcPr>
            <w:tcW w:w="362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94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#1</w:t>
            </w:r>
          </w:p>
        </w:tc>
        <w:tc>
          <w:tcPr>
            <w:tcW w:w="1840" w:type="dxa"/>
            <w:vAlign w:val="bottom"/>
          </w:tcPr>
          <w:p>
            <w:pPr>
              <w:ind w:left="720"/>
              <w:spacing w:after="0"/>
              <w:rPr>
                <w:sz w:val="20"/>
                <w:szCs w:val="20"/>
                <w:color w:val="auto"/>
              </w:rPr>
            </w:pPr>
            <w:r>
              <w:rPr>
                <w:rFonts w:ascii="Courier New" w:cs="Courier New" w:eastAsia="Courier New" w:hAnsi="Courier New"/>
                <w:sz w:val="15"/>
                <w:szCs w:val="15"/>
                <w:color w:val="auto"/>
              </w:rPr>
              <w:t>#2</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r>
      <w:tr>
        <w:trPr>
          <w:trHeight w:val="172"/>
        </w:trPr>
        <w:tc>
          <w:tcPr>
            <w:tcW w:w="940" w:type="dxa"/>
            <w:vAlign w:val="bottom"/>
          </w:tcPr>
          <w:p>
            <w:pPr>
              <w:spacing w:after="0"/>
              <w:rPr>
                <w:sz w:val="14"/>
                <w:szCs w:val="14"/>
                <w:color w:val="auto"/>
              </w:rPr>
            </w:pP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88"/>
              </w:rPr>
              <w:t>2004</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31%</w:t>
            </w:r>
          </w:p>
        </w:tc>
        <w:tc>
          <w:tcPr>
            <w:tcW w:w="1840" w:type="dxa"/>
            <w:vAlign w:val="bottom"/>
          </w:tcPr>
          <w:p>
            <w:pPr>
              <w:ind w:left="720"/>
              <w:spacing w:after="0"/>
              <w:rPr>
                <w:sz w:val="20"/>
                <w:szCs w:val="20"/>
                <w:color w:val="auto"/>
              </w:rPr>
            </w:pPr>
            <w:r>
              <w:rPr>
                <w:rFonts w:ascii="Courier New" w:cs="Courier New" w:eastAsia="Courier New" w:hAnsi="Courier New"/>
                <w:sz w:val="15"/>
                <w:szCs w:val="15"/>
                <w:color w:val="auto"/>
              </w:rPr>
              <w:t>13%</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w w:val="96"/>
              </w:rPr>
              <w:t>13%</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88"/>
              </w:rPr>
              <w:t>2003</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38%</w:t>
            </w:r>
          </w:p>
        </w:tc>
        <w:tc>
          <w:tcPr>
            <w:tcW w:w="1840" w:type="dxa"/>
            <w:vAlign w:val="bottom"/>
          </w:tcPr>
          <w:p>
            <w:pPr>
              <w:ind w:left="720"/>
              <w:spacing w:after="0"/>
              <w:rPr>
                <w:sz w:val="20"/>
                <w:szCs w:val="20"/>
                <w:color w:val="auto"/>
              </w:rPr>
            </w:pPr>
            <w:r>
              <w:rPr>
                <w:rFonts w:ascii="Courier New" w:cs="Courier New" w:eastAsia="Courier New" w:hAnsi="Courier New"/>
                <w:sz w:val="15"/>
                <w:szCs w:val="15"/>
                <w:color w:val="auto"/>
              </w:rPr>
              <w:t>13%</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w w:val="96"/>
              </w:rPr>
              <w:t>12%</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88"/>
              </w:rPr>
              <w:t>2002</w:t>
            </w:r>
          </w:p>
        </w:tc>
        <w:tc>
          <w:tcPr>
            <w:tcW w:w="1280" w:type="dxa"/>
            <w:vAlign w:val="bottom"/>
          </w:tcPr>
          <w:p>
            <w:pPr>
              <w:ind w:left="580"/>
              <w:spacing w:after="0"/>
              <w:rPr>
                <w:sz w:val="20"/>
                <w:szCs w:val="20"/>
                <w:color w:val="auto"/>
              </w:rPr>
            </w:pPr>
            <w:r>
              <w:rPr>
                <w:rFonts w:ascii="Courier New" w:cs="Courier New" w:eastAsia="Courier New" w:hAnsi="Courier New"/>
                <w:sz w:val="15"/>
                <w:szCs w:val="15"/>
                <w:color w:val="auto"/>
              </w:rPr>
              <w:t>39%</w:t>
            </w:r>
          </w:p>
        </w:tc>
        <w:tc>
          <w:tcPr>
            <w:tcW w:w="1840" w:type="dxa"/>
            <w:vAlign w:val="bottom"/>
          </w:tcPr>
          <w:p>
            <w:pPr>
              <w:ind w:left="720"/>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w w:val="96"/>
              </w:rPr>
              <w:t>10%</w:t>
            </w:r>
          </w:p>
        </w:tc>
      </w:tr>
      <w:tr>
        <w:trPr>
          <w:trHeight w:val="516"/>
        </w:trPr>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40" w:type="dxa"/>
            <w:vAlign w:val="bottom"/>
          </w:tcPr>
          <w:p>
            <w:pPr>
              <w:ind w:left="1080"/>
              <w:spacing w:after="0"/>
              <w:rPr>
                <w:sz w:val="20"/>
                <w:szCs w:val="20"/>
                <w:color w:val="auto"/>
              </w:rPr>
            </w:pPr>
            <w:r>
              <w:rPr>
                <w:rFonts w:ascii="Courier New" w:cs="Courier New" w:eastAsia="Courier New" w:hAnsi="Courier New"/>
                <w:sz w:val="15"/>
                <w:szCs w:val="15"/>
                <w:color w:val="auto"/>
              </w:rPr>
              <w:t>- 35 -</w:t>
            </w:r>
          </w:p>
        </w:tc>
        <w:tc>
          <w:tcPr>
            <w:tcW w:w="500" w:type="dxa"/>
            <w:vAlign w:val="bottom"/>
          </w:tcPr>
          <w:p>
            <w:pPr>
              <w:spacing w:after="0"/>
              <w:rPr>
                <w:sz w:val="24"/>
                <w:szCs w:val="24"/>
                <w:color w:val="auto"/>
              </w:rPr>
            </w:pPr>
          </w:p>
        </w:tc>
      </w:tr>
    </w:tbl>
    <w:p>
      <w:pPr>
        <w:sectPr>
          <w:pgSz w:w="11900" w:h="16838" w:orient="portrait"/>
          <w:cols w:equalWidth="0" w:num="1">
            <w:col w:w="10227"/>
          </w:cols>
          <w:pgMar w:left="232" w:top="633" w:right="1440"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6120" w:type="dxa"/>
            <w:vAlign w:val="bottom"/>
          </w:tcPr>
          <w:p>
            <w:pPr>
              <w:ind w:left="1840"/>
              <w:spacing w:after="0"/>
              <w:rPr>
                <w:sz w:val="20"/>
                <w:szCs w:val="20"/>
                <w:color w:val="auto"/>
              </w:rPr>
            </w:pPr>
            <w:r>
              <w:rPr>
                <w:rFonts w:ascii="Courier New" w:cs="Courier New" w:eastAsia="Courier New" w:hAnsi="Courier New"/>
                <w:sz w:val="15"/>
                <w:szCs w:val="15"/>
                <w:color w:val="auto"/>
              </w:rPr>
              <w:t>EXHIBIT INDEX</w:t>
            </w:r>
          </w:p>
        </w:tc>
        <w:tc>
          <w:tcPr>
            <w:tcW w:w="900" w:type="dxa"/>
            <w:vAlign w:val="bottom"/>
          </w:tcPr>
          <w:p>
            <w:pPr>
              <w:spacing w:after="0"/>
              <w:rPr>
                <w:sz w:val="14"/>
                <w:szCs w:val="14"/>
                <w:color w:val="auto"/>
              </w:rPr>
            </w:pPr>
          </w:p>
        </w:tc>
      </w:tr>
      <w:tr>
        <w:trPr>
          <w:trHeight w:val="688"/>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120" w:type="dxa"/>
            <w:vAlign w:val="bottom"/>
          </w:tcPr>
          <w:p>
            <w:pPr>
              <w:ind w:left="1380"/>
              <w:spacing w:after="0"/>
              <w:rPr>
                <w:sz w:val="20"/>
                <w:szCs w:val="20"/>
                <w:color w:val="auto"/>
              </w:rPr>
            </w:pPr>
            <w:r>
              <w:rPr>
                <w:rFonts w:ascii="Courier New" w:cs="Courier New" w:eastAsia="Courier New" w:hAnsi="Courier New"/>
                <w:sz w:val="15"/>
                <w:szCs w:val="15"/>
                <w:color w:val="auto"/>
              </w:rPr>
              <w:t>DESCRIPTION</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PAGE</w:t>
            </w:r>
          </w:p>
        </w:tc>
      </w:t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120" w:type="dxa"/>
            <w:vAlign w:val="bottom"/>
          </w:tcPr>
          <w:p>
            <w:pPr>
              <w:ind w:left="15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Registrant's Restated Articles of Incorporation, adopted on</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August 20, 2004, were filed as Exhibit 3(a) to Registrant's</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10-Q dated November 2, 2004, and the same is</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hereby incorporated herein by 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3(b)(1)</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Registrant's Bylaws as amended and restated February 27, 2003,</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was filed as Exhibit 3(b)(1) to Registrant's report on Form 10-Q</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dated May 5, 2003, and the same is hereby incorporated herein by</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A specimen form of certificate for the Registrant's common</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stock, par value $.06 per share, was filed as part of a</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(Registration Number 2-74226C) as Exhibit</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3(a), as amended by Amendment No. 3 to such Registration</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Statement, and the same is hereby incorporated herein by</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Shareholder Protection Rights Agreement,</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dated as of March 29, 2001, including as Exhibit A the form of</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Certificate of Adoption of Resolution Establishing Series of</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Shares of Junior Participating Preferred Stock of the Company,</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and as Exhibit B the form of Rights Certificate and of Election</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to Exercise, was filed as Exhibit 4(b) to Registrant's Report on</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Form 10-Q on April 27, 2001, and the same is hereby incorporated</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herein by 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A Lease, dated August 15, 1981, was filed as part of a</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(Registration Number 2-74226C) as Exhibit</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9(a)(1), and the same is hereby incorporated herein by</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A First Amendment to Lease, dated June 28, 1985, was filed as</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Exhibit 10(m) to Registrant's Report on Form 10-K dated March</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18, 1986, and the same is hereby incorporated herein by</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Gentex Corporation Qualified Stock Option Plan (as amended and</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restated, effective February 26, 2004) was included in</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Registrant's Proxy Statement dated April 6, 2004, filed with the</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Commission on April 6, 2004, and the same is hereby incorporated</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herein by 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Specimen form of Grant Agreement for the Gentex Corporation</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Qualified Stock Option Plan (as amended and restated, effective</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February 26, 2004), was filed as Exhibit 10(b)(2) to</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Registrant's Report on Form 10-Q dated November 2, 2004, and the</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Gentex Corporation Second Restricted Stock Plan was filed as</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Exhibit 10(b)(3) to Registrant's Report on Form 10-Q dated April</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27, 2001, and the same is hereby incorporated herein by</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*10(b)(4)</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Specimen form of Grant Agreement for the Gentex Corporation</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Restricted Stock Plan (as amended and restated, effective</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February 26, 2004), was filed as Exhibit 10(b)(4) to</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Registrant's Report on Form 10-Q dated November 2, 2004, and the</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*10(b)(5)</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Gentex Corporation 2002 Nonemployee Director Stock Option Plan</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(adopted March 6, 2002) was filed as Exhibit 10(b)(4) to</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Registrant's Report on Form 10-Q dated April 30, 2002, and the</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*10(b)(6)</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Specimen form of Grant Agreement for the Gentex Corporation 2002</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Non-Employee Director Stock Option Plan (as amended and</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restated, effective February 26, 2004), was filed as Exhibit</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10(b)(6) to Registrant's Report on Form 10-Q dated November 2,</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2004, and the same is hereby incorporated herein by 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The form of Indemnity Agreement between Registrant and each of</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directors and certain offices was filed as</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Exhibit 10(c) to Registrant's Report on Form 10-Q dated October</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31, 2002, and the same is hereby incorporated herein by</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900" w:type="dxa"/>
            <w:vAlign w:val="bottom"/>
          </w:tcPr>
          <w:p>
            <w:pPr>
              <w:spacing w:after="0"/>
              <w:rPr>
                <w:sz w:val="14"/>
                <w:szCs w:val="14"/>
                <w:color w:val="auto"/>
              </w:rPr>
            </w:pP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List of Company Subsidiaries</w:t>
            </w:r>
          </w:p>
        </w:tc>
        <w:tc>
          <w:tcPr>
            <w:tcW w:w="90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37</w:t>
            </w: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Consent of Independent Registered Public Accounting Firm</w:t>
            </w:r>
          </w:p>
        </w:tc>
        <w:tc>
          <w:tcPr>
            <w:tcW w:w="90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38</w:t>
            </w: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Certificate of the Chief Executive Officer of Gentex Corporation</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pursuant to Section 302 of the Sarbanes-Oxley Act of 2002</w:t>
            </w:r>
          </w:p>
        </w:tc>
        <w:tc>
          <w:tcPr>
            <w:tcW w:w="900" w:type="dxa"/>
            <w:vAlign w:val="bottom"/>
          </w:tcPr>
          <w:p>
            <w:pPr>
              <w:spacing w:after="0"/>
              <w:rPr>
                <w:sz w:val="14"/>
                <w:szCs w:val="1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(18 U.S.C. 1350).</w:t>
            </w:r>
          </w:p>
        </w:tc>
        <w:tc>
          <w:tcPr>
            <w:tcW w:w="90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39</w:t>
            </w:r>
          </w:p>
        </w:tc>
      </w:tr>
      <w:tr>
        <w:trPr>
          <w:trHeight w:val="344"/>
        </w:trPr>
        <w:tc>
          <w:tcPr>
            <w:tcW w:w="1200" w:type="dxa"/>
            <w:vAlign w:val="bottom"/>
          </w:tcPr>
          <w:p>
            <w:pPr>
              <w:spacing w:after="0"/>
              <w:rPr>
                <w:sz w:val="20"/>
                <w:szCs w:val="20"/>
                <w:color w:val="auto"/>
              </w:rPr>
            </w:pPr>
            <w:r>
              <w:rPr>
                <w:rFonts w:ascii="Courier New" w:cs="Courier New" w:eastAsia="Courier New" w:hAnsi="Courier New"/>
                <w:sz w:val="15"/>
                <w:szCs w:val="15"/>
                <w:color w:val="auto"/>
              </w:rPr>
              <w:t>31.2</w:t>
            </w: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Certificate of the Chief Financial Officer of Gentex Corporation</w:t>
            </w:r>
          </w:p>
        </w:tc>
        <w:tc>
          <w:tcPr>
            <w:tcW w:w="900" w:type="dxa"/>
            <w:vAlign w:val="bottom"/>
          </w:tcPr>
          <w:p>
            <w:pPr>
              <w:spacing w:after="0"/>
              <w:rPr>
                <w:sz w:val="24"/>
                <w:szCs w:val="24"/>
                <w:color w:val="auto"/>
              </w:rPr>
            </w:pPr>
          </w:p>
        </w:tc>
      </w:tr>
      <w:tr>
        <w:trPr>
          <w:trHeight w:val="172"/>
        </w:trPr>
        <w:tc>
          <w:tcPr>
            <w:tcW w:w="12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Courier New" w:cs="Courier New" w:eastAsia="Courier New" w:hAnsi="Courier New"/>
                <w:sz w:val="15"/>
                <w:szCs w:val="15"/>
                <w:color w:val="auto"/>
              </w:rPr>
              <w:t>pursuant to Section 302 of the Sarbanes-Oxley Act of 2002</w:t>
            </w:r>
          </w:p>
        </w:tc>
        <w:tc>
          <w:tcPr>
            <w:tcW w:w="900" w:type="dxa"/>
            <w:vAlign w:val="bottom"/>
          </w:tcPr>
          <w:p>
            <w:pPr>
              <w:spacing w:after="0"/>
              <w:rPr>
                <w:sz w:val="14"/>
                <w:szCs w:val="14"/>
                <w:color w:val="auto"/>
              </w:rPr>
            </w:pPr>
          </w:p>
        </w:tc>
      </w:tr>
    </w:tbl>
    <w:p>
      <w:pPr>
        <w:sectPr>
          <w:pgSz w:w="11900" w:h="16838" w:orient="portrait"/>
          <w:cols w:equalWidth="0" w:num="1">
            <w:col w:w="10219"/>
          </w:cols>
          <w:pgMar w:left="240" w:top="633" w:right="1440" w:bottom="0" w:gutter="0" w:footer="0" w:header="0"/>
        </w:sectPr>
      </w:pPr>
    </w:p>
    <w:bookmarkStart w:id="40" w:name="page41"/>
    <w:bookmarkEnd w:id="40"/>
    <w:p>
      <w:pPr>
        <w:jc w:val="right"/>
        <w:ind w:right="2259"/>
        <w:spacing w:after="0"/>
        <w:tabs>
          <w:tab w:leader="none" w:pos="160" w:val="left"/>
        </w:tabs>
        <w:rPr>
          <w:sz w:val="20"/>
          <w:szCs w:val="20"/>
          <w:color w:val="auto"/>
        </w:rPr>
      </w:pPr>
      <w:r>
        <w:rPr>
          <w:rFonts w:ascii="Courier New" w:cs="Courier New" w:eastAsia="Courier New" w:hAnsi="Courier New"/>
          <w:sz w:val="15"/>
          <w:szCs w:val="15"/>
          <w:color w:val="auto"/>
        </w:rPr>
        <w:t>(18 U.S.C. 1350).</w:t>
      </w:r>
      <w:r>
        <w:rPr>
          <w:sz w:val="20"/>
          <w:szCs w:val="20"/>
          <w:color w:val="auto"/>
        </w:rPr>
        <w:tab/>
      </w:r>
      <w:r>
        <w:rPr>
          <w:rFonts w:ascii="Courier New" w:cs="Courier New" w:eastAsia="Courier New" w:hAnsi="Courier New"/>
          <w:sz w:val="15"/>
          <w:szCs w:val="15"/>
          <w:color w:val="auto"/>
        </w:rPr>
        <w:t>40</w:t>
      </w:r>
    </w:p>
    <w:p>
      <w:pPr>
        <w:spacing w:after="0" w:line="176" w:lineRule="exact"/>
        <w:rPr>
          <w:sz w:val="20"/>
          <w:szCs w:val="20"/>
          <w:color w:val="auto"/>
        </w:rPr>
      </w:pPr>
    </w:p>
    <w:p>
      <w:pPr>
        <w:ind w:left="1248" w:right="3439" w:hanging="1248"/>
        <w:spacing w:after="0" w:line="260" w:lineRule="auto"/>
        <w:tabs>
          <w:tab w:leader="none" w:pos="124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the Chief Executive Officer and Chief Financial Officer of Gentex Corporation pursuant to Section 906 of the</w:t>
      </w:r>
    </w:p>
    <w:tbl>
      <w:tblPr>
        <w:tblLayout w:type="fixed"/>
        <w:tblInd w:w="1248" w:type="dxa"/>
        <w:tblCellMar>
          <w:top w:w="0" w:type="dxa"/>
          <w:left w:w="0" w:type="dxa"/>
          <w:bottom w:w="0" w:type="dxa"/>
          <w:right w:w="0" w:type="dxa"/>
        </w:tblCellMar>
      </w:tblPr>
      <w:tr>
        <w:trPr>
          <w:trHeight w:val="169"/>
        </w:trPr>
        <w:tc>
          <w:tcPr>
            <w:tcW w:w="5600" w:type="dxa"/>
            <w:vAlign w:val="bottom"/>
          </w:tcPr>
          <w:p>
            <w:pPr>
              <w:spacing w:after="0" w:line="169" w:lineRule="exact"/>
              <w:rPr>
                <w:sz w:val="20"/>
                <w:szCs w:val="20"/>
                <w:color w:val="auto"/>
              </w:rPr>
            </w:pPr>
            <w:r>
              <w:rPr>
                <w:rFonts w:ascii="Courier New" w:cs="Courier New" w:eastAsia="Courier New" w:hAnsi="Courier New"/>
                <w:sz w:val="15"/>
                <w:szCs w:val="15"/>
                <w:color w:val="auto"/>
              </w:rPr>
              <w:t>Sarbanes-Oxley Act of 2002 (18 U.S.C. Section 1350).</w:t>
            </w:r>
          </w:p>
        </w:tc>
        <w:tc>
          <w:tcPr>
            <w:tcW w:w="11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41</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*Indicates a compensatory plan or arrangement.</w:t>
      </w:r>
    </w:p>
    <w:p>
      <w:pPr>
        <w:spacing w:after="0" w:line="174"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- 36 -</w:t>
      </w:r>
    </w:p>
    <w:p>
      <w:pPr>
        <w:sectPr>
          <w:pgSz w:w="11900" w:h="16838" w:orient="portrait"/>
          <w:cols w:equalWidth="0" w:num="1">
            <w:col w:w="10227"/>
          </w:cols>
          <w:pgMar w:left="232" w:top="140" w:right="1440" w:bottom="1440" w:gutter="0" w:footer="0" w:header="0"/>
        </w:sectPr>
      </w:pPr>
    </w:p>
    <w:bookmarkStart w:id="41" w:name="page42"/>
    <w:bookmarkEnd w:id="41"/>
    <w:p>
      <w:pPr>
        <w:jc w:val="right"/>
        <w:ind w:right="3079"/>
        <w:spacing w:after="0"/>
        <w:rPr>
          <w:sz w:val="20"/>
          <w:szCs w:val="20"/>
          <w:color w:val="auto"/>
        </w:rPr>
      </w:pPr>
      <w:r>
        <w:rPr>
          <w:rFonts w:ascii="Courier New" w:cs="Courier New" w:eastAsia="Courier New" w:hAnsi="Courier New"/>
          <w:sz w:val="15"/>
          <w:szCs w:val="15"/>
          <w:color w:val="auto"/>
        </w:rPr>
        <w:t>EXHIBIT 21</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176" w:lineRule="exact"/>
        <w:rPr>
          <w:sz w:val="20"/>
          <w:szCs w:val="20"/>
          <w:color w:val="auto"/>
        </w:rPr>
      </w:pPr>
    </w:p>
    <w:p>
      <w:pPr>
        <w:ind w:left="528" w:right="3339" w:hanging="528"/>
        <w:spacing w:after="0"/>
        <w:tabs>
          <w:tab w:leader="none" w:pos="5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176" w:lineRule="exact"/>
        <w:rPr>
          <w:rFonts w:ascii="Courier New" w:cs="Courier New" w:eastAsia="Courier New" w:hAnsi="Courier New"/>
          <w:sz w:val="15"/>
          <w:szCs w:val="15"/>
          <w:color w:val="auto"/>
        </w:rPr>
      </w:pPr>
    </w:p>
    <w:p>
      <w:pPr>
        <w:ind w:left="528" w:right="3079" w:hanging="528"/>
        <w:spacing w:after="0" w:line="274" w:lineRule="auto"/>
        <w:tabs>
          <w:tab w:leader="none" w:pos="52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International Corporation, a Foreign Sales Corporation incorporated in Barbados, is a wholly-owned subsidiary of Gentex Corporation.</w:t>
      </w:r>
    </w:p>
    <w:p>
      <w:pPr>
        <w:spacing w:after="0" w:line="153" w:lineRule="exact"/>
        <w:rPr>
          <w:rFonts w:ascii="Courier New" w:cs="Courier New" w:eastAsia="Courier New" w:hAnsi="Courier New"/>
          <w:sz w:val="14"/>
          <w:szCs w:val="14"/>
          <w:color w:val="auto"/>
        </w:rPr>
      </w:pPr>
    </w:p>
    <w:p>
      <w:pPr>
        <w:ind w:left="528" w:right="3959" w:hanging="528"/>
        <w:spacing w:after="0"/>
        <w:tabs>
          <w:tab w:leader="none" w:pos="5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 is a wholly-owned subsidiary of Gentex Corporation.</w:t>
      </w:r>
    </w:p>
    <w:p>
      <w:pPr>
        <w:spacing w:after="0" w:line="176" w:lineRule="exact"/>
        <w:rPr>
          <w:rFonts w:ascii="Courier New" w:cs="Courier New" w:eastAsia="Courier New" w:hAnsi="Courier New"/>
          <w:sz w:val="15"/>
          <w:szCs w:val="15"/>
          <w:color w:val="auto"/>
        </w:rPr>
      </w:pPr>
    </w:p>
    <w:p>
      <w:pPr>
        <w:ind w:left="528" w:right="3079" w:hanging="528"/>
        <w:spacing w:after="0"/>
        <w:tabs>
          <w:tab w:leader="none" w:pos="5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GmbH, a German limited liability company, is a subsidiary 50% owned by Gentex Corporation and 50% owned by Gentex Holdings, Inc.</w:t>
      </w:r>
    </w:p>
    <w:p>
      <w:pPr>
        <w:spacing w:after="0" w:line="176" w:lineRule="exact"/>
        <w:rPr>
          <w:rFonts w:ascii="Courier New" w:cs="Courier New" w:eastAsia="Courier New" w:hAnsi="Courier New"/>
          <w:sz w:val="15"/>
          <w:szCs w:val="15"/>
          <w:color w:val="auto"/>
        </w:rPr>
      </w:pPr>
    </w:p>
    <w:p>
      <w:pPr>
        <w:ind w:left="528" w:right="3259" w:hanging="528"/>
        <w:spacing w:after="0"/>
        <w:tabs>
          <w:tab w:leader="none" w:pos="5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Japan, Inc., a Japanese corporation, is a wholly-owned subsidiary of Gentex Corporation.</w:t>
      </w:r>
    </w:p>
    <w:p>
      <w:pPr>
        <w:spacing w:after="0" w:line="176" w:lineRule="exact"/>
        <w:rPr>
          <w:rFonts w:ascii="Courier New" w:cs="Courier New" w:eastAsia="Courier New" w:hAnsi="Courier New"/>
          <w:sz w:val="15"/>
          <w:szCs w:val="15"/>
          <w:color w:val="auto"/>
        </w:rPr>
      </w:pPr>
    </w:p>
    <w:p>
      <w:pPr>
        <w:ind w:left="528" w:right="3519" w:hanging="528"/>
        <w:spacing w:after="0"/>
        <w:tabs>
          <w:tab w:leader="none" w:pos="5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Mirrors Ltd., a United Kingdom limited liability company, is a wholly-owned subsidiary of Gentex Corporation.</w:t>
      </w:r>
    </w:p>
    <w:p>
      <w:pPr>
        <w:spacing w:after="0" w:line="176" w:lineRule="exact"/>
        <w:rPr>
          <w:rFonts w:ascii="Courier New" w:cs="Courier New" w:eastAsia="Courier New" w:hAnsi="Courier New"/>
          <w:sz w:val="15"/>
          <w:szCs w:val="15"/>
          <w:color w:val="auto"/>
        </w:rPr>
      </w:pPr>
    </w:p>
    <w:p>
      <w:pPr>
        <w:ind w:left="528" w:right="3699" w:hanging="528"/>
        <w:spacing w:after="0"/>
        <w:tabs>
          <w:tab w:leader="none" w:pos="5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France, SAS, a French simplified liability corporation, is a wholly-owned subsidiary of Gentex Corporation.</w:t>
      </w:r>
    </w:p>
    <w:p>
      <w:pPr>
        <w:spacing w:after="0" w:line="176" w:lineRule="exact"/>
        <w:rPr>
          <w:rFonts w:ascii="Courier New" w:cs="Courier New" w:eastAsia="Courier New" w:hAnsi="Courier New"/>
          <w:sz w:val="15"/>
          <w:szCs w:val="15"/>
          <w:color w:val="auto"/>
        </w:rPr>
      </w:pPr>
    </w:p>
    <w:p>
      <w:pPr>
        <w:ind w:left="528" w:right="3159" w:hanging="528"/>
        <w:spacing w:after="0"/>
        <w:tabs>
          <w:tab w:leader="none" w:pos="52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Technologies Korea Co., Ltd., a Korean limited stock company, is a wholly-owned subsidiary of Gentex Corporation.</w:t>
      </w:r>
    </w:p>
    <w:p>
      <w:pPr>
        <w:sectPr>
          <w:pgSz w:w="11900" w:h="16838" w:orient="portrait"/>
          <w:cols w:equalWidth="0" w:num="1">
            <w:col w:w="10227"/>
          </w:cols>
          <w:pgMar w:left="232" w:top="484" w:right="1440" w:bottom="1440" w:gutter="0" w:footer="0" w:header="0"/>
        </w:sectPr>
      </w:pPr>
    </w:p>
    <w:bookmarkStart w:id="42" w:name="page43"/>
    <w:bookmarkEnd w:id="42"/>
    <w:p>
      <w:pPr>
        <w:ind w:left="5460"/>
        <w:spacing w:after="0"/>
        <w:rPr>
          <w:sz w:val="20"/>
          <w:szCs w:val="20"/>
          <w:color w:val="auto"/>
        </w:rPr>
      </w:pPr>
      <w:r>
        <w:rPr>
          <w:rFonts w:ascii="Courier New" w:cs="Courier New" w:eastAsia="Courier New" w:hAnsi="Courier New"/>
          <w:sz w:val="14"/>
          <w:szCs w:val="14"/>
          <w:color w:val="auto"/>
        </w:rPr>
        <w:t>EXHIBIT 23(a)</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(Form S-8 Nos. 333-101642, 33-64504, 33-65321, 333-04661, 333-105858 and 333-118213) pertaining to various stock option and incentive plans of Gentex Corporation of our reports dated February 9, 2005, with respect to the consolidated financial statements of Gentex Corporation and subsidiaries, Gentex Corporation management's assessment of the effectiveness of internal control over financial reporting, and the effectiveness of internal control over financial reporting of Gentex Corporation, included in this Annual Report (Form 10-K) for the year ended December 31, 2004.</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23, 2005</w:t>
      </w:r>
    </w:p>
    <w:p>
      <w:pPr>
        <w:sectPr>
          <w:pgSz w:w="11900" w:h="16838" w:orient="portrait"/>
          <w:cols w:equalWidth="0" w:num="1">
            <w:col w:w="9699"/>
          </w:cols>
          <w:pgMar w:left="760" w:top="486" w:right="1440" w:bottom="1440" w:gutter="0" w:footer="0" w:header="0"/>
        </w:sectPr>
      </w:pPr>
    </w:p>
    <w:bookmarkStart w:id="43" w:name="page44"/>
    <w:bookmarkEnd w:id="43"/>
    <w:p>
      <w:pPr>
        <w:ind w:left="6080"/>
        <w:spacing w:after="0"/>
        <w:rPr>
          <w:sz w:val="20"/>
          <w:szCs w:val="20"/>
          <w:color w:val="auto"/>
        </w:rPr>
      </w:pPr>
      <w:r>
        <w:rPr>
          <w:rFonts w:ascii="Courier New" w:cs="Courier New" w:eastAsia="Courier New" w:hAnsi="Courier New"/>
          <w:sz w:val="14"/>
          <w:szCs w:val="14"/>
          <w:color w:val="auto"/>
        </w:rPr>
        <w:t>EXHIBIT 31.1</w:t>
      </w:r>
    </w:p>
    <w:p>
      <w:pPr>
        <w:spacing w:after="0" w:line="18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CERTIFICATION OF THE CHIEF EXECUTIVE OFFICER OF GENTEX COPORATION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Fred T. Bauer, certify that:</w:t>
      </w:r>
    </w:p>
    <w:p>
      <w:pPr>
        <w:spacing w:after="0" w:line="176" w:lineRule="exact"/>
        <w:rPr>
          <w:sz w:val="20"/>
          <w:szCs w:val="20"/>
          <w:color w:val="auto"/>
        </w:rPr>
      </w:pPr>
    </w:p>
    <w:p>
      <w:pPr>
        <w:ind w:left="1060" w:right="4059" w:hanging="532"/>
        <w:spacing w:after="0"/>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Gentex Corporation;</w:t>
      </w:r>
    </w:p>
    <w:p>
      <w:pPr>
        <w:spacing w:after="0" w:line="176" w:lineRule="exact"/>
        <w:rPr>
          <w:rFonts w:ascii="Courier New" w:cs="Courier New" w:eastAsia="Courier New" w:hAnsi="Courier New"/>
          <w:sz w:val="15"/>
          <w:szCs w:val="15"/>
          <w:color w:val="auto"/>
        </w:rPr>
      </w:pPr>
    </w:p>
    <w:p>
      <w:pPr>
        <w:ind w:left="1060" w:right="3079" w:hanging="532"/>
        <w:spacing w:after="0" w:line="242"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Courier New" w:cs="Courier New" w:eastAsia="Courier New" w:hAnsi="Courier New"/>
          <w:sz w:val="15"/>
          <w:szCs w:val="15"/>
          <w:color w:val="auto"/>
        </w:rPr>
      </w:pPr>
    </w:p>
    <w:p>
      <w:pPr>
        <w:ind w:left="1060" w:right="3079" w:hanging="532"/>
        <w:spacing w:after="0" w:line="242"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5" w:lineRule="exact"/>
        <w:rPr>
          <w:rFonts w:ascii="Courier New" w:cs="Courier New" w:eastAsia="Courier New" w:hAnsi="Courier New"/>
          <w:sz w:val="15"/>
          <w:szCs w:val="15"/>
          <w:color w:val="auto"/>
        </w:rPr>
      </w:pPr>
    </w:p>
    <w:p>
      <w:pPr>
        <w:jc w:val="both"/>
        <w:ind w:left="1060" w:right="3159" w:hanging="532"/>
        <w:spacing w:after="0" w:line="260" w:lineRule="auto"/>
        <w:tabs>
          <w:tab w:leader="none" w:pos="10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13a-15(f) and 15d-15(f) for the registrant and have:</w:t>
      </w:r>
    </w:p>
    <w:p>
      <w:pPr>
        <w:spacing w:after="0" w:line="175" w:lineRule="exact"/>
        <w:rPr>
          <w:rFonts w:ascii="Courier New" w:cs="Courier New" w:eastAsia="Courier New" w:hAnsi="Courier New"/>
          <w:sz w:val="14"/>
          <w:szCs w:val="14"/>
          <w:color w:val="auto"/>
        </w:rPr>
      </w:pPr>
    </w:p>
    <w:p>
      <w:pPr>
        <w:ind w:left="1600" w:right="3079" w:hanging="535"/>
        <w:spacing w:after="0" w:line="242" w:lineRule="auto"/>
        <w:tabs>
          <w:tab w:leader="none" w:pos="16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6" w:lineRule="exact"/>
        <w:rPr>
          <w:rFonts w:ascii="Courier New" w:cs="Courier New" w:eastAsia="Courier New" w:hAnsi="Courier New"/>
          <w:sz w:val="15"/>
          <w:szCs w:val="15"/>
          <w:color w:val="auto"/>
        </w:rPr>
      </w:pPr>
    </w:p>
    <w:p>
      <w:pPr>
        <w:ind w:left="1600" w:right="3079" w:hanging="535"/>
        <w:spacing w:after="0" w:line="263" w:lineRule="auto"/>
        <w:tabs>
          <w:tab w:leader="none" w:pos="16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Courier New" w:cs="Courier New" w:eastAsia="Courier New" w:hAnsi="Courier New"/>
          <w:sz w:val="14"/>
          <w:szCs w:val="14"/>
          <w:color w:val="auto"/>
        </w:rPr>
      </w:pPr>
    </w:p>
    <w:p>
      <w:pPr>
        <w:ind w:left="1600" w:right="3339" w:hanging="535"/>
        <w:spacing w:after="0" w:line="263" w:lineRule="auto"/>
        <w:tabs>
          <w:tab w:leader="none" w:pos="16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annual report our conclusions about the effectiveness of the disclosure controls and procedures, as of the period covered by this annual report based on such evaluation; and</w:t>
      </w:r>
    </w:p>
    <w:p>
      <w:pPr>
        <w:spacing w:after="0" w:line="163" w:lineRule="exact"/>
        <w:rPr>
          <w:rFonts w:ascii="Courier New" w:cs="Courier New" w:eastAsia="Courier New" w:hAnsi="Courier New"/>
          <w:sz w:val="14"/>
          <w:szCs w:val="14"/>
          <w:color w:val="auto"/>
        </w:rPr>
      </w:pPr>
    </w:p>
    <w:p>
      <w:pPr>
        <w:ind w:left="1600" w:right="3079" w:hanging="535"/>
        <w:spacing w:after="0" w:line="242" w:lineRule="auto"/>
        <w:tabs>
          <w:tab w:leader="none" w:pos="16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Courier New" w:cs="Courier New" w:eastAsia="Courier New" w:hAnsi="Courier New"/>
          <w:sz w:val="15"/>
          <w:szCs w:val="15"/>
          <w:color w:val="auto"/>
        </w:rPr>
      </w:pPr>
    </w:p>
    <w:p>
      <w:pPr>
        <w:ind w:left="1060" w:right="3519" w:hanging="532"/>
        <w:spacing w:after="0" w:line="242" w:lineRule="auto"/>
        <w:tabs>
          <w:tab w:leader="none" w:pos="10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Courier New" w:cs="Courier New" w:eastAsia="Courier New" w:hAnsi="Courier New"/>
          <w:sz w:val="15"/>
          <w:szCs w:val="15"/>
          <w:color w:val="auto"/>
        </w:rPr>
      </w:pPr>
    </w:p>
    <w:p>
      <w:pPr>
        <w:ind w:left="1600" w:right="3159" w:hanging="535"/>
        <w:spacing w:after="0" w:line="242" w:lineRule="auto"/>
        <w:tabs>
          <w:tab w:leader="none" w:pos="16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1600" w:right="3259" w:hanging="535"/>
        <w:spacing w:after="0" w:line="267" w:lineRule="auto"/>
        <w:tabs>
          <w:tab w:leader="none" w:pos="16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18, 2005</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/s/ Fred T. Bauer</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Fred T. Bauer</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486" w:right="1440" w:bottom="1440" w:gutter="0" w:footer="0" w:header="0"/>
        </w:sectPr>
      </w:pPr>
    </w:p>
    <w:bookmarkStart w:id="44" w:name="page45"/>
    <w:bookmarkEnd w:id="44"/>
    <w:p>
      <w:pPr>
        <w:ind w:left="6080"/>
        <w:spacing w:after="0"/>
        <w:rPr>
          <w:sz w:val="20"/>
          <w:szCs w:val="20"/>
          <w:color w:val="auto"/>
        </w:rPr>
      </w:pPr>
      <w:r>
        <w:rPr>
          <w:rFonts w:ascii="Courier New" w:cs="Courier New" w:eastAsia="Courier New" w:hAnsi="Courier New"/>
          <w:sz w:val="14"/>
          <w:szCs w:val="14"/>
          <w:color w:val="auto"/>
        </w:rPr>
        <w:t>EXHIBIT 31.2</w:t>
      </w:r>
    </w:p>
    <w:p>
      <w:pPr>
        <w:spacing w:after="0" w:line="18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CERTIFICATION OF THE CHIEF FINANCIAL OFFICER OF GENTEX COPORATION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Enoch C. Jen, certify that:</w:t>
      </w:r>
    </w:p>
    <w:p>
      <w:pPr>
        <w:spacing w:after="0" w:line="176" w:lineRule="exact"/>
        <w:rPr>
          <w:sz w:val="20"/>
          <w:szCs w:val="20"/>
          <w:color w:val="auto"/>
        </w:rPr>
      </w:pPr>
    </w:p>
    <w:p>
      <w:pPr>
        <w:ind w:left="1060" w:right="4059" w:hanging="532"/>
        <w:spacing w:after="0"/>
        <w:tabs>
          <w:tab w:leader="none" w:pos="10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Gentex Corporation;</w:t>
      </w:r>
    </w:p>
    <w:p>
      <w:pPr>
        <w:spacing w:after="0" w:line="176" w:lineRule="exact"/>
        <w:rPr>
          <w:rFonts w:ascii="Courier New" w:cs="Courier New" w:eastAsia="Courier New" w:hAnsi="Courier New"/>
          <w:sz w:val="15"/>
          <w:szCs w:val="15"/>
          <w:color w:val="auto"/>
        </w:rPr>
      </w:pPr>
    </w:p>
    <w:p>
      <w:pPr>
        <w:ind w:left="1060" w:right="3079" w:hanging="532"/>
        <w:spacing w:after="0" w:line="242" w:lineRule="auto"/>
        <w:tabs>
          <w:tab w:leader="none" w:pos="10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Courier New" w:cs="Courier New" w:eastAsia="Courier New" w:hAnsi="Courier New"/>
          <w:sz w:val="15"/>
          <w:szCs w:val="15"/>
          <w:color w:val="auto"/>
        </w:rPr>
      </w:pPr>
    </w:p>
    <w:p>
      <w:pPr>
        <w:ind w:left="1060" w:right="3079" w:hanging="532"/>
        <w:spacing w:after="0" w:line="242" w:lineRule="auto"/>
        <w:tabs>
          <w:tab w:leader="none" w:pos="10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5" w:lineRule="exact"/>
        <w:rPr>
          <w:rFonts w:ascii="Courier New" w:cs="Courier New" w:eastAsia="Courier New" w:hAnsi="Courier New"/>
          <w:sz w:val="15"/>
          <w:szCs w:val="15"/>
          <w:color w:val="auto"/>
        </w:rPr>
      </w:pPr>
    </w:p>
    <w:p>
      <w:pPr>
        <w:jc w:val="both"/>
        <w:ind w:left="1060" w:right="3159" w:hanging="532"/>
        <w:spacing w:after="0" w:line="260" w:lineRule="auto"/>
        <w:tabs>
          <w:tab w:leader="none" w:pos="10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13a-15(f) and 15d-15(f) for the registrant and have:</w:t>
      </w:r>
    </w:p>
    <w:p>
      <w:pPr>
        <w:spacing w:after="0" w:line="175" w:lineRule="exact"/>
        <w:rPr>
          <w:rFonts w:ascii="Courier New" w:cs="Courier New" w:eastAsia="Courier New" w:hAnsi="Courier New"/>
          <w:sz w:val="14"/>
          <w:szCs w:val="14"/>
          <w:color w:val="auto"/>
        </w:rPr>
      </w:pPr>
    </w:p>
    <w:p>
      <w:pPr>
        <w:ind w:left="1600" w:right="3079" w:hanging="535"/>
        <w:spacing w:after="0" w:line="242" w:lineRule="auto"/>
        <w:tabs>
          <w:tab w:leader="none" w:pos="16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6" w:lineRule="exact"/>
        <w:rPr>
          <w:rFonts w:ascii="Courier New" w:cs="Courier New" w:eastAsia="Courier New" w:hAnsi="Courier New"/>
          <w:sz w:val="15"/>
          <w:szCs w:val="15"/>
          <w:color w:val="auto"/>
        </w:rPr>
      </w:pPr>
    </w:p>
    <w:p>
      <w:pPr>
        <w:ind w:left="1600" w:right="3079" w:hanging="535"/>
        <w:spacing w:after="0" w:line="263" w:lineRule="auto"/>
        <w:tabs>
          <w:tab w:leader="none" w:pos="16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Courier New" w:cs="Courier New" w:eastAsia="Courier New" w:hAnsi="Courier New"/>
          <w:sz w:val="14"/>
          <w:szCs w:val="14"/>
          <w:color w:val="auto"/>
        </w:rPr>
      </w:pPr>
    </w:p>
    <w:p>
      <w:pPr>
        <w:ind w:left="1600" w:right="3339" w:hanging="535"/>
        <w:spacing w:after="0" w:line="263" w:lineRule="auto"/>
        <w:tabs>
          <w:tab w:leader="none" w:pos="16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annual report our conclusions about the effectiveness of the disclosure controls and procedures, as of the period covered by this annual report based on such evaluation; and</w:t>
      </w:r>
    </w:p>
    <w:p>
      <w:pPr>
        <w:spacing w:after="0" w:line="163" w:lineRule="exact"/>
        <w:rPr>
          <w:rFonts w:ascii="Courier New" w:cs="Courier New" w:eastAsia="Courier New" w:hAnsi="Courier New"/>
          <w:sz w:val="14"/>
          <w:szCs w:val="14"/>
          <w:color w:val="auto"/>
        </w:rPr>
      </w:pPr>
    </w:p>
    <w:p>
      <w:pPr>
        <w:ind w:left="1600" w:right="3079" w:hanging="535"/>
        <w:spacing w:after="0" w:line="242" w:lineRule="auto"/>
        <w:tabs>
          <w:tab w:leader="none" w:pos="16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Courier New" w:cs="Courier New" w:eastAsia="Courier New" w:hAnsi="Courier New"/>
          <w:sz w:val="15"/>
          <w:szCs w:val="15"/>
          <w:color w:val="auto"/>
        </w:rPr>
      </w:pPr>
    </w:p>
    <w:p>
      <w:pPr>
        <w:ind w:left="1060" w:right="3519" w:hanging="532"/>
        <w:spacing w:after="0" w:line="242" w:lineRule="auto"/>
        <w:tabs>
          <w:tab w:leader="none" w:pos="10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Courier New" w:cs="Courier New" w:eastAsia="Courier New" w:hAnsi="Courier New"/>
          <w:sz w:val="15"/>
          <w:szCs w:val="15"/>
          <w:color w:val="auto"/>
        </w:rPr>
      </w:pPr>
    </w:p>
    <w:p>
      <w:pPr>
        <w:ind w:left="1600" w:right="3159" w:hanging="535"/>
        <w:spacing w:after="0" w:line="242" w:lineRule="auto"/>
        <w:tabs>
          <w:tab w:leader="none" w:pos="16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1600" w:right="3259" w:hanging="535"/>
        <w:spacing w:after="0" w:line="267" w:lineRule="auto"/>
        <w:tabs>
          <w:tab w:leader="none" w:pos="16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18, 2005</w:t>
      </w:r>
    </w:p>
    <w:p>
      <w:pPr>
        <w:spacing w:after="0" w:line="17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 Enoch C. Jen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Enoch C. Jen</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Vice President, Finance</w:t>
      </w:r>
    </w:p>
    <w:p>
      <w:pPr>
        <w:sectPr>
          <w:pgSz w:w="11900" w:h="16838" w:orient="portrait"/>
          <w:cols w:equalWidth="0" w:num="1">
            <w:col w:w="10219"/>
          </w:cols>
          <w:pgMar w:left="240" w:top="485" w:right="1440" w:bottom="1440" w:gutter="0" w:footer="0" w:header="0"/>
        </w:sectPr>
      </w:pPr>
    </w:p>
    <w:bookmarkStart w:id="45" w:name="page46"/>
    <w:bookmarkEnd w:id="45"/>
    <w:p>
      <w:pPr>
        <w:jc w:val="right"/>
        <w:ind w:right="3079"/>
        <w:spacing w:after="0"/>
        <w:rPr>
          <w:sz w:val="20"/>
          <w:szCs w:val="20"/>
          <w:color w:val="auto"/>
        </w:rPr>
      </w:pPr>
      <w:r>
        <w:rPr>
          <w:rFonts w:ascii="Courier New" w:cs="Courier New" w:eastAsia="Courier New" w:hAnsi="Courier New"/>
          <w:sz w:val="15"/>
          <w:szCs w:val="15"/>
          <w:color w:val="auto"/>
        </w:rPr>
        <w:t>EXHIBIT 32</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CERTIFICATE PURSUANT TO SECTION 906 OF THE SARBANES-OXLEY</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ACT OF 2002 (18-U.S.C. Section 1350)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Each, Fred T. Bauer, Chief Executive Officer of Gentex Corporation, and Enoch C. Jen, Chief Financial Officer of Gentex Corporation, certify to the best of their knowledge and belief, pursuant to Section 906 of the Sarbanes-Oxley Act of 2002 (18 U.S.C.Section 1350), that:</w:t>
      </w:r>
    </w:p>
    <w:p>
      <w:pPr>
        <w:spacing w:after="0" w:line="175" w:lineRule="exact"/>
        <w:rPr>
          <w:sz w:val="20"/>
          <w:szCs w:val="20"/>
          <w:color w:val="auto"/>
        </w:rPr>
      </w:pPr>
    </w:p>
    <w:p>
      <w:pPr>
        <w:ind w:left="1060" w:right="3079" w:hanging="532"/>
        <w:spacing w:after="0" w:line="242"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for the year ended December 31, 2004, which this statement accompanies, fully complies with the requirements of Section 13(a) or 15(d) of the Securities Exchange Act of 1934; and</w:t>
      </w:r>
    </w:p>
    <w:p>
      <w:pPr>
        <w:spacing w:after="0" w:line="174" w:lineRule="exact"/>
        <w:rPr>
          <w:rFonts w:ascii="Courier New" w:cs="Courier New" w:eastAsia="Courier New" w:hAnsi="Courier New"/>
          <w:sz w:val="15"/>
          <w:szCs w:val="15"/>
          <w:color w:val="auto"/>
        </w:rPr>
      </w:pPr>
    </w:p>
    <w:p>
      <w:pPr>
        <w:ind w:left="1060" w:right="3159" w:hanging="532"/>
        <w:spacing w:after="0" w:line="242" w:lineRule="auto"/>
        <w:tabs>
          <w:tab w:leader="none" w:pos="10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this annual report on Form 10-K of the year ended December 31, 2004, fairly presents, in all material respects, the financial condition and results of operations of Gentex Corporation.</w:t>
      </w:r>
    </w:p>
    <w:p>
      <w:pPr>
        <w:sectPr>
          <w:pgSz w:w="11900" w:h="16838" w:orient="portrait"/>
          <w:cols w:equalWidth="0" w:num="1">
            <w:col w:w="10219"/>
          </w:cols>
          <w:pgMar w:left="240" w:top="484"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February 18, 2005</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184" w:lineRule="exact"/>
        <w:rPr>
          <w:sz w:val="20"/>
          <w:szCs w:val="20"/>
          <w:color w:val="auto"/>
        </w:rPr>
      </w:pPr>
    </w:p>
    <w:p>
      <w:pPr>
        <w:sectPr>
          <w:pgSz w:w="11900" w:h="16838" w:orient="portrait"/>
          <w:cols w:equalWidth="0" w:num="2">
            <w:col w:w="3740" w:space="720"/>
            <w:col w:w="5759"/>
          </w:cols>
          <w:pgMar w:left="240" w:top="484" w:right="1440" w:bottom="1440" w:gutter="0" w:footer="0" w:header="0"/>
          <w:type w:val="continuous"/>
        </w:sect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Fred T. Bauer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T. Bauer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Chief Executive Officer</w:t>
      </w:r>
    </w:p>
    <w:p>
      <w:pPr>
        <w:spacing w:after="0" w:line="174" w:lineRule="exact"/>
        <w:rPr>
          <w:sz w:val="20"/>
          <w:szCs w:val="20"/>
          <w:color w:val="auto"/>
        </w:rPr>
      </w:pPr>
    </w:p>
    <w:p>
      <w:pPr>
        <w:sectPr>
          <w:pgSz w:w="11900" w:h="16838" w:orient="portrait"/>
          <w:cols w:equalWidth="0" w:num="2">
            <w:col w:w="3840" w:space="440"/>
            <w:col w:w="5939"/>
          </w:cols>
          <w:pgMar w:left="240" w:top="484" w:right="1440" w:bottom="1440" w:gutter="0" w:footer="0" w:header="0"/>
          <w:type w:val="continuous"/>
        </w:sect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Enoch C. Jen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Enoch C. Jen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Vice President-Finance/Chief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176" w:lineRule="exact"/>
        <w:rPr>
          <w:sz w:val="20"/>
          <w:szCs w:val="20"/>
          <w:color w:val="auto"/>
        </w:rPr>
      </w:pPr>
    </w:p>
    <w:p>
      <w:pPr>
        <w:sectPr>
          <w:pgSz w:w="11900" w:h="16838" w:orient="portrait"/>
          <w:cols w:equalWidth="0" w:num="2">
            <w:col w:w="3840" w:space="440"/>
            <w:col w:w="5939"/>
          </w:cols>
          <w:pgMar w:left="240" w:top="484" w:right="1440" w:bottom="1440" w:gutter="0" w:footer="0" w:header="0"/>
          <w:type w:val="continuous"/>
        </w:sectPr>
      </w:pPr>
    </w:p>
    <w:p>
      <w:pPr>
        <w:ind w:right="3519"/>
        <w:spacing w:after="0" w:line="241" w:lineRule="auto"/>
        <w:rPr>
          <w:sz w:val="20"/>
          <w:szCs w:val="20"/>
          <w:color w:val="auto"/>
        </w:rPr>
      </w:pPr>
      <w:r>
        <w:rPr>
          <w:rFonts w:ascii="Courier New" w:cs="Courier New" w:eastAsia="Courier New" w:hAnsi="Courier New"/>
          <w:sz w:val="15"/>
          <w:szCs w:val="15"/>
          <w:color w:val="auto"/>
        </w:rPr>
        <w:t>A signed original of this written statement has been provided to Gentex Corporation and will be retained by Gentex Corporation and furnished to the Securities and Exchange Commission or its staff upon request.</w:t>
      </w:r>
    </w:p>
    <w:sectPr>
      <w:pgSz w:w="11900" w:h="16838" w:orient="portrait"/>
      <w:cols w:equalWidth="0" w:num="1">
        <w:col w:w="10219"/>
      </w:cols>
      <w:pgMar w:left="240" w:top="48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2"/>
    </w:lvl>
  </w:abstractNum>
  <w:abstractNum w:abstractNumId="4">
    <w:nsid w:val="519B500D"/>
    <w:multiLevelType w:val="hybridMultilevel"/>
    <w:lvl w:ilvl="0">
      <w:lvlJc w:val="left"/>
      <w:lvlText w:val="(%1)"/>
      <w:numFmt w:val="lowerLetter"/>
      <w:start w:val="3"/>
    </w:lvl>
  </w:abstractNum>
  <w:abstractNum w:abstractNumId="5">
    <w:nsid w:val="431BD7B7"/>
    <w:multiLevelType w:val="hybridMultilevel"/>
    <w:lvl w:ilvl="0">
      <w:lvlJc w:val="left"/>
      <w:lvlText w:val="C"/>
      <w:numFmt w:val="bullet"/>
      <w:start w:val="1"/>
    </w:lvl>
  </w:abstractNum>
  <w:abstractNum w:abstractNumId="6">
    <w:nsid w:val="3F2DBA31"/>
    <w:multiLevelType w:val="hybridMultilevel"/>
    <w:lvl w:ilvl="0">
      <w:lvlJc w:val="left"/>
      <w:lvlText w:val="(%1)"/>
      <w:numFmt w:val="lowerLetter"/>
      <w:start w:val="1"/>
    </w:lvl>
    <w:lvl w:ilvl="1">
      <w:lvlJc w:val="left"/>
      <w:lvlText w:val="%2."/>
      <w:numFmt w:val="decimal"/>
      <w:start w:val="2"/>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3"/>
    </w:lvl>
  </w:abstractNum>
  <w:abstractNum w:abstractNumId="20">
    <w:nsid w:val="4353D0CD"/>
    <w:multiLevelType w:val="hybridMultilevel"/>
    <w:lvl w:ilvl="0">
      <w:lvlJc w:val="left"/>
      <w:lvlText w:val="(%1)"/>
      <w:numFmt w:val="decimal"/>
      <w:start w:val="4"/>
    </w:lvl>
  </w:abstractNum>
  <w:abstractNum w:abstractNumId="21">
    <w:nsid w:val="B03E0C6"/>
    <w:multiLevelType w:val="hybridMultilevel"/>
    <w:lvl w:ilvl="0">
      <w:lvlJc w:val="left"/>
      <w:lvlText w:val="(%1)"/>
      <w:numFmt w:val="decimal"/>
      <w:start w:val="5"/>
    </w:lvl>
  </w:abstractNum>
  <w:abstractNum w:abstractNumId="22">
    <w:nsid w:val="189A769B"/>
    <w:multiLevelType w:val="hybridMultilevel"/>
    <w:lvl w:ilvl="0">
      <w:lvlJc w:val="left"/>
      <w:lvlText w:val="(%1)"/>
      <w:numFmt w:val="decimal"/>
      <w:start w:val="6"/>
    </w:lvl>
  </w:abstractNum>
  <w:abstractNum w:abstractNumId="23">
    <w:nsid w:val="54E49EB4"/>
    <w:multiLevelType w:val="hybridMultilevel"/>
    <w:lvl w:ilvl="0">
      <w:lvlJc w:val="left"/>
      <w:lvlText w:val="(%1)"/>
      <w:numFmt w:val="decimal"/>
      <w:start w:val="7"/>
    </w:lvl>
    <w:lvl w:ilvl="1">
      <w:lvlJc w:val="left"/>
      <w:lvlText w:val="-"/>
      <w:numFmt w:val="bullet"/>
      <w:start w:val="1"/>
    </w:lvl>
  </w:abstractNum>
  <w:abstractNum w:abstractNumId="24">
    <w:nsid w:val="71F32454"/>
    <w:multiLevelType w:val="hybridMultilevel"/>
    <w:lvl w:ilvl="0">
      <w:lvlJc w:val="left"/>
      <w:lvlText w:val="(%1)"/>
      <w:numFmt w:val="decimal"/>
      <w:start w:val="8"/>
    </w:lvl>
  </w:abstractNum>
  <w:abstractNum w:abstractNumId="25">
    <w:nsid w:val="2CA88611"/>
    <w:multiLevelType w:val="hybridMultilevel"/>
    <w:lvl w:ilvl="0">
      <w:lvlJc w:val="left"/>
      <w:lvlText w:val="%1"/>
      <w:numFmt w:val="decimal"/>
      <w:start w:val="32"/>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2019-12-12T10:47:56Z</dcterms:created>
  <dcterms:modified xsi:type="dcterms:W3CDTF">2019-12-12T10:47:56Z</dcterms:modified>
</cp:coreProperties>
</file>