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08"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470"/>
        <w:spacing w:after="0"/>
        <w:tabs>
          <w:tab w:leader="none" w:pos="4029"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344" w:lineRule="exact"/>
        <w:rPr>
          <w:sz w:val="24"/>
          <w:szCs w:val="24"/>
          <w:color w:val="auto"/>
        </w:rPr>
      </w:pPr>
    </w:p>
    <w:p>
      <w:pPr>
        <w:ind w:left="530" w:hanging="530"/>
        <w:spacing w:after="0"/>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w:t>
      </w:r>
    </w:p>
    <w:p>
      <w:pPr>
        <w:spacing w:after="0" w:line="5" w:lineRule="exact"/>
        <w:rPr>
          <w:sz w:val="24"/>
          <w:szCs w:val="24"/>
          <w:color w:val="auto"/>
        </w:rPr>
      </w:pPr>
    </w:p>
    <w:p>
      <w:pPr>
        <w:ind w:left="530"/>
        <w:spacing w:after="0"/>
        <w:tabs>
          <w:tab w:leader="none" w:pos="2969" w:val="left"/>
          <w:tab w:leader="none" w:pos="4469" w:val="left"/>
          <w:tab w:leader="none" w:pos="5089" w:val="left"/>
        </w:tabs>
        <w:rPr>
          <w:sz w:val="20"/>
          <w:szCs w:val="20"/>
          <w:color w:val="auto"/>
        </w:rPr>
      </w:pPr>
      <w:r>
        <w:rPr>
          <w:rFonts w:ascii="Courier New" w:cs="Courier New" w:eastAsia="Courier New" w:hAnsi="Courier New"/>
          <w:sz w:val="15"/>
          <w:szCs w:val="15"/>
          <w:color w:val="auto"/>
        </w:rPr>
        <w:t>ACT OF 1934 (FEE REQUIRED)</w:t>
        <w:tab/>
        <w:t>FOR FISCAL YEAR</w:t>
        <w:tab/>
        <w:t>ENDED</w:t>
      </w:r>
      <w:r>
        <w:rPr>
          <w:sz w:val="20"/>
          <w:szCs w:val="20"/>
          <w:color w:val="auto"/>
        </w:rPr>
        <w:tab/>
      </w:r>
      <w:r>
        <w:rPr>
          <w:rFonts w:ascii="Courier New" w:cs="Courier New" w:eastAsia="Courier New" w:hAnsi="Courier New"/>
          <w:sz w:val="14"/>
          <w:szCs w:val="14"/>
          <w:color w:val="auto"/>
        </w:rPr>
        <w:t>DECEMBER 31, 1995.</w:t>
      </w:r>
    </w:p>
    <w:p>
      <w:pPr>
        <w:spacing w:after="0" w:line="175" w:lineRule="exact"/>
        <w:rPr>
          <w:sz w:val="24"/>
          <w:szCs w:val="24"/>
          <w:color w:val="auto"/>
        </w:rPr>
      </w:pPr>
    </w:p>
    <w:p>
      <w:pPr>
        <w:ind w:left="530" w:right="3799" w:hanging="530"/>
        <w:spacing w:after="0" w:line="235"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ectPr>
          <w:pgSz w:w="11900" w:h="16838" w:orient="portrait"/>
          <w:cols w:equalWidth="0" w:num="1">
            <w:col w:w="10229"/>
          </w:cols>
          <w:pgMar w:left="230" w:top="226" w:right="1440" w:bottom="1440" w:gutter="0" w:footer="0" w:header="0"/>
        </w:sectPr>
      </w:pPr>
    </w:p>
    <w:p>
      <w:pPr>
        <w:spacing w:after="0" w:line="1" w:lineRule="exact"/>
        <w:rPr>
          <w:sz w:val="24"/>
          <w:szCs w:val="24"/>
          <w:color w:val="auto"/>
        </w:rPr>
      </w:pPr>
    </w:p>
    <w:p>
      <w:pPr>
        <w:ind w:left="530"/>
        <w:spacing w:after="0"/>
        <w:tabs>
          <w:tab w:leader="none" w:pos="4829" w:val="left"/>
          <w:tab w:leader="none" w:pos="6329"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9"/>
          </w:cols>
          <w:pgMar w:left="230" w:top="226" w:right="1440" w:bottom="1440" w:gutter="0" w:footer="0" w:header="0"/>
          <w:type w:val="continuous"/>
        </w:sectPr>
      </w:pPr>
    </w:p>
    <w:p>
      <w:pPr>
        <w:spacing w:after="0" w:line="5" w:lineRule="exact"/>
        <w:rPr>
          <w:sz w:val="24"/>
          <w:szCs w:val="24"/>
          <w:color w:val="auto"/>
        </w:rPr>
      </w:pPr>
    </w:p>
    <w:p>
      <w:pPr>
        <w:ind w:left="31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850" w:space="260"/>
            <w:col w:w="5119"/>
          </w:cols>
          <w:pgMar w:left="230" w:top="22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0-10235</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1770" w:space="340"/>
            <w:col w:w="8119"/>
          </w:cols>
          <w:pgMar w:left="230" w:top="226"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GENTEX CORPORATION</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226" w:right="1440" w:bottom="1440" w:gutter="0" w:footer="0" w:header="0"/>
          <w:type w:val="continuous"/>
        </w:sectPr>
      </w:pPr>
    </w:p>
    <w:p>
      <w:pPr>
        <w:spacing w:after="0" w:line="344"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MICHIGAN</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5" w:lineRule="exact"/>
        <w:rPr>
          <w:sz w:val="24"/>
          <w:szCs w:val="24"/>
          <w:color w:val="auto"/>
        </w:rPr>
      </w:pPr>
    </w:p>
    <w:p>
      <w:pPr>
        <w:sectPr>
          <w:pgSz w:w="11900" w:h="16838" w:orient="portrait"/>
          <w:cols w:equalWidth="0" w:num="2">
            <w:col w:w="3950" w:space="720"/>
            <w:col w:w="5559"/>
          </w:cols>
          <w:pgMar w:left="230" w:top="226" w:right="1440" w:bottom="1440" w:gutter="0" w:footer="0" w:header="0"/>
          <w:type w:val="continuous"/>
        </w:sectPr>
      </w:pPr>
    </w:p>
    <w:p>
      <w:pPr>
        <w:spacing w:after="0" w:line="144" w:lineRule="exact"/>
        <w:rPr>
          <w:sz w:val="24"/>
          <w:szCs w:val="24"/>
          <w:color w:val="auto"/>
        </w:rPr>
      </w:pPr>
    </w:p>
    <w:p>
      <w:pPr>
        <w:ind w:left="10" w:right="700"/>
        <w:spacing w:after="0" w:line="265"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49464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22" w:lineRule="exact"/>
        <w:rPr>
          <w:sz w:val="24"/>
          <w:szCs w:val="24"/>
          <w:color w:val="auto"/>
        </w:rPr>
      </w:pPr>
    </w:p>
    <w:p>
      <w:pPr>
        <w:sectPr>
          <w:pgSz w:w="11900" w:h="16838" w:orient="portrait"/>
          <w:cols w:equalWidth="0" w:num="2">
            <w:col w:w="4490" w:space="720"/>
            <w:col w:w="5019"/>
          </w:cols>
          <w:pgMar w:left="230" w:top="226" w:right="1440" w:bottom="1440" w:gutter="0" w:footer="0" w:header="0"/>
          <w:type w:val="continuous"/>
        </w:sectPr>
      </w:pPr>
    </w:p>
    <w:p>
      <w:pPr>
        <w:spacing w:after="0" w:line="128" w:lineRule="exact"/>
        <w:rPr>
          <w:sz w:val="24"/>
          <w:szCs w:val="24"/>
          <w:color w:val="auto"/>
        </w:rPr>
      </w:pPr>
    </w:p>
    <w:p>
      <w:pPr>
        <w:ind w:left="291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29"/>
          </w:cols>
          <w:pgMar w:left="230" w:top="226" w:right="1440" w:bottom="1440" w:gutter="0" w:footer="0" w:header="0"/>
          <w:type w:val="continuous"/>
        </w:sectPr>
      </w:pPr>
    </w:p>
    <w:p>
      <w:pPr>
        <w:spacing w:after="0" w:line="11" w:lineRule="exact"/>
        <w:rPr>
          <w:sz w:val="24"/>
          <w:szCs w:val="24"/>
          <w:color w:val="auto"/>
        </w:rPr>
      </w:pPr>
    </w:p>
    <w:p>
      <w:pPr>
        <w:ind w:left="123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226" w:right="1440" w:bottom="1440" w:gutter="0" w:footer="0" w:header="0"/>
          <w:type w:val="continuous"/>
        </w:sectPr>
      </w:pP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Title of each Class</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80" w:lineRule="exact"/>
        <w:rPr>
          <w:sz w:val="24"/>
          <w:szCs w:val="24"/>
          <w:color w:val="auto"/>
        </w:rPr>
      </w:pPr>
    </w:p>
    <w:p>
      <w:pPr>
        <w:sectPr>
          <w:pgSz w:w="11900" w:h="16838" w:orient="portrait"/>
          <w:cols w:equalWidth="0" w:num="2">
            <w:col w:w="2450" w:space="720"/>
            <w:col w:w="7059"/>
          </w:cols>
          <w:pgMar w:left="230" w:top="226" w:right="1440" w:bottom="1440" w:gutter="0" w:footer="0" w:header="0"/>
          <w:type w:val="continuous"/>
        </w:sectPr>
      </w:pPr>
    </w:p>
    <w:p>
      <w:pPr>
        <w:ind w:left="299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PAR VALUE $.06 PER SHARE</w:t>
      </w: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ectPr>
          <w:pgSz w:w="11900" w:h="16838" w:orient="portrait"/>
          <w:cols w:equalWidth="0" w:num="1">
            <w:col w:w="10229"/>
          </w:cols>
          <w:pgMar w:left="230" w:top="226" w:right="1440" w:bottom="1440" w:gutter="0" w:footer="0" w:header="0"/>
          <w:type w:val="continuous"/>
        </w:sectPr>
      </w:pPr>
    </w:p>
    <w:p>
      <w:pPr>
        <w:spacing w:after="0" w:line="33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Indicate by</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check mark whether the</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registrant (1) has filed all</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reports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required to</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be filed by Section 13</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or 15(d) of the Securities Exchange Act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1934 during</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preceding 12 months (or for such shorter period</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that the</w:t>
            </w:r>
          </w:p>
        </w:tc>
      </w:tr>
    </w:tbl>
    <w:p>
      <w:pPr>
        <w:spacing w:after="0" w:line="5" w:lineRule="exact"/>
        <w:rPr>
          <w:sz w:val="24"/>
          <w:szCs w:val="24"/>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registrant was required to file such reports), and (2) has been subject to such filing requirements for the past 90 days.</w:t>
      </w:r>
    </w:p>
    <w:p>
      <w:pPr>
        <w:spacing w:after="0" w:line="1" w:lineRule="exact"/>
        <w:rPr>
          <w:sz w:val="24"/>
          <w:szCs w:val="24"/>
          <w:color w:val="auto"/>
        </w:rPr>
      </w:pPr>
    </w:p>
    <w:p>
      <w:pPr>
        <w:ind w:left="270"/>
        <w:spacing w:after="0"/>
        <w:tabs>
          <w:tab w:leader="none" w:pos="869" w:val="left"/>
          <w:tab w:leader="none" w:pos="190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790"/>
        <w:spacing w:after="0"/>
        <w:tabs>
          <w:tab w:leader="none" w:pos="23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4"/>
          <w:szCs w:val="24"/>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As of March 1, 1996, 17,016,549 shares of the registrant's common stock, par value $.06 per share, were outstanding. The aggregate market value of the common stock held by non-affiliates of the registrant (i.e., excluding shares held by executive officers, directors, and control persons as defined in Rule 405, 17 CFR 230.405) on that date was $383,456,412 computed at the closing price on that date.</w:t>
      </w:r>
    </w:p>
    <w:p>
      <w:pPr>
        <w:spacing w:after="0" w:line="176" w:lineRule="exact"/>
        <w:rPr>
          <w:sz w:val="24"/>
          <w:szCs w:val="24"/>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Portions of the Company's Proxy Statement for its 1996 Annual Meeting of Shareholders are incorporated by reference into Part III.</w:t>
      </w:r>
    </w:p>
    <w:p>
      <w:pPr>
        <w:spacing w:after="0" w:line="340"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Exhibit Index located at Page 32</w:t>
      </w:r>
    </w:p>
    <w:p>
      <w:pPr>
        <w:spacing w:after="0" w:line="169" w:lineRule="exact"/>
        <w:rPr>
          <w:sz w:val="24"/>
          <w:szCs w:val="24"/>
          <w:color w:val="auto"/>
        </w:rPr>
      </w:pPr>
    </w:p>
    <w:p>
      <w:pPr>
        <w:ind w:left="2830"/>
        <w:spacing w:after="0"/>
        <w:tabs>
          <w:tab w:leader="none" w:pos="3329" w:val="left"/>
          <w:tab w:leader="none" w:pos="3589" w:val="left"/>
          <w:tab w:leader="none" w:pos="3949" w:val="left"/>
        </w:tabs>
        <w:rPr>
          <w:sz w:val="20"/>
          <w:szCs w:val="20"/>
          <w:color w:val="auto"/>
        </w:rPr>
      </w:pPr>
      <w:r>
        <w:rPr>
          <w:rFonts w:ascii="Courier New" w:cs="Courier New" w:eastAsia="Courier New" w:hAnsi="Courier New"/>
          <w:sz w:val="15"/>
          <w:szCs w:val="15"/>
          <w:color w:val="auto"/>
        </w:rPr>
        <w:t>Page</w:t>
        <w:tab/>
        <w:t>1</w:t>
        <w:tab/>
        <w:t>of</w:t>
        <w:tab/>
        <w:t>35</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5"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Gentex Corporation (the "Company") designs, develops, manufactures and</w:t>
      </w:r>
    </w:p>
    <w:p>
      <w:pPr>
        <w:spacing w:after="0" w:line="11"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markets proprietary products employing electro-optic technology. These products consist primarily of two product lines: automatic rearview mirrors and fire protection products.</w:t>
      </w:r>
    </w:p>
    <w:p>
      <w:pPr>
        <w:spacing w:after="0" w:line="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1994, the Company began making shipments of its complete three-mirror system to its first customer.</w:t>
      </w:r>
    </w:p>
    <w:p>
      <w:pPr>
        <w:spacing w:after="0" w:line="180"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5"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See Note (9) to the Consolidated Financial Statements located on Page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currently manufactures two electro-optic product lines:</w:t>
      </w:r>
    </w:p>
    <w:p>
      <w:pPr>
        <w:spacing w:after="0" w:line="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automatic rearview mirrors for the automotive industry and fire protection products for the commercial building industry.</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AUTOMATIC REARVIEW MIRRORS</w:t>
      </w:r>
    </w:p>
    <w:p>
      <w:pPr>
        <w:spacing w:after="0" w:line="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position and its 7% least-reflectance position, taking approximately 10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6"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During 1991, the Company began shipping the first advanced-feature interior NVS(R) Mirror, the NVS(R) Headlamp Control Mirror, an automatic-dimming mirror that automatically turns car headlights "on" and "off" in response to the level of light observed. During 1992, the Company began shipping its second advanced-feature interior NVS(R) Mirror, the NVS(R) Lighted Mirror, with map/reading lights. During 1993, the Company began shipping</w:t>
      </w:r>
    </w:p>
    <w:p>
      <w:pPr>
        <w:spacing w:after="0" w:line="200" w:lineRule="exact"/>
        <w:rPr>
          <w:sz w:val="20"/>
          <w:szCs w:val="20"/>
          <w:color w:val="auto"/>
        </w:rPr>
      </w:pPr>
    </w:p>
    <w:p>
      <w:pPr>
        <w:spacing w:after="0" w:line="29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620"/>
        <w:spacing w:after="0" w:line="237" w:lineRule="auto"/>
        <w:rPr>
          <w:sz w:val="20"/>
          <w:szCs w:val="20"/>
          <w:color w:val="auto"/>
        </w:rPr>
      </w:pPr>
      <w:r>
        <w:rPr>
          <w:rFonts w:ascii="Courier New" w:cs="Courier New" w:eastAsia="Courier New" w:hAnsi="Courier New"/>
          <w:sz w:val="15"/>
          <w:szCs w:val="15"/>
          <w:color w:val="auto"/>
        </w:rPr>
        <w:t>its third advanced-feature interior NVS(R) Mirror, the NVS(R) Compass Mirror, with an electronic compass that automatically compensates for changes in the earth's magnetic field.</w:t>
      </w:r>
    </w:p>
    <w:p>
      <w:pPr>
        <w:spacing w:after="0" w:line="5" w:lineRule="exact"/>
        <w:rPr>
          <w:sz w:val="20"/>
          <w:szCs w:val="20"/>
          <w:color w:val="auto"/>
        </w:rPr>
      </w:pPr>
    </w:p>
    <w:p>
      <w:pPr>
        <w:ind w:right="3800" w:firstLine="793"/>
        <w:spacing w:after="0" w:line="256" w:lineRule="auto"/>
        <w:rPr>
          <w:sz w:val="20"/>
          <w:szCs w:val="20"/>
          <w:color w:val="auto"/>
        </w:rPr>
      </w:pPr>
      <w:r>
        <w:rPr>
          <w:rFonts w:ascii="Courier New" w:cs="Courier New" w:eastAsia="Courier New" w:hAnsi="Courier New"/>
          <w:sz w:val="14"/>
          <w:szCs w:val="14"/>
          <w:color w:val="auto"/>
        </w:rPr>
        <w:t>The Company sold approximately 958,000 interior NVS(R) Mirrors in 1993, approximately 1,395,000 in 1994, and approximately 1,811,000 in 1995.</w:t>
      </w:r>
    </w:p>
    <w:p>
      <w:pPr>
        <w:spacing w:after="0" w:line="1" w:lineRule="exact"/>
        <w:rPr>
          <w:sz w:val="20"/>
          <w:szCs w:val="20"/>
          <w:color w:val="auto"/>
        </w:rPr>
      </w:pPr>
    </w:p>
    <w:p>
      <w:pPr>
        <w:ind w:right="3540" w:firstLine="793"/>
        <w:spacing w:after="0" w:line="257" w:lineRule="auto"/>
        <w:rPr>
          <w:sz w:val="20"/>
          <w:szCs w:val="20"/>
          <w:color w:val="auto"/>
        </w:rPr>
      </w:pPr>
      <w:r>
        <w:rPr>
          <w:rFonts w:ascii="Courier New" w:cs="Courier New" w:eastAsia="Courier New" w:hAnsi="Courier New"/>
          <w:sz w:val="14"/>
          <w:szCs w:val="14"/>
          <w:color w:val="auto"/>
        </w:rPr>
        <w:t>During 1995, the unit growth primarily resulted from increased penetration of a number of high-volume vehicles manufactured in North America, including light pickup trucks and sport/utility vehicles from each of the Big Three auto manufacturers, as well as increased penetration of vehicle models manufactured outside North America, including new, higher-volume vehicles in Europe. The Company's interior NVS(R) Mirrors are now standard equipment or factory-installed options on the following 1996 and 1996-1/2 vehicle models: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TABLE 1.   INTERIOR</w:t>
            </w:r>
          </w:p>
        </w:tc>
        <w:tc>
          <w:tcPr>
            <w:tcW w:w="39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NVS(R) MIRROR AVAILABILITY BY VEHICLE LINE</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09"/>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Fleetwood Brougham</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Bentley</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Deville</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BMW</w:t>
            </w: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800 Series</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Concours</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700 Series</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Eldorado</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500 Series</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Eldorado Touring Coupe</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300 Series</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Seville</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Daewoo</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Arcadia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Seville STS</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Brougham</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LeSabre Limited</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Fiat</w:t>
            </w: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Lancia Kappa</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Park Avenue</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Fiat/Brazil</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Tempra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Park Avenue-Ultra</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GM/Brazil</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Monza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Riviera</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Omega Gold</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Roadmaster Ltd. Sedan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Honda</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Inspire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(5 Cyl.)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Roadmaster Sedan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Inspire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(6 Cyl.)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Roadmaster Estate Wagon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Sabre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(5 Cyl.)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 Oldsmobile</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98 Regency Elite</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Sabre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(6 Cyl.)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88 LSS</w:t>
            </w:r>
          </w:p>
        </w:tc>
        <w:tc>
          <w:tcPr>
            <w:tcW w:w="170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Hyundai</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Grandeur</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Aurora</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Marcia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Bonneville SSE</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KIA Motors Corp.</w:t>
            </w: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Potentia (3.0 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Caprice Classic</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(Korea)</w:t>
            </w: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Potentia (2.2 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Caprice Classic Wagon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Credos</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Impala SS</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Mercedes-Benz</w:t>
            </w: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 Class Coupe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C/K Pickup</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 Class Sedans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C/K Crew Cab Pickup</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SL Roadster</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Tahoe (2 Door)</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 Class Convertible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Tahoe (4-Door)</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 Class Sedan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Suburban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 Class Sedan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C/K Pickup</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Nissan</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Cima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C/K Crew Cab Pickup</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Cedric</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Yukon</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(2 Door)</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Gloria</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Yukon</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(4 Door)</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Leopard</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Suburban</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(ECC)</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Laurel</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Town Car</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Q45 Infiniti</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 VIII</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J30 Infiniti</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Crown Victoria</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I30 Infiniti</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Explorer Limited</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(EH)</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Opel</w:t>
            </w: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OmegaO</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Explorer (Sport, EB, XLT)</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(EH)</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Rolls Royce</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Bronco</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1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Toyota</w:t>
            </w: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Lexus LS 400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Windstar</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(EH)</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Lexus SC 400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S</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Ford/Mercury</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Grand Marquis</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Lexus SC 300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Chrysler</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LHS</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Camry**</w:t>
            </w:r>
          </w:p>
        </w:tc>
        <w:tc>
          <w:tcPr>
            <w:tcW w:w="1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New Yorker  (LH)</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Avalon**</w:t>
            </w:r>
          </w:p>
        </w:tc>
        <w:tc>
          <w:tcPr>
            <w:tcW w:w="1540" w:type="dxa"/>
            <w:vAlign w:val="bottom"/>
          </w:tcPr>
          <w:p>
            <w:pPr>
              <w:ind w:left="960"/>
              <w:spacing w:after="0"/>
              <w:rPr>
                <w:sz w:val="20"/>
                <w:szCs w:val="20"/>
                <w:color w:val="auto"/>
              </w:rPr>
            </w:pPr>
            <w:r>
              <w:rPr>
                <w:rFonts w:ascii="Courier New" w:cs="Courier New" w:eastAsia="Courier New" w:hAnsi="Courier New"/>
                <w:sz w:val="15"/>
                <w:szCs w:val="15"/>
                <w:color w:val="auto"/>
              </w:rPr>
              <w:t>(ECC)</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O</w:t>
            </w: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Concorde</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KEY:</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 = standard equipment</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Town &amp; Country LXi</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 = optional equipment</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Dodge</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Intrepid</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Caravan</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462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EH = NVS(R) Mirror with Automatic Headlamp Control</w:t>
            </w: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Ram Pickup</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EL</w:t>
            </w:r>
          </w:p>
        </w:tc>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 NVS(R) Mirror with Map Lights</w:t>
            </w: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Dakota Pickup</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46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ECC = NVS(R) Mirror with Electronic Compass</w:t>
            </w: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Eagle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Vision</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Jeep</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Grand Cherokee Limited</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w:t>
            </w: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ECC offered as upgrade option</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Grand Cherokee Laredo</w:t>
            </w:r>
          </w:p>
        </w:tc>
        <w:tc>
          <w:tcPr>
            <w:tcW w:w="7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O</w:t>
            </w:r>
          </w:p>
        </w:tc>
        <w:tc>
          <w:tcPr>
            <w:tcW w:w="476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7"/>
              </w:rPr>
              <w:t>**  NVS(R) Mirrors are offered as optional equipment</w:t>
            </w: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through Southeast Toyota Distributors in the</w:t>
            </w:r>
          </w:p>
        </w:tc>
        <w:tc>
          <w:tcPr>
            <w:tcW w:w="14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states of FL, GA, NC, SC and AL.</w:t>
            </w:r>
          </w:p>
        </w:tc>
        <w:tc>
          <w:tcPr>
            <w:tcW w:w="140" w:type="dxa"/>
            <w:vAlign w:val="bottom"/>
          </w:tcPr>
          <w:p>
            <w:pPr>
              <w:spacing w:after="0"/>
              <w:rPr>
                <w:sz w:val="14"/>
                <w:szCs w:val="14"/>
                <w:color w:val="auto"/>
              </w:rPr>
            </w:pPr>
          </w:p>
        </w:tc>
      </w:tr>
      <w:tr>
        <w:trPr>
          <w:trHeight w:val="509"/>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400"/>
          </w:cols>
          <w:pgMar w:left="240" w:top="283" w:right="125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Exterior NVS(R) Mirror Sub-Assemblies. The Company has devoted substantial research and development efforts to the development of its electrochromic technology to permit its use in outside rearview mirrors. Exterior NVS(R) Mirrors can be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During 1994, the Company began shipments of its complete three-mirror system, including the convex (curved glass) wide-angle NVS(R) Mirror to BMW. The Company currently sells its exterior NVS(R) Mirror Sub-Assemblies to seven exterior mirror suppliers to General Motors, Chrysler, Ford, BMW and Mercedes-Benz, who assemble the exterior NVS(R) Mirror Sub-Assemblies into full mirror units for subsequent resale to the automakers.</w:t>
      </w:r>
    </w:p>
    <w:p>
      <w:pPr>
        <w:spacing w:after="0" w:line="1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driver's-side exterior NVS(R) Mirror is a factory-installed option on eleven 1996 car models; Lincoln Continental, Town Car and Mark VIII; Cadillac Deville, Eldorado and Seville; Buick LeSabre, Park Avenue, Park Avenue Ultra and Riviera; and Oldsmobile 98 Regency Elite. The driver's-side mirror is also installed as standard equipment on four 1996 car models: Cadillac Concours, Eldorado Touring Coupe, Seville STS and Grand Cherokee Ltd. In addition, flat and convex exterior mirrors are a factory-installed option on the BMW 700 and 500 Series. The Company sold approximately 191,000 exterior NVS(R) Mirror Sub-Assemblies during 1993, approximately 365,000 in 1994, and approximately 417,000 in 1995.</w:t>
      </w:r>
    </w:p>
    <w:p>
      <w:pPr>
        <w:spacing w:after="0" w:line="180"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NVS(R) Mirrors. The first three of these models were the Company's NVS(R) Headlamp Control Mirror introduced during 1991, the NVS(R) Lighted Mirror with map/reading lights introduced in 1992, and the NVS(R) Compass Mirror introduced during 1993. Also in 1993, the Company introduced an NVS(R) Base Feature Mirror to target the high-volume, mid-priced vehicle segments, and larger-size interior and exterior NVS(R) Mirrors for use on vans and light trucks.</w:t>
      </w:r>
    </w:p>
    <w:p>
      <w:pPr>
        <w:spacing w:after="0" w:line="8"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mirror systems. In these systems, both the driver and passenger-side exterior NVS(R) Mirrors are controlled by the sensors and electronic circuitry in the interior rearview mirror, and the interior and both exterior mirrors dim simultaneously. The sale of complete mirror systems will increase the size of the available worldwide market, and the Company has been devoting substantial research and development efforts to this project, which resulted in its first shipments in 1994.</w:t>
      </w:r>
    </w:p>
    <w:p>
      <w:pPr>
        <w:spacing w:after="0" w:line="9"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Significant progress in adapting electrochromic technology to the specialized requirements of the window market continued in 1995. However, achieving the rigorous performance standards needed for launching a commercial product still could require several years of additional work.</w:t>
      </w:r>
    </w:p>
    <w:p>
      <w:pPr>
        <w:spacing w:after="0" w:line="179" w:lineRule="exact"/>
        <w:rPr>
          <w:sz w:val="20"/>
          <w:szCs w:val="20"/>
          <w:color w:val="auto"/>
        </w:rPr>
      </w:pPr>
    </w:p>
    <w:p>
      <w:pPr>
        <w:ind w:right="3539" w:firstLine="793"/>
        <w:spacing w:after="0" w:line="258" w:lineRule="auto"/>
        <w:rPr>
          <w:sz w:val="20"/>
          <w:szCs w:val="20"/>
          <w:color w:val="auto"/>
        </w:rPr>
      </w:pPr>
      <w:r>
        <w:rPr>
          <w:rFonts w:ascii="Courier New" w:cs="Courier New" w:eastAsia="Courier New" w:hAnsi="Courier New"/>
          <w:sz w:val="14"/>
          <w:szCs w:val="14"/>
          <w:color w:val="auto"/>
        </w:rPr>
        <w:t>Markets and Marketing. The Company markets its automatic rearview mirrors to domestic and foreign automobile manufacturers. In North America, the Company markets these products primarily through a direct sales force of six persons. The Company currently supplies NVS(R) Mirrors to Ford Motor Company, General Motors Corporation and Chrysler Motors Corporation under long-term contracts. During 1995, the Company negotiated a</w:t>
      </w:r>
    </w:p>
    <w:p>
      <w:pPr>
        <w:spacing w:after="0" w:line="15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three-year long-term contract extension with General Motors through the 1998 model year. The term of the Ford contract is through December 1999, and the long-term contract with Chrysler Corporation runs through the 1999 Model Year. The Company's exterior NVS(R) Mirror Sub-Assemblies are supplied to General Motors, Ford and Chrysler by means of sales to four exterior mirror suppliers.</w:t>
      </w:r>
    </w:p>
    <w:p>
      <w:pPr>
        <w:spacing w:after="0" w:line="2"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hired its first employee in Europe. During 1994, the Company formed a German limited liability company, Gentex GmbH, to expand its sales and engineering support activities. The Company's marketing efforts in Europe are conducted through Gentex GmbH with the assistance of independent manufacturers' representatives. The Company is currently supplying mirrors to Bavarian Motor Works, A.G. (BMW), Fiat, Mercedes-Benz, Opel and Rolls Royce. During 1995, the Company negotiated a long-term contract with BMW through March 31, 1999.</w:t>
      </w:r>
    </w:p>
    <w:p>
      <w:pPr>
        <w:spacing w:after="0" w:line="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During 1992, the Company negotiated a replacement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 The Company has been shipping electrochromic mirror assemblies under the original agreement since the first quarter of 1991 for Nissan Motor Co., Ltd.</w:t>
      </w:r>
    </w:p>
    <w:p>
      <w:pPr>
        <w:spacing w:after="0" w:line="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During 1993, the Company hired sales agent Continental Far East to market NVS(R) Mirrors to other Japanese automakers beyond Nissan, and began shipping some mirrors to Southeast Toyota, the largest independent Toyota distributor in the United States, for port-of-entry installation on the Toyota Camry for dealers in five southeastern states. During 1994, the Company began making mirror shipments to Tokai Rika Co., Ltd. for the Toyota Lexus LS 400 and to Southeast Toyota for installation on the Toyota Avalon. During 1995, the Company began making mirror shipments to Tokai Rika for the Toyota Lexus SC 400 and SC 300, as well as direct mirror shipments to Honda. Shipments to automakers in Brazil and Korea also continue to increase.</w:t>
      </w:r>
    </w:p>
    <w:p>
      <w:pPr>
        <w:spacing w:after="0" w:line="10"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Currently, the Company directs no significant efforts to the sale of mirrors to the automotive aftermarket. It is management's belief that such efforts are of limited value until the Company achieves a significantly higher penetration of the original equipment manufacturing market.</w:t>
      </w:r>
    </w:p>
    <w:p>
      <w:pPr>
        <w:spacing w:after="0" w:line="34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90% market share worldwide. While the Company believes it will retain a dominant position, one other U.S. manufacturer (Donnelly Corporation) is offering</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 sale to domestic vehicle manufacturers and is supplying one domestic vehicle model and a limited number of foreign vehicle models with its hybrid version of electrochromic mirrors. In addition, three Japanese manufacturers are supplying a limited number of Japanese vehicle models with solid-state electrochromic mirrors.</w:t>
      </w:r>
    </w:p>
    <w:p>
      <w:pPr>
        <w:spacing w:after="0" w:line="9"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The Company believes its electrochromic automatic mirrors offer considerable performance advantages, and that Donnelly shipped approximately 70,000 electrochromic mirrors to customers in 1995, primarily for Ford, Range Rover and Jaguar. However, Gentex recognizes that Donnelly Corporation is considerably larger than the Company, continues to introduce "new" electrochromic mirrors and presents a significant competitive threat. Gentex is involved in patent litigation with Donnelly Corporation (see discussion under the caption "Legal Proceedings").</w:t>
      </w:r>
    </w:p>
    <w:p>
      <w:pPr>
        <w:spacing w:after="0" w:line="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solid-state electrochromics and hybrids or liquid crystal displays may eliminate glare, each of these technologies have inherent cost or performance limitations.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5" w:lineRule="exact"/>
        <w:rPr>
          <w:sz w:val="20"/>
          <w:szCs w:val="20"/>
          <w:color w:val="auto"/>
        </w:rPr>
      </w:pPr>
    </w:p>
    <w:p>
      <w:pPr>
        <w:ind w:right="3359" w:firstLine="793"/>
        <w:spacing w:after="0" w:line="256" w:lineRule="auto"/>
        <w:rPr>
          <w:sz w:val="20"/>
          <w:szCs w:val="20"/>
          <w:color w:val="auto"/>
        </w:rPr>
      </w:pPr>
      <w:r>
        <w:rPr>
          <w:rFonts w:ascii="Courier New" w:cs="Courier New" w:eastAsia="Courier New" w:hAnsi="Courier New"/>
          <w:sz w:val="14"/>
          <w:szCs w:val="14"/>
          <w:color w:val="auto"/>
        </w:rPr>
        <w:t>The Company manufactures over 40 different models of smoke detectors and 61 different models of signaling appliances. All of the smoke detectors operate on a photo-electric principle to detect smoke. While the use of photo-electric technology entails greater manufacturing costs, the Company believes that these detectors are superior in performance to competitive devices that operate through an ionization process and are preferred in most commercial resident occupancies. Photo-electric detectors feature low light level detection, while ionization detectors utilize an ionized atmosphere, the electrical conductivity of which varies with changes in the composition of the atmosphere. Photo-electric detectors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w:t>
      </w:r>
    </w:p>
    <w:p>
      <w:pPr>
        <w:spacing w:after="0" w:line="5" w:lineRule="exact"/>
        <w:rPr>
          <w:sz w:val="20"/>
          <w:szCs w:val="20"/>
          <w:color w:val="auto"/>
        </w:rPr>
      </w:pPr>
    </w:p>
    <w:p>
      <w:pPr>
        <w:ind w:right="3359" w:firstLine="793"/>
        <w:spacing w:after="0" w:line="256"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detectors for both commercial and residential applications. While the Company does not emphasize the residential market, some of its fire protection products are used in single-family residences that utilize fire protection and security systems. The Company's detectors emit audible or visual signals in the immediate location of the device and/or communicate with monitored remote stations.</w:t>
      </w:r>
    </w:p>
    <w:p>
      <w:pPr>
        <w:spacing w:after="0" w:line="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 recent years, the Company introduced further improvements to its line of smoke detectors,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December 1995, a National Fire Protection Association code changed to require that all dwellings larger than 1-2 family must annually conduct this sensitivity test. Previous models and competing products require the availability of specialized test equipment.</w:t>
      </w:r>
    </w:p>
    <w:p>
      <w:pPr>
        <w:spacing w:after="0" w:line="17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During 1991, the Company developed two new signaling devices, a four-inch electronic primary evacuation horn and a high intensity, high-candela output strobe warning light. (Candela is a unit of measurement for illumination.) The new products were developed to broaden the sales base of the Fire Protection Group and to meet the requirements of the Americans with Disabilities Act (ADA) which became effective in January 1992, for all retrofit projects in public-use buildings and January 1993, for all new public use building construction.</w:t>
      </w:r>
    </w:p>
    <w:p>
      <w:pPr>
        <w:spacing w:after="0" w:line="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During 1992, the Company introduced a primary evacuation voice/tone speaker series for use in commercial high-rise buildings. The new speaker series, when used with the strobe warning lights, meets the requirements of the ADA and other national and local building standards.</w:t>
      </w:r>
    </w:p>
    <w:p>
      <w:pPr>
        <w:spacing w:after="0" w:line="7" w:lineRule="exact"/>
        <w:rPr>
          <w:sz w:val="20"/>
          <w:szCs w:val="20"/>
          <w:color w:val="auto"/>
        </w:rPr>
      </w:pPr>
    </w:p>
    <w:p>
      <w:pPr>
        <w:jc w:val="both"/>
        <w:ind w:right="3619" w:firstLine="793"/>
        <w:spacing w:after="0" w:line="237" w:lineRule="auto"/>
        <w:rPr>
          <w:sz w:val="20"/>
          <w:szCs w:val="20"/>
          <w:color w:val="auto"/>
        </w:rPr>
      </w:pPr>
      <w:r>
        <w:rPr>
          <w:rFonts w:ascii="Courier New" w:cs="Courier New" w:eastAsia="Courier New" w:hAnsi="Courier New"/>
          <w:sz w:val="15"/>
          <w:szCs w:val="15"/>
          <w:color w:val="auto"/>
        </w:rPr>
        <w:t>During 1993, the Company introduced a 120 VAC photoelectric smoke detector with a 9-volt battery backup for use in the commercial residential markets and public-use facilities, as well as other facilities specified in regional or national building codes.</w:t>
      </w:r>
    </w:p>
    <w:p>
      <w:pPr>
        <w:spacing w:after="0" w:line="7"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The Company has also developed a new, high-intensity strobe warning light to meet the new, stricter Underwriters Laboratories standard for visual signaling for the hearing impaired. This new standard replaces the previous standard where light dispersion was only measured from directly in front of the unit. The new standard requires light to be dispersed at several critical angles to provide notification, regardless of the individual's position in the room of coverage, and also the light intensity is to be sized to the room.</w:t>
      </w:r>
    </w:p>
    <w:p>
      <w:pPr>
        <w:spacing w:after="0" w:line="2"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new product series has replaced the strobe warning light developed in 1991 and is used in conjunction with other Gentex products such as the remote signaling electronic horn, primary evacuation speaker, and smoke detection products.</w:t>
      </w:r>
    </w:p>
    <w:p>
      <w:pPr>
        <w:spacing w:after="0" w:line="7"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Company, with the new products, is producing the only photoelectric smoke detector with battery back-up that offers a supplemental visual alarm.</w:t>
      </w:r>
    </w:p>
    <w:p>
      <w:pPr>
        <w:spacing w:after="0" w:line="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During 1994, the Company introduced a mechanical evacuation horn/strobe combination. The product will be used wherever a loud penetrating tone is required, such as schools or other facilities where doors are usually closed.</w:t>
      </w:r>
    </w:p>
    <w:p>
      <w:pPr>
        <w:spacing w:after="0" w:line="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During 1995, the Company introduced a multi-tone audible signaling appliance to meet new building code requirements for 1996 and beyond. This new multi-tone product line has eight different tones and a decibel level selection. The multi-tone series also will be used in conjunction with the Company's visual signals.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and to original equipment manufacturers of fire protection systems under both the Company's brand name and private labels. The Company markets its fire protection products throughout the United States through five regional sales managers.</w:t>
      </w:r>
    </w:p>
    <w:p>
      <w:pPr>
        <w:spacing w:after="0" w:line="34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17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also has manufactured certain precision glass components primarily for the office machinery and electronic test equipment industries. The Company phased out this product line effective June 30, 1994, which did not have a material effect on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owns 19 U.S. patents, 18 of which relate to electrochromic technology and/or automotive rearview mirrors. These patents expire between 2001 and 2013. The Company believes that these patents provide the Company a significant competitive advantage in the automotive rearview mirror market; however, none of these patents is necessary for the success of any of the Company's products. The remaining one U.S. patent relates to the Company's fire protection products, and the Company believes that the competitive advantage provided by this patent is relatively small.</w:t>
      </w:r>
    </w:p>
    <w:p>
      <w:pPr>
        <w:spacing w:after="0" w:line="8" w:lineRule="exact"/>
        <w:rPr>
          <w:sz w:val="20"/>
          <w:szCs w:val="20"/>
          <w:color w:val="auto"/>
        </w:rPr>
      </w:pPr>
    </w:p>
    <w:p>
      <w:pPr>
        <w:ind w:right="3619" w:firstLine="793"/>
        <w:spacing w:after="0" w:line="256" w:lineRule="auto"/>
        <w:rPr>
          <w:sz w:val="20"/>
          <w:szCs w:val="20"/>
          <w:color w:val="auto"/>
        </w:rPr>
      </w:pPr>
      <w:r>
        <w:rPr>
          <w:rFonts w:ascii="Courier New" w:cs="Courier New" w:eastAsia="Courier New" w:hAnsi="Courier New"/>
          <w:sz w:val="14"/>
          <w:szCs w:val="14"/>
          <w:color w:val="auto"/>
        </w:rPr>
        <w:t>The Company also owns fourteen foreign patents, which relate to automotive rearview mirrors. These patents expire at various times between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1999 and 2009. The Company believes that the competitive advantage derived in the relevant foreign markets for these patents is comparable to that experienced in the U.S. markets.</w:t>
      </w:r>
    </w:p>
    <w:p>
      <w:pPr>
        <w:spacing w:after="0" w:line="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Company also has in process 22 U.S. patent applications and 25 foreign patent applications. The Company continuously seeks to improve its core technologies and apply those technologies to new and existing products. As those efforts produce patentable innovations, the Company expects to file appropriate patent applications.</w:t>
      </w:r>
    </w:p>
    <w:p>
      <w:pPr>
        <w:spacing w:after="0" w:line="9"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During 1995, the Company became involved in additional patent litigation with respect to its rearview mirrors (see discussion under the caption "Legal Proceedings").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considers itself to be engaged in business in two industry segments: the manufacture and sale of automatic rearview mirrors for the automotive industry and fire protection products for the commercial building industry. The Company has three important customers within the automotive industry segment, each of which accounts for more than 10% of the Company's annual sales: General Motors Corporation, Chrysler Corporation and Ford Motor Company. The loss of any of these customers could have a material adverse effect on the Company. The Company's backlog of unshipped orders was $33,882,000 and $26,354,000 at March 1, 1996 and 1995, respectively.</w:t>
      </w:r>
    </w:p>
    <w:p>
      <w:pPr>
        <w:spacing w:after="0" w:line="9" w:lineRule="exact"/>
        <w:rPr>
          <w:sz w:val="20"/>
          <w:szCs w:val="20"/>
          <w:color w:val="auto"/>
        </w:rPr>
      </w:pPr>
    </w:p>
    <w:p>
      <w:pPr>
        <w:jc w:val="both"/>
        <w:ind w:right="3539" w:firstLine="793"/>
        <w:spacing w:after="0" w:line="237" w:lineRule="auto"/>
        <w:rPr>
          <w:sz w:val="20"/>
          <w:szCs w:val="20"/>
          <w:color w:val="auto"/>
        </w:rPr>
      </w:pPr>
      <w:r>
        <w:rPr>
          <w:rFonts w:ascii="Courier New" w:cs="Courier New" w:eastAsia="Courier New" w:hAnsi="Courier New"/>
          <w:sz w:val="15"/>
          <w:szCs w:val="15"/>
          <w:color w:val="auto"/>
        </w:rPr>
        <w:t>At March 1, 1996, the Company had 831 full-time employees. None of the Company's employees are represented by a labor union or other collective bargaining representative. The Company believes that its relations with its employees are good.</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Company operates out of two office/manufacturing facilities in Zeeland, Michigan, approximately 25 miles southwest of Grand Rapids. The office and production facility for the Fire Protection Products Group is a 25,000-square-foot, one-story building leased by the Company since 1978 from related parties (see Part III, Item 13, of this report).</w:t>
      </w:r>
    </w:p>
    <w:p>
      <w:pPr>
        <w:spacing w:after="0" w:line="9" w:lineRule="exact"/>
        <w:rPr>
          <w:sz w:val="20"/>
          <w:szCs w:val="20"/>
          <w:color w:val="auto"/>
        </w:rPr>
      </w:pPr>
    </w:p>
    <w:p>
      <w:pPr>
        <w:ind w:right="3439" w:firstLine="793"/>
        <w:spacing w:after="0" w:line="260" w:lineRule="auto"/>
        <w:rPr>
          <w:sz w:val="20"/>
          <w:szCs w:val="20"/>
          <w:color w:val="auto"/>
        </w:rPr>
      </w:pPr>
      <w:r>
        <w:rPr>
          <w:rFonts w:ascii="Courier New" w:cs="Courier New" w:eastAsia="Courier New" w:hAnsi="Courier New"/>
          <w:sz w:val="14"/>
          <w:szCs w:val="14"/>
          <w:color w:val="auto"/>
        </w:rPr>
        <w:t>The office and production facility for the Company's Automotive Products Group is a modern, two-story, 130,000-square-foot building of steel and masonry construction situated on a 40-acre site in a well-kept industrial</w:t>
      </w:r>
    </w:p>
    <w:p>
      <w:pPr>
        <w:spacing w:after="0" w:line="15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park, providing ample opportunity for expansion. Construction has begun for an additional manufacturing facility on this site to meet the Company's future automotive production needs and completion is scheduled for mid-1996. As of December 31, 1995, the estimated cost to be incurred in 1996 for the new facility is approximately $6.6 million. A laboratory and office expansion may also be required at the existing automotive facility by the end of 1996.</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Company owns four U.S. Patents for automatic mirrors and electrochromic devices that were the subject of patent infringement claims asserted against Donnelly Corporation ("Donnelly") during 1990 to 1993. All of those claims have either been adjudicated or were resolved in a settlement in May 1993. Gentex received $3.6 million in damages and settlement fees.</w:t>
      </w:r>
    </w:p>
    <w:p>
      <w:pPr>
        <w:spacing w:after="0" w:line="9"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The Company's patent infringement claim against the Donnelly "Polychromic" mirror (Gentex Corporation vs. Donnelly Corporation, No. 1:93 CV 430, U.S. District Court for the Western District of Michigan, Southern Division) was adjudicated in proceedings in 1994 and 1995. As a result of those proceedings, including an appeal to the Court of Appeals for the Federal Circuit, the Courts ruled that the Donnelly "Polychromic" rearview mirror does not infringe Gentex's U.S. Patent No. 5,128,799. Donnelly no longer is offering "Polychromic" rearview mirrors for sale.</w:t>
      </w:r>
    </w:p>
    <w:p>
      <w:pPr>
        <w:spacing w:after="0" w:line="8"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Despite the May 1993 settlement agreement, in November 1993, Donnelly requested that the U.S. Patent and Trademark Office (USPTO) re-examine certain claims it had granted to Gentex in the Company's U.S. Patent No. 5,128,799. The USPTO agreed to do so, which is not unusual. In November 1995, the USPTO confirmed the patentability of a number of the claims, including some of the claims that Donnelly had been found to infringe in the 1992 suit. That re-examination is proceeding as to the other claims.</w:t>
      </w:r>
    </w:p>
    <w:p>
      <w:pPr>
        <w:spacing w:after="0" w:line="7" w:lineRule="exact"/>
        <w:rPr>
          <w:sz w:val="20"/>
          <w:szCs w:val="20"/>
          <w:color w:val="auto"/>
        </w:rPr>
      </w:pPr>
    </w:p>
    <w:p>
      <w:pPr>
        <w:ind w:right="3259" w:firstLine="529"/>
        <w:spacing w:after="0" w:line="256" w:lineRule="auto"/>
        <w:rPr>
          <w:sz w:val="20"/>
          <w:szCs w:val="20"/>
          <w:color w:val="auto"/>
        </w:rPr>
      </w:pPr>
      <w:r>
        <w:rPr>
          <w:rFonts w:ascii="Courier New" w:cs="Courier New" w:eastAsia="Courier New" w:hAnsi="Courier New"/>
          <w:sz w:val="14"/>
          <w:szCs w:val="14"/>
          <w:color w:val="auto"/>
        </w:rPr>
        <w:t>The Company also is involved in other litigation which Donnelly initiated in July 1993 with respect to four Donnelly patents (Donnelly Corporation vs. Gentex Corporation, No. 1:93 CV 530, U.S. District Court for the Western District of Michigan, Southern Division). Three of those patents are directed to lights in rearview mirrors ("lighted mirror patents"), and the fourth patent is directed to a rearview mirror with a "dark or color-matched seal" ("dark seal patent"). Two of the three lighted mirror patents were found to be invalid by the Court when it granted the Company's motion for summary judgment on those patents, which Donnelly has appealed. The third lighted mirror patent was dismissed without prejudice. The Company's renewed motion for summary judgment of invalidity on the dark seal patent was denied on February 9, 1996. This case is scheduled for a jury trial beginning April 1, 1996.</w:t>
      </w:r>
    </w:p>
    <w:p>
      <w:pPr>
        <w:spacing w:after="0" w:line="4"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Donnelly also initiated another suit against the Company in October 1994 (Donnelly Corporation vs. Gentex Corporation, No. 1:94 CV 695, U.S. District Court for the Western District of Michigan, Southern Division) for alleged infringement of two Donnelly patents directed to electrochromic solutions and electrochromic rearview mirrors that contain a certain ultraviolet light stabilizer. Donnelly subsequently alleged infringement of a third patent directed broadly to an electrochromic device with ultraviolet light stabilizers. The Company answered both complaints, denying infringement of all three Donnelly patents, and asserting that each patent is invalid and unenforceable. This case is in the early stages of discovery, and no trial date has been set.</w:t>
      </w:r>
    </w:p>
    <w:p>
      <w:pPr>
        <w:spacing w:after="0" w:line="11"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The Company filed a complaint against Donnelly in June 1995 (Gentex Corporation vs. Donnelly Corporation, No. 4:95 CV 120, U.S. District Court for the Western District of Michigan, Southern Division), seeking a declaratory judgment that three Donnelly patents are invalid and not infringed by the Company. Two of those patents are</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directed to electrochromic rearview mirrors having an optical display, such as a compass readout, and the third is directed to electrochromic mirrors made from a certain type of float glass with an "anti-iridescence" coating. Donnelly answered the complaint, denying its patents are invalid, counterclaiming for infringement of one compass patent and the float glass patent, and asserting that the Court does not have jurisdiction over the second compass patent, because there is no case or controversy over that patent.</w:t>
      </w:r>
    </w:p>
    <w:p>
      <w:pPr>
        <w:spacing w:after="0" w:line="2" w:lineRule="exact"/>
        <w:rPr>
          <w:sz w:val="20"/>
          <w:szCs w:val="20"/>
          <w:color w:val="auto"/>
        </w:rPr>
      </w:pPr>
    </w:p>
    <w:p>
      <w:pPr>
        <w:ind w:right="3439" w:firstLine="529"/>
        <w:spacing w:after="0" w:line="238" w:lineRule="auto"/>
        <w:rPr>
          <w:sz w:val="20"/>
          <w:szCs w:val="20"/>
          <w:color w:val="auto"/>
        </w:rPr>
      </w:pPr>
      <w:r>
        <w:rPr>
          <w:rFonts w:ascii="Courier New" w:cs="Courier New" w:eastAsia="Courier New" w:hAnsi="Courier New"/>
          <w:sz w:val="15"/>
          <w:szCs w:val="15"/>
          <w:color w:val="auto"/>
        </w:rPr>
        <w:t>In October 1995, the Court ordered that all discovery related to this case shall concentrate on the issue of the invalidity of the patents in suit and on the issue of the Court's jurisdiction. In October 1995, the Company made a motion for summary judgment of invalidity of Donnelly's two compass mirror patents, and in December 1995, the Company made a motion for summary judgment of invalidity of Donnelly's float glass patent. An oral argument on those motions is scheduled for April 24, 1996. This suit is still in the discovery stage, and no trial date has been scheduled.</w:t>
      </w:r>
    </w:p>
    <w:p>
      <w:pPr>
        <w:spacing w:after="0" w:line="8" w:lineRule="exact"/>
        <w:rPr>
          <w:sz w:val="20"/>
          <w:szCs w:val="20"/>
          <w:color w:val="auto"/>
        </w:rPr>
      </w:pPr>
    </w:p>
    <w:p>
      <w:pPr>
        <w:ind w:right="3359" w:firstLine="529"/>
        <w:spacing w:after="0" w:line="256" w:lineRule="auto"/>
        <w:rPr>
          <w:sz w:val="20"/>
          <w:szCs w:val="20"/>
          <w:color w:val="auto"/>
        </w:rPr>
      </w:pPr>
      <w:r>
        <w:rPr>
          <w:rFonts w:ascii="Courier New" w:cs="Courier New" w:eastAsia="Courier New" w:hAnsi="Courier New"/>
          <w:sz w:val="14"/>
          <w:szCs w:val="14"/>
          <w:color w:val="auto"/>
        </w:rPr>
        <w:t>As described above, certain of these litigation matters (in particular, the dark seal patent jury trial) may be resolved or adjudicated, subject to appeal, within the next year. While management has accrued an estimate of the legal costs it expects to incur in its defense against the Donnelly patents in the reasonably foreseeable future, at this time it is unable to estimate a reasonable range of loss in the event of an unfavorable decision.</w:t>
      </w:r>
    </w:p>
    <w:p>
      <w:pPr>
        <w:spacing w:after="0" w:line="2"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Management believes that it has meritorious defenses to Donnelly's claims for infringement of all of these patents. However, as with most litigation, it is difficult to predict with any degree of certainty whether those defenses will or will not prevail. In any event, management believes that the outcome will not have a material adverse effect on the Company's financial statements.</w:t>
      </w:r>
    </w:p>
    <w:p>
      <w:pPr>
        <w:spacing w:after="0" w:line="200" w:lineRule="exact"/>
        <w:rPr>
          <w:sz w:val="20"/>
          <w:szCs w:val="20"/>
          <w:color w:val="auto"/>
        </w:rPr>
      </w:pPr>
    </w:p>
    <w:p>
      <w:pPr>
        <w:spacing w:after="0" w:line="2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table lists the names, ages, and positions of all of the</w:t>
      </w:r>
    </w:p>
    <w:p>
      <w:pPr>
        <w:spacing w:after="0"/>
        <w:tabs>
          <w:tab w:leader="none" w:pos="2700" w:val="left"/>
        </w:tabs>
        <w:rPr>
          <w:sz w:val="20"/>
          <w:szCs w:val="20"/>
          <w:color w:val="auto"/>
        </w:rPr>
      </w:pPr>
      <w:r>
        <w:rPr>
          <w:rFonts w:ascii="Courier New" w:cs="Courier New" w:eastAsia="Courier New" w:hAnsi="Courier New"/>
          <w:sz w:val="15"/>
          <w:szCs w:val="15"/>
          <w:color w:val="auto"/>
        </w:rPr>
        <w:t>Company's executive officers.</w:t>
      </w:r>
      <w:r>
        <w:rPr>
          <w:sz w:val="20"/>
          <w:szCs w:val="20"/>
          <w:color w:val="auto"/>
        </w:rPr>
        <w:tab/>
      </w:r>
      <w:r>
        <w:rPr>
          <w:rFonts w:ascii="Courier New" w:cs="Courier New" w:eastAsia="Courier New" w:hAnsi="Courier New"/>
          <w:sz w:val="14"/>
          <w:szCs w:val="14"/>
          <w:color w:val="auto"/>
        </w:rPr>
        <w:t>Officers are elected at the first meeting of the</w:t>
      </w:r>
    </w:p>
    <w:p>
      <w:pPr>
        <w:spacing w:after="0"/>
        <w:rPr>
          <w:sz w:val="20"/>
          <w:szCs w:val="20"/>
          <w:color w:val="auto"/>
        </w:rPr>
      </w:pPr>
      <w:r>
        <w:rPr>
          <w:rFonts w:ascii="Courier New" w:cs="Courier New" w:eastAsia="Courier New" w:hAnsi="Courier New"/>
          <w:sz w:val="15"/>
          <w:szCs w:val="15"/>
          <w:color w:val="auto"/>
        </w:rPr>
        <w:t>Board of Directors following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620" w:val="left"/>
          <w:tab w:leader="none" w:pos="4280" w:val="left"/>
          <w:tab w:leader="none" w:pos="7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Fred</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Bauer</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w:t>
            </w:r>
          </w:p>
        </w:tc>
        <w:tc>
          <w:tcPr>
            <w:tcW w:w="16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Chief Executive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720" w:type="dxa"/>
            <w:vAlign w:val="bottom"/>
          </w:tcPr>
          <w:p>
            <w:pPr>
              <w:ind w:left="500"/>
              <w:spacing w:after="0"/>
              <w:rPr>
                <w:sz w:val="20"/>
                <w:szCs w:val="20"/>
                <w:color w:val="auto"/>
              </w:rPr>
            </w:pPr>
            <w:r>
              <w:rPr>
                <w:rFonts w:ascii="Courier New" w:cs="Courier New" w:eastAsia="Courier New" w:hAnsi="Courier New"/>
                <w:sz w:val="15"/>
                <w:szCs w:val="15"/>
                <w:color w:val="auto"/>
              </w:rPr>
              <w:t>May 1986</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Kenneth La Grand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w:t>
            </w:r>
          </w:p>
        </w:tc>
        <w:tc>
          <w:tcPr>
            <w:tcW w:w="43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Executive Vice President</w:t>
            </w:r>
          </w:p>
        </w:tc>
        <w:tc>
          <w:tcPr>
            <w:tcW w:w="1720" w:type="dxa"/>
            <w:vAlign w:val="bottom"/>
          </w:tcPr>
          <w:p>
            <w:pPr>
              <w:ind w:left="500"/>
              <w:spacing w:after="0"/>
              <w:rPr>
                <w:sz w:val="20"/>
                <w:szCs w:val="20"/>
                <w:color w:val="auto"/>
              </w:rPr>
            </w:pPr>
            <w:r>
              <w:rPr>
                <w:rFonts w:ascii="Courier New" w:cs="Courier New" w:eastAsia="Courier New" w:hAnsi="Courier New"/>
                <w:sz w:val="15"/>
                <w:szCs w:val="15"/>
                <w:color w:val="auto"/>
                <w:w w:val="95"/>
              </w:rPr>
              <w:t>September 1987</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John</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Mulder</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w:t>
            </w:r>
          </w:p>
        </w:tc>
        <w:tc>
          <w:tcPr>
            <w:tcW w:w="16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Vice President,</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Automotive Marketing</w:t>
            </w:r>
          </w:p>
        </w:tc>
        <w:tc>
          <w:tcPr>
            <w:tcW w:w="1720" w:type="dxa"/>
            <w:vAlign w:val="bottom"/>
          </w:tcPr>
          <w:p>
            <w:pPr>
              <w:ind w:left="500"/>
              <w:spacing w:after="0"/>
              <w:rPr>
                <w:sz w:val="20"/>
                <w:szCs w:val="20"/>
                <w:color w:val="auto"/>
              </w:rPr>
            </w:pPr>
            <w:r>
              <w:rPr>
                <w:rFonts w:ascii="Courier New" w:cs="Courier New" w:eastAsia="Courier New" w:hAnsi="Courier New"/>
                <w:sz w:val="15"/>
                <w:szCs w:val="15"/>
                <w:color w:val="auto"/>
              </w:rPr>
              <w:t>July 1988</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Enoch Jen</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720" w:type="dxa"/>
            <w:vAlign w:val="bottom"/>
          </w:tcPr>
          <w:p>
            <w:pPr>
              <w:ind w:left="320"/>
              <w:spacing w:after="0"/>
              <w:rPr>
                <w:sz w:val="20"/>
                <w:szCs w:val="20"/>
                <w:color w:val="auto"/>
              </w:rPr>
            </w:pPr>
            <w:r>
              <w:rPr>
                <w:rFonts w:ascii="Courier New" w:cs="Courier New" w:eastAsia="Courier New" w:hAnsi="Courier New"/>
                <w:sz w:val="15"/>
                <w:szCs w:val="15"/>
                <w:color w:val="auto"/>
              </w:rPr>
              <w:t>Vice</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President-Finance, Treasurer</w:t>
            </w:r>
          </w:p>
        </w:tc>
        <w:tc>
          <w:tcPr>
            <w:tcW w:w="1720" w:type="dxa"/>
            <w:vAlign w:val="bottom"/>
          </w:tcPr>
          <w:p>
            <w:pPr>
              <w:ind w:left="500"/>
              <w:spacing w:after="0"/>
              <w:rPr>
                <w:sz w:val="20"/>
                <w:szCs w:val="20"/>
                <w:color w:val="auto"/>
              </w:rPr>
            </w:pPr>
            <w:r>
              <w:rPr>
                <w:rFonts w:ascii="Courier New" w:cs="Courier New" w:eastAsia="Courier New" w:hAnsi="Courier New"/>
                <w:sz w:val="15"/>
                <w:szCs w:val="15"/>
                <w:color w:val="auto"/>
              </w:rPr>
              <w:t>February 1991</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Harlan Byker</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ind w:left="320"/>
              <w:spacing w:after="0"/>
              <w:rPr>
                <w:sz w:val="20"/>
                <w:szCs w:val="20"/>
                <w:color w:val="auto"/>
              </w:rPr>
            </w:pPr>
            <w:r>
              <w:rPr>
                <w:rFonts w:ascii="Courier New" w:cs="Courier New" w:eastAsia="Courier New" w:hAnsi="Courier New"/>
                <w:sz w:val="15"/>
                <w:szCs w:val="15"/>
                <w:color w:val="auto"/>
              </w:rPr>
              <w:t>Vice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President,</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Electrochemical Research</w:t>
            </w:r>
          </w:p>
        </w:tc>
        <w:tc>
          <w:tcPr>
            <w:tcW w:w="1720" w:type="dxa"/>
            <w:vAlign w:val="bottom"/>
          </w:tcPr>
          <w:p>
            <w:pPr>
              <w:ind w:left="500"/>
              <w:spacing w:after="0"/>
              <w:rPr>
                <w:sz w:val="20"/>
                <w:szCs w:val="20"/>
                <w:color w:val="auto"/>
              </w:rPr>
            </w:pPr>
            <w:r>
              <w:rPr>
                <w:rFonts w:ascii="Courier New" w:cs="Courier New" w:eastAsia="Courier New" w:hAnsi="Courier New"/>
                <w:sz w:val="15"/>
                <w:szCs w:val="15"/>
                <w:color w:val="auto"/>
              </w:rPr>
              <w:t>August 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Fred Bauer has held various executive offices since joining the Company in 1980. Prior to his employment with the Company, Mr. Bauer was the President and General Manager of Integrity Design Company, the research and development partnership that invented, designed and developed the technology for the Motorized Mirror, the rights to which were subsequently acquired by the Company. For approximately seven years before organizing Integrity Design Company, Mr. Bauer was the General Manager of Robertshaw Controls Company's Simicon Division, a business founded by Mr. Bauer and sold to Robertshaw Controls, which manufactures electronic controls for appliances. In the last three years of his tenure at Robertshaw Controls, Mr. Bauer also served as a Corporate Vice President.</w:t>
      </w:r>
    </w:p>
    <w:p>
      <w:pPr>
        <w:spacing w:after="0" w:line="181"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Kenneth La Grand has been the Executive Vice President of the Company since September 1987. Prior to joining the Company, he was Vice President of Robertshaw Controls Company and the General Manager of its Simicon Division since 1979.</w:t>
      </w:r>
    </w:p>
    <w:p>
      <w:pPr>
        <w:spacing w:after="0" w:line="176"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John Mulder has served as Vice President-Automotive Marketing of the Company since July 1988. Prior to that time Mr. Mulder served as Executive Vice President for Harman Automotive, a division of Harvard Industries, Inc., where he was responsible for managing the marketing and engineering activities of that exterior mirror company's Southfield office for more than five years.</w:t>
      </w:r>
    </w:p>
    <w:p>
      <w:pPr>
        <w:spacing w:after="0" w:line="165" w:lineRule="exact"/>
        <w:rPr>
          <w:sz w:val="20"/>
          <w:szCs w:val="20"/>
          <w:color w:val="auto"/>
        </w:rPr>
      </w:pPr>
    </w:p>
    <w:p>
      <w:pPr>
        <w:jc w:val="both"/>
        <w:ind w:right="3539" w:firstLine="793"/>
        <w:spacing w:after="0" w:line="237" w:lineRule="auto"/>
        <w:rPr>
          <w:sz w:val="20"/>
          <w:szCs w:val="20"/>
          <w:color w:val="auto"/>
        </w:rPr>
      </w:pPr>
      <w:r>
        <w:rPr>
          <w:rFonts w:ascii="Courier New" w:cs="Courier New" w:eastAsia="Courier New" w:hAnsi="Courier New"/>
          <w:sz w:val="15"/>
          <w:szCs w:val="15"/>
          <w:color w:val="auto"/>
        </w:rPr>
        <w:t>Enoch Jen has served as Vice President-Finance and Treasurer of the Company since February 1991. He joined the Company as Controller in January 1990. Prior to that time, Mr. Jen served as Chief Financial Officer of Hope Rehabilitation Network, Inc. since 1985.</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Harlan Byker has served as Vice President of Electrochemical Research of the Company since August 1993, and as Director of Electrochemical Development since 1985. Prior to that time, Dr. Byker served as a research scientist at Battelle Columbus Laboratories.</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w:t>
      </w:r>
    </w:p>
    <w:p>
      <w:pPr>
        <w:spacing w:after="0" w:line="200" w:lineRule="exact"/>
        <w:rPr>
          <w:sz w:val="20"/>
          <w:szCs w:val="20"/>
          <w:color w:val="auto"/>
        </w:rPr>
      </w:pPr>
    </w:p>
    <w:p>
      <w:pPr>
        <w:spacing w:after="0" w:line="314" w:lineRule="exact"/>
        <w:rPr>
          <w:sz w:val="20"/>
          <w:szCs w:val="20"/>
          <w:color w:val="auto"/>
        </w:rPr>
      </w:pPr>
    </w:p>
    <w:p>
      <w:pPr>
        <w:ind w:left="10" w:right="3700"/>
        <w:spacing w:after="0" w:line="235" w:lineRule="auto"/>
        <w:rPr>
          <w:sz w:val="20"/>
          <w:szCs w:val="20"/>
          <w:color w:val="auto"/>
        </w:rPr>
      </w:pPr>
      <w:r>
        <w:rPr>
          <w:rFonts w:ascii="Courier New" w:cs="Courier New" w:eastAsia="Courier New" w:hAnsi="Courier New"/>
          <w:sz w:val="15"/>
          <w:szCs w:val="15"/>
          <w:color w:val="auto"/>
        </w:rPr>
        <w:t>ITEM 5. MARKET FOR THE REGISTRANT'S COMMON STOCK AND RELATED SECURITY HOLDER MATTERS.</w:t>
      </w:r>
    </w:p>
    <w:p>
      <w:pPr>
        <w:spacing w:after="0" w:line="176" w:lineRule="exact"/>
        <w:rPr>
          <w:sz w:val="20"/>
          <w:szCs w:val="20"/>
          <w:color w:val="auto"/>
        </w:rPr>
      </w:pPr>
    </w:p>
    <w:p>
      <w:pPr>
        <w:ind w:left="10" w:right="3700" w:firstLine="793"/>
        <w:spacing w:after="0" w:line="237" w:lineRule="auto"/>
        <w:rPr>
          <w:sz w:val="20"/>
          <w:szCs w:val="20"/>
          <w:color w:val="auto"/>
        </w:rPr>
      </w:pPr>
      <w:r>
        <w:rPr>
          <w:rFonts w:ascii="Courier New" w:cs="Courier New" w:eastAsia="Courier New" w:hAnsi="Courier New"/>
          <w:sz w:val="15"/>
          <w:szCs w:val="15"/>
          <w:color w:val="auto"/>
        </w:rPr>
        <w:t>The Company's common stock trades on the Nasdaq National Market tier of The Nasdaq Stock Market. As of March 1, 1996, there were 1,809 record 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
        <w:spacing w:after="0"/>
        <w:tabs>
          <w:tab w:leader="none" w:pos="1749" w:val="left"/>
          <w:tab w:leader="none" w:pos="3769" w:val="left"/>
          <w:tab w:leader="none" w:pos="5789"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1994</w:t>
            </w: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Fourth</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1995</w:t>
            </w: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24"/>
                <w:szCs w:val="24"/>
                <w:color w:val="auto"/>
              </w:rPr>
            </w:pP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0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Courier New" w:cs="Courier New" w:eastAsia="Courier New" w:hAnsi="Courier New"/>
                <w:sz w:val="15"/>
                <w:szCs w:val="15"/>
                <w:color w:val="auto"/>
              </w:rPr>
              <w:t>Fourth</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ind w:left="10" w:right="3520" w:firstLine="793"/>
        <w:spacing w:after="0" w:line="237"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8" w:lineRule="exact"/>
        <w:rPr>
          <w:sz w:val="20"/>
          <w:szCs w:val="20"/>
          <w:color w:val="auto"/>
        </w:rPr>
      </w:pPr>
    </w:p>
    <w:p>
      <w:pPr>
        <w:ind w:left="459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730"/>
        <w:spacing w:after="0"/>
        <w:tabs>
          <w:tab w:leader="none" w:pos="4289" w:val="left"/>
          <w:tab w:leader="none" w:pos="5969" w:val="left"/>
          <w:tab w:leader="none" w:pos="7649" w:val="left"/>
          <w:tab w:leader="none" w:pos="9229"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$111,566</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$89,762</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$63,664</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$45,106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$26,893</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16,466</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9,845</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1,645**</w:t>
            </w:r>
          </w:p>
        </w:tc>
      </w:tr>
    </w:tbl>
    <w:p>
      <w:pPr>
        <w:spacing w:after="0" w:line="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tbl>
      <w:tblPr>
        <w:tblLayout w:type="fixed"/>
        <w:tblInd w:w="170" w:type="dxa"/>
        <w:tblCellMar>
          <w:top w:w="0" w:type="dxa"/>
          <w:left w:w="0" w:type="dxa"/>
          <w:bottom w:w="0" w:type="dxa"/>
          <w:right w:w="0" w:type="dxa"/>
        </w:tblCellMar>
      </w:tblPr>
      <w:tr>
        <w:trPr>
          <w:trHeight w:val="169"/>
        </w:trPr>
        <w:tc>
          <w:tcPr>
            <w:tcW w:w="1820" w:type="dxa"/>
            <w:vAlign w:val="bottom"/>
          </w:tcPr>
          <w:p>
            <w:pPr>
              <w:spacing w:after="0"/>
              <w:rPr>
                <w:sz w:val="20"/>
                <w:szCs w:val="20"/>
                <w:color w:val="auto"/>
              </w:rPr>
            </w:pPr>
            <w:r>
              <w:rPr>
                <w:rFonts w:ascii="Courier New" w:cs="Courier New" w:eastAsia="Courier New" w:hAnsi="Courier New"/>
                <w:sz w:val="15"/>
                <w:szCs w:val="15"/>
                <w:color w:val="auto"/>
              </w:rPr>
              <w:t>Per Share *</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.97</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.59</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$109,244</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$80,739</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$55,191</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Outstanding at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Year End</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bl>
    <w:p>
      <w:pPr>
        <w:spacing w:after="0" w:line="5"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Adjusted for 2-for-1 stock split in June 1993.</w:t>
      </w:r>
    </w:p>
    <w:p>
      <w:pPr>
        <w:ind w:left="270" w:hanging="270"/>
        <w:spacing w:after="0"/>
        <w:tabs>
          <w:tab w:leader="none" w:pos="27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extraordinary charge of $221 and $.01 per share.</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490"/>
          </w:cols>
          <w:pgMar w:left="230" w:top="283" w:right="117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420" w:firstLine="793"/>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Percentage of Net Sales</w:t>
      </w:r>
    </w:p>
    <w:p>
      <w:pPr>
        <w:ind w:left="45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2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6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100 .0%</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60.7</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57.2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39.3</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Other Income - Net</w:t>
            </w: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1 .5</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Before Federal Income Taxes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27.5</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Federal Income Taxes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76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678"/>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RESULTS OF OPERATIONS:</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1995 TO 1994</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Net Sales.</w:t>
            </w:r>
          </w:p>
        </w:tc>
        <w:tc>
          <w:tcPr>
            <w:tcW w:w="44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Automotive net sales increased by 33% and mirror</w:t>
            </w:r>
          </w:p>
        </w:tc>
        <w:tc>
          <w:tcPr>
            <w:tcW w:w="620" w:type="dxa"/>
            <w:vAlign w:val="bottom"/>
          </w:tcPr>
          <w:p>
            <w:pPr>
              <w:spacing w:after="0"/>
              <w:rPr>
                <w:sz w:val="14"/>
                <w:szCs w:val="14"/>
                <w:color w:val="auto"/>
              </w:rPr>
            </w:pP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8"/>
              </w:rPr>
              <w:t>shipments increased by 27%, from 1,760,000 to 2,228,000 units, primarily</w:t>
            </w:r>
          </w:p>
        </w:tc>
        <w:tc>
          <w:tcPr>
            <w:tcW w:w="620" w:type="dxa"/>
            <w:vAlign w:val="bottom"/>
          </w:tcPr>
          <w:p>
            <w:pPr>
              <w:spacing w:after="0"/>
              <w:rPr>
                <w:sz w:val="14"/>
                <w:szCs w:val="14"/>
                <w:color w:val="auto"/>
              </w:rPr>
            </w:pPr>
          </w:p>
        </w:tc>
      </w:tr>
    </w:tbl>
    <w:p>
      <w:pPr>
        <w:spacing w:after="0" w:line="5" w:lineRule="exact"/>
        <w:rPr>
          <w:sz w:val="20"/>
          <w:szCs w:val="20"/>
          <w:color w:val="auto"/>
        </w:rPr>
      </w:pPr>
    </w:p>
    <w:p>
      <w:pPr>
        <w:ind w:right="420"/>
        <w:spacing w:after="0" w:line="237" w:lineRule="auto"/>
        <w:rPr>
          <w:sz w:val="20"/>
          <w:szCs w:val="20"/>
          <w:color w:val="auto"/>
        </w:rPr>
      </w:pPr>
      <w:r>
        <w:rPr>
          <w:rFonts w:ascii="Courier New" w:cs="Courier New" w:eastAsia="Courier New" w:hAnsi="Courier New"/>
          <w:sz w:val="15"/>
          <w:szCs w:val="15"/>
          <w:color w:val="auto"/>
        </w:rPr>
        <w:t>reflecting increased penetration on domestic and foreign vehicles for interior and exterior electrochromic NVS(R) Mirrors. Net sales of the Company's fire protection products decreased 7%, as reduced strobe shipments to a major customer that has developed its own strobe product more than offset a 12% sales increase to other customers.</w:t>
      </w:r>
    </w:p>
    <w:p>
      <w:pPr>
        <w:spacing w:after="0" w:line="9" w:lineRule="exact"/>
        <w:rPr>
          <w:sz w:val="20"/>
          <w:szCs w:val="20"/>
          <w:color w:val="auto"/>
        </w:rPr>
      </w:pPr>
    </w:p>
    <w:p>
      <w:pPr>
        <w:ind w:right="520" w:firstLine="793"/>
        <w:spacing w:after="0" w:line="256"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57% to 61%, primarily reflecting automotive customer price reductions and changes to the Company's mix of automotive mirror shipments.</w:t>
      </w:r>
    </w:p>
    <w:p>
      <w:pPr>
        <w:ind w:left="780"/>
        <w:spacing w:after="0"/>
        <w:tabs>
          <w:tab w:leader="none" w:pos="2800" w:val="left"/>
        </w:tabs>
        <w:rPr>
          <w:sz w:val="20"/>
          <w:szCs w:val="20"/>
          <w:color w:val="auto"/>
        </w:rPr>
      </w:pPr>
      <w:r>
        <w:rPr>
          <w:rFonts w:ascii="Courier New" w:cs="Courier New" w:eastAsia="Courier New" w:hAnsi="Courier New"/>
          <w:sz w:val="15"/>
          <w:szCs w:val="15"/>
          <w:color w:val="auto"/>
        </w:rPr>
        <w:t>Operating Expenses.</w:t>
      </w:r>
      <w:r>
        <w:rPr>
          <w:sz w:val="20"/>
          <w:szCs w:val="20"/>
          <w:color w:val="auto"/>
        </w:rPr>
        <w:tab/>
      </w:r>
      <w:r>
        <w:rPr>
          <w:rFonts w:ascii="Courier New" w:cs="Courier New" w:eastAsia="Courier New" w:hAnsi="Courier New"/>
          <w:sz w:val="14"/>
          <w:szCs w:val="14"/>
          <w:color w:val="auto"/>
        </w:rPr>
        <w:t>Research and development expenses increased</w:t>
      </w:r>
    </w:p>
    <w:p>
      <w:pPr>
        <w:spacing w:after="0"/>
        <w:rPr>
          <w:sz w:val="20"/>
          <w:szCs w:val="20"/>
          <w:color w:val="auto"/>
        </w:rPr>
      </w:pPr>
      <w:r>
        <w:rPr>
          <w:rFonts w:ascii="Courier New" w:cs="Courier New" w:eastAsia="Courier New" w:hAnsi="Courier New"/>
          <w:sz w:val="15"/>
          <w:szCs w:val="15"/>
          <w:color w:val="auto"/>
        </w:rPr>
        <w:t>approximately $1,054,000, primarily due to additional staffing for the</w:t>
      </w:r>
    </w:p>
    <w:p>
      <w:pPr>
        <w:spacing w:after="0"/>
        <w:rPr>
          <w:sz w:val="20"/>
          <w:szCs w:val="20"/>
          <w:color w:val="auto"/>
        </w:rPr>
      </w:pPr>
      <w:r>
        <w:rPr>
          <w:rFonts w:ascii="Courier New" w:cs="Courier New" w:eastAsia="Courier New" w:hAnsi="Courier New"/>
          <w:sz w:val="15"/>
          <w:szCs w:val="15"/>
          <w:color w:val="auto"/>
        </w:rPr>
        <w:t>development of interior NVS(R) Mirrors with additional features, complete</w:t>
      </w:r>
    </w:p>
    <w:p>
      <w:pPr>
        <w:spacing w:after="0"/>
        <w:tabs>
          <w:tab w:leader="none" w:pos="5440" w:val="left"/>
        </w:tabs>
        <w:rPr>
          <w:sz w:val="20"/>
          <w:szCs w:val="20"/>
          <w:color w:val="auto"/>
        </w:rPr>
      </w:pPr>
      <w:r>
        <w:rPr>
          <w:rFonts w:ascii="Courier New" w:cs="Courier New" w:eastAsia="Courier New" w:hAnsi="Courier New"/>
          <w:sz w:val="15"/>
          <w:szCs w:val="15"/>
          <w:color w:val="auto"/>
        </w:rPr>
        <w:t>mirror systems, and other potential electrochromic products.</w:t>
      </w:r>
      <w:r>
        <w:rPr>
          <w:sz w:val="20"/>
          <w:szCs w:val="20"/>
          <w:color w:val="auto"/>
        </w:rPr>
        <w:tab/>
      </w:r>
      <w:r>
        <w:rPr>
          <w:rFonts w:ascii="Courier New" w:cs="Courier New" w:eastAsia="Courier New" w:hAnsi="Courier New"/>
          <w:sz w:val="14"/>
          <w:szCs w:val="14"/>
          <w:color w:val="auto"/>
        </w:rPr>
        <w:t>Selling, general</w:t>
      </w:r>
    </w:p>
    <w:p>
      <w:pPr>
        <w:spacing w:after="0" w:line="238" w:lineRule="auto"/>
        <w:rPr>
          <w:sz w:val="20"/>
          <w:szCs w:val="20"/>
          <w:color w:val="auto"/>
        </w:rPr>
      </w:pPr>
      <w:r>
        <w:rPr>
          <w:rFonts w:ascii="Courier New" w:cs="Courier New" w:eastAsia="Courier New" w:hAnsi="Courier New"/>
          <w:sz w:val="15"/>
          <w:szCs w:val="15"/>
          <w:color w:val="auto"/>
        </w:rPr>
        <w:t>and administrative expenses increased approximately $2,311,000, primarily as a</w:t>
      </w:r>
    </w:p>
    <w:p>
      <w:pPr>
        <w:spacing w:after="0"/>
        <w:rPr>
          <w:sz w:val="20"/>
          <w:szCs w:val="20"/>
          <w:color w:val="auto"/>
        </w:rPr>
      </w:pPr>
      <w:r>
        <w:rPr>
          <w:rFonts w:ascii="Courier New" w:cs="Courier New" w:eastAsia="Courier New" w:hAnsi="Courier New"/>
          <w:sz w:val="15"/>
          <w:szCs w:val="15"/>
          <w:color w:val="auto"/>
        </w:rPr>
        <w:t>result of higher patent litigation expenses of $4,110,000 compared with</w:t>
      </w:r>
    </w:p>
    <w:p>
      <w:pPr>
        <w:spacing w:after="0"/>
        <w:tabs>
          <w:tab w:leader="none" w:pos="1820" w:val="left"/>
        </w:tabs>
        <w:rPr>
          <w:sz w:val="20"/>
          <w:szCs w:val="20"/>
          <w:color w:val="auto"/>
        </w:rPr>
      </w:pPr>
      <w:r>
        <w:rPr>
          <w:rFonts w:ascii="Courier New" w:cs="Courier New" w:eastAsia="Courier New" w:hAnsi="Courier New"/>
          <w:sz w:val="15"/>
          <w:szCs w:val="15"/>
          <w:color w:val="auto"/>
        </w:rPr>
        <w:t>$2,600,000 in 1994.</w:t>
      </w:r>
      <w:r>
        <w:rPr>
          <w:sz w:val="20"/>
          <w:szCs w:val="20"/>
          <w:color w:val="auto"/>
        </w:rPr>
        <w:tab/>
      </w:r>
      <w:r>
        <w:rPr>
          <w:rFonts w:ascii="Courier New" w:cs="Courier New" w:eastAsia="Courier New" w:hAnsi="Courier New"/>
          <w:sz w:val="14"/>
          <w:szCs w:val="14"/>
          <w:color w:val="auto"/>
        </w:rPr>
        <w:t>Despite the increased patent litigation costs,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decreased slightly as a percentage of net sales as the increased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to outpace the increase in operating expenses.</w:t>
      </w:r>
    </w:p>
    <w:p>
      <w:pPr>
        <w:spacing w:after="0" w:line="5" w:lineRule="exact"/>
        <w:rPr>
          <w:sz w:val="20"/>
          <w:szCs w:val="20"/>
          <w:color w:val="auto"/>
        </w:rPr>
      </w:pPr>
    </w:p>
    <w:p>
      <w:pPr>
        <w:ind w:right="700" w:firstLine="793"/>
        <w:spacing w:after="0" w:line="237" w:lineRule="auto"/>
        <w:rPr>
          <w:sz w:val="20"/>
          <w:szCs w:val="20"/>
          <w:color w:val="auto"/>
        </w:rPr>
      </w:pPr>
      <w:r>
        <w:rPr>
          <w:rFonts w:ascii="Courier New" w:cs="Courier New" w:eastAsia="Courier New" w:hAnsi="Courier New"/>
          <w:sz w:val="15"/>
          <w:szCs w:val="15"/>
          <w:color w:val="auto"/>
        </w:rPr>
        <w:t>Other Income - Net. Other income increased $1,271,000 in 1995, primarily due to higher investable fund balances and higher average interest rates.</w:t>
      </w:r>
    </w:p>
    <w:p>
      <w:pPr>
        <w:spacing w:after="0" w:line="5" w:lineRule="exact"/>
        <w:rPr>
          <w:sz w:val="20"/>
          <w:szCs w:val="20"/>
          <w:color w:val="auto"/>
        </w:rPr>
      </w:pPr>
    </w:p>
    <w:p>
      <w:pPr>
        <w:ind w:right="700" w:firstLine="793"/>
        <w:spacing w:after="0" w:line="237"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1995, primarily due to Foreign Sales Corporation exempted taxable income from increased foreign sales, as well as tax-exempt interest income.</w:t>
      </w:r>
    </w:p>
    <w:p>
      <w:pPr>
        <w:spacing w:after="0" w:line="7" w:lineRule="exact"/>
        <w:rPr>
          <w:sz w:val="20"/>
          <w:szCs w:val="20"/>
          <w:color w:val="auto"/>
        </w:rPr>
      </w:pPr>
    </w:p>
    <w:p>
      <w:pPr>
        <w:ind w:right="600" w:firstLine="793"/>
        <w:spacing w:after="0" w:line="235" w:lineRule="auto"/>
        <w:rPr>
          <w:sz w:val="20"/>
          <w:szCs w:val="20"/>
          <w:color w:val="auto"/>
        </w:rPr>
      </w:pPr>
      <w:r>
        <w:rPr>
          <w:rFonts w:ascii="Courier New" w:cs="Courier New" w:eastAsia="Courier New" w:hAnsi="Courier New"/>
          <w:sz w:val="15"/>
          <w:szCs w:val="15"/>
          <w:color w:val="auto"/>
        </w:rPr>
        <w:t>Net Income. Net income increased by 15%, primarily reflecting the increased sales level, partially offset by decreased margins.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Percentage Change</w:t>
      </w:r>
    </w:p>
    <w:p>
      <w:pPr>
        <w:ind w:left="1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32.1</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w:t>
            </w:r>
          </w:p>
        </w:tc>
      </w:tr>
      <w:tr>
        <w:trPr>
          <w:trHeight w:val="339"/>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67.3</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67.4</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r>
      <w:tr>
        <w:trPr>
          <w:trHeight w:val="170"/>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80" w:space="720"/>
            <w:col w:w="21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1994 TO 1993</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Net Sales. Automotive net sales increased by 55% and mirror shipments increased by 53%, from 1,150,000 in 1993, to 1,760,000 units in 1994, primarily reflecting increased penetration on domestic and foreign vehicles for interior and exterior electrochromic NVS(R) Mirrors. Unit shipments of the Company's fire protection products increased 5% and net sales increased 8%, despite the reduction in strobe shipments to a large customer who is developing its own strobe product.</w:t>
      </w:r>
    </w:p>
    <w:p>
      <w:pPr>
        <w:spacing w:after="0" w:line="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60% to 57%, primarily reflecting the higher sales level covering fixed overhead costs in 1994 and the amortization of capitalized patent litigation costs in 1993.</w:t>
      </w:r>
    </w:p>
    <w:p>
      <w:pPr>
        <w:spacing w:after="0" w:line="7"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$728,000, primarily due to the development of interior NVS(R) Mirrors with additional features, complete mirror systems, and other potential electrochromic products. Selling, general and administrative expenses increased approximately $3,385,000, primarily as a result of sharply higher legal expenses related to ongoing patent litigation suits. Despite the increased patent litigation costs, operating expenses decreased from approximately 18% to 17% as a percentage of net sales as the increased sales outpaced the necessary increase in operating expenses.</w:t>
      </w:r>
    </w:p>
    <w:p>
      <w:pPr>
        <w:spacing w:after="0" w:line="9" w:lineRule="exact"/>
        <w:rPr>
          <w:sz w:val="20"/>
          <w:szCs w:val="20"/>
          <w:color w:val="auto"/>
        </w:rPr>
      </w:pPr>
    </w:p>
    <w:p>
      <w:pPr>
        <w:ind w:right="3619" w:firstLine="793"/>
        <w:spacing w:after="0" w:line="256" w:lineRule="auto"/>
        <w:rPr>
          <w:sz w:val="20"/>
          <w:szCs w:val="20"/>
          <w:color w:val="auto"/>
        </w:rPr>
      </w:pPr>
      <w:r>
        <w:rPr>
          <w:rFonts w:ascii="Courier New" w:cs="Courier New" w:eastAsia="Courier New" w:hAnsi="Courier New"/>
          <w:sz w:val="14"/>
          <w:szCs w:val="14"/>
          <w:color w:val="auto"/>
        </w:rPr>
        <w:t>Other Income - Net. Other income increased $806,000 in 1994, primarily due to rising interest rates and higher investable fund balances.</w:t>
      </w:r>
    </w:p>
    <w:p>
      <w:pPr>
        <w:spacing w:after="0" w:line="1"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1994, primarily due to Foreign Sales Corporation exempted taxable income from increased foreign sales, as well as tax-exempt interest income.</w:t>
      </w:r>
    </w:p>
    <w:p>
      <w:pPr>
        <w:spacing w:after="0" w:line="7"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Net Income. Net income increased by 67%, primarily reflecting the increased sales level and resulting improved margins.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strong. The Company's current ratio decreased from 4.2 to 4.0, primarily as a result of the increases in Accounts Payable and Accrued Professional Fees and Income Taxes.</w:t>
      </w:r>
    </w:p>
    <w:p>
      <w:pPr>
        <w:spacing w:after="0" w:line="7"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The increases in Accounts Receivable and Accounts Payable as of December 31, 1995, reflects the higher sales and production levels during 1995.</w:t>
      </w:r>
    </w:p>
    <w:p>
      <w:pPr>
        <w:ind w:left="780"/>
        <w:spacing w:after="0" w:line="233" w:lineRule="auto"/>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$42,011,000 and long-term investments of approximately $32,146,000 at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1995, together with internally generated cash flow and an unsecured</w:t>
      </w:r>
    </w:p>
    <w:p>
      <w:pPr>
        <w:spacing w:after="0"/>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rPr>
          <w:sz w:val="20"/>
          <w:szCs w:val="20"/>
          <w:color w:val="auto"/>
        </w:rPr>
      </w:pPr>
      <w:r>
        <w:rPr>
          <w:rFonts w:ascii="Courier New" w:cs="Courier New" w:eastAsia="Courier New" w:hAnsi="Courier New"/>
          <w:sz w:val="15"/>
          <w:szCs w:val="15"/>
          <w:color w:val="auto"/>
        </w:rPr>
        <w:t>cash needs for the foreseeable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The Company has agreed to price reductions over the life of its long-term contracts and continues to experience pricing pressures from its automotive customers, which have affected, and which will continue to affect, its margins to the extent that the Company is unable to offset the price reductions with productivity improvements, engineering cost reductions and increases in unit sales volume. In addition, the Company continues to experience some pressure for raw material cost increases.</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The Company currently supplies NVS(R) Mirrors to BMW, Chrysler Corporation, Ford Motor Company and General Motors Corporation under long-term contracts. The BMW long-term contract is through March 31, 1999, and the long-term contract with Chrysler Corporation runs through the 1999 Model Year. The term of the Ford contract is through December 1999, while the GM contract runs through the 1998 Model Year.</w:t>
      </w:r>
    </w:p>
    <w:p>
      <w:pPr>
        <w:spacing w:after="0" w:line="6" w:lineRule="exact"/>
        <w:rPr>
          <w:sz w:val="20"/>
          <w:szCs w:val="20"/>
          <w:color w:val="auto"/>
        </w:rPr>
      </w:pPr>
    </w:p>
    <w:p>
      <w:pPr>
        <w:ind w:right="3780" w:firstLine="793"/>
        <w:spacing w:after="0" w:line="238" w:lineRule="auto"/>
        <w:rPr>
          <w:sz w:val="20"/>
          <w:szCs w:val="20"/>
          <w:color w:val="auto"/>
        </w:rPr>
      </w:pPr>
      <w:r>
        <w:rPr>
          <w:rFonts w:ascii="Courier New" w:cs="Courier New" w:eastAsia="Courier New" w:hAnsi="Courier New"/>
          <w:sz w:val="15"/>
          <w:szCs w:val="15"/>
          <w:color w:val="auto"/>
        </w:rPr>
        <w:t>The total costs to defend the Company in the July 1993, October 1994, and June 1995 suits involving certain patents owned by Donnelly Corporation, will be affected by the duration and activity level, and are not determinable at this time. However, if the current activity level continues, management currently believes that patent litigation expenses will be incurred at the ongoing level of approximately $1,000,000 per quarter. Certain of these suits may be resolved or adjudicated, subject to appeal, within the next year. While management has accrued an estimate of the legal costs it expects to incur in its defense against the Donnelly patents in the reasonably foreseeable future, at this time it is unable to estimate a reasonable range of loss in the event of an unfavorable decision.</w:t>
      </w:r>
    </w:p>
    <w:p>
      <w:pPr>
        <w:spacing w:after="0" w:line="34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ind w:right="3780" w:firstLine="793"/>
        <w:spacing w:after="0" w:line="235" w:lineRule="auto"/>
        <w:rPr>
          <w:sz w:val="20"/>
          <w:szCs w:val="20"/>
          <w:color w:val="auto"/>
        </w:rPr>
      </w:pPr>
      <w:r>
        <w:rPr>
          <w:rFonts w:ascii="Courier New" w:cs="Courier New" w:eastAsia="Courier New" w:hAnsi="Courier New"/>
          <w:sz w:val="15"/>
          <w:szCs w:val="15"/>
          <w:color w:val="auto"/>
        </w:rPr>
        <w:t>The following financial statements are filed with this report as pages 18 through 31 following the signature page: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Consolidated Balance Sheets as of December 31, 1995 and 1994</w:t>
      </w:r>
    </w:p>
    <w:p>
      <w:pPr>
        <w:spacing w:after="0" w:line="175" w:lineRule="exact"/>
        <w:rPr>
          <w:sz w:val="20"/>
          <w:szCs w:val="20"/>
          <w:color w:val="auto"/>
        </w:rPr>
      </w:pPr>
    </w:p>
    <w:p>
      <w:pPr>
        <w:ind w:left="780" w:right="4140"/>
        <w:spacing w:after="0" w:line="235" w:lineRule="auto"/>
        <w:rPr>
          <w:sz w:val="20"/>
          <w:szCs w:val="20"/>
          <w:color w:val="auto"/>
        </w:rPr>
      </w:pPr>
      <w:r>
        <w:rPr>
          <w:rFonts w:ascii="Courier New" w:cs="Courier New" w:eastAsia="Courier New" w:hAnsi="Courier New"/>
          <w:sz w:val="15"/>
          <w:szCs w:val="15"/>
          <w:color w:val="auto"/>
        </w:rPr>
        <w:t>Consolidated Statements of Income for the years ended December 31, 1995, 1994 and 1993</w:t>
      </w:r>
    </w:p>
    <w:p>
      <w:pPr>
        <w:spacing w:after="0" w:line="176" w:lineRule="exact"/>
        <w:rPr>
          <w:sz w:val="20"/>
          <w:szCs w:val="20"/>
          <w:color w:val="auto"/>
        </w:rPr>
      </w:pPr>
    </w:p>
    <w:p>
      <w:pPr>
        <w:ind w:left="780" w:right="4220"/>
        <w:spacing w:after="0" w:line="235"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1995, 1994, and 1993</w:t>
      </w:r>
    </w:p>
    <w:p>
      <w:pPr>
        <w:spacing w:after="0" w:line="176" w:lineRule="exact"/>
        <w:rPr>
          <w:sz w:val="20"/>
          <w:szCs w:val="20"/>
          <w:color w:val="auto"/>
        </w:rPr>
      </w:pPr>
    </w:p>
    <w:p>
      <w:pPr>
        <w:ind w:left="780" w:right="4140"/>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December 31, 1995, 1994 and 1993</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4140"/>
        <w:spacing w:after="0" w:line="235" w:lineRule="auto"/>
        <w:rPr>
          <w:sz w:val="20"/>
          <w:szCs w:val="20"/>
          <w:color w:val="auto"/>
        </w:rPr>
      </w:pPr>
      <w:r>
        <w:rPr>
          <w:rFonts w:ascii="Courier New" w:cs="Courier New" w:eastAsia="Courier New" w:hAnsi="Courier New"/>
          <w:sz w:val="15"/>
          <w:szCs w:val="15"/>
          <w:color w:val="auto"/>
        </w:rPr>
        <w:t>The 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Quarterly Results of Operations</w:t>
      </w:r>
    </w:p>
    <w:p>
      <w:pPr>
        <w:ind w:left="47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First</w:t>
            </w:r>
          </w:p>
        </w:tc>
        <w:tc>
          <w:tcPr>
            <w:tcW w:w="740" w:type="dxa"/>
            <w:vAlign w:val="bottom"/>
          </w:tcPr>
          <w:p>
            <w:pPr>
              <w:spacing w:after="0"/>
              <w:rPr>
                <w:sz w:val="14"/>
                <w:szCs w:val="14"/>
                <w:color w:val="auto"/>
              </w:rPr>
            </w:pPr>
          </w:p>
        </w:tc>
        <w:tc>
          <w:tcPr>
            <w:tcW w:w="142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Second</w:t>
            </w:r>
          </w:p>
        </w:tc>
        <w:tc>
          <w:tcPr>
            <w:tcW w:w="800" w:type="dxa"/>
            <w:vAlign w:val="bottom"/>
          </w:tcPr>
          <w:p>
            <w:pPr>
              <w:spacing w:after="0"/>
              <w:rPr>
                <w:sz w:val="14"/>
                <w:szCs w:val="14"/>
                <w:color w:val="auto"/>
              </w:rPr>
            </w:pP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3"/>
              </w:rPr>
              <w:t>Third</w:t>
            </w:r>
          </w:p>
        </w:tc>
        <w:tc>
          <w:tcPr>
            <w:tcW w:w="820" w:type="dxa"/>
            <w:vAlign w:val="bottom"/>
          </w:tcPr>
          <w:p>
            <w:pPr>
              <w:spacing w:after="0"/>
              <w:rPr>
                <w:sz w:val="14"/>
                <w:szCs w:val="14"/>
                <w:color w:val="auto"/>
              </w:rPr>
            </w:pPr>
          </w:p>
        </w:tc>
        <w:tc>
          <w:tcPr>
            <w:tcW w:w="1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26,043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21,159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26,021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20,709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26,801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23,093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32,702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24,802</w:t>
            </w:r>
          </w:p>
        </w:tc>
      </w:tr>
      <w:tr>
        <w:trPr>
          <w:trHeight w:val="170"/>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4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10,617</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9,235</w:t>
            </w:r>
          </w:p>
        </w:tc>
        <w:tc>
          <w:tcPr>
            <w:tcW w:w="4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10,074</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9,056</w:t>
            </w:r>
          </w:p>
        </w:tc>
        <w:tc>
          <w:tcPr>
            <w:tcW w:w="3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10,420</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9,441</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12,689</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10,712</w:t>
            </w:r>
          </w:p>
        </w:tc>
      </w:tr>
      <w:tr>
        <w:trPr>
          <w:trHeight w:val="170"/>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6,159</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5,831</w:t>
            </w:r>
          </w:p>
        </w:tc>
        <w:tc>
          <w:tcPr>
            <w:tcW w:w="4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5,198</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5,580</w:t>
            </w:r>
          </w:p>
        </w:tc>
        <w:tc>
          <w:tcPr>
            <w:tcW w:w="3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5,987</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5,524</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7,618</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6,037</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46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4,587</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4,102</w:t>
            </w:r>
          </w:p>
        </w:tc>
        <w:tc>
          <w:tcPr>
            <w:tcW w:w="4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3,996</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3,990</w:t>
            </w:r>
          </w:p>
        </w:tc>
        <w:tc>
          <w:tcPr>
            <w:tcW w:w="3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4,578</w:t>
            </w:r>
          </w:p>
        </w:tc>
        <w:tc>
          <w:tcPr>
            <w:tcW w:w="22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3,977</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5,734</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4,397</w:t>
            </w:r>
          </w:p>
        </w:tc>
      </w:tr>
      <w:tr>
        <w:trPr>
          <w:trHeight w:val="170"/>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780"/>
        <w:spacing w:after="0" w:line="235"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740"/>
          </w:cols>
          <w:pgMar w:left="240" w:top="283" w:right="91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1996 Annual Meeting of Shareholders and filed with the Commission is hereby incorporated herein by reference. Information concerning compliance with Section 16(a) of the Securities and Exchange Act of 1934 appearing under the caption "Compliance with Reporting Requirements" in the definitive Proxy Statement for the 1996 Annual Meeting of Shareholders and filed with the Commission is hereby incorporated herein by reference.</w:t>
      </w:r>
    </w:p>
    <w:p>
      <w:pPr>
        <w:spacing w:after="0" w:line="17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1996 Annual Meeting of Shareholders and filed with the Commission is hereby incorporated herein by reference.</w:t>
      </w:r>
    </w:p>
    <w:p>
      <w:pPr>
        <w:spacing w:after="0" w:line="176" w:lineRule="exact"/>
        <w:rPr>
          <w:sz w:val="20"/>
          <w:szCs w:val="20"/>
          <w:color w:val="auto"/>
        </w:rPr>
      </w:pPr>
    </w:p>
    <w:p>
      <w:pPr>
        <w:ind w:left="780" w:right="335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The information contained under the captions "Securities Ownership of</w:t>
      </w:r>
    </w:p>
    <w:p>
      <w:pPr>
        <w:spacing w:after="0" w:line="6"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Management" and "Securities Ownership of Certain Beneficial Owners" contained in the definitive Proxy Statement for the 1996 Annual Meeting of Shareholders and filed with the Commission is hereby incorporated herein by reference.</w:t>
      </w:r>
    </w:p>
    <w:p>
      <w:pPr>
        <w:spacing w:after="0" w:line="15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1996 Annual Meeting of Shareholders and filed with the Commission is hereby incorporated herein by reference.</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ind w:left="1480" w:hanging="696"/>
        <w:spacing w:after="0"/>
        <w:tabs>
          <w:tab w:leader="none" w:pos="14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168" w:lineRule="exact"/>
        <w:rPr>
          <w:rFonts w:ascii="Courier New" w:cs="Courier New" w:eastAsia="Courier New" w:hAnsi="Courier New"/>
          <w:sz w:val="15"/>
          <w:szCs w:val="15"/>
          <w:color w:val="auto"/>
        </w:rPr>
      </w:pPr>
    </w:p>
    <w:p>
      <w:pPr>
        <w:ind w:left="1840" w:hanging="351"/>
        <w:spacing w:after="0"/>
        <w:tabs>
          <w:tab w:leader="none" w:pos="18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applicable.</w:t>
      </w:r>
    </w:p>
    <w:p>
      <w:pPr>
        <w:spacing w:after="0" w:line="169" w:lineRule="exact"/>
        <w:rPr>
          <w:rFonts w:ascii="Courier New" w:cs="Courier New" w:eastAsia="Courier New" w:hAnsi="Courier New"/>
          <w:sz w:val="15"/>
          <w:szCs w:val="15"/>
          <w:color w:val="auto"/>
        </w:rPr>
      </w:pPr>
    </w:p>
    <w:p>
      <w:pPr>
        <w:ind w:left="1840" w:hanging="351"/>
        <w:spacing w:after="0"/>
        <w:tabs>
          <w:tab w:leader="none" w:pos="18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r>
        <w:rPr>
          <w:rFonts w:ascii="Courier New" w:cs="Courier New" w:eastAsia="Courier New" w:hAnsi="Courier New"/>
          <w:sz w:val="14"/>
          <w:szCs w:val="14"/>
          <w:color w:val="auto"/>
        </w:rPr>
        <w:t>See Exhibit Index located on page 32.</w:t>
      </w:r>
    </w:p>
    <w:p>
      <w:pPr>
        <w:spacing w:after="0" w:line="174" w:lineRule="exact"/>
        <w:rPr>
          <w:rFonts w:ascii="Courier New" w:cs="Courier New" w:eastAsia="Courier New" w:hAnsi="Courier New"/>
          <w:sz w:val="15"/>
          <w:szCs w:val="15"/>
          <w:color w:val="auto"/>
        </w:rPr>
      </w:pPr>
    </w:p>
    <w:p>
      <w:pPr>
        <w:ind w:right="3439" w:firstLine="784"/>
        <w:spacing w:after="0" w:line="235" w:lineRule="auto"/>
        <w:tabs>
          <w:tab w:leader="none" w:pos="149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for the three-month period ended December 31, 1995.</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left="10" w:right="3359" w:firstLine="793"/>
        <w:spacing w:after="0" w:line="237"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this behalf by the undersigned thereunto duly authorized.</w:t>
      </w:r>
    </w:p>
    <w:p>
      <w:pPr>
        <w:sectPr>
          <w:pgSz w:w="11900" w:h="16838" w:orient="portrait"/>
          <w:cols w:equalWidth="0" w:num="1">
            <w:col w:w="10229"/>
          </w:cols>
          <w:pgMar w:left="230" w:top="283" w:right="1440" w:bottom="1440" w:gutter="0" w:footer="0" w:header="0"/>
        </w:sectPr>
      </w:pP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March 8, 1996</w:t>
      </w: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69" w:lineRule="exact"/>
        <w:rPr>
          <w:sz w:val="20"/>
          <w:szCs w:val="20"/>
          <w:color w:val="auto"/>
        </w:rPr>
      </w:pPr>
    </w:p>
    <w:p>
      <w:pPr>
        <w:sectPr>
          <w:pgSz w:w="11900" w:h="16838" w:orient="portrait"/>
          <w:cols w:equalWidth="0" w:num="2">
            <w:col w:w="1850" w:space="260"/>
            <w:col w:w="8119"/>
          </w:cols>
          <w:pgMar w:left="230" w:top="283" w:right="1440" w:bottom="1440" w:gutter="0" w:footer="0" w:header="0"/>
          <w:type w:val="continuous"/>
        </w:sectPr>
      </w:pPr>
    </w:p>
    <w:p>
      <w:pPr>
        <w:spacing w:after="0" w:line="144"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Fred Bauer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 Bauer, Chairman and Principal Executive Officer</w:t>
      </w:r>
    </w:p>
    <w:p>
      <w:pPr>
        <w:spacing w:after="0" w:line="200" w:lineRule="exact"/>
        <w:rPr>
          <w:sz w:val="20"/>
          <w:szCs w:val="20"/>
          <w:color w:val="auto"/>
        </w:rPr>
      </w:pPr>
    </w:p>
    <w:p>
      <w:pPr>
        <w:sectPr>
          <w:pgSz w:w="11900" w:h="16838" w:orient="portrait"/>
          <w:cols w:equalWidth="0" w:num="2">
            <w:col w:w="2390" w:space="0"/>
            <w:col w:w="7839"/>
          </w:cols>
          <w:pgMar w:left="230" w:top="283" w:right="1440" w:bottom="1440" w:gutter="0" w:footer="0" w:header="0"/>
          <w:type w:val="continuous"/>
        </w:sectPr>
      </w:pPr>
    </w:p>
    <w:p>
      <w:pPr>
        <w:spacing w:after="0" w:line="144"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and</w:t>
      </w:r>
    </w:p>
    <w:p>
      <w:pPr>
        <w:spacing w:after="0" w:line="33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/s/ Enoch Jen</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Enoch Jen, Vice President, Finance and Principal</w:t>
      </w:r>
    </w:p>
    <w:p>
      <w:pPr>
        <w:ind w:left="2390"/>
        <w:spacing w:after="0"/>
        <w:rPr>
          <w:sz w:val="20"/>
          <w:szCs w:val="20"/>
          <w:color w:val="auto"/>
        </w:rPr>
      </w:pPr>
      <w:r>
        <w:rPr>
          <w:rFonts w:ascii="Courier New" w:cs="Courier New" w:eastAsia="Courier New" w:hAnsi="Courier New"/>
          <w:sz w:val="15"/>
          <w:szCs w:val="15"/>
          <w:color w:val="auto"/>
        </w:rPr>
        <w:t>Financial and Accounting Officer</w:t>
      </w:r>
    </w:p>
    <w:p>
      <w:pPr>
        <w:sectPr>
          <w:pgSz w:w="11900" w:h="16838" w:orient="portrait"/>
          <w:cols w:equalWidth="0" w:num="1">
            <w:col w:w="10229"/>
          </w:cols>
          <w:pgMar w:left="230" w:top="283"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10" w:right="3359" w:firstLine="793"/>
        <w:spacing w:after="0" w:line="26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8th day of March, 1996, by the following persons on behalf of the Registrant and in the capacities indicated.</w:t>
      </w:r>
    </w:p>
    <w:p>
      <w:pPr>
        <w:spacing w:after="0" w:line="163"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Kenneth_La_Grand, each of them individually, as his attorney-in-fact to sign in his name and on his behalf, and to file with the Commission any and all amendments to this report on Form 10-K to the same extent and with the same effect as if done personally.</w:t>
      </w:r>
    </w:p>
    <w:p>
      <w:pPr>
        <w:spacing w:after="0" w:line="200" w:lineRule="exact"/>
        <w:rPr>
          <w:sz w:val="20"/>
          <w:szCs w:val="20"/>
          <w:color w:val="auto"/>
        </w:rPr>
      </w:pPr>
    </w:p>
    <w:p>
      <w:pPr>
        <w:spacing w:after="0" w:line="312"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Harlan Byker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Harlan Byker</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38"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38" w:lineRule="exact"/>
        <w:rPr>
          <w:sz w:val="20"/>
          <w:szCs w:val="20"/>
          <w:color w:val="auto"/>
        </w:rPr>
      </w:pPr>
    </w:p>
    <w:p>
      <w:pPr>
        <w:ind w:left="270"/>
        <w:spacing w:after="0"/>
        <w:tabs>
          <w:tab w:leader="none" w:pos="2369"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Gentex Corporation:</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 Michigan corporation) and subsidiaries as of December 31, 1995 and 1994, and the related consolidated statements of income, shareholders' investment and cash flows for each of the three years in the period ended December 31, 1995. These financial statements are the responsibility of the Company's management. Our responsibility is to express an opinion on these financial statements based on our audits.</w:t>
      </w:r>
    </w:p>
    <w:p>
      <w:pPr>
        <w:spacing w:after="0" w:line="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Gentex Corporation and subsidiaries as of December 31, 1995 and 1994, and the results of their operations and their cash flows for each of the three years in the period ended December 31, 1995,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 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24, 1996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jc w:val="center"/>
        <w:ind w:right="343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 OF DECEMBER 31,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$14,115,041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$11,183,991</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20,162,189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8,146,964</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less allowance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of $175,000 for 1995 and 1994</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14,706,156</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11,086,980</w:t>
            </w:r>
          </w:p>
        </w:tc>
      </w:tr>
      <w:tr>
        <w:trPr>
          <w:trHeight w:val="170"/>
        </w:trPr>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5,735,519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5,303,552</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1,342,640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963,765</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56,061,545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36,685,252</w:t>
            </w:r>
          </w:p>
        </w:tc>
      </w:tr>
      <w:tr>
        <w:trPr>
          <w:trHeight w:val="509"/>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PLANT AND EQUIPMENT:</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Land, building and improvements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8,975,233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8,236,978</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20,233,537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16,073,195</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Construction-in-process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2,008,235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2,134,168</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31,217,005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26,444,341</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Less-Accumulated depreciation</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and amortization</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(12,274,890)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(9,271,818)</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18,942,115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17,172,523</w:t>
            </w:r>
          </w:p>
        </w:tc>
      </w:tr>
      <w:tr>
        <w:trPr>
          <w:trHeight w:val="509"/>
        </w:trPr>
        <w:tc>
          <w:tcPr>
            <w:tcW w:w="1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Long-term investments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32,146,422</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26,282,085</w:t>
            </w: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Patents and other assets, net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2,093,439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598,918</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34,239,861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26,881,003</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$109,243,521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$80,738,778</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LIABILITIES AND SHAREHOLDERS' INVESTMENT</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9"/>
        </w:trPr>
        <w:tc>
          <w:tcPr>
            <w:tcW w:w="4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 LIABILITIES: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$5,422,658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$4,115,391</w:t>
            </w:r>
          </w:p>
        </w:tc>
      </w:tr>
      <w:tr>
        <w:trPr>
          <w:trHeight w:val="170"/>
        </w:trPr>
        <w:tc>
          <w:tcPr>
            <w:tcW w:w="4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Salaries, wages and vacation</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894,125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755,383</w:t>
            </w:r>
          </w:p>
        </w:tc>
      </w:tr>
      <w:tr>
        <w:trPr>
          <w:trHeight w:val="170"/>
        </w:trPr>
        <w:tc>
          <w:tcPr>
            <w:tcW w:w="4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Professional fees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3,985,761</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3,094,823</w:t>
            </w: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Taxes</w:t>
            </w: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3,009,121</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421,413</w:t>
            </w: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738,402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598,616</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Total current liabilities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14,050,067</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8,985,626</w:t>
            </w:r>
          </w:p>
        </w:tc>
      </w:tr>
      <w:tr>
        <w:trPr>
          <w:trHeight w:val="339"/>
        </w:trPr>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DEFERRED INCOME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521,674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377,691</w:t>
            </w:r>
          </w:p>
        </w:tc>
      </w:tr>
      <w:tr>
        <w:trPr>
          <w:trHeight w:val="339"/>
        </w:trPr>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CONTINGENCIES</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(Note 8)</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9"/>
        </w:trPr>
        <w:tc>
          <w:tcPr>
            <w:tcW w:w="4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SHAREHOLDERS' INVESTMENT:</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Preferred stock, no par value,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5,000,000 shares authorized; none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issued or outstanding</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Common stock, par value $.06 per share;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1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25,000,000 shares authorized</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1,013,752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990,569</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37,128,320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31,875,455</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58,305,081</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39,409,938</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(1,721,684)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(899,136)</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Unrealized loss on investments</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(44,485)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Cumulative translation adjustment</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(9,204)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Total shareholders' investment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94,671,780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71,375,461</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$109,243,521</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$80,738,778</w:t>
            </w:r>
          </w:p>
        </w:tc>
      </w:tr>
      <w:tr>
        <w:trPr>
          <w:trHeight w:val="170"/>
        </w:trPr>
        <w:tc>
          <w:tcPr>
            <w:tcW w:w="1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283" w:right="1440" w:bottom="1440" w:gutter="0" w:footer="0" w:header="0"/>
        </w:sectPr>
      </w:pPr>
    </w:p>
    <w:p>
      <w:pPr>
        <w:spacing w:after="0" w:line="34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19"/>
          </w:cols>
          <w:pgMar w:left="240" w:top="28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1995,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$111,566,225</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$89,762,349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$63,663,956</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67,767,347</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51,318,972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38,451,614</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Gross profit</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43,798,878</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38,443,377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25,212,342</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5,957,966</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4,903,887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4,175,903</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12,878,790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10,567,292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7,182,000</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18,836,756</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15,471,179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11,357,903</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24,962,122</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22,972,198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13,854,439</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Interest and dividend income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2,863,730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1,612,354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886,967</w:t>
            </w: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105,291</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85,465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4,354</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2,969,021</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1,697,819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891,321</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Income before provision</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ind w:left="1040"/>
              <w:spacing w:after="0"/>
              <w:rPr>
                <w:sz w:val="20"/>
                <w:szCs w:val="20"/>
                <w:color w:val="auto"/>
              </w:rPr>
            </w:pPr>
            <w:r>
              <w:rPr>
                <w:rFonts w:ascii="Courier New" w:cs="Courier New" w:eastAsia="Courier New" w:hAnsi="Courier New"/>
                <w:sz w:val="15"/>
                <w:szCs w:val="15"/>
                <w:color w:val="auto"/>
              </w:rPr>
              <w:t>for federal income taxes</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27,931,143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24,670,017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14,745,760</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PROVISION FOR FEDERAL INCOME TAXES</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9,036,000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8,204,000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4,901,000</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$18,895,143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$16,466,017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$9,844,760</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$0.59</w:t>
            </w:r>
          </w:p>
        </w:tc>
      </w:tr>
      <w:tr>
        <w:trPr>
          <w:trHeight w:val="170"/>
        </w:trPr>
        <w:tc>
          <w:tcPr>
            <w:tcW w:w="382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jc w:val="center"/>
        <w:ind w:right="327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FOR THE YEARS ENDED DECEMBER 31, 1995,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Retained</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Shares</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7,938,683</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$476,321</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$23,034,663</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$13,099,161</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Issuance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239,219</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14,353</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3,712,668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Stock split</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8,033,889</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482,033</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(482,033)</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9,844,760</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1993</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16,211,791</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972,707</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26,265,298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22,943,921</w:t>
            </w:r>
          </w:p>
        </w:tc>
      </w:tr>
      <w:tr>
        <w:trPr>
          <w:trHeight w:val="339"/>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297,685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17,862</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5,610,157</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Current year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16,466,017</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16,509,476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990,569</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31,875,455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39,409,938</w:t>
            </w:r>
          </w:p>
        </w:tc>
      </w:tr>
      <w:tr>
        <w:trPr>
          <w:trHeight w:val="339"/>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386,383</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23,183</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5,252,865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Current year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Unrealized loss on investments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18,895,143</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16,895,859</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$1,013,752</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$37,128,320</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$58,305,081</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1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Cumulative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Deferred</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Translation</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Compensation</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Ivestments</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Adjustment</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Investment</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1992</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(1,160,472)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$35,449,673</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Issuance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3,727,021</w:t>
            </w:r>
          </w:p>
        </w:tc>
      </w:tr>
      <w:tr>
        <w:trPr>
          <w:trHeight w:val="170"/>
        </w:trPr>
        <w:tc>
          <w:tcPr>
            <w:tcW w:w="4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525,590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525,590</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Stock split</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9,844,760</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(634,882)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49,547,044</w:t>
            </w:r>
          </w:p>
        </w:tc>
      </w:tr>
      <w:tr>
        <w:trPr>
          <w:trHeight w:val="339"/>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(605,250)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5,022,769</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340,996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340,996</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Current year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170"/>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16,466,017</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1994</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(899,136)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71,375,461</w:t>
            </w:r>
          </w:p>
        </w:tc>
      </w:tr>
      <w:tr>
        <w:trPr>
          <w:trHeight w:val="339"/>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4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(1,159,975)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4,116,073</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of deferred compensation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337,427</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337,427</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Current year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(7,839)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(7,839)</w:t>
            </w:r>
          </w:p>
        </w:tc>
      </w:tr>
      <w:tr>
        <w:trPr>
          <w:trHeight w:val="170"/>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Unrealized loss on investments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(44,485)</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(44,485)</w:t>
            </w:r>
          </w:p>
        </w:tc>
      </w:tr>
      <w:tr>
        <w:trPr>
          <w:trHeight w:val="170"/>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18,895,143</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$(1,721,684)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$(44,485)</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$(9,204)</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$94,671,780</w:t>
            </w:r>
          </w:p>
        </w:tc>
      </w:tr>
      <w:tr>
        <w:trPr>
          <w:trHeight w:val="170"/>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283" w:right="1440" w:bottom="0" w:gutter="0" w:footer="0" w:header="0"/>
          <w:type w:val="continuous"/>
        </w:sectPr>
      </w:pPr>
    </w:p>
    <w:bookmarkStart w:id="21" w:name="page22"/>
    <w:bookmarkEnd w:id="21"/>
    <w:p>
      <w:pPr>
        <w:ind w:left="21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650"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FOR THE YEARS ENDED DECEMBER 31, 1995, 1994, AND 1993</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$18,895,143</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$16,466,017</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$9,844,760</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1040"/>
              <w:spacing w:after="0"/>
              <w:rPr>
                <w:sz w:val="20"/>
                <w:szCs w:val="20"/>
                <w:color w:val="auto"/>
              </w:rPr>
            </w:pPr>
            <w:r>
              <w:rPr>
                <w:rFonts w:ascii="Courier New" w:cs="Courier New" w:eastAsia="Courier New" w:hAnsi="Courier New"/>
                <w:sz w:val="15"/>
                <w:szCs w:val="15"/>
                <w:color w:val="auto"/>
              </w:rPr>
              <w:t>cash provided by operating activities-</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1480"/>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3,201,847</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2,984,124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4,041,160</w:t>
            </w:r>
          </w:p>
        </w:tc>
      </w:tr>
      <w:tr>
        <w:trPr>
          <w:trHeight w:val="170"/>
        </w:trPr>
        <w:tc>
          <w:tcPr>
            <w:tcW w:w="4880" w:type="dxa"/>
            <w:vAlign w:val="bottom"/>
          </w:tcPr>
          <w:p>
            <w:pPr>
              <w:ind w:left="1480"/>
              <w:spacing w:after="0"/>
              <w:rPr>
                <w:sz w:val="20"/>
                <w:szCs w:val="20"/>
                <w:color w:val="auto"/>
              </w:rPr>
            </w:pPr>
            <w:r>
              <w:rPr>
                <w:rFonts w:ascii="Courier New" w:cs="Courier New" w:eastAsia="Courier New" w:hAnsi="Courier New"/>
                <w:sz w:val="15"/>
                <w:szCs w:val="15"/>
                <w:color w:val="auto"/>
              </w:rPr>
              <w:t>Loss (gain) on disposal of equipment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11,937</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(19,770)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68,397</w:t>
            </w:r>
          </w:p>
        </w:tc>
      </w:tr>
      <w:tr>
        <w:trPr>
          <w:trHeight w:val="170"/>
        </w:trPr>
        <w:tc>
          <w:tcPr>
            <w:tcW w:w="4880" w:type="dxa"/>
            <w:vAlign w:val="bottom"/>
          </w:tcPr>
          <w:p>
            <w:pPr>
              <w:ind w:left="1480"/>
              <w:spacing w:after="0"/>
              <w:rPr>
                <w:sz w:val="20"/>
                <w:szCs w:val="20"/>
                <w:color w:val="auto"/>
              </w:rPr>
            </w:pPr>
            <w:r>
              <w:rPr>
                <w:rFonts w:ascii="Courier New" w:cs="Courier New" w:eastAsia="Courier New" w:hAnsi="Courier New"/>
                <w:sz w:val="15"/>
                <w:szCs w:val="15"/>
                <w:color w:val="auto"/>
              </w:rPr>
              <w:t>Deferred income taxes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(142,930)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294,892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(1,230,015)</w:t>
            </w:r>
          </w:p>
        </w:tc>
      </w:tr>
      <w:tr>
        <w:trPr>
          <w:trHeight w:val="170"/>
        </w:trPr>
        <w:tc>
          <w:tcPr>
            <w:tcW w:w="4880" w:type="dxa"/>
            <w:vAlign w:val="bottom"/>
          </w:tcPr>
          <w:p>
            <w:pPr>
              <w:ind w:left="1480"/>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337,427</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340,996</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525,590</w:t>
            </w:r>
          </w:p>
        </w:tc>
      </w:tr>
      <w:tr>
        <w:trPr>
          <w:trHeight w:val="170"/>
        </w:trPr>
        <w:tc>
          <w:tcPr>
            <w:tcW w:w="4880" w:type="dxa"/>
            <w:vAlign w:val="bottom"/>
          </w:tcPr>
          <w:p>
            <w:pPr>
              <w:ind w:left="1480"/>
              <w:spacing w:after="0"/>
              <w:rPr>
                <w:sz w:val="20"/>
                <w:szCs w:val="20"/>
                <w:color w:val="auto"/>
              </w:rPr>
            </w:pPr>
            <w:r>
              <w:rPr>
                <w:rFonts w:ascii="Courier New" w:cs="Courier New" w:eastAsia="Courier New" w:hAnsi="Courier New"/>
                <w:sz w:val="15"/>
                <w:szCs w:val="15"/>
                <w:color w:val="auto"/>
              </w:rPr>
              <w:t>Change in assets and liabilities:</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1840"/>
              <w:spacing w:after="0"/>
              <w:rPr>
                <w:sz w:val="20"/>
                <w:szCs w:val="20"/>
                <w:color w:val="auto"/>
              </w:rPr>
            </w:pPr>
            <w:r>
              <w:rPr>
                <w:rFonts w:ascii="Courier New" w:cs="Courier New" w:eastAsia="Courier New" w:hAnsi="Courier New"/>
                <w:sz w:val="15"/>
                <w:szCs w:val="15"/>
                <w:color w:val="auto"/>
              </w:rPr>
              <w:t>Accounts receivable, net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(3,619,176)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(2,160,573)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(3,418,966)</w:t>
            </w:r>
          </w:p>
        </w:tc>
      </w:tr>
      <w:tr>
        <w:trPr>
          <w:trHeight w:val="170"/>
        </w:trPr>
        <w:tc>
          <w:tcPr>
            <w:tcW w:w="4880" w:type="dxa"/>
            <w:vAlign w:val="bottom"/>
          </w:tcPr>
          <w:p>
            <w:pPr>
              <w:ind w:left="1840"/>
              <w:spacing w:after="0"/>
              <w:rPr>
                <w:sz w:val="20"/>
                <w:szCs w:val="20"/>
                <w:color w:val="auto"/>
              </w:rPr>
            </w:pPr>
            <w:r>
              <w:rPr>
                <w:rFonts w:ascii="Courier New" w:cs="Courier New" w:eastAsia="Courier New" w:hAnsi="Courier New"/>
                <w:sz w:val="15"/>
                <w:szCs w:val="15"/>
                <w:color w:val="auto"/>
              </w:rPr>
              <w:t>Inventories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(431,967)</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(1,349,411)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81,609</w:t>
            </w:r>
          </w:p>
        </w:tc>
      </w:tr>
      <w:tr>
        <w:trPr>
          <w:trHeight w:val="170"/>
        </w:trPr>
        <w:tc>
          <w:tcPr>
            <w:tcW w:w="4880" w:type="dxa"/>
            <w:vAlign w:val="bottom"/>
          </w:tcPr>
          <w:p>
            <w:pPr>
              <w:ind w:left="1840"/>
              <w:spacing w:after="0"/>
              <w:rPr>
                <w:sz w:val="20"/>
                <w:szCs w:val="20"/>
                <w:color w:val="auto"/>
              </w:rPr>
            </w:pPr>
            <w:r>
              <w:rPr>
                <w:rFonts w:ascii="Courier New" w:cs="Courier New" w:eastAsia="Courier New" w:hAnsi="Courier New"/>
                <w:sz w:val="15"/>
                <w:szCs w:val="15"/>
                <w:color w:val="auto"/>
              </w:rPr>
              <w:t>Prepaid expenses and other</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(91,962)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(115,948)</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219,995</w:t>
            </w:r>
          </w:p>
        </w:tc>
      </w:tr>
      <w:tr>
        <w:trPr>
          <w:trHeight w:val="170"/>
        </w:trPr>
        <w:tc>
          <w:tcPr>
            <w:tcW w:w="4880" w:type="dxa"/>
            <w:vAlign w:val="bottom"/>
          </w:tcPr>
          <w:p>
            <w:pPr>
              <w:ind w:left="1840"/>
              <w:spacing w:after="0"/>
              <w:rPr>
                <w:sz w:val="20"/>
                <w:szCs w:val="20"/>
                <w:color w:val="auto"/>
              </w:rPr>
            </w:pPr>
            <w:r>
              <w:rPr>
                <w:rFonts w:ascii="Courier New" w:cs="Courier New" w:eastAsia="Courier New" w:hAnsi="Courier New"/>
                <w:sz w:val="15"/>
                <w:szCs w:val="15"/>
                <w:color w:val="auto"/>
              </w:rPr>
              <w:t>Accounts payable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1,307,267</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1,880,630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80,627</w:t>
            </w:r>
          </w:p>
        </w:tc>
      </w:tr>
      <w:tr>
        <w:trPr>
          <w:trHeight w:val="170"/>
        </w:trPr>
        <w:tc>
          <w:tcPr>
            <w:tcW w:w="4880" w:type="dxa"/>
            <w:vAlign w:val="bottom"/>
          </w:tcPr>
          <w:p>
            <w:pPr>
              <w:ind w:left="1840"/>
              <w:spacing w:after="0"/>
              <w:rPr>
                <w:sz w:val="20"/>
                <w:szCs w:val="20"/>
                <w:color w:val="auto"/>
              </w:rPr>
            </w:pPr>
            <w:r>
              <w:rPr>
                <w:rFonts w:ascii="Courier New" w:cs="Courier New" w:eastAsia="Courier New" w:hAnsi="Courier New"/>
                <w:sz w:val="15"/>
                <w:szCs w:val="15"/>
                <w:color w:val="auto"/>
              </w:rPr>
              <w:t>Accrued liabilities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3,757,174</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1,575,304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205,274</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2460"/>
              <w:spacing w:after="0"/>
              <w:rPr>
                <w:sz w:val="20"/>
                <w:szCs w:val="20"/>
                <w:color w:val="auto"/>
              </w:rPr>
            </w:pPr>
            <w:r>
              <w:rPr>
                <w:rFonts w:ascii="Courier New" w:cs="Courier New" w:eastAsia="Courier New" w:hAnsi="Courier New"/>
                <w:sz w:val="15"/>
                <w:szCs w:val="15"/>
                <w:color w:val="auto"/>
              </w:rPr>
              <w:t>Net cash provided by</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2720"/>
              <w:spacing w:after="0"/>
              <w:rPr>
                <w:sz w:val="20"/>
                <w:szCs w:val="20"/>
                <w:color w:val="auto"/>
              </w:rPr>
            </w:pPr>
            <w:r>
              <w:rPr>
                <w:rFonts w:ascii="Courier New" w:cs="Courier New" w:eastAsia="Courier New" w:hAnsi="Courier New"/>
                <w:sz w:val="15"/>
                <w:szCs w:val="15"/>
                <w:color w:val="auto"/>
              </w:rPr>
              <w:t>operating activities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23,224,760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19,896,261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10,418,431</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Activity in Held-To-Maturity Securities</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Sales Proceeds</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242,856</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Maturities and Calls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12,696,750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8,799,355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7,304,595</w:t>
            </w: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Purchases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(30,170,062)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(23,827,197)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(17,680,175)</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Activity in Available-For-Sale Securities</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Sales Proceeds</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1,295,615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114,170</w:t>
            </w: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Purchases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(450,735)</w:t>
            </w: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Plant and equipment additions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(4,861,930)</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(6,160,481)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(3,393,383)</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7,450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42,270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Settlement of litigation</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3,600,000</w:t>
            </w: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Increase in other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(1,631,256)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(106,987)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(2,170,846)</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2460"/>
              <w:spacing w:after="0"/>
              <w:rPr>
                <w:sz w:val="20"/>
                <w:szCs w:val="20"/>
                <w:color w:val="auto"/>
              </w:rPr>
            </w:pPr>
            <w:r>
              <w:rPr>
                <w:rFonts w:ascii="Courier New" w:cs="Courier New" w:eastAsia="Courier New" w:hAnsi="Courier New"/>
                <w:sz w:val="15"/>
                <w:szCs w:val="15"/>
                <w:color w:val="auto"/>
              </w:rPr>
              <w:t>Net cash used for</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2720"/>
              <w:spacing w:after="0"/>
              <w:rPr>
                <w:sz w:val="20"/>
                <w:szCs w:val="20"/>
                <w:color w:val="auto"/>
              </w:rPr>
            </w:pPr>
            <w:r>
              <w:rPr>
                <w:rFonts w:ascii="Courier New" w:cs="Courier New" w:eastAsia="Courier New" w:hAnsi="Courier New"/>
                <w:sz w:val="15"/>
                <w:szCs w:val="15"/>
                <w:color w:val="auto"/>
              </w:rPr>
              <w:t>investing activities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(24,409,783)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(19,714,569)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(12,219,639)</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Issuance of common stock and tax benefit of</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stock plan transactions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4,116,073</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5,022,769</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3,727,021</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2460"/>
              <w:spacing w:after="0"/>
              <w:rPr>
                <w:sz w:val="20"/>
                <w:szCs w:val="20"/>
                <w:color w:val="auto"/>
              </w:rPr>
            </w:pPr>
            <w:r>
              <w:rPr>
                <w:rFonts w:ascii="Courier New" w:cs="Courier New" w:eastAsia="Courier New" w:hAnsi="Courier New"/>
                <w:sz w:val="15"/>
                <w:szCs w:val="15"/>
                <w:color w:val="auto"/>
              </w:rPr>
              <w:t>Net cash provided by</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2720"/>
              <w:spacing w:after="0"/>
              <w:rPr>
                <w:sz w:val="20"/>
                <w:szCs w:val="20"/>
                <w:color w:val="auto"/>
              </w:rPr>
            </w:pPr>
            <w:r>
              <w:rPr>
                <w:rFonts w:ascii="Courier New" w:cs="Courier New" w:eastAsia="Courier New" w:hAnsi="Courier New"/>
                <w:sz w:val="15"/>
                <w:szCs w:val="15"/>
                <w:color w:val="auto"/>
              </w:rPr>
              <w:t>financing activities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4,116,073</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5,022,769</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3,727,021</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CASH EQUIVALENTS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2,931,050</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5,204,461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1,925,813</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beginning of year</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11,183,991</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5,979,530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4,053,717</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end of year</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$14,115,041</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$11,183,991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$5,979,530</w:t>
            </w:r>
          </w:p>
        </w:tc>
      </w:tr>
      <w:tr>
        <w:trPr>
          <w:trHeight w:val="170"/>
        </w:trPr>
        <w:tc>
          <w:tcPr>
            <w:tcW w:w="48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790" w:right="1740" w:hanging="790"/>
        <w:spacing w:after="0" w:line="235" w:lineRule="auto"/>
        <w:tabs>
          <w:tab w:leader="none" w:pos="7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76" w:lineRule="exact"/>
        <w:rPr>
          <w:sz w:val="20"/>
          <w:szCs w:val="20"/>
          <w:color w:val="auto"/>
        </w:rPr>
      </w:pPr>
    </w:p>
    <w:p>
      <w:pPr>
        <w:ind w:left="1050" w:right="420" w:hanging="264"/>
        <w:spacing w:after="0" w:line="257" w:lineRule="auto"/>
        <w:rPr>
          <w:sz w:val="20"/>
          <w:szCs w:val="20"/>
          <w:color w:val="auto"/>
        </w:rPr>
      </w:pPr>
      <w:r>
        <w:rPr>
          <w:rFonts w:ascii="Courier New" w:cs="Courier New" w:eastAsia="Courier New" w:hAnsi="Courier New"/>
          <w:sz w:val="14"/>
          <w:szCs w:val="14"/>
          <w:color w:val="auto"/>
        </w:rPr>
        <w:t>Gentex Corporation designs, develops, manufactures and markets two proprietary electro-optical product lines: automatic rearview mirrors for the automotive industry and fire protection products for the commercial building industry. A substantial portion of the Company's net sales and accounts receivable result from transactions with domestic and foreign automotive manufacturers. The Company's fire protection products are primarily sold to domestic distributors and original equipment manufacturers of fire and security systems.</w:t>
      </w:r>
    </w:p>
    <w:p>
      <w:pPr>
        <w:spacing w:after="0" w:line="167" w:lineRule="exact"/>
        <w:rPr>
          <w:sz w:val="20"/>
          <w:szCs w:val="20"/>
          <w:color w:val="auto"/>
        </w:rPr>
      </w:pPr>
    </w:p>
    <w:p>
      <w:pPr>
        <w:ind w:left="1050" w:right="420" w:hanging="175"/>
        <w:spacing w:after="0" w:line="235" w:lineRule="auto"/>
        <w:rPr>
          <w:sz w:val="20"/>
          <w:szCs w:val="20"/>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0"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Consolidation</w:t>
      </w:r>
    </w:p>
    <w:p>
      <w:pPr>
        <w:spacing w:after="0" w:line="175" w:lineRule="exact"/>
        <w:rPr>
          <w:sz w:val="20"/>
          <w:szCs w:val="20"/>
          <w:color w:val="auto"/>
        </w:rPr>
      </w:pPr>
    </w:p>
    <w:p>
      <w:pPr>
        <w:ind w:left="1050" w:right="500" w:hanging="175"/>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71"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Cash Equivalents</w:t>
      </w:r>
    </w:p>
    <w:p>
      <w:pPr>
        <w:ind w:left="890"/>
        <w:spacing w:after="0"/>
        <w:rPr>
          <w:sz w:val="20"/>
          <w:szCs w:val="20"/>
          <w:color w:val="auto"/>
        </w:rPr>
      </w:pPr>
      <w:r>
        <w:rPr>
          <w:rFonts w:ascii="Courier New" w:cs="Courier New" w:eastAsia="Courier New" w:hAnsi="Courier New"/>
          <w:sz w:val="15"/>
          <w:szCs w:val="15"/>
          <w:color w:val="auto"/>
        </w:rPr>
        <w:t>Cash equivalents consist of funds invested in money market accounts.</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1050" w:right="420" w:hanging="175"/>
        <w:spacing w:after="0" w:line="238" w:lineRule="auto"/>
        <w:rPr>
          <w:sz w:val="20"/>
          <w:szCs w:val="20"/>
          <w:color w:val="auto"/>
        </w:rPr>
      </w:pPr>
      <w:r>
        <w:rPr>
          <w:rFonts w:ascii="Courier New" w:cs="Courier New" w:eastAsia="Courier New" w:hAnsi="Courier New"/>
          <w:sz w:val="15"/>
          <w:szCs w:val="15"/>
          <w:color w:val="auto"/>
        </w:rPr>
        <w:t>Effective January 1, 1994, the Company adopted the provisions of Statement of Financial Accounting Standards No. 115, "Accounting for Certain Investments in Debt and Equity Securities," which requires changes in the accounting and disclosure of certain investments. Virtually all of the Company's short-term and long-term investments are classified as "held to maturity" and are reported at amortized cost. The adoption of this statement did not have a material impact on the Company's financial statements.</w:t>
      </w:r>
    </w:p>
    <w:p>
      <w:pPr>
        <w:spacing w:after="0" w:line="172" w:lineRule="exact"/>
        <w:rPr>
          <w:sz w:val="20"/>
          <w:szCs w:val="20"/>
          <w:color w:val="auto"/>
        </w:rPr>
      </w:pPr>
    </w:p>
    <w:p>
      <w:pPr>
        <w:jc w:val="center"/>
        <w:ind w:right="150"/>
        <w:spacing w:after="0"/>
        <w:rPr>
          <w:sz w:val="20"/>
          <w:szCs w:val="20"/>
          <w:color w:val="auto"/>
        </w:rPr>
      </w:pPr>
      <w:r>
        <w:rPr>
          <w:rFonts w:ascii="Courier New" w:cs="Courier New" w:eastAsia="Courier New" w:hAnsi="Courier New"/>
          <w:sz w:val="15"/>
          <w:szCs w:val="15"/>
          <w:color w:val="auto"/>
        </w:rPr>
        <w:t>Long-term investments which mature within the next year but are</w:t>
      </w:r>
    </w:p>
    <w:p>
      <w:pPr>
        <w:spacing w:after="0" w:line="5" w:lineRule="exact"/>
        <w:rPr>
          <w:sz w:val="20"/>
          <w:szCs w:val="20"/>
          <w:color w:val="auto"/>
        </w:rPr>
      </w:pPr>
    </w:p>
    <w:p>
      <w:pPr>
        <w:ind w:left="1050" w:right="780"/>
        <w:spacing w:after="0" w:line="237" w:lineRule="auto"/>
        <w:rPr>
          <w:sz w:val="20"/>
          <w:szCs w:val="20"/>
          <w:color w:val="auto"/>
        </w:rPr>
      </w:pPr>
      <w:r>
        <w:rPr>
          <w:rFonts w:ascii="Courier New" w:cs="Courier New" w:eastAsia="Courier New" w:hAnsi="Courier New"/>
          <w:sz w:val="15"/>
          <w:szCs w:val="15"/>
          <w:color w:val="auto"/>
        </w:rPr>
        <w:t>intended to be reinvested in another long-term security are classified as long-term in the accompanying consolidated balance sheets.</w:t>
      </w:r>
    </w:p>
    <w:p>
      <w:pPr>
        <w:spacing w:after="0" w:line="175" w:lineRule="exact"/>
        <w:rPr>
          <w:sz w:val="20"/>
          <w:szCs w:val="20"/>
          <w:color w:val="auto"/>
        </w:rPr>
      </w:pPr>
    </w:p>
    <w:p>
      <w:pPr>
        <w:jc w:val="both"/>
        <w:ind w:left="1050" w:right="600" w:hanging="175"/>
        <w:spacing w:after="0" w:line="237" w:lineRule="auto"/>
        <w:rPr>
          <w:sz w:val="20"/>
          <w:szCs w:val="20"/>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below by their expected maturity:</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Municipal</w:t>
            </w:r>
          </w:p>
        </w:tc>
      </w:tr>
      <w:tr>
        <w:trPr>
          <w:trHeight w:val="170"/>
        </w:trPr>
        <w:tc>
          <w:tcPr>
            <w:tcW w:w="3120" w:type="dxa"/>
            <w:vAlign w:val="bottom"/>
          </w:tcPr>
          <w:p>
            <w:pPr>
              <w:spacing w:after="0"/>
              <w:rPr>
                <w:sz w:val="14"/>
                <w:szCs w:val="14"/>
                <w:color w:val="auto"/>
              </w:rPr>
            </w:pPr>
          </w:p>
        </w:tc>
        <w:tc>
          <w:tcPr>
            <w:tcW w:w="1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U.S. Government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Government</w:t>
            </w:r>
          </w:p>
        </w:tc>
      </w:tr>
      <w:tr>
        <w:trPr>
          <w:trHeight w:val="170"/>
        </w:trPr>
        <w:tc>
          <w:tcPr>
            <w:tcW w:w="3120" w:type="dxa"/>
            <w:vAlign w:val="bottom"/>
          </w:tcPr>
          <w:p>
            <w:pPr>
              <w:spacing w:after="0"/>
              <w:rPr>
                <w:sz w:val="14"/>
                <w:szCs w:val="14"/>
                <w:color w:val="auto"/>
              </w:rPr>
            </w:pPr>
          </w:p>
        </w:tc>
        <w:tc>
          <w:tcPr>
            <w:tcW w:w="1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Debt Securities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Debt Securities</w:t>
            </w:r>
          </w:p>
        </w:tc>
      </w:tr>
      <w:tr>
        <w:trPr>
          <w:trHeight w:val="170"/>
        </w:trPr>
        <w:tc>
          <w:tcPr>
            <w:tcW w:w="3120" w:type="dxa"/>
            <w:vAlign w:val="bottom"/>
          </w:tcPr>
          <w:p>
            <w:pPr>
              <w:spacing w:after="0"/>
              <w:rPr>
                <w:sz w:val="14"/>
                <w:szCs w:val="14"/>
                <w:color w:val="auto"/>
              </w:rPr>
            </w:pPr>
          </w:p>
        </w:tc>
        <w:tc>
          <w:tcPr>
            <w:tcW w:w="1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Held to Maturity:</w:t>
            </w:r>
          </w:p>
        </w:tc>
        <w:tc>
          <w:tcPr>
            <w:tcW w:w="1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Due in one year or less:</w:t>
            </w:r>
          </w:p>
        </w:tc>
        <w:tc>
          <w:tcPr>
            <w:tcW w:w="1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Amortized cost</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$11,387,800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$17,528,869</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39,136</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11,198</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(2,065)</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(14,318)</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Market value</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$11,424,871</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$17,525,749</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Due after 1 year through 4 years:</w:t>
            </w:r>
          </w:p>
        </w:tc>
        <w:tc>
          <w:tcPr>
            <w:tcW w:w="1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Amortized cost</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$5,213,878</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$12,527,864</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51,965</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36,012</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w:t>
            </w:r>
          </w:p>
        </w:tc>
        <w:tc>
          <w:tcPr>
            <w:tcW w:w="186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(17,781)</w:t>
            </w:r>
          </w:p>
        </w:tc>
      </w:tr>
      <w:tr>
        <w:trPr>
          <w:trHeight w:val="170"/>
        </w:trPr>
        <w:tc>
          <w:tcPr>
            <w:tcW w:w="3120" w:type="dxa"/>
            <w:vAlign w:val="bottom"/>
          </w:tcPr>
          <w:p>
            <w:pPr>
              <w:ind w:left="340"/>
              <w:spacing w:after="0"/>
              <w:rPr>
                <w:sz w:val="20"/>
                <w:szCs w:val="20"/>
                <w:color w:val="auto"/>
              </w:rPr>
            </w:pPr>
            <w:r>
              <w:rPr>
                <w:rFonts w:ascii="Courier New" w:cs="Courier New" w:eastAsia="Courier New" w:hAnsi="Courier New"/>
                <w:sz w:val="15"/>
                <w:szCs w:val="15"/>
                <w:color w:val="auto"/>
              </w:rPr>
              <w:t>Market value</w:t>
            </w:r>
          </w:p>
        </w:tc>
        <w:tc>
          <w:tcPr>
            <w:tcW w:w="1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$5,265,843</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$12,546,095</w:t>
            </w:r>
          </w:p>
        </w:tc>
      </w:tr>
    </w:tbl>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Available For Sale:</w:t>
      </w:r>
    </w:p>
    <w:p>
      <w:pPr>
        <w:ind w:left="710"/>
        <w:spacing w:after="0"/>
        <w:rPr>
          <w:sz w:val="20"/>
          <w:szCs w:val="20"/>
          <w:color w:val="auto"/>
        </w:rPr>
      </w:pPr>
      <w:r>
        <w:rPr>
          <w:rFonts w:ascii="Courier New" w:cs="Courier New" w:eastAsia="Courier New" w:hAnsi="Courier New"/>
          <w:sz w:val="15"/>
          <w:szCs w:val="15"/>
          <w:color w:val="auto"/>
        </w:rPr>
        <w:t>-------------------</w:t>
      </w:r>
    </w:p>
    <w:p>
      <w:pPr>
        <w:ind w:left="1050"/>
        <w:spacing w:after="0"/>
        <w:rPr>
          <w:sz w:val="20"/>
          <w:szCs w:val="20"/>
          <w:color w:val="auto"/>
        </w:rPr>
      </w:pPr>
      <w:r>
        <w:rPr>
          <w:rFonts w:ascii="Courier New" w:cs="Courier New" w:eastAsia="Courier New" w:hAnsi="Courier New"/>
          <w:sz w:val="15"/>
          <w:szCs w:val="15"/>
          <w:color w:val="auto"/>
        </w:rPr>
        <w:t>Amortized cost</w:t>
      </w:r>
    </w:p>
    <w:p>
      <w:pPr>
        <w:ind w:left="1050"/>
        <w:spacing w:after="0" w:line="238" w:lineRule="auto"/>
        <w:rPr>
          <w:sz w:val="20"/>
          <w:szCs w:val="20"/>
          <w:color w:val="auto"/>
        </w:rPr>
      </w:pPr>
      <w:r>
        <w:rPr>
          <w:rFonts w:ascii="Courier New" w:cs="Courier New" w:eastAsia="Courier New" w:hAnsi="Courier New"/>
          <w:sz w:val="15"/>
          <w:szCs w:val="15"/>
          <w:color w:val="auto"/>
        </w:rPr>
        <w:t>Unrealized gain</w:t>
      </w:r>
    </w:p>
    <w:p>
      <w:pPr>
        <w:ind w:left="1050"/>
        <w:spacing w:after="0"/>
        <w:rPr>
          <w:sz w:val="20"/>
          <w:szCs w:val="20"/>
          <w:color w:val="auto"/>
        </w:rPr>
      </w:pPr>
      <w:r>
        <w:rPr>
          <w:rFonts w:ascii="Courier New" w:cs="Courier New" w:eastAsia="Courier New" w:hAnsi="Courier New"/>
          <w:sz w:val="15"/>
          <w:szCs w:val="15"/>
          <w:color w:val="auto"/>
        </w:rPr>
        <w:t>Unrealized loss</w:t>
      </w:r>
    </w:p>
    <w:p>
      <w:pPr>
        <w:ind w:left="1050"/>
        <w:spacing w:after="0"/>
        <w:rPr>
          <w:sz w:val="20"/>
          <w:szCs w:val="20"/>
          <w:color w:val="auto"/>
        </w:rPr>
      </w:pPr>
      <w:r>
        <w:rPr>
          <w:rFonts w:ascii="Courier New" w:cs="Courier New" w:eastAsia="Courier New" w:hAnsi="Courier New"/>
          <w:sz w:val="15"/>
          <w:szCs w:val="15"/>
          <w:color w:val="auto"/>
        </w:rPr>
        <w:t>Market value</w:t>
      </w:r>
    </w:p>
    <w:p>
      <w:pPr>
        <w:spacing w:after="0" w:line="200" w:lineRule="exact"/>
        <w:rPr>
          <w:sz w:val="20"/>
          <w:szCs w:val="20"/>
          <w:color w:val="auto"/>
        </w:rPr>
      </w:pPr>
    </w:p>
    <w:p>
      <w:pPr>
        <w:spacing w:after="0" w:line="30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4"/>
          <w:szCs w:val="14"/>
          <w:color w:val="auto"/>
        </w:rPr>
        <w:t>Investments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$3,994,553</w:t>
      </w:r>
    </w:p>
    <w:p>
      <w:pPr>
        <w:jc w:val="right"/>
        <w:ind w:right="1059"/>
        <w:spacing w:after="0"/>
        <w:rPr>
          <w:sz w:val="20"/>
          <w:szCs w:val="20"/>
          <w:color w:val="auto"/>
        </w:rPr>
      </w:pPr>
      <w:r>
        <w:rPr>
          <w:rFonts w:ascii="Courier New" w:cs="Courier New" w:eastAsia="Courier New" w:hAnsi="Courier New"/>
          <w:sz w:val="15"/>
          <w:szCs w:val="15"/>
          <w:color w:val="auto"/>
        </w:rPr>
        <w:t>4,135</w:t>
      </w:r>
    </w:p>
    <w:p>
      <w:pPr>
        <w:jc w:val="right"/>
        <w:ind w:right="1059"/>
        <w:spacing w:after="0"/>
        <w:rPr>
          <w:sz w:val="20"/>
          <w:szCs w:val="20"/>
          <w:color w:val="auto"/>
        </w:rPr>
      </w:pPr>
      <w:r>
        <w:rPr>
          <w:rFonts w:ascii="Courier New" w:cs="Courier New" w:eastAsia="Courier New" w:hAnsi="Courier New"/>
          <w:sz w:val="15"/>
          <w:szCs w:val="15"/>
          <w:color w:val="auto"/>
        </w:rPr>
        <w:t>(1,309)</w:t>
      </w:r>
    </w:p>
    <w:p>
      <w:pPr>
        <w:jc w:val="right"/>
        <w:ind w:right="1059"/>
        <w:spacing w:after="0" w:line="238" w:lineRule="auto"/>
        <w:rPr>
          <w:sz w:val="20"/>
          <w:szCs w:val="20"/>
          <w:color w:val="auto"/>
        </w:rPr>
      </w:pPr>
      <w:r>
        <w:rPr>
          <w:rFonts w:ascii="Courier New" w:cs="Courier New" w:eastAsia="Courier New" w:hAnsi="Courier New"/>
          <w:sz w:val="15"/>
          <w:szCs w:val="15"/>
          <w:color w:val="auto"/>
        </w:rPr>
        <w:t>$3,997,379</w:t>
      </w: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$1,249,397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(522)</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$1,248,875</w:t>
      </w:r>
    </w:p>
    <w:p>
      <w:pPr>
        <w:spacing w:after="0" w:line="200" w:lineRule="exact"/>
        <w:rPr>
          <w:sz w:val="20"/>
          <w:szCs w:val="20"/>
          <w:color w:val="auto"/>
        </w:rPr>
      </w:pPr>
    </w:p>
    <w:p>
      <w:pPr>
        <w:spacing w:after="0" w:line="314"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$474,688</w:t>
      </w: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(68,438)</w:t>
      </w:r>
    </w:p>
    <w:p>
      <w:pPr>
        <w:spacing w:after="0" w:line="11"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$406,250</w:t>
      </w:r>
    </w:p>
    <w:p>
      <w:pPr>
        <w:sectPr>
          <w:pgSz w:w="11900" w:h="16838" w:orient="portrait"/>
          <w:cols w:equalWidth="0" w:num="2">
            <w:col w:w="7470" w:space="720"/>
            <w:col w:w="2039"/>
          </w:cols>
          <w:pgMar w:left="230" w:top="283"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338" w:lineRule="exact"/>
        <w:rPr>
          <w:sz w:val="20"/>
          <w:szCs w:val="20"/>
          <w:color w:val="auto"/>
        </w:rPr>
      </w:pPr>
    </w:p>
    <w:p>
      <w:pPr>
        <w:ind w:left="710" w:hanging="710"/>
        <w:spacing w:after="0"/>
        <w:tabs>
          <w:tab w:leader="none" w:pos="71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174" w:lineRule="exact"/>
        <w:rPr>
          <w:rFonts w:ascii="Courier New" w:cs="Courier New" w:eastAsia="Courier New" w:hAnsi="Courier New"/>
          <w:sz w:val="15"/>
          <w:szCs w:val="15"/>
          <w:color w:val="auto"/>
        </w:rPr>
      </w:pPr>
    </w:p>
    <w:p>
      <w:pPr>
        <w:ind w:left="970" w:right="3259"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reflected in the consolidated statements of cash flows, during 1994, the Company sold approximately $243,000 of securities held to maturity. The decision to sell these securities was based on deterioration in the credit worthiness of the issuer.</w:t>
      </w:r>
    </w:p>
    <w:p>
      <w:pPr>
        <w:spacing w:after="0" w:line="170"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970" w:right="3439"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include material, direct labor and manufacturing overhead and are valued at the lower of first-in, first-out (FIFO) cost or market. Inventories consisted of the following at the respective year-ends: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1900" w:type="dxa"/>
            <w:vAlign w:val="bottom"/>
          </w:tcPr>
          <w:p>
            <w:pPr>
              <w:spacing w:after="0"/>
              <w:rPr>
                <w:sz w:val="14"/>
                <w:szCs w:val="14"/>
                <w:color w:val="auto"/>
              </w:rPr>
            </w:pPr>
          </w:p>
        </w:tc>
        <w:tc>
          <w:tcPr>
            <w:tcW w:w="2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19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$ 3,294,254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$ 3,568,074</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358,206</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275,183</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2,083,059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1,460,295</w:t>
            </w:r>
          </w:p>
        </w:tc>
      </w:tr>
      <w:tr>
        <w:trPr>
          <w:trHeight w:val="170"/>
        </w:trPr>
        <w:tc>
          <w:tcPr>
            <w:tcW w:w="1900" w:type="dxa"/>
            <w:vAlign w:val="bottom"/>
          </w:tcPr>
          <w:p>
            <w:pPr>
              <w:spacing w:after="0"/>
              <w:rPr>
                <w:sz w:val="14"/>
                <w:szCs w:val="14"/>
                <w:color w:val="auto"/>
              </w:rPr>
            </w:pP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900" w:type="dxa"/>
            <w:vAlign w:val="bottom"/>
          </w:tcPr>
          <w:p>
            <w:pPr>
              <w:spacing w:after="0"/>
              <w:rPr>
                <w:sz w:val="14"/>
                <w:szCs w:val="14"/>
                <w:color w:val="auto"/>
              </w:rPr>
            </w:pP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$ 5,735,519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$ 5,303,552</w:t>
            </w:r>
          </w:p>
        </w:tc>
      </w:tr>
      <w:tr>
        <w:trPr>
          <w:trHeight w:val="170"/>
        </w:trPr>
        <w:tc>
          <w:tcPr>
            <w:tcW w:w="1900" w:type="dxa"/>
            <w:vAlign w:val="bottom"/>
          </w:tcPr>
          <w:p>
            <w:pPr>
              <w:spacing w:after="0"/>
              <w:rPr>
                <w:sz w:val="14"/>
                <w:szCs w:val="14"/>
                <w:color w:val="auto"/>
              </w:rPr>
            </w:pP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Plant and Equipment</w:t>
      </w:r>
    </w:p>
    <w:p>
      <w:pPr>
        <w:spacing w:after="0" w:line="175" w:lineRule="exact"/>
        <w:rPr>
          <w:sz w:val="20"/>
          <w:szCs w:val="20"/>
          <w:color w:val="auto"/>
        </w:rPr>
      </w:pPr>
    </w:p>
    <w:p>
      <w:pPr>
        <w:ind w:left="970" w:right="3179" w:hanging="263"/>
        <w:spacing w:after="0" w:line="237" w:lineRule="auto"/>
        <w:rPr>
          <w:sz w:val="20"/>
          <w:szCs w:val="20"/>
          <w:color w:val="auto"/>
        </w:rPr>
      </w:pPr>
      <w:r>
        <w:rPr>
          <w:rFonts w:ascii="Courier New" w:cs="Courier New" w:eastAsia="Courier New" w:hAnsi="Courier New"/>
          <w:sz w:val="15"/>
          <w:szCs w:val="15"/>
          <w:color w:val="auto"/>
        </w:rPr>
        <w:t>Plant and equipment are stated at cost.</w:t>
      </w:r>
      <w:r>
        <w:rPr>
          <w:sz w:val="20"/>
          <w:szCs w:val="20"/>
          <w:color w:val="auto"/>
        </w:rPr>
        <w:t xml:space="preserve"> </w:t>
      </w:r>
      <w:r>
        <w:rPr>
          <w:rFonts w:ascii="Courier New" w:cs="Courier New" w:eastAsia="Courier New" w:hAnsi="Courier New"/>
          <w:sz w:val="15"/>
          <w:szCs w:val="15"/>
          <w:color w:val="auto"/>
        </w:rPr>
        <w:t>Depreciation and amortization are computed for financial reporting purposes using the straight-line method, with estimated useful lives of 5 to 40 years for building and improvements, and 3 to 10 years for machinery and equipment.</w:t>
      </w:r>
    </w:p>
    <w:p>
      <w:pPr>
        <w:spacing w:after="0" w:line="176" w:lineRule="exact"/>
        <w:rPr>
          <w:sz w:val="20"/>
          <w:szCs w:val="20"/>
          <w:color w:val="auto"/>
        </w:rPr>
      </w:pPr>
    </w:p>
    <w:p>
      <w:pPr>
        <w:ind w:left="970" w:right="3259" w:hanging="263"/>
        <w:spacing w:after="0" w:line="237" w:lineRule="auto"/>
        <w:rPr>
          <w:sz w:val="20"/>
          <w:szCs w:val="20"/>
          <w:color w:val="auto"/>
        </w:rPr>
      </w:pPr>
      <w:r>
        <w:rPr>
          <w:rFonts w:ascii="Courier New" w:cs="Courier New" w:eastAsia="Courier New" w:hAnsi="Courier New"/>
          <w:sz w:val="15"/>
          <w:szCs w:val="15"/>
          <w:color w:val="auto"/>
        </w:rPr>
        <w:t>The Company is constructing a new facility scheduled to be completed in 1996. The estimated cost to be incurred in 1996 for the facility is approximately $6.6 million at December 31, 1995.</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Patents</w:t>
      </w:r>
    </w:p>
    <w:p>
      <w:pPr>
        <w:spacing w:after="0" w:line="175" w:lineRule="exact"/>
        <w:rPr>
          <w:sz w:val="20"/>
          <w:szCs w:val="20"/>
          <w:color w:val="auto"/>
        </w:rPr>
      </w:pPr>
    </w:p>
    <w:p>
      <w:pPr>
        <w:ind w:left="970" w:right="3259" w:hanging="263"/>
        <w:spacing w:after="0" w:line="238" w:lineRule="auto"/>
        <w:rPr>
          <w:sz w:val="20"/>
          <w:szCs w:val="20"/>
          <w:color w:val="auto"/>
        </w:rPr>
      </w:pPr>
      <w:r>
        <w:rPr>
          <w:rFonts w:ascii="Courier New" w:cs="Courier New" w:eastAsia="Courier New" w:hAnsi="Courier New"/>
          <w:sz w:val="15"/>
          <w:szCs w:val="15"/>
          <w:color w:val="auto"/>
        </w:rPr>
        <w:t>The Company's policy is to capitalize costs incurred to obtain and defend patents. The cost of patents is amortized over their useful lives. The cost of patents in process is not amortized until issuance. Accumulated amortization was approximately $3,394,000 and $3,265,000 at December 31, 1995 and 1994, respectively. Patent amortization expense was approximately $129,000, $17,000, and $1,618,000 in 1995, 1994 and 1993, respectively.</w:t>
      </w:r>
    </w:p>
    <w:p>
      <w:pPr>
        <w:spacing w:after="0" w:line="177" w:lineRule="exact"/>
        <w:rPr>
          <w:sz w:val="20"/>
          <w:szCs w:val="20"/>
          <w:color w:val="auto"/>
        </w:rPr>
      </w:pPr>
    </w:p>
    <w:p>
      <w:pPr>
        <w:ind w:left="970" w:right="3439" w:hanging="263"/>
        <w:spacing w:after="0" w:line="237" w:lineRule="auto"/>
        <w:rPr>
          <w:sz w:val="20"/>
          <w:szCs w:val="20"/>
          <w:color w:val="auto"/>
        </w:rPr>
      </w:pPr>
      <w:r>
        <w:rPr>
          <w:rFonts w:ascii="Courier New" w:cs="Courier New" w:eastAsia="Courier New" w:hAnsi="Courier New"/>
          <w:sz w:val="15"/>
          <w:szCs w:val="15"/>
          <w:color w:val="auto"/>
        </w:rPr>
        <w:t>During 1993, the Company received $3,600,000 from a patent litigation settlement which was used to recover the remaining balance of capitalized patent defense costs and accrue for future litigation costs.</w:t>
      </w:r>
    </w:p>
    <w:p>
      <w:pPr>
        <w:spacing w:after="0" w:line="171"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The Company's revenue primarily is generated from sales of its products.</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Sales are recognized upon the shipment of product to customers.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75" w:lineRule="exact"/>
        <w:rPr>
          <w:sz w:val="20"/>
          <w:szCs w:val="20"/>
          <w:color w:val="auto"/>
        </w:rPr>
      </w:pPr>
    </w:p>
    <w:p>
      <w:pPr>
        <w:ind w:left="970" w:right="3439" w:hanging="263"/>
        <w:spacing w:after="0" w:line="237" w:lineRule="auto"/>
        <w:rPr>
          <w:sz w:val="20"/>
          <w:szCs w:val="20"/>
          <w:color w:val="auto"/>
        </w:rPr>
      </w:pPr>
      <w:r>
        <w:rPr>
          <w:rFonts w:ascii="Courier New" w:cs="Courier New" w:eastAsia="Courier New" w:hAnsi="Courier New"/>
          <w:sz w:val="15"/>
          <w:szCs w:val="15"/>
          <w:color w:val="auto"/>
        </w:rPr>
        <w:t>All advertising and promotional costs are expensed as incurred and amounted to approximately $608,000, $593,000 and $422,000 in 1995, 1994 and 1993, respectively.</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283"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344" w:lineRule="exact"/>
        <w:rPr>
          <w:sz w:val="20"/>
          <w:szCs w:val="20"/>
          <w:color w:val="auto"/>
        </w:rPr>
      </w:pPr>
    </w:p>
    <w:p>
      <w:pPr>
        <w:ind w:left="790" w:right="3539" w:hanging="790"/>
        <w:spacing w:after="0" w:line="471" w:lineRule="auto"/>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Repairs and Maintenance</w:t>
      </w:r>
    </w:p>
    <w:p>
      <w:pPr>
        <w:spacing w:after="0" w:line="11" w:lineRule="exact"/>
        <w:rPr>
          <w:rFonts w:ascii="Courier New" w:cs="Courier New" w:eastAsia="Courier New" w:hAnsi="Courier New"/>
          <w:sz w:val="15"/>
          <w:szCs w:val="15"/>
          <w:color w:val="auto"/>
        </w:rPr>
      </w:pPr>
    </w:p>
    <w:p>
      <w:pPr>
        <w:ind w:left="970" w:right="3259" w:hanging="17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$1,041,000, $853,000 and $672,000 in 1995, 1994 and 1993, respectively.</w:t>
      </w:r>
    </w:p>
    <w:p>
      <w:pPr>
        <w:spacing w:after="0" w:line="172"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74" w:lineRule="exact"/>
        <w:rPr>
          <w:rFonts w:ascii="Courier New" w:cs="Courier New" w:eastAsia="Courier New" w:hAnsi="Courier New"/>
          <w:sz w:val="15"/>
          <w:szCs w:val="15"/>
          <w:color w:val="auto"/>
        </w:rPr>
      </w:pPr>
    </w:p>
    <w:p>
      <w:pPr>
        <w:ind w:left="970" w:right="3439" w:hanging="17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72"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rFonts w:ascii="Courier New" w:cs="Courier New" w:eastAsia="Courier New" w:hAnsi="Courier New"/>
          <w:sz w:val="15"/>
          <w:szCs w:val="15"/>
          <w:color w:val="auto"/>
        </w:rPr>
      </w:pPr>
    </w:p>
    <w:p>
      <w:pPr>
        <w:ind w:left="970" w:right="3259" w:hanging="176"/>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earnings per share are computed based on the weighted average number of shares of common stock outstanding and, to the extent dilutive, common stock equivalents outstanding during the year. The weighted average number of shares outstanding was approximately 17,128,000 in 1995, 16,994,000 in 1994, and 16,744,000 in 1993.</w:t>
      </w:r>
    </w:p>
    <w:p>
      <w:pPr>
        <w:spacing w:after="0" w:line="15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74" w:lineRule="exact"/>
        <w:rPr>
          <w:rFonts w:ascii="Courier New" w:cs="Courier New" w:eastAsia="Courier New" w:hAnsi="Courier New"/>
          <w:sz w:val="15"/>
          <w:szCs w:val="15"/>
          <w:color w:val="auto"/>
        </w:rPr>
      </w:pPr>
    </w:p>
    <w:p>
      <w:pPr>
        <w:ind w:left="970" w:right="335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position and results of operations of the Company's foreign subsidiary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74" w:lineRule="exact"/>
        <w:rPr>
          <w:rFonts w:ascii="Courier New" w:cs="Courier New" w:eastAsia="Courier New" w:hAnsi="Courier New"/>
          <w:sz w:val="15"/>
          <w:szCs w:val="15"/>
          <w:color w:val="auto"/>
        </w:rPr>
      </w:pPr>
    </w:p>
    <w:p>
      <w:pPr>
        <w:ind w:left="970" w:right="325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w:t>
      </w:r>
    </w:p>
    <w:p>
      <w:pPr>
        <w:spacing w:after="0" w:line="174" w:lineRule="exact"/>
        <w:rPr>
          <w:rFonts w:ascii="Courier New" w:cs="Courier New" w:eastAsia="Courier New" w:hAnsi="Courier New"/>
          <w:sz w:val="15"/>
          <w:szCs w:val="15"/>
          <w:color w:val="auto"/>
        </w:rPr>
      </w:pPr>
    </w:p>
    <w:p>
      <w:pPr>
        <w:ind w:left="970" w:right="3359" w:hanging="176"/>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prior year amounts have been reclassified to conform with the current year presentation.</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4" w:lineRule="exact"/>
        <w:rPr>
          <w:rFonts w:ascii="Courier New" w:cs="Courier New" w:eastAsia="Courier New" w:hAnsi="Courier New"/>
          <w:sz w:val="15"/>
          <w:szCs w:val="15"/>
          <w:color w:val="auto"/>
        </w:rPr>
      </w:pPr>
    </w:p>
    <w:p>
      <w:pPr>
        <w:ind w:left="970" w:right="3259" w:hanging="176"/>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available an unsecured $5,000,000 line of credit from a bank at the lower of the bank's prime rate or 1.5% above the LIBOR rate. No borrowings were outstanding under this line in 1995 or 1994. No compensating balances are required under this line.</w:t>
      </w:r>
    </w:p>
    <w:p>
      <w:pPr>
        <w:spacing w:after="0" w:line="15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75" w:lineRule="exact"/>
        <w:rPr>
          <w:sz w:val="20"/>
          <w:szCs w:val="20"/>
          <w:color w:val="auto"/>
        </w:rPr>
      </w:pPr>
    </w:p>
    <w:p>
      <w:pPr>
        <w:ind w:left="970" w:right="3259" w:hanging="175"/>
        <w:spacing w:after="0" w:line="238" w:lineRule="auto"/>
        <w:rPr>
          <w:sz w:val="20"/>
          <w:szCs w:val="20"/>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pacing w:after="0" w:line="17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3" w:right="1440" w:bottom="1440" w:gutter="0" w:footer="0" w:header="0"/>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710" w:hanging="710"/>
        <w:spacing w:after="0"/>
        <w:tabs>
          <w:tab w:leader="none" w:pos="7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 continued</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federal income taxes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0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860" w:type="dxa"/>
            <w:vAlign w:val="bottom"/>
          </w:tcPr>
          <w:p>
            <w:pPr>
              <w:spacing w:after="0"/>
              <w:rPr>
                <w:sz w:val="14"/>
                <w:szCs w:val="14"/>
                <w:color w:val="auto"/>
              </w:rPr>
            </w:pP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$9,179,000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$7,909,000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$6,131,000</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Tax over book depreciation</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232,000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Patent costs</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60,000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(1,268,000)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(95,000)</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2860" w:type="dxa"/>
            <w:vAlign w:val="bottom"/>
          </w:tcPr>
          <w:p>
            <w:pPr>
              <w:spacing w:after="0"/>
              <w:rPr>
                <w:sz w:val="14"/>
                <w:szCs w:val="14"/>
                <w:color w:val="auto"/>
              </w:rPr>
            </w:pP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(143,000)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295,000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(1,230,000)</w:t>
            </w:r>
          </w:p>
        </w:tc>
      </w:tr>
      <w:tr>
        <w:trPr>
          <w:trHeight w:val="170"/>
        </w:trPr>
        <w:tc>
          <w:tcPr>
            <w:tcW w:w="2860" w:type="dxa"/>
            <w:vAlign w:val="bottom"/>
          </w:tcPr>
          <w:p>
            <w:pPr>
              <w:spacing w:after="0"/>
              <w:rPr>
                <w:sz w:val="14"/>
                <w:szCs w:val="14"/>
                <w:color w:val="auto"/>
              </w:rPr>
            </w:pP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14"/>
                <w:szCs w:val="14"/>
                <w:color w:val="auto"/>
              </w:rPr>
            </w:pP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$9,036,000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$8,204,000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$4,901,000</w:t>
            </w:r>
          </w:p>
        </w:tc>
      </w:tr>
      <w:tr>
        <w:trPr>
          <w:trHeight w:val="170"/>
        </w:trPr>
        <w:tc>
          <w:tcPr>
            <w:tcW w:w="2860" w:type="dxa"/>
            <w:vAlign w:val="bottom"/>
          </w:tcPr>
          <w:p>
            <w:pPr>
              <w:spacing w:after="0"/>
              <w:rPr>
                <w:sz w:val="14"/>
                <w:szCs w:val="14"/>
                <w:color w:val="auto"/>
              </w:rPr>
            </w:pP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970" w:right="3540" w:hanging="263"/>
        <w:spacing w:after="0" w:line="259"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$1,876,000, $3,340,000 and $2,060,000 in the respective years.</w:t>
      </w:r>
    </w:p>
    <w:p>
      <w:pPr>
        <w:spacing w:after="0" w:line="163" w:lineRule="exact"/>
        <w:rPr>
          <w:sz w:val="20"/>
          <w:szCs w:val="20"/>
          <w:color w:val="auto"/>
        </w:rPr>
      </w:pPr>
    </w:p>
    <w:p>
      <w:pPr>
        <w:ind w:left="970" w:right="3440" w:hanging="263"/>
        <w:spacing w:after="0" w:line="235"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0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1995</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40" w:type="dxa"/>
            <w:vAlign w:val="bottom"/>
          </w:tcPr>
          <w:p>
            <w:pPr>
              <w:spacing w:after="0"/>
              <w:rPr>
                <w:sz w:val="14"/>
                <w:szCs w:val="14"/>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35.0%</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35.0%</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Foreign Sales Corporation exempted income</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(1.7)</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(0.9)</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(1.1)</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(0.6)</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00" w:type="dxa"/>
            <w:vAlign w:val="bottom"/>
          </w:tcPr>
          <w:p>
            <w:pPr>
              <w:ind w:left="940"/>
              <w:spacing w:after="0"/>
              <w:rPr>
                <w:sz w:val="20"/>
                <w:szCs w:val="20"/>
                <w:color w:val="auto"/>
              </w:rPr>
            </w:pPr>
            <w:r>
              <w:rPr>
                <w:rFonts w:ascii="Courier New" w:cs="Courier New" w:eastAsia="Courier New" w:hAnsi="Courier New"/>
                <w:sz w:val="15"/>
                <w:szCs w:val="15"/>
                <w:color w:val="auto"/>
              </w:rPr>
              <w:t>0.2</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0.5</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(0.3)</w:t>
            </w:r>
          </w:p>
        </w:tc>
      </w:tr>
      <w:tr>
        <w:trPr>
          <w:trHeight w:val="170"/>
        </w:trPr>
        <w:tc>
          <w:tcPr>
            <w:tcW w:w="4440" w:type="dxa"/>
            <w:vAlign w:val="bottom"/>
          </w:tcPr>
          <w:p>
            <w:pPr>
              <w:spacing w:after="0"/>
              <w:rPr>
                <w:sz w:val="14"/>
                <w:szCs w:val="14"/>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32.4%</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33.3%</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33.2%</w:t>
            </w:r>
          </w:p>
        </w:tc>
      </w:tr>
      <w:tr>
        <w:trPr>
          <w:trHeight w:val="170"/>
        </w:trPr>
        <w:tc>
          <w:tcPr>
            <w:tcW w:w="4440" w:type="dxa"/>
            <w:vAlign w:val="bottom"/>
          </w:tcPr>
          <w:p>
            <w:pPr>
              <w:spacing w:after="0"/>
              <w:rPr>
                <w:sz w:val="14"/>
                <w:szCs w:val="14"/>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14" w:lineRule="exact"/>
        <w:rPr>
          <w:sz w:val="20"/>
          <w:szCs w:val="20"/>
          <w:color w:val="auto"/>
        </w:rPr>
      </w:pPr>
    </w:p>
    <w:p>
      <w:pPr>
        <w:ind w:left="970" w:right="3360" w:hanging="263"/>
        <w:spacing w:after="0" w:line="265"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1995 and 1994, are as follows:</w:t>
      </w:r>
    </w:p>
    <w:p>
      <w:pPr>
        <w:spacing w:after="0" w:line="200" w:lineRule="exact"/>
        <w:rPr>
          <w:sz w:val="20"/>
          <w:szCs w:val="20"/>
          <w:color w:val="auto"/>
        </w:rPr>
      </w:pPr>
    </w:p>
    <w:p>
      <w:pPr>
        <w:spacing w:after="0" w:line="29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jc w:val="right"/>
              <w:ind w:right="14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spacing w:after="0"/>
              <w:rPr>
                <w:sz w:val="14"/>
                <w:szCs w:val="14"/>
                <w:color w:val="auto"/>
              </w:rPr>
            </w:pPr>
          </w:p>
        </w:tc>
        <w:tc>
          <w:tcPr>
            <w:tcW w:w="1500" w:type="dxa"/>
            <w:vAlign w:val="bottom"/>
          </w:tcPr>
          <w:p>
            <w:pPr>
              <w:jc w:val="right"/>
              <w:ind w:right="108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3600" w:type="dxa"/>
            <w:vAlign w:val="bottom"/>
          </w:tcPr>
          <w:p>
            <w:pPr>
              <w:spacing w:after="0"/>
              <w:rPr>
                <w:sz w:val="14"/>
                <w:szCs w:val="14"/>
                <w:color w:val="auto"/>
              </w:rPr>
            </w:pPr>
          </w:p>
        </w:tc>
        <w:tc>
          <w:tcPr>
            <w:tcW w:w="3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Non-Current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Non-Current</w:t>
            </w:r>
          </w:p>
        </w:tc>
      </w:tr>
      <w:tr>
        <w:trPr>
          <w:trHeight w:val="170"/>
        </w:trPr>
        <w:tc>
          <w:tcPr>
            <w:tcW w:w="360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Accruals not currently deductible</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984,030</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87,500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$755,464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58,100</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260,286</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214,164</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238,198</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18,867</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169,350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12,158</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Valuation allowance</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Total deferred tax assets</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1,222,228</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366,653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924,814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284,422</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Excess tax over book depreciation</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(780,846)</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(583,048)</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Patent costs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(107,481)</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(79,065)</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(43,457)</w:t>
            </w:r>
          </w:p>
        </w:tc>
        <w:tc>
          <w:tcPr>
            <w:tcW w:w="19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(32,956)</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Net deferred taxes</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$1,178,771</w:t>
            </w:r>
          </w:p>
        </w:tc>
        <w:tc>
          <w:tcPr>
            <w:tcW w:w="1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(521,674)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$891,858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(377,691)</w:t>
            </w:r>
          </w:p>
        </w:tc>
      </w:tr>
      <w:tr>
        <w:trPr>
          <w:trHeight w:val="170"/>
        </w:trPr>
        <w:tc>
          <w:tcPr>
            <w:tcW w:w="3600" w:type="dxa"/>
            <w:vAlign w:val="bottom"/>
          </w:tcPr>
          <w:p>
            <w:pPr>
              <w:spacing w:after="0"/>
              <w:rPr>
                <w:sz w:val="14"/>
                <w:szCs w:val="14"/>
                <w:color w:val="auto"/>
              </w:rPr>
            </w:pP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970" w:right="3440" w:hanging="263"/>
        <w:spacing w:after="0" w:line="235" w:lineRule="auto"/>
        <w:rPr>
          <w:sz w:val="20"/>
          <w:szCs w:val="20"/>
          <w:color w:val="auto"/>
        </w:rPr>
      </w:pPr>
      <w:r>
        <w:rPr>
          <w:rFonts w:ascii="Courier New" w:cs="Courier New" w:eastAsia="Courier New" w:hAnsi="Courier New"/>
          <w:sz w:val="15"/>
          <w:szCs w:val="15"/>
          <w:color w:val="auto"/>
        </w:rPr>
        <w:t>Income taxes paid in cash were approximately $4,926,000, $4,343,000 and $4,286,000 in 1995, 1994 and 1993, respectively.</w:t>
      </w:r>
    </w:p>
    <w:p>
      <w:pPr>
        <w:sectPr>
          <w:pgSz w:w="11900" w:h="16838" w:orient="portrait"/>
          <w:cols w:equalWidth="0" w:num="1">
            <w:col w:w="10410"/>
          </w:cols>
          <w:pgMar w:left="230" w:top="283" w:right="1259" w:bottom="910" w:gutter="0" w:footer="0" w:header="0"/>
        </w:sectPr>
      </w:pPr>
    </w:p>
    <w:p>
      <w:pPr>
        <w:spacing w:after="0" w:line="200" w:lineRule="exact"/>
        <w:rPr>
          <w:sz w:val="20"/>
          <w:szCs w:val="20"/>
          <w:color w:val="auto"/>
        </w:rPr>
      </w:pPr>
    </w:p>
    <w:p>
      <w:pPr>
        <w:spacing w:after="0" w:line="315"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410"/>
          </w:cols>
          <w:pgMar w:left="230" w:top="283" w:right="1259" w:bottom="910" w:gutter="0" w:footer="0" w:header="0"/>
          <w:type w:val="continuous"/>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27</w:t>
      </w:r>
    </w:p>
    <w:p>
      <w:pPr>
        <w:spacing w:after="0" w:line="33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790" w:hanging="790"/>
        <w:spacing w:after="0"/>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4" w:lineRule="exact"/>
        <w:rPr>
          <w:rFonts w:ascii="Courier New" w:cs="Courier New" w:eastAsia="Courier New" w:hAnsi="Courier New"/>
          <w:sz w:val="15"/>
          <w:szCs w:val="15"/>
          <w:color w:val="auto"/>
        </w:rPr>
      </w:pPr>
    </w:p>
    <w:p>
      <w:pPr>
        <w:ind w:left="970" w:right="353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1995, 1994 and 1993, the Company's contributions were approximately $151,000, $134,000 and $94,000, respectively.</w:t>
      </w:r>
    </w:p>
    <w:p>
      <w:pPr>
        <w:spacing w:after="0" w:line="17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does not provide health care benefits to retired employees.</w:t>
      </w:r>
    </w:p>
    <w:p>
      <w:pPr>
        <w:spacing w:after="0" w:line="34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4" w:lineRule="exact"/>
        <w:rPr>
          <w:rFonts w:ascii="Courier New" w:cs="Courier New" w:eastAsia="Courier New" w:hAnsi="Courier New"/>
          <w:sz w:val="15"/>
          <w:szCs w:val="15"/>
          <w:color w:val="auto"/>
        </w:rPr>
      </w:pPr>
    </w:p>
    <w:p>
      <w:pPr>
        <w:ind w:left="970" w:right="3259" w:hanging="17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78" w:lineRule="exact"/>
        <w:rPr>
          <w:rFonts w:ascii="Courier New" w:cs="Courier New" w:eastAsia="Courier New" w:hAnsi="Courier New"/>
          <w:sz w:val="15"/>
          <w:szCs w:val="15"/>
          <w:color w:val="auto"/>
        </w:rPr>
      </w:pPr>
    </w:p>
    <w:p>
      <w:pPr>
        <w:ind w:left="970" w:right="3619" w:hanging="17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$65.00, if any person or group attempts certain hostile takeover tactics toward the Company.</w:t>
      </w:r>
    </w:p>
    <w:p>
      <w:pPr>
        <w:spacing w:after="0" w:line="1" w:lineRule="exact"/>
        <w:rPr>
          <w:rFonts w:ascii="Courier New" w:cs="Courier New" w:eastAsia="Courier New" w:hAnsi="Courier New"/>
          <w:sz w:val="15"/>
          <w:szCs w:val="15"/>
          <w:color w:val="auto"/>
        </w:rPr>
      </w:pPr>
    </w:p>
    <w:p>
      <w:pPr>
        <w:ind w:left="97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$.005 per Right and, unless earlier redeemed, will expire on August 26, 2001. Rights beneficially owned by holders of 15 percent or more of the Company's common stock, or their transferees, automatically become void.</w:t>
      </w:r>
    </w:p>
    <w:p>
      <w:pPr>
        <w:spacing w:after="0" w:line="33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BENEFIT PLANS</w:t>
      </w:r>
    </w:p>
    <w:p>
      <w:pPr>
        <w:spacing w:after="0" w:line="174" w:lineRule="exact"/>
        <w:rPr>
          <w:rFonts w:ascii="Courier New" w:cs="Courier New" w:eastAsia="Courier New" w:hAnsi="Courier New"/>
          <w:sz w:val="15"/>
          <w:szCs w:val="15"/>
          <w:color w:val="auto"/>
        </w:rPr>
      </w:pPr>
    </w:p>
    <w:p>
      <w:pPr>
        <w:ind w:left="970" w:right="3259" w:hanging="176"/>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maintains an Employee Stock Purchase Plan that provides a means for employees to purchase shares of the Company's common stock, through payroll deductions or lump sum contributions, at 85% of the market price. No amounts are charged to operations related to this plan. During 1995, 1994 and 1993, employees purchased 18,066, 16,875 and 13,815 shares, respectively, at average prices of $17.98, $20.09 and $20.06 per share, respectively. At December 31, 1995, a total of 355,399 shares were available for future purchase. As of December 31, 1995, 483 of the Company's 791 employees were eligible to participate and 194 were participating.</w:t>
      </w:r>
    </w:p>
    <w:p>
      <w:pPr>
        <w:spacing w:after="0" w:line="166" w:lineRule="exact"/>
        <w:rPr>
          <w:rFonts w:ascii="Courier New" w:cs="Courier New" w:eastAsia="Courier New" w:hAnsi="Courier New"/>
          <w:sz w:val="15"/>
          <w:szCs w:val="15"/>
          <w:color w:val="auto"/>
        </w:rPr>
      </w:pPr>
    </w:p>
    <w:p>
      <w:pPr>
        <w:ind w:left="970" w:right="3259" w:hanging="17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incentive stock option plans covering 4,854,000 shares of common stock under which options may be granted to key employees. Options are granted at market price on the date of grant, and are exercisable within limits specified at the time of grant, but no option is exercisable more than ten years from the date of grant.</w:t>
      </w:r>
    </w:p>
    <w:p>
      <w:pPr>
        <w:spacing w:after="0" w:line="1" w:lineRule="exact"/>
        <w:rPr>
          <w:rFonts w:ascii="Courier New" w:cs="Courier New" w:eastAsia="Courier New" w:hAnsi="Courier New"/>
          <w:sz w:val="15"/>
          <w:szCs w:val="15"/>
          <w:color w:val="auto"/>
        </w:rPr>
      </w:pPr>
    </w:p>
    <w:p>
      <w:pPr>
        <w:ind w:left="970" w:right="4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charges to operations are recorded with respect to the authorization, grant or exercise of these options.</w:t>
      </w:r>
    </w:p>
    <w:p>
      <w:pPr>
        <w:spacing w:after="0" w:line="17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283" w:right="1440" w:bottom="1440" w:gutter="0" w:footer="0" w:header="0"/>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4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51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890" w:hanging="890"/>
        <w:spacing w:after="0"/>
        <w:tabs>
          <w:tab w:leader="none" w:pos="8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BENEFIT PLANS (continued)</w:t>
      </w:r>
    </w:p>
    <w:p>
      <w:pPr>
        <w:spacing w:after="0" w:line="174" w:lineRule="exact"/>
        <w:rPr>
          <w:rFonts w:ascii="Courier New" w:cs="Courier New" w:eastAsia="Courier New" w:hAnsi="Courier New"/>
          <w:sz w:val="15"/>
          <w:szCs w:val="15"/>
          <w:color w:val="auto"/>
        </w:rPr>
      </w:pPr>
    </w:p>
    <w:p>
      <w:pPr>
        <w:ind w:left="1050" w:right="520" w:hanging="176"/>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incentive stock option plan information, as restated for the stock split discussed in Note 7, is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w:t>
            </w:r>
          </w:p>
        </w:tc>
        <w:tc>
          <w:tcPr>
            <w:tcW w:w="19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Price Range</w:t>
            </w:r>
          </w:p>
        </w:tc>
      </w:t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1992</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1,386,790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323,050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(310,610)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6.44</w:t>
            </w:r>
          </w:p>
        </w:tc>
      </w:t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1993</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1,399,230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274,850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25.50</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(218,810)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Cancelled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22.75</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1994</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1,454,770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321,050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19.25</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24.25</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(317,530)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Cancelled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26.88</w:t>
            </w:r>
          </w:p>
        </w:tc>
      </w:t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1,449,290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320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050" w:right="1500" w:hanging="175"/>
        <w:spacing w:after="0" w:line="235" w:lineRule="auto"/>
        <w:rPr>
          <w:sz w:val="20"/>
          <w:szCs w:val="20"/>
          <w:color w:val="auto"/>
        </w:rPr>
      </w:pPr>
      <w:r>
        <w:rPr>
          <w:rFonts w:ascii="Courier New" w:cs="Courier New" w:eastAsia="Courier New" w:hAnsi="Courier New"/>
          <w:sz w:val="15"/>
          <w:szCs w:val="15"/>
          <w:color w:val="auto"/>
        </w:rPr>
        <w:t>At December 31, 1995, options covering 602,145 shares were exercisable.</w:t>
      </w:r>
    </w:p>
    <w:p>
      <w:pPr>
        <w:spacing w:after="0" w:line="176" w:lineRule="exact"/>
        <w:rPr>
          <w:sz w:val="20"/>
          <w:szCs w:val="20"/>
          <w:color w:val="auto"/>
        </w:rPr>
      </w:pPr>
    </w:p>
    <w:p>
      <w:pPr>
        <w:ind w:left="1050" w:right="440" w:hanging="175"/>
        <w:spacing w:after="0" w:line="238" w:lineRule="auto"/>
        <w:rPr>
          <w:sz w:val="20"/>
          <w:szCs w:val="20"/>
          <w:color w:val="auto"/>
        </w:rPr>
      </w:pPr>
      <w:r>
        <w:rPr>
          <w:rFonts w:ascii="Courier New" w:cs="Courier New" w:eastAsia="Courier New" w:hAnsi="Courier New"/>
          <w:sz w:val="15"/>
          <w:szCs w:val="15"/>
          <w:color w:val="auto"/>
        </w:rPr>
        <w:t>The Company has a restricted stock plan covering 400,000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1995 and 1994, 50,800 shares and 24,000 shares, respectively, were granted with restriction periods of four to six years at market prices ranging from $19.50 to $23.88 in 1995, and $22.38 to $25.63 in 1994. During 1993, no shares were granted under this plan. The related expense is reflected as deferred compensation in the accompanying consolidated financial statements and is being amortized over the applicable restriction periods.</w:t>
      </w:r>
    </w:p>
    <w:p>
      <w:pPr>
        <w:spacing w:after="0" w:line="187" w:lineRule="exact"/>
        <w:rPr>
          <w:sz w:val="20"/>
          <w:szCs w:val="20"/>
          <w:color w:val="auto"/>
        </w:rPr>
      </w:pPr>
    </w:p>
    <w:p>
      <w:pPr>
        <w:ind w:left="1050" w:right="440" w:hanging="175"/>
        <w:spacing w:after="0" w:line="256" w:lineRule="auto"/>
        <w:rPr>
          <w:sz w:val="20"/>
          <w:szCs w:val="20"/>
          <w:color w:val="auto"/>
        </w:rPr>
      </w:pPr>
      <w:r>
        <w:rPr>
          <w:rFonts w:ascii="Courier New" w:cs="Courier New" w:eastAsia="Courier New" w:hAnsi="Courier New"/>
          <w:sz w:val="14"/>
          <w:szCs w:val="14"/>
          <w:color w:val="auto"/>
        </w:rPr>
        <w:t>The Company has a non-employee directors stock option plan covering 500,000 shares of common stock for the purpose of attracting and retaining qualified outside directors. Under this plan, directors who are not employees of the Company are granted options to acquire 5,000 shares of the Company's common stock at the time of their election to the Board and an additional option of 5,000 shares on each anniversary date of their election. Options are granted at the market price at the time of grant and are exercisable for ten years from the date of grant. No charges to operations are recorded with respect to authorization, grant or exercise of these options.</w:t>
      </w:r>
    </w:p>
    <w:p>
      <w:pPr>
        <w:spacing w:after="0" w:line="3" w:lineRule="exact"/>
        <w:rPr>
          <w:sz w:val="20"/>
          <w:szCs w:val="20"/>
          <w:color w:val="auto"/>
        </w:rPr>
      </w:pPr>
    </w:p>
    <w:p>
      <w:pPr>
        <w:ind w:left="1050" w:right="440"/>
        <w:spacing w:after="0" w:line="237" w:lineRule="auto"/>
        <w:rPr>
          <w:sz w:val="20"/>
          <w:szCs w:val="20"/>
          <w:color w:val="auto"/>
        </w:rPr>
      </w:pPr>
      <w:r>
        <w:rPr>
          <w:rFonts w:ascii="Courier New" w:cs="Courier New" w:eastAsia="Courier New" w:hAnsi="Courier New"/>
          <w:sz w:val="15"/>
          <w:szCs w:val="15"/>
          <w:color w:val="auto"/>
        </w:rPr>
        <w:t>During 1995, 1994 and 1993, options for 20,000, 20,000 and 40,000 shares were granted at the then market prices of $19.75, $27.00 and $17.63, respectively. At December 31, 1995, options for 132,000 shares were exercisable and 276,000 shares were available for future granting.</w:t>
      </w:r>
    </w:p>
    <w:p>
      <w:pPr>
        <w:spacing w:after="0" w:line="34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4"/>
          <w:szCs w:val="14"/>
          <w:color w:val="auto"/>
        </w:rPr>
        <w:t>Shares Available</w:t>
      </w:r>
    </w:p>
    <w:p>
      <w:pPr>
        <w:spacing w:after="0" w:line="5"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5"/>
          <w:szCs w:val="15"/>
          <w:color w:val="auto"/>
        </w:rPr>
        <w:t>For Granting</w:t>
      </w:r>
    </w:p>
    <w:p>
      <w:pPr>
        <w:ind w:left="1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314,600</w:t>
      </w:r>
    </w:p>
    <w:p>
      <w:pPr>
        <w:ind w:left="340"/>
        <w:spacing w:after="0"/>
        <w:rPr>
          <w:sz w:val="20"/>
          <w:szCs w:val="20"/>
          <w:color w:val="auto"/>
        </w:rPr>
      </w:pPr>
      <w:r>
        <w:rPr>
          <w:rFonts w:ascii="Courier New" w:cs="Courier New" w:eastAsia="Courier New" w:hAnsi="Courier New"/>
          <w:sz w:val="15"/>
          <w:szCs w:val="15"/>
          <w:color w:val="auto"/>
        </w:rPr>
        <w:t>1,000,000</w:t>
      </w:r>
    </w:p>
    <w:p>
      <w:pPr>
        <w:ind w:left="440"/>
        <w:spacing w:after="0"/>
        <w:rPr>
          <w:sz w:val="20"/>
          <w:szCs w:val="20"/>
          <w:color w:val="auto"/>
        </w:rPr>
      </w:pPr>
      <w:r>
        <w:rPr>
          <w:rFonts w:ascii="Courier New" w:cs="Courier New" w:eastAsia="Courier New" w:hAnsi="Courier New"/>
          <w:sz w:val="15"/>
          <w:szCs w:val="15"/>
          <w:color w:val="auto"/>
        </w:rPr>
        <w:t>(323,050)</w:t>
      </w:r>
    </w:p>
    <w:p>
      <w:pPr>
        <w:ind w:left="700"/>
        <w:spacing w:after="0" w:line="238" w:lineRule="auto"/>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5"/>
          <w:szCs w:val="15"/>
          <w:color w:val="auto"/>
        </w:rPr>
        <w:t>991,550</w:t>
      </w:r>
    </w:p>
    <w:p>
      <w:pPr>
        <w:jc w:val="center"/>
        <w:ind w:right="719"/>
        <w:spacing w:after="0"/>
        <w:rPr>
          <w:sz w:val="20"/>
          <w:szCs w:val="20"/>
          <w:color w:val="auto"/>
        </w:rPr>
      </w:pPr>
      <w:r>
        <w:rPr>
          <w:rFonts w:ascii="Courier New" w:cs="Courier New" w:eastAsia="Courier New" w:hAnsi="Courier New"/>
          <w:sz w:val="15"/>
          <w:szCs w:val="15"/>
          <w:color w:val="auto"/>
        </w:rPr>
        <w:t>(274,850)</w:t>
      </w:r>
    </w:p>
    <w:p>
      <w:pPr>
        <w:jc w:val="center"/>
        <w:ind w:right="719"/>
        <w:spacing w:after="0"/>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500</w:t>
      </w:r>
    </w:p>
    <w:p>
      <w:pPr>
        <w:ind w:left="3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717,200</w:t>
      </w:r>
    </w:p>
    <w:p>
      <w:pPr>
        <w:ind w:left="340"/>
        <w:spacing w:after="0"/>
        <w:rPr>
          <w:sz w:val="20"/>
          <w:szCs w:val="20"/>
          <w:color w:val="auto"/>
        </w:rPr>
      </w:pPr>
      <w:r>
        <w:rPr>
          <w:rFonts w:ascii="Courier New" w:cs="Courier New" w:eastAsia="Courier New" w:hAnsi="Courier New"/>
          <w:sz w:val="15"/>
          <w:szCs w:val="15"/>
          <w:color w:val="auto"/>
        </w:rPr>
        <w:t>1,604,000</w:t>
      </w:r>
    </w:p>
    <w:p>
      <w:pPr>
        <w:ind w:left="440"/>
        <w:spacing w:after="0"/>
        <w:rPr>
          <w:sz w:val="20"/>
          <w:szCs w:val="20"/>
          <w:color w:val="auto"/>
        </w:rPr>
      </w:pPr>
      <w:r>
        <w:rPr>
          <w:rFonts w:ascii="Courier New" w:cs="Courier New" w:eastAsia="Courier New" w:hAnsi="Courier New"/>
          <w:sz w:val="15"/>
          <w:szCs w:val="15"/>
          <w:color w:val="auto"/>
        </w:rPr>
        <w:t>(321,050)</w:t>
      </w:r>
    </w:p>
    <w:p>
      <w:pPr>
        <w:ind w:left="960"/>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rPr>
          <w:sz w:val="20"/>
          <w:szCs w:val="20"/>
          <w:color w:val="auto"/>
        </w:rPr>
      </w:pPr>
      <w:r>
        <w:rPr>
          <w:rFonts w:ascii="Courier New" w:cs="Courier New" w:eastAsia="Courier New" w:hAnsi="Courier New"/>
          <w:sz w:val="15"/>
          <w:szCs w:val="15"/>
          <w:color w:val="auto"/>
        </w:rPr>
        <w:t>9,000</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2,009,150</w:t>
      </w:r>
    </w:p>
    <w:p>
      <w:pPr>
        <w:ind w:left="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490" w:space="360"/>
            <w:col w:w="2379"/>
          </w:cols>
          <w:pgMar w:left="230" w:top="283"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890" w:hanging="890"/>
        <w:spacing w:after="0"/>
        <w:tabs>
          <w:tab w:leader="none" w:pos="8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74" w:lineRule="exact"/>
        <w:rPr>
          <w:rFonts w:ascii="Courier New" w:cs="Courier New" w:eastAsia="Courier New" w:hAnsi="Courier New"/>
          <w:sz w:val="15"/>
          <w:szCs w:val="15"/>
          <w:color w:val="auto"/>
        </w:rPr>
      </w:pPr>
    </w:p>
    <w:p>
      <w:pPr>
        <w:ind w:left="1050" w:right="3179" w:hanging="176"/>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May 13, 1993, the Company's Board of Directors declared a two-for-one stock split effected in the form of a 100% stock dividend to shareholders of record on May 28, 1993. The stock split increased the number of shares of common stock then outstanding from 8,033,889 to 16,067,778. Earnings per share and all share data have been restated in all prior periods to reflect this stock split.</w:t>
      </w:r>
    </w:p>
    <w:p>
      <w:pPr>
        <w:spacing w:after="0" w:line="158"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rFonts w:ascii="Courier New" w:cs="Courier New" w:eastAsia="Courier New" w:hAnsi="Courier New"/>
          <w:sz w:val="15"/>
          <w:szCs w:val="15"/>
          <w:color w:val="auto"/>
        </w:rPr>
      </w:pPr>
    </w:p>
    <w:p>
      <w:pPr>
        <w:ind w:left="1050" w:right="3259" w:hanging="17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owns four U.S. Patents for automatic mirrors and electrochromic devices that were the subject of patent infringement claims asserted against Donnelly Corporation ("Donnelly") during</w:t>
      </w:r>
    </w:p>
    <w:p>
      <w:pPr>
        <w:ind w:left="10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1990 to 1993. All of those claims have either been adjudicated or were resolved in a settlement in May 1993. Gentex received $3.6 million in damages and settlement fees.</w:t>
      </w:r>
    </w:p>
    <w:p>
      <w:pPr>
        <w:spacing w:after="0" w:line="174" w:lineRule="exact"/>
        <w:rPr>
          <w:rFonts w:ascii="Courier New" w:cs="Courier New" w:eastAsia="Courier New" w:hAnsi="Courier New"/>
          <w:sz w:val="15"/>
          <w:szCs w:val="15"/>
          <w:color w:val="auto"/>
        </w:rPr>
      </w:pPr>
    </w:p>
    <w:p>
      <w:pPr>
        <w:ind w:left="1050" w:right="317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Despite the May 1993 settlement agreement, in November 1993, Donnelly requested that the U.S. Patent and Trademark Office (USPTO) re-examine certain claims it had granted to Gentex in the Company's U.S. Patent No. 5,128,799. The USPTO agreed to do so, which is not unusual. In November 1995, the USPTO confirmed the patentability of a number of the claims, including some of the claims that Donnelly had been found to infringe in the 1992 suit. That re-examination is proceeding as to the other claims.</w:t>
      </w:r>
    </w:p>
    <w:p>
      <w:pPr>
        <w:spacing w:after="0" w:line="177" w:lineRule="exact"/>
        <w:rPr>
          <w:rFonts w:ascii="Courier New" w:cs="Courier New" w:eastAsia="Courier New" w:hAnsi="Courier New"/>
          <w:sz w:val="15"/>
          <w:szCs w:val="15"/>
          <w:color w:val="auto"/>
        </w:rPr>
      </w:pPr>
    </w:p>
    <w:p>
      <w:pPr>
        <w:ind w:left="1050" w:right="317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is involved in other litigation which Donnelly initiated in July 1993 with respect to four Donnelly patents. Three of those patents are directed to lights in rearview mirrors ("lighted mirror patents"), and the fourth patent is directed to a rearview mirror with a "dark or color-matched seal" ("dark seal patent"). Two of the three lighted mirror patents were found to be invalid by the Court when it granted the Company's motion for summary judgment on those patents, which Donnelly has appealed. The third lighted mirror patent was dismissed without prejudice. The Company's renewed motion for summary judgment of invalidity on the dark seal patent was denied on February 9, 1996. This case is scheduled for a jury trial beginning April 1, 1996.</w:t>
      </w:r>
    </w:p>
    <w:p>
      <w:pPr>
        <w:spacing w:after="0" w:line="181" w:lineRule="exact"/>
        <w:rPr>
          <w:rFonts w:ascii="Courier New" w:cs="Courier New" w:eastAsia="Courier New" w:hAnsi="Courier New"/>
          <w:sz w:val="15"/>
          <w:szCs w:val="15"/>
          <w:color w:val="auto"/>
        </w:rPr>
      </w:pPr>
    </w:p>
    <w:p>
      <w:pPr>
        <w:ind w:left="1050" w:right="317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Donnelly also initiated another suit against the Company in October 1994 for alleged infringement of two Donnelly patents directed to electrochromic solutions and electrochromic rearview mirrors that contain a certain ultraviolet stabilizer. Donnelly subsequently alleged infringement of a third patent directed broadly to an electrochromic device with an ultraviolet stabilizer. The Company answered both complaints, denying infringement of all three Donnelly patents, and asserting that each patent is invalid and unenforceable. This case is in the early stages of discovery, and no trial date has been set.</w:t>
      </w:r>
    </w:p>
    <w:p>
      <w:pPr>
        <w:spacing w:after="0" w:line="179" w:lineRule="exact"/>
        <w:rPr>
          <w:rFonts w:ascii="Courier New" w:cs="Courier New" w:eastAsia="Courier New" w:hAnsi="Courier New"/>
          <w:sz w:val="15"/>
          <w:szCs w:val="15"/>
          <w:color w:val="auto"/>
        </w:rPr>
      </w:pPr>
    </w:p>
    <w:p>
      <w:pPr>
        <w:ind w:left="1050" w:right="3179" w:hanging="17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complaint against Donnelly in June 1995, seeking a declaratory judgment that three Donnelly patents are invalid and not infringed by the Company. Two of those patents are directed to electrochromic rearview mirrors having an optical display, such as a compass readout, and the third is directed to electrochromic mirrors made from a certain type of float glass with an "anti-iridescence" coating. Donnelly answered the complaint, denying its patents are invalid, counterclaiming for infringement of one compass patent and the float glass patent, and asserting that the Court does not have jurisdiction over the second compass patent, because there is no case or controversy over that patent.</w:t>
      </w:r>
    </w:p>
    <w:p>
      <w:pPr>
        <w:spacing w:after="0" w:line="17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28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53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960" w:hanging="613"/>
        <w:spacing w:after="0"/>
        <w:tabs>
          <w:tab w:leader="none" w:pos="9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169" w:lineRule="exact"/>
        <w:rPr>
          <w:rFonts w:ascii="Courier New" w:cs="Courier New" w:eastAsia="Courier New" w:hAnsi="Courier New"/>
          <w:sz w:val="15"/>
          <w:szCs w:val="15"/>
          <w:color w:val="auto"/>
        </w:rPr>
      </w:pP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1995, the Court ordered that all discovery related</w:t>
      </w:r>
    </w:p>
    <w:p>
      <w:pPr>
        <w:spacing w:after="0" w:line="5" w:lineRule="exact"/>
        <w:rPr>
          <w:rFonts w:ascii="Courier New" w:cs="Courier New" w:eastAsia="Courier New" w:hAnsi="Courier New"/>
          <w:sz w:val="15"/>
          <w:szCs w:val="15"/>
          <w:color w:val="auto"/>
        </w:rPr>
      </w:pPr>
    </w:p>
    <w:p>
      <w:pPr>
        <w:ind w:left="9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this case shall concentrate on the issue of the invalidity of the patents in suit and on the issue of the Court's jurisdiction. In October 1995, the Company made a motion for summary judgment of invalidity of Donnelly's two compass mirror patents, and in December 1995, the Company made a motion for summary judgment of invalidity of Donnelly's float glass patent. An oral argument on those motions is scheduled for April 24, 1996. This suit is still in the discovery stage, and no trial date has been scheduled.</w:t>
      </w:r>
    </w:p>
    <w:p>
      <w:pPr>
        <w:spacing w:after="0" w:line="178" w:lineRule="exact"/>
        <w:rPr>
          <w:rFonts w:ascii="Courier New" w:cs="Courier New" w:eastAsia="Courier New" w:hAnsi="Courier New"/>
          <w:sz w:val="15"/>
          <w:szCs w:val="15"/>
          <w:color w:val="auto"/>
        </w:rPr>
      </w:pPr>
    </w:p>
    <w:p>
      <w:pPr>
        <w:ind w:left="96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patent infringement suit filed against the Company in February 1994 by C-D Marketing, Ltd. was settled during 1995. As part of the settlement, the Company purchased all of C-D Marketing's worldwide patent rights, many of which relate to certain types of electro-optic devices.</w:t>
      </w:r>
    </w:p>
    <w:p>
      <w:pPr>
        <w:spacing w:after="0" w:line="178" w:lineRule="exact"/>
        <w:rPr>
          <w:rFonts w:ascii="Courier New" w:cs="Courier New" w:eastAsia="Courier New" w:hAnsi="Courier New"/>
          <w:sz w:val="15"/>
          <w:szCs w:val="15"/>
          <w:color w:val="auto"/>
        </w:rPr>
      </w:pPr>
    </w:p>
    <w:p>
      <w:pPr>
        <w:ind w:left="96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described above, certain of these litigation matters (in particular, the dark seal patent jury trial) may be resolved or adjudicated, subject to appeal, within the next year. While management has accrued an estimate of the legal costs it expects to incur in its defense against the Donnelly patents in the reasonably foreseeable future, at this time it is unable to estimate a reasonable range of loss in the event of an unfavorable decision.</w:t>
      </w:r>
    </w:p>
    <w:p>
      <w:pPr>
        <w:spacing w:after="0" w:line="177" w:lineRule="exact"/>
        <w:rPr>
          <w:rFonts w:ascii="Courier New" w:cs="Courier New" w:eastAsia="Courier New" w:hAnsi="Courier New"/>
          <w:sz w:val="15"/>
          <w:szCs w:val="15"/>
          <w:color w:val="auto"/>
        </w:rPr>
      </w:pPr>
    </w:p>
    <w:p>
      <w:pPr>
        <w:ind w:left="9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believes that it has meritorious defenses to Donnelly's claims for infringement of all of these patents. However, as with most litigation, it is difficult to predict with any degree of certainty whether those defenses will or will not prevail. In any event, management believes that the outcome will not have a material adverse effect on the Company's financial statements.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83"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(Continued)</w:t>
      </w:r>
    </w:p>
    <w:p>
      <w:pPr>
        <w:spacing w:after="0" w:line="338" w:lineRule="exact"/>
        <w:rPr>
          <w:sz w:val="20"/>
          <w:szCs w:val="20"/>
          <w:color w:val="auto"/>
        </w:rPr>
      </w:pPr>
    </w:p>
    <w:p>
      <w:pPr>
        <w:ind w:left="890" w:hanging="890"/>
        <w:spacing w:after="0"/>
        <w:tabs>
          <w:tab w:leader="none" w:pos="8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4" w:lineRule="exact"/>
        <w:rPr>
          <w:rFonts w:ascii="Courier New" w:cs="Courier New" w:eastAsia="Courier New" w:hAnsi="Courier New"/>
          <w:sz w:val="15"/>
          <w:szCs w:val="15"/>
          <w:color w:val="auto"/>
        </w:rPr>
      </w:pPr>
    </w:p>
    <w:p>
      <w:pPr>
        <w:ind w:left="89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operates in two reportable business segments: automatic rearview mirrors for the automotive industry and fire protection products for the commercial building industry. Corporate assets are principally cash, investments, deferred income taxes, and corporate fixed assets. Information by business segment and geographic area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14"/>
                <w:szCs w:val="1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Automotive Products</w:t>
            </w: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U.S.</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$65,853,000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$51,548,000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$35,962,000</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Europe</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14,693,000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8,717,000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4,731,000</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13,751,000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10,732,000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5,015,000</w:t>
            </w:r>
          </w:p>
        </w:tc>
      </w:tr>
      <w:tr>
        <w:trPr>
          <w:trHeight w:val="170"/>
        </w:trPr>
        <w:tc>
          <w:tcPr>
            <w:tcW w:w="290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$94,297,000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$70,997,000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$45,708,000</w:t>
            </w:r>
          </w:p>
        </w:tc>
      </w:tr>
      <w:tr>
        <w:trPr>
          <w:trHeight w:val="339"/>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Fire Protection Products</w:t>
            </w:r>
          </w:p>
        </w:tc>
        <w:tc>
          <w:tcPr>
            <w:tcW w:w="520" w:type="dxa"/>
            <w:vAlign w:val="bottom"/>
          </w:tcPr>
          <w:p>
            <w:pPr>
              <w:spacing w:after="0"/>
              <w:rPr>
                <w:sz w:val="24"/>
                <w:szCs w:val="2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$17,269,000</w:t>
            </w:r>
          </w:p>
        </w:tc>
        <w:tc>
          <w:tcPr>
            <w:tcW w:w="66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$18,533,000</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$17,181,000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Automotive</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$21,600,000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$18,286,000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$8,250,000</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Fire Protection Products</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3,362,000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4,704,000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5,527,000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Automotive Products</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$37,268,000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$29,617,000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$22,666,000</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Fire Protection Products</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3,960,000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4,239,000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4,089,000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Automotive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2,793,000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2,529,000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3,795,000</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Fire Protection</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162,000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Automotive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4,721,000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4,910,000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3,205,000</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Fire Protection</w:t>
            </w:r>
          </w:p>
        </w:tc>
        <w:tc>
          <w:tcPr>
            <w:tcW w:w="52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199,000</w:t>
            </w:r>
          </w:p>
        </w:tc>
        <w:tc>
          <w:tcPr>
            <w:tcW w:w="6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329,000</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166,000</w:t>
            </w:r>
          </w:p>
        </w:tc>
      </w:tr>
    </w:tbl>
    <w:p>
      <w:pPr>
        <w:spacing w:after="0" w:line="200" w:lineRule="exact"/>
        <w:rPr>
          <w:sz w:val="20"/>
          <w:szCs w:val="20"/>
          <w:color w:val="auto"/>
        </w:rPr>
      </w:pPr>
    </w:p>
    <w:p>
      <w:pPr>
        <w:spacing w:after="0" w:line="314" w:lineRule="exact"/>
        <w:rPr>
          <w:sz w:val="20"/>
          <w:szCs w:val="20"/>
          <w:color w:val="auto"/>
        </w:rPr>
      </w:pPr>
    </w:p>
    <w:p>
      <w:pPr>
        <w:jc w:val="both"/>
        <w:ind w:left="970" w:right="3879"/>
        <w:spacing w:after="0" w:line="237" w:lineRule="auto"/>
        <w:rPr>
          <w:sz w:val="20"/>
          <w:szCs w:val="20"/>
          <w:color w:val="auto"/>
        </w:rPr>
      </w:pPr>
      <w:r>
        <w:rPr>
          <w:rFonts w:ascii="Courier New" w:cs="Courier New" w:eastAsia="Courier New" w:hAnsi="Courier New"/>
          <w:sz w:val="15"/>
          <w:szCs w:val="15"/>
          <w:color w:val="auto"/>
        </w:rPr>
        <w:t>During the years presented, the Company had three automotive customers which individually accounted for 10% or more of net sales as follows:</w:t>
      </w:r>
    </w:p>
    <w:p>
      <w:pPr>
        <w:spacing w:after="0" w:line="339" w:lineRule="exact"/>
        <w:rPr>
          <w:sz w:val="20"/>
          <w:szCs w:val="20"/>
          <w:color w:val="auto"/>
        </w:rPr>
      </w:pPr>
    </w:p>
    <w:tbl>
      <w:tblPr>
        <w:tblLayout w:type="fixed"/>
        <w:tblInd w:w="229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Customer</w:t>
            </w:r>
          </w:p>
        </w:tc>
        <w:tc>
          <w:tcPr>
            <w:tcW w:w="8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2040" w:type="dxa"/>
            <w:vAlign w:val="bottom"/>
          </w:tcPr>
          <w:p>
            <w:pPr>
              <w:ind w:left="1280"/>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660" w:type="dxa"/>
            <w:vAlign w:val="bottom"/>
          </w:tcPr>
          <w:p>
            <w:pPr>
              <w:spacing w:after="0"/>
              <w:rPr>
                <w:sz w:val="14"/>
                <w:szCs w:val="14"/>
                <w:color w:val="auto"/>
              </w:rPr>
            </w:pPr>
          </w:p>
        </w:tc>
        <w:tc>
          <w:tcPr>
            <w:tcW w:w="20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1995</w:t>
            </w:r>
          </w:p>
        </w:tc>
        <w:tc>
          <w:tcPr>
            <w:tcW w:w="2040" w:type="dxa"/>
            <w:vAlign w:val="bottom"/>
          </w:tcPr>
          <w:p>
            <w:pPr>
              <w:ind w:left="1280"/>
              <w:spacing w:after="0"/>
              <w:rPr>
                <w:sz w:val="20"/>
                <w:szCs w:val="20"/>
                <w:color w:val="auto"/>
              </w:rPr>
            </w:pPr>
            <w:r>
              <w:rPr>
                <w:rFonts w:ascii="Courier New" w:cs="Courier New" w:eastAsia="Courier New" w:hAnsi="Courier New"/>
                <w:sz w:val="15"/>
                <w:szCs w:val="15"/>
                <w:color w:val="auto"/>
              </w:rPr>
              <w:t>38%</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1994</w:t>
            </w:r>
          </w:p>
        </w:tc>
        <w:tc>
          <w:tcPr>
            <w:tcW w:w="2040" w:type="dxa"/>
            <w:vAlign w:val="bottom"/>
          </w:tcPr>
          <w:p>
            <w:pPr>
              <w:ind w:left="1280"/>
              <w:spacing w:after="0"/>
              <w:rPr>
                <w:sz w:val="20"/>
                <w:szCs w:val="20"/>
                <w:color w:val="auto"/>
              </w:rPr>
            </w:pPr>
            <w:r>
              <w:rPr>
                <w:rFonts w:ascii="Courier New" w:cs="Courier New" w:eastAsia="Courier New" w:hAnsi="Courier New"/>
                <w:sz w:val="15"/>
                <w:szCs w:val="15"/>
                <w:color w:val="auto"/>
              </w:rPr>
              <w:t>33%</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1993</w:t>
            </w:r>
          </w:p>
        </w:tc>
        <w:tc>
          <w:tcPr>
            <w:tcW w:w="2040" w:type="dxa"/>
            <w:vAlign w:val="bottom"/>
          </w:tcPr>
          <w:p>
            <w:pPr>
              <w:ind w:left="1280"/>
              <w:spacing w:after="0"/>
              <w:rPr>
                <w:sz w:val="20"/>
                <w:szCs w:val="20"/>
                <w:color w:val="auto"/>
              </w:rPr>
            </w:pPr>
            <w:r>
              <w:rPr>
                <w:rFonts w:ascii="Courier New" w:cs="Courier New" w:eastAsia="Courier New" w:hAnsi="Courier New"/>
                <w:sz w:val="15"/>
                <w:szCs w:val="15"/>
                <w:color w:val="auto"/>
              </w:rPr>
              <w:t>31%</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678"/>
        </w:trPr>
        <w:tc>
          <w:tcPr>
            <w:tcW w:w="66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Courier New" w:cs="Courier New" w:eastAsia="Courier New" w:hAnsi="Courier New"/>
                <w:sz w:val="15"/>
                <w:szCs w:val="15"/>
                <w:color w:val="auto"/>
              </w:rPr>
              <w:t>-31-</w:t>
            </w: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9"/>
          </w:cols>
          <w:pgMar w:left="23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9520" w:type="dxa"/>
            <w:vAlign w:val="bottom"/>
          </w:tcPr>
          <w:p>
            <w:pPr>
              <w:ind w:left="2720"/>
              <w:spacing w:after="0"/>
              <w:rPr>
                <w:sz w:val="20"/>
                <w:szCs w:val="20"/>
                <w:color w:val="auto"/>
              </w:rPr>
            </w:pPr>
            <w:r>
              <w:rPr>
                <w:rFonts w:ascii="Courier New" w:cs="Courier New" w:eastAsia="Courier New" w:hAnsi="Courier New"/>
                <w:sz w:val="15"/>
                <w:szCs w:val="15"/>
                <w:color w:val="auto"/>
              </w:rPr>
              <w:t>DESCRIPTION</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52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Registrant's Articles of Incorporation were filed in 1981 as Exhibit 2(a) to a Registration</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Statement on Form S-18 (Registration No. 2-74226C), an Amendment to those Articles was filed as</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Exhibit 3 to Registrant's Report on Form 10-Q in August of 1985, an additional Amendment to those</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Articles was filed as Exhibit 3(a)(i) to Registrant's Report on Form 10-Q in August of 1987, and</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an additional Amendment to those Articles was filed as Exhibit 3(a)(2) to Registrant's Report on</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Form 10-K dated March 10, 1992, all of which are 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Amendment to Articles of Incorporation, adopted on May 12, 1994, was filed as Exhibit 3(a)(2) to</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w w:val="99"/>
              </w:rPr>
              <w:t>Registrant's Report on Form 10-Q dated April 28, 1995, and the same is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Registrant's Bylaws as amended and restated August 18, 1995, were filed as Exhibit 3(b) to Registrant's</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Report on Form 10-Q dated November 1, 1995, and the same is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 specimen form of certificate for the Registrant's common stock, par value $.06 per share, was filed</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as part of a Registration Statement (Registration Number 2-74226C) as Exhibit 3(a), as amended by</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w w:val="99"/>
              </w:rPr>
              <w:t>Amendment No. 3 to such Registration Statement, and the same is 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Shareholder Protection Rights Agreement, dated as of August 26, 1991, including as Exhibit A the form</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w w:val="99"/>
              </w:rPr>
              <w:t>of Certificate of Adoption of Resolution Establishing Series of Shares of Junior Participating Preferred</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Stock of the Company, and as Exhibit B the form of Rights Certificate and of Election to Exercise, was</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filed as Exhibit 4(b) to Registrant's report on Form 8-K on August 20, 1991, and the same is hereby</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4(b)(1)</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First Amendment to Shareholder Protection Rights Agreement, effective April 1, 1994, was filed as</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Exhibit 4(b)(1) to Registrant's Report on Form 10-Q dated April 29, 1994, and the same is hereby</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 Lease dated August 15, 1981 was filed as part of a Registration Statement (Registration Number</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2-74226C) as Exhibit 9(a)(1), and the same is 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A First Amendment to Lease dated June 28, 1985 was filed as Exhibit 10(m) to Registrant's Report on</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Form 10-K dated March 18, 1986, and the same is 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Gentex Corporation Qualified Stock Option Plan (as amended and restated, effective May 11, 1995) was</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filed as Exhibit 10(b)(1) to Registrant's Report on Form 10-Q dated August 1, 1995, and the same is</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Gentex Corporation 1987 Incentive Stock Option Plan (as amended through May 24, 1989), was</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filed as Exhibit 10(g)(3) to Registrant's Report on Form 10-K dated March 1, 1990, and the same is</w:t>
            </w:r>
          </w:p>
        </w:tc>
        <w:tc>
          <w:tcPr>
            <w:tcW w:w="68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hereby incorporated herein by reference.</w:t>
            </w:r>
          </w:p>
        </w:tc>
        <w:tc>
          <w:tcPr>
            <w:tcW w:w="68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Gentex Corporation Restricted Stock Plan was filed as Exhibit 10(b)(3) to Registrant's Report on</w:t>
            </w:r>
          </w:p>
        </w:tc>
        <w:tc>
          <w:tcPr>
            <w:tcW w:w="68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9520" w:type="dxa"/>
            <w:vAlign w:val="bottom"/>
          </w:tcPr>
          <w:p>
            <w:pPr>
              <w:ind w:left="160"/>
              <w:spacing w:after="0"/>
              <w:rPr>
                <w:sz w:val="20"/>
                <w:szCs w:val="20"/>
                <w:color w:val="auto"/>
              </w:rPr>
            </w:pPr>
            <w:r>
              <w:rPr>
                <w:rFonts w:ascii="Courier New" w:cs="Courier New" w:eastAsia="Courier New" w:hAnsi="Courier New"/>
                <w:sz w:val="15"/>
                <w:szCs w:val="15"/>
                <w:color w:val="auto"/>
              </w:rPr>
              <w:t>Form 10-K dated March 10, 1992, and the same is hereby incorporated herein by reference.</w:t>
            </w:r>
          </w:p>
        </w:tc>
        <w:tc>
          <w:tcPr>
            <w:tcW w:w="680" w:type="dxa"/>
            <w:vAlign w:val="bottom"/>
          </w:tcPr>
          <w:p>
            <w:pPr>
              <w:spacing w:after="0"/>
              <w:rPr>
                <w:sz w:val="14"/>
                <w:szCs w:val="14"/>
                <w:color w:val="auto"/>
              </w:rPr>
            </w:pPr>
          </w:p>
        </w:tc>
      </w:tr>
      <w:tr>
        <w:trPr>
          <w:trHeight w:val="509"/>
        </w:trPr>
        <w:tc>
          <w:tcPr>
            <w:tcW w:w="13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Courier New" w:cs="Courier New" w:eastAsia="Courier New" w:hAnsi="Courier New"/>
                <w:sz w:val="15"/>
                <w:szCs w:val="15"/>
                <w:color w:val="auto"/>
              </w:rPr>
              <w:t>-32-</w:t>
            </w:r>
          </w:p>
        </w:tc>
        <w:tc>
          <w:tcPr>
            <w:tcW w:w="680" w:type="dxa"/>
            <w:vAlign w:val="bottom"/>
          </w:tcPr>
          <w:p>
            <w:pPr>
              <w:spacing w:after="0"/>
              <w:rPr>
                <w:sz w:val="24"/>
                <w:szCs w:val="24"/>
                <w:color w:val="auto"/>
              </w:rPr>
            </w:pPr>
          </w:p>
        </w:tc>
      </w:tr>
    </w:tbl>
    <w:p>
      <w:pPr>
        <w:sectPr>
          <w:pgSz w:w="11900" w:h="16838" w:orient="portrait"/>
          <w:cols w:equalWidth="0" w:num="1">
            <w:col w:w="11520"/>
          </w:cols>
          <w:pgMar w:left="240" w:top="283" w:right="139"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80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14"/>
                <w:szCs w:val="14"/>
                <w:color w:val="auto"/>
              </w:rPr>
            </w:pPr>
          </w:p>
        </w:tc>
        <w:tc>
          <w:tcPr>
            <w:tcW w:w="6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1800" w:type="dxa"/>
            <w:vAlign w:val="bottom"/>
          </w:tcPr>
          <w:p>
            <w:pPr>
              <w:ind w:left="160"/>
              <w:spacing w:after="0"/>
              <w:rPr>
                <w:sz w:val="20"/>
                <w:szCs w:val="20"/>
                <w:color w:val="auto"/>
              </w:rPr>
            </w:pPr>
            <w:r>
              <w:rPr>
                <w:rFonts w:ascii="Courier New" w:cs="Courier New" w:eastAsia="Courier New" w:hAnsi="Courier New"/>
                <w:sz w:val="15"/>
                <w:szCs w:val="15"/>
                <w:color w:val="auto"/>
                <w:w w:val="99"/>
              </w:rPr>
              <w:t>Gentex Corporation</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Non-Employee Director Stock Option Plan as amended through March 5,</w:t>
            </w: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5"/>
                <w:szCs w:val="15"/>
                <w:color w:val="auto"/>
                <w:w w:val="99"/>
              </w:rPr>
              <w:t>1993, was filed as</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Exhibit 10(b)(4) to Registrant's Report on Form 10-K dated March 5,</w:t>
            </w: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5"/>
                <w:szCs w:val="15"/>
                <w:color w:val="auto"/>
                <w:w w:val="99"/>
              </w:rPr>
              <w:t>1993, and the same</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is incorporated herein in reference.</w:t>
            </w:r>
          </w:p>
        </w:tc>
        <w:tc>
          <w:tcPr>
            <w:tcW w:w="84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form of Indemnity Agreement between Registrant and each of the Registrant's directors</w:t>
            </w: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was filed as a part of a Registration Statement on Form S-2 (Registration No. 33-30353)</w:t>
            </w: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 Exhibit 10(k) and the same is hereby incorporated herein by reference.</w:t>
            </w:r>
          </w:p>
        </w:tc>
        <w:tc>
          <w:tcPr>
            <w:tcW w:w="840" w:type="dxa"/>
            <w:vAlign w:val="bottom"/>
          </w:tcPr>
          <w:p>
            <w:pPr>
              <w:spacing w:after="0"/>
              <w:rPr>
                <w:sz w:val="14"/>
                <w:szCs w:val="1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List of Company Subsidiaries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Consent of Independent Public Accountants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8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Financial Data Schedule</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70" w:right="6260" w:hanging="3270"/>
        <w:spacing w:after="0" w:line="778" w:lineRule="auto"/>
        <w:tabs>
          <w:tab w:leader="none" w:pos="18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compensatory plan or arrangement. -33-</w:t>
      </w:r>
    </w:p>
    <w:p>
      <w:pPr>
        <w:sectPr>
          <w:pgSz w:w="11900" w:h="16838" w:orient="portrait"/>
          <w:cols w:equalWidth="0" w:num="1">
            <w:col w:w="10410"/>
          </w:cols>
          <w:pgMar w:left="230" w:top="283" w:right="1259"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 w:right="3439" w:hanging="530"/>
        <w:spacing w:after="0" w:line="235"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345" w:lineRule="exact"/>
        <w:rPr>
          <w:rFonts w:ascii="Courier New" w:cs="Courier New" w:eastAsia="Courier New" w:hAnsi="Courier New"/>
          <w:sz w:val="15"/>
          <w:szCs w:val="15"/>
          <w:color w:val="auto"/>
        </w:rPr>
      </w:pPr>
    </w:p>
    <w:p>
      <w:pPr>
        <w:ind w:left="530" w:right="4059" w:hanging="530"/>
        <w:spacing w:after="0" w:line="237"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International Corporation, a Foreign Sales Corporation incorporated in Barbados, is a wholly-owned subsidiary of Gentex Corporation.</w:t>
      </w:r>
    </w:p>
    <w:p>
      <w:pPr>
        <w:spacing w:after="0" w:line="344" w:lineRule="exact"/>
        <w:rPr>
          <w:rFonts w:ascii="Courier New" w:cs="Courier New" w:eastAsia="Courier New" w:hAnsi="Courier New"/>
          <w:sz w:val="15"/>
          <w:szCs w:val="15"/>
          <w:color w:val="auto"/>
        </w:rPr>
      </w:pPr>
    </w:p>
    <w:p>
      <w:pPr>
        <w:ind w:left="530" w:right="4059" w:hanging="530"/>
        <w:spacing w:after="0" w:line="235"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345" w:lineRule="exact"/>
        <w:rPr>
          <w:rFonts w:ascii="Courier New" w:cs="Courier New" w:eastAsia="Courier New" w:hAnsi="Courier New"/>
          <w:sz w:val="15"/>
          <w:szCs w:val="15"/>
          <w:color w:val="auto"/>
        </w:rPr>
      </w:pPr>
    </w:p>
    <w:p>
      <w:pPr>
        <w:ind w:left="530" w:right="3699" w:hanging="530"/>
        <w:spacing w:after="0" w:line="265" w:lineRule="auto"/>
        <w:tabs>
          <w:tab w:leader="none" w:pos="5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13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10-K, into the Company's previously filed Registration Statement File Nos. 33-65321, 33-64504, 33-31408, 33-50396 and 33-64196.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/s/ Arthur Andersen LLP</w:t>
      </w:r>
    </w:p>
    <w:p>
      <w:pPr>
        <w:spacing w:after="0" w:line="175"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rPr>
          <w:sz w:val="20"/>
          <w:szCs w:val="20"/>
          <w:color w:val="auto"/>
        </w:rPr>
      </w:pPr>
      <w:r>
        <w:rPr>
          <w:rFonts w:ascii="Courier New" w:cs="Courier New" w:eastAsia="Courier New" w:hAnsi="Courier New"/>
          <w:sz w:val="15"/>
          <w:szCs w:val="15"/>
          <w:color w:val="auto"/>
        </w:rPr>
        <w:t>March 13, 1996</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23</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13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200"/>
        <w:spacing w:after="0"/>
        <w:rPr>
          <w:sz w:val="20"/>
          <w:szCs w:val="20"/>
          <w:color w:val="auto"/>
        </w:rPr>
      </w:pPr>
      <w:r>
        <w:rPr>
          <w:rFonts w:ascii="Courier New" w:cs="Courier New" w:eastAsia="Courier New" w:hAnsi="Courier New"/>
          <w:sz w:val="15"/>
          <w:szCs w:val="15"/>
          <w:color w:val="auto"/>
        </w:rPr>
        <w:t>DEC-31-1995</w:t>
      </w:r>
    </w:p>
    <w:p>
      <w:pPr>
        <w:ind w:left="2640"/>
        <w:spacing w:after="0"/>
        <w:rPr>
          <w:sz w:val="20"/>
          <w:szCs w:val="20"/>
          <w:color w:val="auto"/>
        </w:rPr>
      </w:pPr>
      <w:r>
        <w:rPr>
          <w:rFonts w:ascii="Courier New" w:cs="Courier New" w:eastAsia="Courier New" w:hAnsi="Courier New"/>
          <w:sz w:val="15"/>
          <w:szCs w:val="15"/>
          <w:color w:val="auto"/>
        </w:rPr>
        <w:t>DEC-31-1995</w:t>
      </w:r>
    </w:p>
    <w:p>
      <w:pPr>
        <w:ind w:left="3260"/>
        <w:spacing w:after="0" w:line="238" w:lineRule="auto"/>
        <w:rPr>
          <w:sz w:val="20"/>
          <w:szCs w:val="20"/>
          <w:color w:val="auto"/>
        </w:rPr>
      </w:pPr>
      <w:r>
        <w:rPr>
          <w:rFonts w:ascii="Courier New" w:cs="Courier New" w:eastAsia="Courier New" w:hAnsi="Courier New"/>
          <w:sz w:val="15"/>
          <w:szCs w:val="15"/>
          <w:color w:val="auto"/>
        </w:rPr>
        <w:t>14,115,041</w:t>
      </w:r>
    </w:p>
    <w:p>
      <w:pPr>
        <w:ind w:left="2740"/>
        <w:spacing w:after="0"/>
        <w:rPr>
          <w:sz w:val="20"/>
          <w:szCs w:val="20"/>
          <w:color w:val="auto"/>
        </w:rPr>
      </w:pPr>
      <w:r>
        <w:rPr>
          <w:rFonts w:ascii="Courier New" w:cs="Courier New" w:eastAsia="Courier New" w:hAnsi="Courier New"/>
          <w:sz w:val="15"/>
          <w:szCs w:val="15"/>
          <w:color w:val="auto"/>
        </w:rPr>
        <w:t>20,162,189</w:t>
      </w:r>
    </w:p>
    <w:p>
      <w:pPr>
        <w:ind w:left="2640"/>
        <w:spacing w:after="0"/>
        <w:rPr>
          <w:sz w:val="20"/>
          <w:szCs w:val="20"/>
          <w:color w:val="auto"/>
        </w:rPr>
      </w:pPr>
      <w:r>
        <w:rPr>
          <w:rFonts w:ascii="Courier New" w:cs="Courier New" w:eastAsia="Courier New" w:hAnsi="Courier New"/>
          <w:sz w:val="15"/>
          <w:szCs w:val="15"/>
          <w:color w:val="auto"/>
        </w:rPr>
        <w:t>14,881,156</w:t>
      </w:r>
    </w:p>
    <w:p>
      <w:pPr>
        <w:ind w:left="2820"/>
        <w:spacing w:after="0" w:line="238" w:lineRule="auto"/>
        <w:rPr>
          <w:sz w:val="20"/>
          <w:szCs w:val="20"/>
          <w:color w:val="auto"/>
        </w:rPr>
      </w:pPr>
      <w:r>
        <w:rPr>
          <w:rFonts w:ascii="Courier New" w:cs="Courier New" w:eastAsia="Courier New" w:hAnsi="Courier New"/>
          <w:sz w:val="15"/>
          <w:szCs w:val="15"/>
          <w:color w:val="auto"/>
        </w:rPr>
        <w:t>(175,000)</w:t>
      </w:r>
    </w:p>
    <w:p>
      <w:pPr>
        <w:ind w:left="2900"/>
        <w:spacing w:after="0"/>
        <w:rPr>
          <w:sz w:val="20"/>
          <w:szCs w:val="20"/>
          <w:color w:val="auto"/>
        </w:rPr>
      </w:pPr>
      <w:r>
        <w:rPr>
          <w:rFonts w:ascii="Courier New" w:cs="Courier New" w:eastAsia="Courier New" w:hAnsi="Courier New"/>
          <w:sz w:val="15"/>
          <w:szCs w:val="15"/>
          <w:color w:val="auto"/>
        </w:rPr>
        <w:t>5,735,519</w:t>
      </w:r>
    </w:p>
    <w:p>
      <w:pPr>
        <w:ind w:left="2380"/>
        <w:spacing w:after="0"/>
        <w:rPr>
          <w:sz w:val="20"/>
          <w:szCs w:val="20"/>
          <w:color w:val="auto"/>
        </w:rPr>
      </w:pPr>
      <w:r>
        <w:rPr>
          <w:rFonts w:ascii="Courier New" w:cs="Courier New" w:eastAsia="Courier New" w:hAnsi="Courier New"/>
          <w:sz w:val="15"/>
          <w:szCs w:val="15"/>
          <w:color w:val="auto"/>
        </w:rPr>
        <w:t>56,061,545</w:t>
      </w:r>
    </w:p>
    <w:p>
      <w:pPr>
        <w:ind w:left="3260"/>
        <w:spacing w:after="0"/>
        <w:rPr>
          <w:sz w:val="20"/>
          <w:szCs w:val="20"/>
          <w:color w:val="auto"/>
        </w:rPr>
      </w:pPr>
      <w:r>
        <w:rPr>
          <w:rFonts w:ascii="Courier New" w:cs="Courier New" w:eastAsia="Courier New" w:hAnsi="Courier New"/>
          <w:sz w:val="15"/>
          <w:szCs w:val="15"/>
          <w:color w:val="auto"/>
        </w:rPr>
        <w:t>31,217,005</w:t>
      </w:r>
    </w:p>
    <w:p>
      <w:pPr>
        <w:ind w:left="2380"/>
        <w:spacing w:after="0" w:line="238" w:lineRule="auto"/>
        <w:rPr>
          <w:sz w:val="20"/>
          <w:szCs w:val="20"/>
          <w:color w:val="auto"/>
        </w:rPr>
      </w:pPr>
      <w:r>
        <w:rPr>
          <w:rFonts w:ascii="Courier New" w:cs="Courier New" w:eastAsia="Courier New" w:hAnsi="Courier New"/>
          <w:sz w:val="15"/>
          <w:szCs w:val="15"/>
          <w:color w:val="auto"/>
        </w:rPr>
        <w:t>(12,274,890)</w:t>
      </w:r>
    </w:p>
    <w:p>
      <w:pPr>
        <w:ind w:left="2460"/>
        <w:spacing w:after="0"/>
        <w:rPr>
          <w:sz w:val="20"/>
          <w:szCs w:val="20"/>
          <w:color w:val="auto"/>
        </w:rPr>
      </w:pPr>
      <w:r>
        <w:rPr>
          <w:rFonts w:ascii="Courier New" w:cs="Courier New" w:eastAsia="Courier New" w:hAnsi="Courier New"/>
          <w:sz w:val="15"/>
          <w:szCs w:val="15"/>
          <w:color w:val="auto"/>
        </w:rPr>
        <w:t>109,243,521</w:t>
      </w:r>
    </w:p>
    <w:p>
      <w:pPr>
        <w:ind w:left="1940"/>
        <w:spacing w:after="0"/>
        <w:rPr>
          <w:sz w:val="20"/>
          <w:szCs w:val="20"/>
          <w:color w:val="auto"/>
        </w:rPr>
      </w:pPr>
      <w:r>
        <w:rPr>
          <w:rFonts w:ascii="Courier New" w:cs="Courier New" w:eastAsia="Courier New" w:hAnsi="Courier New"/>
          <w:sz w:val="15"/>
          <w:szCs w:val="15"/>
          <w:color w:val="auto"/>
        </w:rPr>
        <w:t>14,050,067</w:t>
      </w:r>
    </w:p>
    <w:p>
      <w:pPr>
        <w:ind w:left="3960"/>
        <w:spacing w:after="0" w:line="238" w:lineRule="auto"/>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180"/>
        <w:spacing w:after="0"/>
        <w:rPr>
          <w:sz w:val="20"/>
          <w:szCs w:val="20"/>
          <w:color w:val="auto"/>
        </w:rPr>
      </w:pPr>
      <w:r>
        <w:rPr>
          <w:rFonts w:ascii="Courier New" w:cs="Courier New" w:eastAsia="Courier New" w:hAnsi="Courier New"/>
          <w:sz w:val="15"/>
          <w:szCs w:val="15"/>
          <w:color w:val="auto"/>
        </w:rPr>
        <w:t>1,013,752</w:t>
      </w:r>
    </w:p>
    <w:p>
      <w:pPr>
        <w:ind w:left="2900"/>
        <w:spacing w:after="0" w:line="238" w:lineRule="auto"/>
        <w:rPr>
          <w:sz w:val="20"/>
          <w:szCs w:val="20"/>
          <w:color w:val="auto"/>
        </w:rPr>
      </w:pPr>
      <w:r>
        <w:rPr>
          <w:rFonts w:ascii="Courier New" w:cs="Courier New" w:eastAsia="Courier New" w:hAnsi="Courier New"/>
          <w:sz w:val="15"/>
          <w:szCs w:val="15"/>
          <w:color w:val="auto"/>
        </w:rPr>
        <w:t>93,658,028</w:t>
      </w:r>
    </w:p>
    <w:p>
      <w:pPr>
        <w:ind w:left="1240"/>
        <w:spacing w:after="0"/>
        <w:rPr>
          <w:sz w:val="20"/>
          <w:szCs w:val="20"/>
          <w:color w:val="auto"/>
        </w:rPr>
      </w:pPr>
      <w:r>
        <w:rPr>
          <w:rFonts w:ascii="Courier New" w:cs="Courier New" w:eastAsia="Courier New" w:hAnsi="Courier New"/>
          <w:sz w:val="15"/>
          <w:szCs w:val="15"/>
          <w:color w:val="auto"/>
        </w:rPr>
        <w:t>109,243,521</w:t>
      </w:r>
    </w:p>
    <w:p>
      <w:pPr>
        <w:ind w:left="3080"/>
        <w:spacing w:after="0"/>
        <w:rPr>
          <w:sz w:val="20"/>
          <w:szCs w:val="20"/>
          <w:color w:val="auto"/>
        </w:rPr>
      </w:pPr>
      <w:r>
        <w:rPr>
          <w:rFonts w:ascii="Courier New" w:cs="Courier New" w:eastAsia="Courier New" w:hAnsi="Courier New"/>
          <w:sz w:val="15"/>
          <w:szCs w:val="15"/>
          <w:color w:val="auto"/>
        </w:rPr>
        <w:t>111,566,225</w:t>
      </w:r>
    </w:p>
    <w:p>
      <w:pPr>
        <w:ind w:left="2300"/>
        <w:spacing w:after="0" w:line="238" w:lineRule="auto"/>
        <w:rPr>
          <w:sz w:val="20"/>
          <w:szCs w:val="20"/>
          <w:color w:val="auto"/>
        </w:rPr>
      </w:pPr>
      <w:r>
        <w:rPr>
          <w:rFonts w:ascii="Courier New" w:cs="Courier New" w:eastAsia="Courier New" w:hAnsi="Courier New"/>
          <w:sz w:val="15"/>
          <w:szCs w:val="15"/>
          <w:color w:val="auto"/>
        </w:rPr>
        <w:t>111,566,225</w:t>
      </w:r>
    </w:p>
    <w:p>
      <w:pPr>
        <w:jc w:val="right"/>
        <w:ind w:right="5919"/>
        <w:spacing w:after="0"/>
        <w:rPr>
          <w:sz w:val="20"/>
          <w:szCs w:val="20"/>
          <w:color w:val="auto"/>
        </w:rPr>
      </w:pPr>
      <w:r>
        <w:rPr>
          <w:rFonts w:ascii="Courier New" w:cs="Courier New" w:eastAsia="Courier New" w:hAnsi="Courier New"/>
          <w:sz w:val="15"/>
          <w:szCs w:val="15"/>
          <w:color w:val="auto"/>
        </w:rPr>
        <w:t>67,767,347</w:t>
      </w:r>
    </w:p>
    <w:p>
      <w:pPr>
        <w:ind w:left="2640"/>
        <w:spacing w:after="0"/>
        <w:rPr>
          <w:sz w:val="20"/>
          <w:szCs w:val="20"/>
          <w:color w:val="auto"/>
        </w:rPr>
      </w:pPr>
      <w:r>
        <w:rPr>
          <w:rFonts w:ascii="Courier New" w:cs="Courier New" w:eastAsia="Courier New" w:hAnsi="Courier New"/>
          <w:sz w:val="15"/>
          <w:szCs w:val="15"/>
          <w:color w:val="auto"/>
        </w:rPr>
        <w:t>86,604,103</w:t>
      </w:r>
    </w:p>
    <w:p>
      <w:pPr>
        <w:ind w:left="2300"/>
        <w:spacing w:after="0"/>
        <w:rPr>
          <w:sz w:val="20"/>
          <w:szCs w:val="20"/>
          <w:color w:val="auto"/>
        </w:rPr>
      </w:pPr>
      <w:r>
        <w:rPr>
          <w:rFonts w:ascii="Courier New" w:cs="Courier New" w:eastAsia="Courier New" w:hAnsi="Courier New"/>
          <w:sz w:val="15"/>
          <w:szCs w:val="15"/>
          <w:color w:val="auto"/>
        </w:rPr>
        <w:t>(2,969,021)</w:t>
      </w:r>
    </w:p>
    <w:p>
      <w:pPr>
        <w:ind w:left="2740"/>
        <w:spacing w:after="0" w:line="238" w:lineRule="auto"/>
        <w:rPr>
          <w:sz w:val="20"/>
          <w:szCs w:val="20"/>
          <w:color w:val="auto"/>
        </w:rPr>
      </w:pPr>
      <w:r>
        <w:rPr>
          <w:rFonts w:ascii="Courier New" w:cs="Courier New" w:eastAsia="Courier New" w:hAnsi="Courier New"/>
          <w:sz w:val="15"/>
          <w:szCs w:val="15"/>
          <w:color w:val="auto"/>
        </w:rPr>
        <w:t>83,639</w:t>
      </w:r>
    </w:p>
    <w:p>
      <w:pPr>
        <w:ind w:left="2820"/>
        <w:spacing w:after="0"/>
        <w:rPr>
          <w:sz w:val="20"/>
          <w:szCs w:val="20"/>
          <w:color w:val="auto"/>
        </w:rPr>
      </w:pPr>
      <w:r>
        <w:rPr>
          <w:rFonts w:ascii="Courier New" w:cs="Courier New" w:eastAsia="Courier New" w:hAnsi="Courier New"/>
          <w:sz w:val="15"/>
          <w:szCs w:val="15"/>
          <w:color w:val="auto"/>
        </w:rPr>
        <w:t>719</w:t>
      </w:r>
    </w:p>
    <w:p>
      <w:pPr>
        <w:ind w:left="2460"/>
        <w:spacing w:after="0"/>
        <w:rPr>
          <w:sz w:val="20"/>
          <w:szCs w:val="20"/>
          <w:color w:val="auto"/>
        </w:rPr>
      </w:pPr>
      <w:r>
        <w:rPr>
          <w:rFonts w:ascii="Courier New" w:cs="Courier New" w:eastAsia="Courier New" w:hAnsi="Courier New"/>
          <w:sz w:val="15"/>
          <w:szCs w:val="15"/>
          <w:color w:val="auto"/>
        </w:rPr>
        <w:t>27,931,143</w:t>
      </w:r>
    </w:p>
    <w:p>
      <w:pPr>
        <w:ind w:left="2820"/>
        <w:spacing w:after="0" w:line="238" w:lineRule="auto"/>
        <w:rPr>
          <w:sz w:val="20"/>
          <w:szCs w:val="20"/>
          <w:color w:val="auto"/>
        </w:rPr>
      </w:pPr>
      <w:r>
        <w:rPr>
          <w:rFonts w:ascii="Courier New" w:cs="Courier New" w:eastAsia="Courier New" w:hAnsi="Courier New"/>
          <w:sz w:val="15"/>
          <w:szCs w:val="15"/>
          <w:color w:val="auto"/>
        </w:rPr>
        <w:t>9,036,000</w:t>
      </w:r>
    </w:p>
    <w:p>
      <w:pPr>
        <w:ind w:left="2120"/>
        <w:spacing w:after="0"/>
        <w:rPr>
          <w:sz w:val="20"/>
          <w:szCs w:val="20"/>
          <w:color w:val="auto"/>
        </w:rPr>
      </w:pPr>
      <w:r>
        <w:rPr>
          <w:rFonts w:ascii="Courier New" w:cs="Courier New" w:eastAsia="Courier New" w:hAnsi="Courier New"/>
          <w:sz w:val="15"/>
          <w:szCs w:val="15"/>
          <w:color w:val="auto"/>
        </w:rPr>
        <w:t>18,895,143</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18,895,143</w:t>
      </w:r>
    </w:p>
    <w:p>
      <w:pPr>
        <w:ind w:left="3180"/>
        <w:spacing w:after="0"/>
        <w:rPr>
          <w:sz w:val="20"/>
          <w:szCs w:val="20"/>
          <w:color w:val="auto"/>
        </w:rPr>
      </w:pPr>
      <w:r>
        <w:rPr>
          <w:rFonts w:ascii="Courier New" w:cs="Courier New" w:eastAsia="Courier New" w:hAnsi="Courier New"/>
          <w:sz w:val="15"/>
          <w:szCs w:val="15"/>
          <w:color w:val="auto"/>
        </w:rPr>
        <w:t>1.10</w:t>
      </w:r>
    </w:p>
    <w:p>
      <w:pPr>
        <w:ind w:left="3180"/>
        <w:spacing w:after="0" w:line="238" w:lineRule="auto"/>
        <w:rPr>
          <w:sz w:val="20"/>
          <w:szCs w:val="20"/>
          <w:color w:val="auto"/>
        </w:rPr>
      </w:pPr>
      <w:r>
        <w:rPr>
          <w:rFonts w:ascii="Courier New" w:cs="Courier New" w:eastAsia="Courier New" w:hAnsi="Courier New"/>
          <w:sz w:val="15"/>
          <w:szCs w:val="15"/>
          <w:color w:val="auto"/>
        </w:rPr>
        <w:t>1.10</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2"/>
    </w:lvl>
  </w:abstractNum>
  <w:abstractNum w:abstractNumId="4">
    <w:nsid w:val="4E6AFB66"/>
    <w:multiLevelType w:val="hybridMultilevel"/>
    <w:lvl w:ilvl="0">
      <w:lvlJc w:val="left"/>
      <w:lvlText w:val="(%1)"/>
      <w:numFmt w:val="upperLetter"/>
      <w:start w:val="3"/>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lvl w:ilvl="1">
      <w:lvlJc w:val="left"/>
      <w:lvlText w:val="*"/>
      <w:numFmt w:val="bullet"/>
      <w:start w:val="1"/>
    </w:lvl>
  </w:abstractNum>
  <w:abstractNum w:abstractNumId="7">
    <w:nsid w:val="431BD7B7"/>
    <w:multiLevelType w:val="hybridMultilevel"/>
    <w:lvl w:ilvl="0">
      <w:lvlJc w:val="left"/>
      <w:lvlText w:val="-"/>
      <w:numFmt w:val="bullet"/>
      <w:start w:val="1"/>
    </w:lvl>
    <w:lvl w:ilvl="1">
      <w:lvlJc w:val="left"/>
      <w:lvlText w:val="**"/>
      <w:numFmt w:val="bullet"/>
      <w:start w:val="1"/>
    </w:lvl>
  </w:abstractNum>
  <w:abstractNum w:abstractNumId="8">
    <w:nsid w:val="3F2DBA31"/>
    <w:multiLevelType w:val="hybridMultilevel"/>
    <w:lvl w:ilvl="0">
      <w:lvlJc w:val="left"/>
      <w:lvlText w:val="(%1)"/>
      <w:numFmt w:val="lowerLetter"/>
      <w:start w:val="1"/>
    </w:lvl>
    <w:lvl w:ilvl="1">
      <w:lvlJc w:val="left"/>
      <w:lvlText w:val="%2."/>
      <w:numFmt w:val="decimal"/>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4"/>
    </w:lvl>
  </w:abstractNum>
  <w:abstractNum w:abstractNumId="22">
    <w:nsid w:val="4353D0CD"/>
    <w:multiLevelType w:val="hybridMultilevel"/>
    <w:lvl w:ilvl="0">
      <w:lvlJc w:val="left"/>
      <w:lvlText w:val="(%1)"/>
      <w:numFmt w:val="decimal"/>
      <w:start w:val="6"/>
    </w:lvl>
  </w:abstractNum>
  <w:abstractNum w:abstractNumId="23">
    <w:nsid w:val="B03E0C6"/>
    <w:multiLevelType w:val="hybridMultilevel"/>
    <w:lvl w:ilvl="0">
      <w:lvlJc w:val="left"/>
      <w:lvlText w:val="(%1)"/>
      <w:numFmt w:val="decimal"/>
      <w:start w:val="7"/>
    </w:lvl>
  </w:abstractNum>
  <w:abstractNum w:abstractNumId="24">
    <w:nsid w:val="189A769B"/>
    <w:multiLevelType w:val="hybridMultilevel"/>
    <w:lvl w:ilvl="0">
      <w:lvlJc w:val="left"/>
      <w:lvlText w:val="(%1)"/>
      <w:numFmt w:val="decimal"/>
      <w:start w:val="8"/>
    </w:lvl>
  </w:abstractNum>
  <w:abstractNum w:abstractNumId="25">
    <w:nsid w:val="54E49EB4"/>
    <w:multiLevelType w:val="hybridMultilevel"/>
    <w:lvl w:ilvl="0">
      <w:lvlJc w:val="left"/>
      <w:lvlText w:val="(%1)"/>
      <w:numFmt w:val="decimal"/>
      <w:start w:val="9"/>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2019-12-13T10:53:43Z</dcterms:created>
  <dcterms:modified xsi:type="dcterms:W3CDTF">2019-12-13T10:53:43Z</dcterms:modified>
</cp:coreProperties>
</file>