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ind w:left="440" w:right="3539" w:hanging="431"/>
        <w:spacing w:after="0" w:line="258"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FOR FISCAL YEAR ENDED DECEMBER 31, 2000.</w:t>
      </w:r>
    </w:p>
    <w:p>
      <w:pPr>
        <w:spacing w:after="0" w:line="160" w:lineRule="exact"/>
        <w:rPr>
          <w:sz w:val="24"/>
          <w:szCs w:val="24"/>
          <w:color w:val="auto"/>
        </w:rPr>
      </w:pPr>
    </w:p>
    <w:p>
      <w:pPr>
        <w:ind w:left="440" w:right="3979" w:hanging="431"/>
        <w:spacing w:after="0" w:line="252" w:lineRule="auto"/>
        <w:tabs>
          <w:tab w:leader="none" w:pos="266"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(NO FEE REQUIRED)</w:t>
      </w:r>
    </w:p>
    <w:p>
      <w:pPr>
        <w:sectPr>
          <w:pgSz w:w="11900" w:h="16838" w:orient="portrait"/>
          <w:cols w:equalWidth="0" w:num="1">
            <w:col w:w="10239"/>
          </w:cols>
          <w:pgMar w:left="220" w:top="230" w:right="1440" w:bottom="1440" w:gutter="0" w:footer="0" w:header="0"/>
        </w:sectPr>
      </w:pPr>
    </w:p>
    <w:p>
      <w:pPr>
        <w:spacing w:after="0" w:line="1" w:lineRule="exact"/>
        <w:rPr>
          <w:sz w:val="24"/>
          <w:szCs w:val="24"/>
          <w:color w:val="auto"/>
        </w:rPr>
      </w:pPr>
    </w:p>
    <w:p>
      <w:pPr>
        <w:ind w:left="440"/>
        <w:spacing w:after="0"/>
        <w:tabs>
          <w:tab w:leader="none" w:pos="484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4"/>
          <w:szCs w:val="14"/>
          <w:color w:val="auto"/>
        </w:rPr>
        <w:t>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4"/>
          <w:szCs w:val="24"/>
          <w:color w:val="auto"/>
        </w:rPr>
      </w:pPr>
    </w:p>
    <w:p>
      <w:pPr>
        <w:sectPr>
          <w:pgSz w:w="11900" w:h="16838" w:orient="portrait"/>
          <w:cols w:equalWidth="0" w:num="2">
            <w:col w:w="5720" w:space="720"/>
            <w:col w:w="3799"/>
          </w:cols>
          <w:pgMar w:left="220" w:top="230" w:right="1440" w:bottom="1440" w:gutter="0" w:footer="0" w:header="0"/>
          <w:type w:val="continuous"/>
        </w:sect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860" w:space="260"/>
            <w:col w:w="5119"/>
          </w:cols>
          <w:pgMar w:left="22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4"/>
          <w:szCs w:val="14"/>
          <w:color w:val="auto"/>
        </w:rPr>
        <w:t>0-10235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1740" w:space="260"/>
            <w:col w:w="8239"/>
          </w:cols>
          <w:pgMar w:left="220" w:top="230" w:right="1440" w:bottom="1440" w:gutter="0" w:footer="0" w:header="0"/>
          <w:type w:val="continuous"/>
        </w:sectPr>
      </w:pPr>
    </w:p>
    <w:p>
      <w:pPr>
        <w:jc w:val="center"/>
        <w:ind w:right="3279"/>
        <w:spacing w:after="0"/>
        <w:rPr>
          <w:sz w:val="20"/>
          <w:szCs w:val="20"/>
          <w:color w:val="auto"/>
        </w:rPr>
      </w:pPr>
      <w:r>
        <w:rPr>
          <w:rFonts w:ascii="Courier New" w:cs="Courier New" w:eastAsia="Courier New" w:hAnsi="Courier New"/>
          <w:sz w:val="14"/>
          <w:szCs w:val="14"/>
          <w:color w:val="auto"/>
        </w:rPr>
        <w:t>GENTEX CORPORATION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type w:val="continuous"/>
        </w:sectPr>
      </w:pPr>
    </w:p>
    <w:p>
      <w:pPr>
        <w:spacing w:after="0" w:line="175"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MICHIGAN</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38-2030505</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4240" w:space="720"/>
            <w:col w:w="5279"/>
          </w:cols>
          <w:pgMar w:left="220" w:top="230" w:right="1440" w:bottom="1440" w:gutter="0" w:footer="0" w:header="0"/>
          <w:type w:val="continuous"/>
        </w:sectPr>
      </w:pPr>
    </w:p>
    <w:p>
      <w:pPr>
        <w:spacing w:after="0" w:line="142" w:lineRule="exact"/>
        <w:rPr>
          <w:sz w:val="24"/>
          <w:szCs w:val="24"/>
          <w:color w:val="auto"/>
        </w:rPr>
      </w:pPr>
    </w:p>
    <w:p>
      <w:pPr>
        <w:ind w:left="100" w:right="840" w:hanging="86"/>
        <w:spacing w:after="0" w:line="258" w:lineRule="auto"/>
        <w:rPr>
          <w:sz w:val="20"/>
          <w:szCs w:val="20"/>
          <w:color w:val="auto"/>
        </w:rPr>
      </w:pPr>
      <w:r>
        <w:rPr>
          <w:rFonts w:ascii="Courier New" w:cs="Courier New" w:eastAsia="Courier New" w:hAnsi="Courier New"/>
          <w:sz w:val="14"/>
          <w:szCs w:val="14"/>
          <w:color w:val="auto"/>
        </w:rPr>
        <w:t>600 N. CENTENNIAL STREET, ZEELAND, MICHIGAN (Address of principal executive offices)</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49464</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5" w:lineRule="exact"/>
        <w:rPr>
          <w:sz w:val="24"/>
          <w:szCs w:val="24"/>
          <w:color w:val="auto"/>
        </w:rPr>
      </w:pPr>
    </w:p>
    <w:p>
      <w:pPr>
        <w:sectPr>
          <w:pgSz w:w="11900" w:h="16838" w:orient="portrait"/>
          <w:cols w:equalWidth="0" w:num="2">
            <w:col w:w="4580" w:space="720"/>
            <w:col w:w="4939"/>
          </w:cols>
          <w:pgMar w:left="220" w:top="230" w:right="1440" w:bottom="1440" w:gutter="0" w:footer="0" w:header="0"/>
          <w:type w:val="continuous"/>
        </w:sectPr>
      </w:pPr>
    </w:p>
    <w:p>
      <w:pPr>
        <w:spacing w:after="0" w:line="127"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(616) 772-1800</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39"/>
          </w:cols>
          <w:pgMar w:left="220" w:top="230" w:right="1440" w:bottom="1440" w:gutter="0" w:footer="0" w:header="0"/>
          <w:type w:val="continuous"/>
        </w:sectPr>
      </w:pP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1440" w:gutter="0" w:footer="0" w:header="0"/>
          <w:type w:val="continuous"/>
        </w:sectPr>
      </w:pPr>
    </w:p>
    <w:p>
      <w:pPr>
        <w:spacing w:after="0" w:line="342"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Title of each Class</w:t>
      </w:r>
    </w:p>
    <w:p>
      <w:pPr>
        <w:spacing w:after="0" w:line="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NONE</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174" w:lineRule="exact"/>
        <w:rPr>
          <w:sz w:val="24"/>
          <w:szCs w:val="24"/>
          <w:color w:val="auto"/>
        </w:rPr>
      </w:pPr>
    </w:p>
    <w:p>
      <w:pPr>
        <w:sectPr>
          <w:pgSz w:w="11900" w:h="16838" w:orient="portrait"/>
          <w:cols w:equalWidth="0" w:num="2">
            <w:col w:w="2420" w:space="720"/>
            <w:col w:w="7099"/>
          </w:cols>
          <w:pgMar w:left="220" w:top="230" w:right="1440" w:bottom="1440" w:gutter="0" w:footer="0" w:header="0"/>
          <w:type w:val="continuous"/>
        </w:sectPr>
      </w:pPr>
    </w:p>
    <w:p>
      <w:pPr>
        <w:ind w:left="2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type w:val="continuous"/>
        </w:sectPr>
      </w:pP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COMMON STOCK, PAR VALUE $.06 PER SHARE</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(Title of Class)</w:t>
      </w:r>
    </w:p>
    <w:p>
      <w:pPr>
        <w:spacing w:after="0" w:line="342" w:lineRule="exact"/>
        <w:rPr>
          <w:sz w:val="24"/>
          <w:szCs w:val="24"/>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230" w:right="1440" w:bottom="1440" w:gutter="0" w:footer="0" w:header="0"/>
          <w:type w:val="continuous"/>
        </w:sectPr>
      </w:pPr>
    </w:p>
    <w:p>
      <w:pPr>
        <w:spacing w:after="0" w:line="2" w:lineRule="exact"/>
        <w:rPr>
          <w:sz w:val="24"/>
          <w:szCs w:val="24"/>
          <w:color w:val="auto"/>
        </w:rPr>
      </w:pPr>
    </w:p>
    <w:p>
      <w:pPr>
        <w:ind w:left="800"/>
        <w:spacing w:after="0"/>
        <w:tabs>
          <w:tab w:leader="none" w:pos="1300" w:val="left"/>
          <w:tab w:leader="none" w:pos="2340" w:val="left"/>
        </w:tabs>
        <w:rPr>
          <w:sz w:val="20"/>
          <w:szCs w:val="20"/>
          <w:color w:val="auto"/>
        </w:rPr>
      </w:pPr>
      <w:r>
        <w:rPr>
          <w:rFonts w:ascii="Courier New" w:cs="Courier New" w:eastAsia="Courier New" w:hAnsi="Courier New"/>
          <w:sz w:val="14"/>
          <w:szCs w:val="14"/>
          <w:color w:val="auto"/>
        </w:rPr>
        <w:t>Yes</w:t>
        <w:tab/>
        <w:t>X</w:t>
      </w:r>
      <w:r>
        <w:rPr>
          <w:sz w:val="20"/>
          <w:szCs w:val="20"/>
          <w:color w:val="auto"/>
        </w:rPr>
        <w:tab/>
      </w:r>
      <w:r>
        <w:rPr>
          <w:rFonts w:ascii="Courier New" w:cs="Courier New" w:eastAsia="Courier New" w:hAnsi="Courier New"/>
          <w:sz w:val="14"/>
          <w:szCs w:val="14"/>
          <w:color w:val="auto"/>
        </w:rPr>
        <w:t>No:</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ectPr>
          <w:pgSz w:w="11900" w:h="16838" w:orient="portrait"/>
          <w:cols w:equalWidth="0" w:num="2">
            <w:col w:w="2620" w:space="80"/>
            <w:col w:w="7539"/>
          </w:cols>
          <w:pgMar w:left="220" w:top="230" w:right="1440" w:bottom="1440" w:gutter="0" w:footer="0" w:header="0"/>
          <w:type w:val="continuous"/>
        </w:sectPr>
      </w:pPr>
    </w:p>
    <w:p>
      <w:pPr>
        <w:spacing w:after="0" w:line="142"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330"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As of March 1, 2001, 74,360,238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$1,777,264,358 computed at the closing price on that date.</w:t>
      </w:r>
    </w:p>
    <w:p>
      <w:pPr>
        <w:spacing w:after="0" w:line="329" w:lineRule="exact"/>
        <w:rPr>
          <w:sz w:val="24"/>
          <w:szCs w:val="24"/>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Portions of the Company's Proxy Statement for its 2001 Annual Meeting of Shareholders are incorporated by reference into Part III.</w:t>
      </w:r>
    </w:p>
    <w:p>
      <w:pPr>
        <w:spacing w:after="0" w:line="160"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Index located at Page 31</w:t>
      </w: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4"/>
          <w:szCs w:val="14"/>
          <w:color w:val="auto"/>
        </w:rPr>
        <w:t>Page 1 of 35</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Statements in this Annual Report on Form 10-K which express "belief", "anticipation" or "expectation" as well as other statements which are not historical fact, are forward-looking statements and involve risks and uncertainties described below under the headings "Business" and "Management's Discussion and Analysis of Results of Operations and Financial Condition" that could cause actual results to differ materially from those projected. All forward-looking statements in this Annual Report are based on information available to the Company on the date hereof, and the Company assumes no obligation to update any such forward-looking statements.</w:t>
      </w:r>
    </w:p>
    <w:p>
      <w:pPr>
        <w:spacing w:after="0" w:line="200" w:lineRule="exact"/>
        <w:rPr>
          <w:sz w:val="20"/>
          <w:szCs w:val="20"/>
          <w:color w:val="auto"/>
        </w:rPr>
      </w:pPr>
    </w:p>
    <w:p>
      <w:pPr>
        <w:spacing w:after="0" w:line="29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BUSINESS</w:t>
      </w:r>
    </w:p>
    <w:p>
      <w:pPr>
        <w:spacing w:after="0" w:line="175" w:lineRule="exact"/>
        <w:rPr>
          <w:sz w:val="20"/>
          <w:szCs w:val="20"/>
          <w:color w:val="auto"/>
        </w:rPr>
      </w:pPr>
    </w:p>
    <w:p>
      <w:pPr>
        <w:ind w:left="440" w:hanging="431"/>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DEVELOPMENT OF BUSINESS</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Gentex Corporation (the "Company") designs, develops, manufactures and markets proprietary products employing electro-optic technology: automatic-dimming rearview mirrors and fire protection products.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was organized in 1974 to manufacture residential smoke detectors, a product line that has since evolved into a more sophisticated group of fire protection products for commercial applications. In 1982, the Company introduced an automatic interior rearview mirror that was the first commercially successful glare-control product offered as an alternative to the conventional, manual day/night mirror. In 1987, the Company introduced its interior Night Vision Safety(TM) (NVS(R)) Mirror, an electrochromic automatic-dimming interior rearview mirror, providing the first successful commercial application of electrochromic technology in the automotive industry and world. Through the use of electrochromic technology, this mirror is continually variable and automatically darkens to the degree required to eliminate rearview headlight glare. In 1991, the Company introduced its exterior Night Vision Safety(TM) Mirror Sub-Assembly, which works as a complete glare-control system with the interior NVS(R) Mirror. In 1997, the Company began making volume shipments of three new exterior mirror sub-assembly products: thin glass flat, convex and aspheric.</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At the end of 1999, the Company announced the second generation of its light-emitting diode (LED) technology which could have significant automotive and non-automotive lighting applications.</w:t>
      </w:r>
    </w:p>
    <w:p>
      <w:pPr>
        <w:spacing w:after="0" w:line="162" w:lineRule="exact"/>
        <w:rPr>
          <w:sz w:val="20"/>
          <w:szCs w:val="20"/>
          <w:color w:val="auto"/>
        </w:rPr>
      </w:pPr>
    </w:p>
    <w:p>
      <w:pPr>
        <w:ind w:left="440" w:hanging="431"/>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INDUSTRY SEGMENTS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See Note (9) to the Consolidated Financial Statements filed with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 NARRATIVE DESCRIPTION OF BUSINESS</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Company currently manufactures electro-optic products, including automatic-dimming rearview mirrors for the automotive industry and fire protection products primarily for the commercial building industry.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AUTOMATIC-DIMMING REARVIEW MIRRORS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Interior NVS(R) Mirrors. In 1987, the Company achieved a significant technological breakthrough by applying electrochromic technology to the glare-sensing capabilities of its Motorized Mirror. Through the use of this technology, the mirror gradually darkens to the degree necessary to eliminate rearview glare from following vehicle headlights. The NVS(R) Mirror offers all of the continuous reflectance levels between its approximate 75%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an electric current causes the electrochromic material to darken, decreasing the mirror's reflectance, thereby eliminating glare.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309" w:lineRule="exact"/>
        <w:rPr>
          <w:sz w:val="20"/>
          <w:szCs w:val="20"/>
          <w:color w:val="auto"/>
        </w:rPr>
      </w:pPr>
    </w:p>
    <w:p>
      <w:pPr>
        <w:ind w:right="4580" w:firstLine="781"/>
        <w:spacing w:after="0" w:line="252" w:lineRule="auto"/>
        <w:rPr>
          <w:sz w:val="20"/>
          <w:szCs w:val="20"/>
          <w:color w:val="auto"/>
        </w:rPr>
      </w:pPr>
      <w:r>
        <w:rPr>
          <w:rFonts w:ascii="Courier New" w:cs="Courier New" w:eastAsia="Courier New" w:hAnsi="Courier New"/>
          <w:sz w:val="14"/>
          <w:szCs w:val="14"/>
          <w:color w:val="auto"/>
        </w:rPr>
        <w:t>During 1991, the Company began shipping the first advanced-feature interior NVS(R) Mirror, the NVS(R) Headlamp Control Mirror, an automatic-dimming mirror that automatically turns car head- and taillamps "on" and "off" in response to the level of light observed. During 1992, the Company began shipping its NVS(R) Lighted Mirror, with map/reading lights, and during 1993, the Company began shipping its NVS(R) Compass Mirror, with an electronic compass that automatically compensates for changes in the earth's magnetic field. During 1997, the Company began shipping a third-generation NVS(R) Headlamp Control Mirror, a second-generation NVS(R) Compass Mirror, and a new interior NVS(R) Mirror that digitally displays either a compass or outside temperature reading. During 1998, the Company began shipping new compass mirrors with integral LED map lamps, a major improvement over mirrors with standard incandescent map lamps. At the beginning of 2000, the Company began shipping to General Motors interior NVS(R) Mirrors that serve as the driver interface for the OnStar(R) System, an in-vehicle safety, security and information service using Global Positioning System (GPS) satellite technology.</w:t>
      </w:r>
    </w:p>
    <w:p>
      <w:pPr>
        <w:spacing w:after="0" w:line="173" w:lineRule="exact"/>
        <w:rPr>
          <w:sz w:val="20"/>
          <w:szCs w:val="20"/>
          <w:color w:val="auto"/>
        </w:rPr>
      </w:pPr>
    </w:p>
    <w:p>
      <w:pPr>
        <w:ind w:right="4940" w:firstLine="781"/>
        <w:spacing w:after="0" w:line="258" w:lineRule="auto"/>
        <w:rPr>
          <w:sz w:val="20"/>
          <w:szCs w:val="20"/>
          <w:color w:val="auto"/>
        </w:rPr>
      </w:pPr>
      <w:r>
        <w:rPr>
          <w:rFonts w:ascii="Courier New" w:cs="Courier New" w:eastAsia="Courier New" w:hAnsi="Courier New"/>
          <w:sz w:val="14"/>
          <w:szCs w:val="14"/>
          <w:color w:val="auto"/>
        </w:rPr>
        <w:t>The Company sold approximately 3,320,000 interior NVS(R) Mirrors in 1998, approximately 4,008,000 in 1999, and approximately 4,609,000 in 2000.</w:t>
      </w:r>
    </w:p>
    <w:p>
      <w:pPr>
        <w:spacing w:after="0" w:line="160" w:lineRule="exact"/>
        <w:rPr>
          <w:sz w:val="20"/>
          <w:szCs w:val="20"/>
          <w:color w:val="auto"/>
        </w:rPr>
      </w:pPr>
    </w:p>
    <w:p>
      <w:pPr>
        <w:ind w:right="4680" w:firstLine="781"/>
        <w:spacing w:after="0" w:line="254" w:lineRule="auto"/>
        <w:rPr>
          <w:sz w:val="20"/>
          <w:szCs w:val="20"/>
          <w:color w:val="auto"/>
        </w:rPr>
      </w:pPr>
      <w:r>
        <w:rPr>
          <w:rFonts w:ascii="Courier New" w:cs="Courier New" w:eastAsia="Courier New" w:hAnsi="Courier New"/>
          <w:sz w:val="14"/>
          <w:szCs w:val="14"/>
          <w:color w:val="auto"/>
        </w:rPr>
        <w:t>During 2000, the unit growth primarily resulted from increased penetration of light vehicles manufactured in Europe and Asia. The Company's interior NVS(R) Mirrors are standard equipment or factory or distributor/dealer-installed options on the following 2001 and 2001-1/2 vehicle models:</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TABLE 1.</w:t>
        <w:tab/>
        <w:t>INTERIOR NVS(R) MIRROR AVAILABILITY BY VEHICLE LINE</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(NORTH AMERICAN MANUFACTURERS)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20"/>
                <w:szCs w:val="20"/>
                <w:color w:val="auto"/>
              </w:rPr>
            </w:pPr>
            <w:r>
              <w:rPr>
                <w:rFonts w:ascii="Courier New" w:cs="Courier New" w:eastAsia="Courier New" w:hAnsi="Courier New"/>
                <w:sz w:val="14"/>
                <w:szCs w:val="14"/>
                <w:color w:val="auto"/>
              </w:rPr>
              <w:t>GM/Cadillac</w:t>
            </w: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Catera</w:t>
            </w:r>
          </w:p>
        </w:tc>
        <w:tc>
          <w:tcPr>
            <w:tcW w:w="11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Town Car (Cartier, Executive,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w:t>
            </w:r>
          </w:p>
        </w:tc>
      </w:tr>
      <w:tr>
        <w:trPr>
          <w:trHeight w:val="167"/>
        </w:trPr>
        <w:tc>
          <w:tcPr>
            <w:tcW w:w="13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Signature)</w:t>
            </w:r>
          </w:p>
        </w:tc>
        <w:tc>
          <w:tcPr>
            <w:tcW w:w="100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Deville</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Ford/Mercury</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Grand Marquis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Deville DHS / DTS</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DaimlerChrysler /</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300M</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Eldorado  ESC / ETC</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ind w:left="520"/>
              <w:spacing w:after="0"/>
              <w:rPr>
                <w:sz w:val="20"/>
                <w:szCs w:val="20"/>
                <w:color w:val="auto"/>
              </w:rPr>
            </w:pPr>
            <w:r>
              <w:rPr>
                <w:rFonts w:ascii="Courier New" w:cs="Courier New" w:eastAsia="Courier New" w:hAnsi="Courier New"/>
                <w:sz w:val="14"/>
                <w:szCs w:val="14"/>
                <w:color w:val="auto"/>
              </w:rPr>
              <w:t>Chrysler</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Concorde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Escalade</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Concorde LXi</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Seville SLS</w:t>
            </w:r>
          </w:p>
        </w:tc>
        <w:tc>
          <w:tcPr>
            <w:tcW w:w="11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LHS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Seville STS</w:t>
            </w:r>
          </w:p>
        </w:tc>
        <w:tc>
          <w:tcPr>
            <w:tcW w:w="11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Sebring Convertible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(EL) S</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GM/Buick</w:t>
            </w: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LeSabre Custom</w:t>
            </w:r>
          </w:p>
        </w:tc>
        <w:tc>
          <w:tcPr>
            <w:tcW w:w="11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Town &amp; Country Limited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(EH) S</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LeSabre Limited</w:t>
            </w:r>
          </w:p>
        </w:tc>
        <w:tc>
          <w:tcPr>
            <w:tcW w:w="11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DaimlerChrysler /</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Dakota Pickup</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Park Avenue</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ind w:left="440"/>
              <w:spacing w:after="0"/>
              <w:rPr>
                <w:sz w:val="20"/>
                <w:szCs w:val="20"/>
                <w:color w:val="auto"/>
              </w:rPr>
            </w:pPr>
            <w:r>
              <w:rPr>
                <w:rFonts w:ascii="Courier New" w:cs="Courier New" w:eastAsia="Courier New" w:hAnsi="Courier New"/>
                <w:sz w:val="14"/>
                <w:szCs w:val="14"/>
                <w:color w:val="auto"/>
              </w:rPr>
              <w:t>Dodge</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Durango</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Park Avenue-Ultra</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Grand Caravan 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(EH) S</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GM/Oldsmobile</w:t>
            </w: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Aurora V6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Intrepid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Aurora V8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Ram Pickup</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Intrigue GLS</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(ECC/EL/OS)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DaimlerChrysler /</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Grand Cherokee Laredo</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GM/Pontiac</w:t>
            </w: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Bonneville (SSEi, SLE)</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ind w:left="440"/>
              <w:spacing w:after="0"/>
              <w:rPr>
                <w:sz w:val="20"/>
                <w:szCs w:val="20"/>
                <w:color w:val="auto"/>
              </w:rPr>
            </w:pPr>
            <w:r>
              <w:rPr>
                <w:rFonts w:ascii="Courier New" w:cs="Courier New" w:eastAsia="Courier New" w:hAnsi="Courier New"/>
                <w:sz w:val="14"/>
                <w:szCs w:val="14"/>
                <w:color w:val="auto"/>
              </w:rPr>
              <w:t>Jeep</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Grand Cherokee Limited</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Bonneville</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DaimlerChrysler /</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Prowler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(ECC/EL) S</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GM/Chevrolet</w:t>
            </w: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Blazer</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ind w:left="440"/>
              <w:spacing w:after="0"/>
              <w:rPr>
                <w:sz w:val="20"/>
                <w:szCs w:val="20"/>
                <w:color w:val="auto"/>
              </w:rPr>
            </w:pPr>
            <w:r>
              <w:rPr>
                <w:rFonts w:ascii="Courier New" w:cs="Courier New" w:eastAsia="Courier New" w:hAnsi="Courier New"/>
                <w:sz w:val="14"/>
                <w:szCs w:val="14"/>
                <w:color w:val="auto"/>
              </w:rPr>
              <w:t>Plymouth</w:t>
            </w:r>
          </w:p>
        </w:tc>
        <w:tc>
          <w:tcPr>
            <w:tcW w:w="27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Corvette</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(EL)</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DaimlerChrysler/</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ML 3W SUV</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Silverado Pickup / Crew Cab</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ind w:left="520"/>
              <w:spacing w:after="0"/>
              <w:rPr>
                <w:sz w:val="20"/>
                <w:szCs w:val="20"/>
                <w:color w:val="auto"/>
              </w:rPr>
            </w:pPr>
            <w:r>
              <w:rPr>
                <w:rFonts w:ascii="Courier New" w:cs="Courier New" w:eastAsia="Courier New" w:hAnsi="Courier New"/>
                <w:sz w:val="14"/>
                <w:szCs w:val="14"/>
                <w:color w:val="auto"/>
              </w:rPr>
              <w:t>Mercedes-Benz</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ML 430 / 55  SUV</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Suburban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BMW</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X5 SAV</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Avalanche</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Southeast Toyota /</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4-Runner (Limited, SR5)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(ECC/T)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Tahoe</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Gulf State Toyota /</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Avalon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 O</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GM/GMC</w:t>
            </w: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Jimmy</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Toyota Motor Sales</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Camry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Savana Van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Celica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(ECC/T)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Sierra Pickup / Crew Cab</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(ECC/T/OS)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Tundra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(ECC/T)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Yukon</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RAV4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(ECC/T)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Yukon (XL, Denali)</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(ECC/T)</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Sienna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(ECC/T) O</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Ford</w:t>
            </w: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Crown Victoria</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Solara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(ECC/T)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Expedition</w:t>
            </w:r>
          </w:p>
        </w:tc>
        <w:tc>
          <w:tcPr>
            <w:tcW w:w="11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Highlander (Limited, SR5)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(ECC/T)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Explorer</w:t>
            </w:r>
          </w:p>
        </w:tc>
        <w:tc>
          <w:tcPr>
            <w:tcW w:w="15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(EH) O</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Sequoia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F-Series Pickup (Lariat,</w:t>
            </w:r>
          </w:p>
        </w:tc>
        <w:tc>
          <w:tcPr>
            <w:tcW w:w="11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Subaru /</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Forester</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(ECC/T)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Harley)</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New England Dist.</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Legacy</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(ECC/T)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Windstar SE</w:t>
            </w:r>
          </w:p>
        </w:tc>
        <w:tc>
          <w:tcPr>
            <w:tcW w:w="11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Outback</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(ECC/T)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Windstar (SEL, Limited)</w:t>
            </w:r>
          </w:p>
        </w:tc>
        <w:tc>
          <w:tcPr>
            <w:tcW w:w="11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ind w:left="180"/>
              <w:spacing w:after="0"/>
              <w:rPr>
                <w:sz w:val="20"/>
                <w:szCs w:val="20"/>
                <w:color w:val="auto"/>
              </w:rPr>
            </w:pPr>
            <w:r>
              <w:rPr>
                <w:rFonts w:ascii="Courier New" w:cs="Courier New" w:eastAsia="Courier New" w:hAnsi="Courier New"/>
                <w:sz w:val="14"/>
                <w:szCs w:val="14"/>
                <w:color w:val="auto"/>
              </w:rPr>
              <w:t>Toyota</w:t>
            </w: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Avalon</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Ford/Lincoln</w:t>
            </w: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LS V6</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Camry Solara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LS V8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(ECC)</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spacing w:after="0"/>
              <w:rPr>
                <w:sz w:val="14"/>
                <w:szCs w:val="14"/>
                <w:color w:val="auto"/>
              </w:rPr>
            </w:pPr>
          </w:p>
        </w:tc>
        <w:tc>
          <w:tcPr>
            <w:tcW w:w="2780" w:type="dxa"/>
            <w:vAlign w:val="bottom"/>
          </w:tcPr>
          <w:p>
            <w:pPr>
              <w:ind w:left="120"/>
              <w:spacing w:after="0"/>
              <w:rPr>
                <w:sz w:val="20"/>
                <w:szCs w:val="20"/>
                <w:color w:val="auto"/>
              </w:rPr>
            </w:pPr>
            <w:r>
              <w:rPr>
                <w:rFonts w:ascii="Courier New" w:cs="Courier New" w:eastAsia="Courier New" w:hAnsi="Courier New"/>
                <w:sz w:val="14"/>
                <w:szCs w:val="14"/>
                <w:color w:val="auto"/>
              </w:rPr>
              <w:t>Sienna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(ECC) O</w:t>
            </w: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Continental</w:t>
            </w:r>
          </w:p>
        </w:tc>
        <w:tc>
          <w:tcPr>
            <w:tcW w:w="156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rPr>
              <w:t>(ECC/EL) S</w:t>
            </w:r>
          </w:p>
        </w:tc>
        <w:tc>
          <w:tcPr>
            <w:tcW w:w="19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4"/>
                <w:szCs w:val="14"/>
                <w:color w:val="auto"/>
              </w:rPr>
              <w:t>Navigator</w:t>
            </w:r>
          </w:p>
        </w:tc>
        <w:tc>
          <w:tcPr>
            <w:tcW w:w="118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19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3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ectPr>
          <w:pgSz w:w="11900" w:h="16838" w:orient="portrait"/>
          <w:cols w:equalWidth="0" w:num="1">
            <w:col w:w="11540"/>
          </w:cols>
          <w:pgMar w:left="220" w:top="286" w:right="13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left="960" w:right="5020" w:hanging="954"/>
        <w:spacing w:after="0" w:line="258" w:lineRule="auto"/>
        <w:tabs>
          <w:tab w:leader="none" w:pos="940" w:val="left"/>
        </w:tabs>
        <w:rPr>
          <w:sz w:val="20"/>
          <w:szCs w:val="20"/>
          <w:color w:val="auto"/>
        </w:rPr>
      </w:pPr>
      <w:r>
        <w:rPr>
          <w:rFonts w:ascii="Courier New" w:cs="Courier New" w:eastAsia="Courier New" w:hAnsi="Courier New"/>
          <w:sz w:val="14"/>
          <w:szCs w:val="14"/>
          <w:color w:val="auto"/>
        </w:rPr>
        <w:t>TABLE 1.</w:t>
        <w:tab/>
        <w:t>INTERIOR NVS(R) MIRROR AVAILABILITY BY VEHICLE LINE - CONTINUED (MANUFACTURERS OUTSIDE OF NORTH AMERICA)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Courier New" w:cs="Courier New" w:eastAsia="Courier New" w:hAnsi="Courier New"/>
                <w:sz w:val="14"/>
                <w:szCs w:val="14"/>
                <w:color w:val="auto"/>
              </w:rPr>
              <w:t>Audi</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A8</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ind w:left="220"/>
              <w:spacing w:after="0"/>
              <w:rPr>
                <w:sz w:val="20"/>
                <w:szCs w:val="20"/>
                <w:color w:val="auto"/>
              </w:rPr>
            </w:pPr>
            <w:r>
              <w:rPr>
                <w:rFonts w:ascii="Courier New" w:cs="Courier New" w:eastAsia="Courier New" w:hAnsi="Courier New"/>
                <w:sz w:val="14"/>
                <w:szCs w:val="14"/>
                <w:color w:val="auto"/>
              </w:rPr>
              <w:t>Mitsubishi</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Montero Sport SUV</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(ECC/T) O</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Bentley</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Bentley</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(RKE)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Magna Verde</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w:t>
            </w: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Continental</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(RKE)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ind w:left="220"/>
              <w:spacing w:after="0"/>
              <w:rPr>
                <w:sz w:val="20"/>
                <w:szCs w:val="20"/>
                <w:color w:val="auto"/>
              </w:rPr>
            </w:pPr>
            <w:r>
              <w:rPr>
                <w:rFonts w:ascii="Courier New" w:cs="Courier New" w:eastAsia="Courier New" w:hAnsi="Courier New"/>
                <w:sz w:val="14"/>
                <w:szCs w:val="14"/>
                <w:color w:val="auto"/>
              </w:rPr>
              <w:t>Nissan</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Cedric</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BMW</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700 Series</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Gloria</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w:t>
            </w: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500 Series</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Maxima</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w:t>
            </w: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300 Series</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ind w:left="220"/>
              <w:spacing w:after="0"/>
              <w:rPr>
                <w:sz w:val="20"/>
                <w:szCs w:val="20"/>
                <w:color w:val="auto"/>
              </w:rPr>
            </w:pPr>
            <w:r>
              <w:rPr>
                <w:rFonts w:ascii="Courier New" w:cs="Courier New" w:eastAsia="Courier New" w:hAnsi="Courier New"/>
                <w:sz w:val="14"/>
                <w:szCs w:val="14"/>
                <w:color w:val="auto"/>
              </w:rPr>
              <w:t>Porsche</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911</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Daewoo/Ssangyong</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Chairman</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ind w:left="220"/>
              <w:spacing w:after="0"/>
              <w:rPr>
                <w:sz w:val="20"/>
                <w:szCs w:val="20"/>
                <w:color w:val="auto"/>
              </w:rPr>
            </w:pPr>
            <w:r>
              <w:rPr>
                <w:rFonts w:ascii="Courier New" w:cs="Courier New" w:eastAsia="Courier New" w:hAnsi="Courier New"/>
                <w:sz w:val="14"/>
                <w:szCs w:val="14"/>
                <w:color w:val="auto"/>
              </w:rPr>
              <w:t>Rolls Royce</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Arnage</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(RKE) S</w:t>
            </w: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Korando</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ind w:left="220"/>
              <w:spacing w:after="0"/>
              <w:rPr>
                <w:sz w:val="20"/>
                <w:szCs w:val="20"/>
                <w:color w:val="auto"/>
              </w:rPr>
            </w:pPr>
            <w:r>
              <w:rPr>
                <w:rFonts w:ascii="Courier New" w:cs="Courier New" w:eastAsia="Courier New" w:hAnsi="Courier New"/>
                <w:sz w:val="14"/>
                <w:szCs w:val="14"/>
                <w:color w:val="auto"/>
              </w:rPr>
              <w:t>Samsung</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SM5</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w:t>
            </w: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Musso</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ind w:left="220"/>
              <w:spacing w:after="0"/>
              <w:rPr>
                <w:sz w:val="20"/>
                <w:szCs w:val="20"/>
                <w:color w:val="auto"/>
              </w:rPr>
            </w:pPr>
            <w:r>
              <w:rPr>
                <w:rFonts w:ascii="Courier New" w:cs="Courier New" w:eastAsia="Courier New" w:hAnsi="Courier New"/>
                <w:sz w:val="14"/>
                <w:szCs w:val="14"/>
                <w:color w:val="auto"/>
              </w:rPr>
              <w:t>Toyota</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Land Cruiser</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(ECC) S</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Fiat</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Alfa Romeo</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Cynus</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w:t>
            </w: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Lancia Aurelia</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Cellion</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w:t>
            </w: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Lancia Kappa</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ind w:left="220"/>
              <w:spacing w:after="0"/>
              <w:rPr>
                <w:sz w:val="20"/>
                <w:szCs w:val="20"/>
                <w:color w:val="auto"/>
              </w:rPr>
            </w:pPr>
            <w:r>
              <w:rPr>
                <w:rFonts w:ascii="Courier New" w:cs="Courier New" w:eastAsia="Courier New" w:hAnsi="Courier New"/>
                <w:sz w:val="14"/>
                <w:szCs w:val="14"/>
                <w:color w:val="auto"/>
              </w:rPr>
              <w:t>Yulon Motors</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Cefiro</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w:t>
            </w: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Lybra</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Fiat (Brazil)</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Marea</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Ford (Europe)</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Mondeo</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Ford (Taiwan)</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Mondeo</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(EH)</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Ford / Jaguar</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XJ</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XK8</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Ford / Land Rover</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Discovery</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(ECC)</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Range Rover</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75R40</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GM (Brazil)</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Vectra</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GM (China)</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Buick Century/Regal</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(ECC/EL)</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Hyundai</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Dynasty</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Grandeur</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Sonata</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Santa Fe</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9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Tiburon</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ind w:left="220"/>
              <w:spacing w:after="0"/>
              <w:rPr>
                <w:sz w:val="20"/>
                <w:szCs w:val="20"/>
                <w:color w:val="auto"/>
              </w:rPr>
            </w:pPr>
            <w:r>
              <w:rPr>
                <w:rFonts w:ascii="Courier New" w:cs="Courier New" w:eastAsia="Courier New" w:hAnsi="Courier New"/>
                <w:sz w:val="14"/>
                <w:szCs w:val="14"/>
                <w:color w:val="auto"/>
              </w:rPr>
              <w:t>KEY:</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EQuus</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43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S = Standard equipment</w:t>
            </w: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Trajet</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43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O = Optional equipment</w:t>
            </w: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Infiniti</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Q45</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43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 = ECC offered as upgrade option</w:t>
            </w: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I30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(ECC)</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KIA Motors Corp.</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Potentia</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ind w:left="220"/>
              <w:spacing w:after="0"/>
              <w:rPr>
                <w:sz w:val="20"/>
                <w:szCs w:val="20"/>
                <w:color w:val="auto"/>
              </w:rPr>
            </w:pPr>
            <w:r>
              <w:rPr>
                <w:rFonts w:ascii="Courier New" w:cs="Courier New" w:eastAsia="Courier New" w:hAnsi="Courier New"/>
                <w:sz w:val="14"/>
                <w:szCs w:val="14"/>
                <w:color w:val="auto"/>
              </w:rPr>
              <w:t>NVS(R)MIRROR WITH:</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Enterprise</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43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EH = Automatic Headlamp Control</w:t>
            </w: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Lexus</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GS300</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ind w:left="900"/>
              <w:spacing w:after="0"/>
              <w:rPr>
                <w:sz w:val="20"/>
                <w:szCs w:val="20"/>
                <w:color w:val="auto"/>
              </w:rPr>
            </w:pPr>
            <w:r>
              <w:rPr>
                <w:rFonts w:ascii="Courier New" w:cs="Courier New" w:eastAsia="Courier New" w:hAnsi="Courier New"/>
                <w:sz w:val="14"/>
                <w:szCs w:val="14"/>
                <w:color w:val="auto"/>
              </w:rPr>
              <w:t>EL = Map Lights</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GS430</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43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ECC = Electronic Compass Display</w:t>
            </w: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LS430</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5940" w:type="dxa"/>
            <w:vAlign w:val="bottom"/>
            <w:gridSpan w:val="3"/>
          </w:tcPr>
          <w:p>
            <w:pPr>
              <w:ind w:left="900"/>
              <w:spacing w:after="0"/>
              <w:rPr>
                <w:sz w:val="20"/>
                <w:szCs w:val="20"/>
                <w:color w:val="auto"/>
              </w:rPr>
            </w:pPr>
            <w:r>
              <w:rPr>
                <w:rFonts w:ascii="Courier New" w:cs="Courier New" w:eastAsia="Courier New" w:hAnsi="Courier New"/>
                <w:sz w:val="14"/>
                <w:szCs w:val="14"/>
                <w:color w:val="auto"/>
              </w:rPr>
              <w:t>ECC/T = Electronic Compass and Temperature Display</w:t>
            </w: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RX300</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43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RKE = Remote Keyless Entry</w:t>
            </w: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SC300</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ind w:left="900"/>
              <w:spacing w:after="0"/>
              <w:rPr>
                <w:sz w:val="20"/>
                <w:szCs w:val="20"/>
                <w:color w:val="auto"/>
              </w:rPr>
            </w:pPr>
            <w:r>
              <w:rPr>
                <w:rFonts w:ascii="Courier New" w:cs="Courier New" w:eastAsia="Courier New" w:hAnsi="Courier New"/>
                <w:sz w:val="14"/>
                <w:szCs w:val="14"/>
                <w:color w:val="auto"/>
              </w:rPr>
              <w:t>OS = OnStar(R)</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LX470</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SC430</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Daimler/Chrysler  /</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C Class (Europe)</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ind w:left="260"/>
              <w:spacing w:after="0"/>
              <w:rPr>
                <w:sz w:val="20"/>
                <w:szCs w:val="20"/>
                <w:color w:val="auto"/>
              </w:rPr>
            </w:pPr>
            <w:r>
              <w:rPr>
                <w:rFonts w:ascii="Courier New" w:cs="Courier New" w:eastAsia="Courier New" w:hAnsi="Courier New"/>
                <w:sz w:val="14"/>
                <w:szCs w:val="14"/>
                <w:color w:val="auto"/>
              </w:rPr>
              <w:t>Mercedes-Benz</w:t>
            </w: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C 240/320 (U.S.)</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CL 500/55 AMG/600 (U.S.)</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CLK 320/430/55 (U.S.)</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E Class (Europe)</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E 320/430/55 (U.S.)</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S Class(Europe)</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32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 430/500/55 AMG/600 (U.S.)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1920" w:type="dxa"/>
            <w:vAlign w:val="bottom"/>
          </w:tcPr>
          <w:p>
            <w:pPr>
              <w:spacing w:after="0"/>
              <w:rPr>
                <w:sz w:val="14"/>
                <w:szCs w:val="14"/>
                <w:color w:val="auto"/>
              </w:rPr>
            </w:pPr>
          </w:p>
        </w:tc>
        <w:tc>
          <w:tcPr>
            <w:tcW w:w="2420" w:type="dxa"/>
            <w:vAlign w:val="bottom"/>
          </w:tcPr>
          <w:p>
            <w:pPr>
              <w:ind w:left="260"/>
              <w:spacing w:after="0"/>
              <w:rPr>
                <w:sz w:val="20"/>
                <w:szCs w:val="20"/>
                <w:color w:val="auto"/>
              </w:rPr>
            </w:pPr>
            <w:r>
              <w:rPr>
                <w:rFonts w:ascii="Courier New" w:cs="Courier New" w:eastAsia="Courier New" w:hAnsi="Courier New"/>
                <w:sz w:val="14"/>
                <w:szCs w:val="14"/>
                <w:color w:val="auto"/>
              </w:rPr>
              <w:t>SL  500/600 (U.S.)</w:t>
            </w:r>
          </w:p>
        </w:tc>
        <w:tc>
          <w:tcPr>
            <w:tcW w:w="84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S</w:t>
            </w:r>
          </w:p>
        </w:tc>
        <w:tc>
          <w:tcPr>
            <w:tcW w:w="2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460"/>
          </w:cols>
          <w:pgMar w:left="220" w:top="286" w:right="219"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right="4680" w:firstLine="781"/>
        <w:spacing w:after="0" w:line="252" w:lineRule="auto"/>
        <w:rPr>
          <w:sz w:val="20"/>
          <w:szCs w:val="20"/>
          <w:color w:val="auto"/>
        </w:rPr>
      </w:pPr>
      <w:r>
        <w:rPr>
          <w:rFonts w:ascii="Courier New" w:cs="Courier New" w:eastAsia="Courier New" w:hAnsi="Courier New"/>
          <w:sz w:val="14"/>
          <w:szCs w:val="14"/>
          <w:color w:val="auto"/>
        </w:rPr>
        <w:t>Exterior NVS(R) Mirror Sub-Assemblies. The Company has devoted substantial research and development efforts to the development of its electrochromic technology to permit its use in exterior rearview mirrors. Exterior NVS(R) mirrors are controlled by the sensors and electronic circuitry in the interior NVS(R) Mirror, and both the interior and exterior mirrors dim simultaneously. During 1991, the Company's efforts culminated in a design that is intended to provide acceptable long-term performance in all environments likely to be encountered. In 1994, the Company began shipments of its complete three-mirror system, including the convex (curved glass) wide-angle NVS(R) Mirror to BMW. During 1997, the Company began making volume shipments of three new exterior mirror products - - thin glass flat, convex and aspheric. The Company currently sells its exterior NVS(R) Mirror Sub-Assemblies to exterior mirror suppliers of General Motors, DaimlerChrysler, Ford, Audi, BMW, Fiat, Infiniti and Mitsubishi, who assemble the exterior NVS(R) Mirror Sub-Assemblies into full mirror units for subsequent resale to the automakers.</w:t>
      </w:r>
    </w:p>
    <w:p>
      <w:pPr>
        <w:spacing w:after="0" w:line="173" w:lineRule="exact"/>
        <w:rPr>
          <w:sz w:val="20"/>
          <w:szCs w:val="20"/>
          <w:color w:val="auto"/>
        </w:rPr>
      </w:pPr>
    </w:p>
    <w:p>
      <w:pPr>
        <w:ind w:right="4760" w:firstLine="781"/>
        <w:spacing w:after="0" w:line="254" w:lineRule="auto"/>
        <w:rPr>
          <w:sz w:val="20"/>
          <w:szCs w:val="20"/>
          <w:color w:val="auto"/>
        </w:rPr>
      </w:pPr>
      <w:r>
        <w:rPr>
          <w:rFonts w:ascii="Courier New" w:cs="Courier New" w:eastAsia="Courier New" w:hAnsi="Courier New"/>
          <w:sz w:val="14"/>
          <w:szCs w:val="14"/>
          <w:color w:val="auto"/>
        </w:rPr>
        <w:t>The Company sold approximately 1,582,000 exterior NVS(R) Mirror Sub-Assemblies during 1998, approximately 1,952,000 in 1999, and approximately 2,148,000 in 2000. During 2000, unit growth primarily resulted from the increased penetration of light vehicles in Europe.</w:t>
      </w:r>
    </w:p>
    <w:p>
      <w:pPr>
        <w:spacing w:after="0" w:line="163" w:lineRule="exact"/>
        <w:rPr>
          <w:sz w:val="20"/>
          <w:szCs w:val="20"/>
          <w:color w:val="auto"/>
        </w:rPr>
      </w:pPr>
    </w:p>
    <w:p>
      <w:pPr>
        <w:ind w:right="4680" w:firstLine="781"/>
        <w:spacing w:after="0" w:line="258" w:lineRule="auto"/>
        <w:rPr>
          <w:sz w:val="20"/>
          <w:szCs w:val="20"/>
          <w:color w:val="auto"/>
        </w:rPr>
      </w:pPr>
      <w:r>
        <w:rPr>
          <w:rFonts w:ascii="Courier New" w:cs="Courier New" w:eastAsia="Courier New" w:hAnsi="Courier New"/>
          <w:sz w:val="14"/>
          <w:szCs w:val="14"/>
          <w:color w:val="auto"/>
        </w:rPr>
        <w:t>The exterior NVS(R)Mirror is standard equipment or a factory-installed option on the following 2001 and 2001-1/2 vehicle models:</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TABLE 2.</w:t>
        <w:tab/>
        <w:t>EXTERIOR NVS(R) MIRROR AVAILABILITY BY VEHICLE LINE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GM/Cadillac</w:t>
            </w: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Deville</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w:t>
            </w:r>
          </w:p>
        </w:tc>
        <w:tc>
          <w:tcPr>
            <w:tcW w:w="2180" w:type="dxa"/>
            <w:vAlign w:val="bottom"/>
          </w:tcPr>
          <w:p>
            <w:pPr>
              <w:ind w:left="580"/>
              <w:spacing w:after="0"/>
              <w:rPr>
                <w:sz w:val="20"/>
                <w:szCs w:val="20"/>
                <w:color w:val="auto"/>
              </w:rPr>
            </w:pPr>
            <w:r>
              <w:rPr>
                <w:rFonts w:ascii="Courier New" w:cs="Courier New" w:eastAsia="Courier New" w:hAnsi="Courier New"/>
                <w:sz w:val="14"/>
                <w:szCs w:val="14"/>
                <w:color w:val="auto"/>
              </w:rPr>
              <w:t>Audi</w:t>
            </w: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A4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(F/C/A)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Deville DHS/DTS</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A6</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(F/C/A)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Eldorado ESC/ETC</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A8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(F/C/A) S</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Escalade</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S4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(F/C/A)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Seville SLS</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(F/C) S</w:t>
            </w:r>
          </w:p>
        </w:tc>
        <w:tc>
          <w:tcPr>
            <w:tcW w:w="2180" w:type="dxa"/>
            <w:vAlign w:val="bottom"/>
          </w:tcPr>
          <w:p>
            <w:pPr>
              <w:ind w:left="580"/>
              <w:spacing w:after="0"/>
              <w:rPr>
                <w:sz w:val="20"/>
                <w:szCs w:val="20"/>
                <w:color w:val="auto"/>
              </w:rPr>
            </w:pPr>
            <w:r>
              <w:rPr>
                <w:rFonts w:ascii="Courier New" w:cs="Courier New" w:eastAsia="Courier New" w:hAnsi="Courier New"/>
                <w:sz w:val="14"/>
                <w:szCs w:val="14"/>
                <w:color w:val="auto"/>
              </w:rPr>
              <w:t>BMW</w:t>
            </w: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700 Series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(F/C/A)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Seville STS</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(F/C) S</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500 Series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(F/C/A) O</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GM / Buick</w:t>
            </w: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Century Limited</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X5 SAV</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(F/C/A)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LeSabre Limited</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w:t>
            </w:r>
          </w:p>
        </w:tc>
        <w:tc>
          <w:tcPr>
            <w:tcW w:w="2180" w:type="dxa"/>
            <w:vAlign w:val="bottom"/>
          </w:tcPr>
          <w:p>
            <w:pPr>
              <w:ind w:left="580"/>
              <w:spacing w:after="0"/>
              <w:rPr>
                <w:sz w:val="20"/>
                <w:szCs w:val="20"/>
                <w:color w:val="auto"/>
              </w:rPr>
            </w:pPr>
            <w:r>
              <w:rPr>
                <w:rFonts w:ascii="Courier New" w:cs="Courier New" w:eastAsia="Courier New" w:hAnsi="Courier New"/>
                <w:sz w:val="14"/>
                <w:szCs w:val="14"/>
                <w:color w:val="auto"/>
              </w:rPr>
              <w:t>DaimlerChrysler /</w:t>
            </w: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C Class (Europe)</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Park Avenue</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ind w:left="840"/>
              <w:spacing w:after="0"/>
              <w:rPr>
                <w:sz w:val="20"/>
                <w:szCs w:val="20"/>
                <w:color w:val="auto"/>
              </w:rPr>
            </w:pPr>
            <w:r>
              <w:rPr>
                <w:rFonts w:ascii="Courier New" w:cs="Courier New" w:eastAsia="Courier New" w:hAnsi="Courier New"/>
                <w:sz w:val="14"/>
                <w:szCs w:val="14"/>
                <w:color w:val="auto"/>
              </w:rPr>
              <w:t>Mercedes- Benz</w:t>
            </w: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C 240/320 (U.S.)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Park Avenue Ultra</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CL 500/55 AMG/600 (U.S.)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Regal (RS, GS)</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CLK 320/430/55 (U.S.)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GM / Chevrolet</w:t>
            </w: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Blazer</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E Class (Europe)</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Corvette</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E  320/430/55 (U.S.)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Suburban</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ML320 SUV</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Tahoe</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ML430/55 SUV</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 S</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Avalanche</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S Class (Europe)</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(F/A) S</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Denali</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S 430/500/55 AMG/600 (U.S.)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Jimmy</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SL 500/600 (U.S.)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Yukon</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ind w:left="580"/>
              <w:spacing w:after="0"/>
              <w:rPr>
                <w:sz w:val="20"/>
                <w:szCs w:val="20"/>
                <w:color w:val="auto"/>
              </w:rPr>
            </w:pPr>
            <w:r>
              <w:rPr>
                <w:rFonts w:ascii="Courier New" w:cs="Courier New" w:eastAsia="Courier New" w:hAnsi="Courier New"/>
                <w:sz w:val="14"/>
                <w:szCs w:val="14"/>
                <w:color w:val="auto"/>
              </w:rPr>
              <w:t>Fiat</w:t>
            </w: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Lancia Aurelia</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Yukon XL</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ind w:left="580"/>
              <w:spacing w:after="0"/>
              <w:rPr>
                <w:sz w:val="20"/>
                <w:szCs w:val="20"/>
                <w:color w:val="auto"/>
              </w:rPr>
            </w:pPr>
            <w:r>
              <w:rPr>
                <w:rFonts w:ascii="Courier New" w:cs="Courier New" w:eastAsia="Courier New" w:hAnsi="Courier New"/>
                <w:sz w:val="14"/>
                <w:szCs w:val="14"/>
                <w:color w:val="auto"/>
              </w:rPr>
              <w:t>Ford / Jaguar</w:t>
            </w: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XJ / XJ8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Sierra Centennial</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w:t>
            </w:r>
          </w:p>
        </w:tc>
        <w:tc>
          <w:tcPr>
            <w:tcW w:w="2180" w:type="dxa"/>
            <w:vAlign w:val="bottom"/>
          </w:tcPr>
          <w:p>
            <w:pPr>
              <w:spacing w:after="0"/>
              <w:rPr>
                <w:sz w:val="14"/>
                <w:szCs w:val="14"/>
                <w:color w:val="auto"/>
              </w:rPr>
            </w:pP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XK8</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 O</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Ford/Lincoln</w:t>
            </w: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Continental</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ind w:left="580"/>
              <w:spacing w:after="0"/>
              <w:rPr>
                <w:sz w:val="20"/>
                <w:szCs w:val="20"/>
                <w:color w:val="auto"/>
              </w:rPr>
            </w:pPr>
            <w:r>
              <w:rPr>
                <w:rFonts w:ascii="Courier New" w:cs="Courier New" w:eastAsia="Courier New" w:hAnsi="Courier New"/>
                <w:sz w:val="14"/>
                <w:szCs w:val="14"/>
                <w:color w:val="auto"/>
              </w:rPr>
              <w:t>Ford / Land Rover</w:t>
            </w: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Range Rover</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(F/C)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Town Car (Cartier,</w:t>
            </w:r>
          </w:p>
        </w:tc>
        <w:tc>
          <w:tcPr>
            <w:tcW w:w="780" w:type="dxa"/>
            <w:vAlign w:val="bottom"/>
          </w:tcPr>
          <w:p>
            <w:pPr>
              <w:spacing w:after="0"/>
              <w:rPr>
                <w:sz w:val="14"/>
                <w:szCs w:val="14"/>
                <w:color w:val="auto"/>
              </w:rPr>
            </w:pPr>
          </w:p>
        </w:tc>
        <w:tc>
          <w:tcPr>
            <w:tcW w:w="2180" w:type="dxa"/>
            <w:vAlign w:val="bottom"/>
          </w:tcPr>
          <w:p>
            <w:pPr>
              <w:ind w:left="580"/>
              <w:spacing w:after="0"/>
              <w:rPr>
                <w:sz w:val="20"/>
                <w:szCs w:val="20"/>
                <w:color w:val="auto"/>
              </w:rPr>
            </w:pPr>
            <w:r>
              <w:rPr>
                <w:rFonts w:ascii="Courier New" w:cs="Courier New" w:eastAsia="Courier New" w:hAnsi="Courier New"/>
                <w:sz w:val="14"/>
                <w:szCs w:val="14"/>
                <w:color w:val="auto"/>
              </w:rPr>
              <w:t>Infiniti</w:t>
            </w: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Q45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(F/C) O</w:t>
            </w: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Executive, Signature)</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w:t>
            </w:r>
          </w:p>
        </w:tc>
        <w:tc>
          <w:tcPr>
            <w:tcW w:w="2180" w:type="dxa"/>
            <w:vAlign w:val="bottom"/>
          </w:tcPr>
          <w:p>
            <w:pPr>
              <w:ind w:left="580"/>
              <w:spacing w:after="0"/>
              <w:rPr>
                <w:sz w:val="20"/>
                <w:szCs w:val="20"/>
                <w:color w:val="auto"/>
              </w:rPr>
            </w:pPr>
            <w:r>
              <w:rPr>
                <w:rFonts w:ascii="Courier New" w:cs="Courier New" w:eastAsia="Courier New" w:hAnsi="Courier New"/>
                <w:sz w:val="14"/>
                <w:szCs w:val="14"/>
                <w:color w:val="auto"/>
              </w:rPr>
              <w:t>Mitsubishi</w:t>
            </w:r>
          </w:p>
        </w:tc>
        <w:tc>
          <w:tcPr>
            <w:tcW w:w="3120" w:type="dxa"/>
            <w:vAlign w:val="bottom"/>
          </w:tcPr>
          <w:p>
            <w:pPr>
              <w:ind w:left="640"/>
              <w:spacing w:after="0"/>
              <w:rPr>
                <w:sz w:val="20"/>
                <w:szCs w:val="20"/>
                <w:color w:val="auto"/>
              </w:rPr>
            </w:pPr>
            <w:r>
              <w:rPr>
                <w:rFonts w:ascii="Courier New" w:cs="Courier New" w:eastAsia="Courier New" w:hAnsi="Courier New"/>
                <w:sz w:val="14"/>
                <w:szCs w:val="14"/>
                <w:color w:val="auto"/>
              </w:rPr>
              <w:t>Magna Verada</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DaimlerChrysler/</w:t>
            </w: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Town &amp; Country Limited</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w:t>
            </w:r>
          </w:p>
        </w:tc>
        <w:tc>
          <w:tcPr>
            <w:tcW w:w="2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ind w:left="260"/>
              <w:spacing w:after="0"/>
              <w:rPr>
                <w:sz w:val="20"/>
                <w:szCs w:val="20"/>
                <w:color w:val="auto"/>
              </w:rPr>
            </w:pPr>
            <w:r>
              <w:rPr>
                <w:rFonts w:ascii="Courier New" w:cs="Courier New" w:eastAsia="Courier New" w:hAnsi="Courier New"/>
                <w:sz w:val="14"/>
                <w:szCs w:val="14"/>
                <w:color w:val="auto"/>
              </w:rPr>
              <w:t>Chrysler</w:t>
            </w: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300 M</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(F/C) O</w:t>
            </w:r>
          </w:p>
        </w:tc>
        <w:tc>
          <w:tcPr>
            <w:tcW w:w="2180" w:type="dxa"/>
            <w:vAlign w:val="bottom"/>
          </w:tcPr>
          <w:p>
            <w:pPr>
              <w:ind w:left="1260"/>
              <w:spacing w:after="0"/>
              <w:rPr>
                <w:sz w:val="20"/>
                <w:szCs w:val="20"/>
                <w:color w:val="auto"/>
              </w:rPr>
            </w:pPr>
            <w:r>
              <w:rPr>
                <w:rFonts w:ascii="Courier New" w:cs="Courier New" w:eastAsia="Courier New" w:hAnsi="Courier New"/>
                <w:sz w:val="14"/>
                <w:szCs w:val="14"/>
                <w:color w:val="auto"/>
              </w:rPr>
              <w:t>KEY:</w:t>
            </w:r>
          </w:p>
        </w:tc>
        <w:tc>
          <w:tcPr>
            <w:tcW w:w="3120" w:type="dxa"/>
            <w:vAlign w:val="bottom"/>
          </w:tcPr>
          <w:p>
            <w:pPr>
              <w:ind w:left="120"/>
              <w:spacing w:after="0"/>
              <w:rPr>
                <w:sz w:val="20"/>
                <w:szCs w:val="20"/>
                <w:color w:val="auto"/>
              </w:rPr>
            </w:pPr>
            <w:r>
              <w:rPr>
                <w:rFonts w:ascii="Courier New" w:cs="Courier New" w:eastAsia="Courier New" w:hAnsi="Courier New"/>
                <w:sz w:val="14"/>
                <w:szCs w:val="14"/>
                <w:color w:val="auto"/>
              </w:rPr>
              <w:t>S = Standard Equipment</w:t>
            </w:r>
          </w:p>
        </w:tc>
        <w:tc>
          <w:tcPr>
            <w:tcW w:w="100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LHS</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(F/C) O</w:t>
            </w:r>
          </w:p>
        </w:tc>
        <w:tc>
          <w:tcPr>
            <w:tcW w:w="2180" w:type="dxa"/>
            <w:vAlign w:val="bottom"/>
          </w:tcPr>
          <w:p>
            <w:pPr>
              <w:spacing w:after="0"/>
              <w:rPr>
                <w:sz w:val="14"/>
                <w:szCs w:val="14"/>
                <w:color w:val="auto"/>
              </w:rPr>
            </w:pPr>
          </w:p>
        </w:tc>
        <w:tc>
          <w:tcPr>
            <w:tcW w:w="3120" w:type="dxa"/>
            <w:vAlign w:val="bottom"/>
          </w:tcPr>
          <w:p>
            <w:pPr>
              <w:ind w:left="120"/>
              <w:spacing w:after="0"/>
              <w:rPr>
                <w:sz w:val="20"/>
                <w:szCs w:val="20"/>
                <w:color w:val="auto"/>
              </w:rPr>
            </w:pPr>
            <w:r>
              <w:rPr>
                <w:rFonts w:ascii="Courier New" w:cs="Courier New" w:eastAsia="Courier New" w:hAnsi="Courier New"/>
                <w:sz w:val="14"/>
                <w:szCs w:val="14"/>
                <w:color w:val="auto"/>
              </w:rPr>
              <w:t>O = Optional Equipment</w:t>
            </w:r>
          </w:p>
        </w:tc>
        <w:tc>
          <w:tcPr>
            <w:tcW w:w="100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DaimlerChrysler/Dodge</w:t>
            </w: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Durango</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w:t>
            </w:r>
          </w:p>
        </w:tc>
        <w:tc>
          <w:tcPr>
            <w:tcW w:w="2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DaimlerChrysler/Jeep</w:t>
            </w: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Grand Cherokee Limited</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w:t>
            </w:r>
          </w:p>
        </w:tc>
        <w:tc>
          <w:tcPr>
            <w:tcW w:w="2180" w:type="dxa"/>
            <w:vAlign w:val="bottom"/>
          </w:tcPr>
          <w:p>
            <w:pPr>
              <w:spacing w:after="0"/>
              <w:rPr>
                <w:sz w:val="14"/>
                <w:szCs w:val="14"/>
                <w:color w:val="auto"/>
              </w:rPr>
            </w:pPr>
          </w:p>
        </w:tc>
        <w:tc>
          <w:tcPr>
            <w:tcW w:w="3120" w:type="dxa"/>
            <w:vAlign w:val="bottom"/>
          </w:tcPr>
          <w:p>
            <w:pPr>
              <w:ind w:left="120"/>
              <w:spacing w:after="0"/>
              <w:rPr>
                <w:sz w:val="20"/>
                <w:szCs w:val="20"/>
                <w:color w:val="auto"/>
              </w:rPr>
            </w:pPr>
            <w:r>
              <w:rPr>
                <w:rFonts w:ascii="Courier New" w:cs="Courier New" w:eastAsia="Courier New" w:hAnsi="Courier New"/>
                <w:sz w:val="14"/>
                <w:szCs w:val="14"/>
                <w:color w:val="auto"/>
              </w:rPr>
              <w:t>A = Aspheric Glass</w:t>
            </w:r>
          </w:p>
        </w:tc>
        <w:tc>
          <w:tcPr>
            <w:tcW w:w="1000" w:type="dxa"/>
            <w:vAlign w:val="bottom"/>
          </w:tcPr>
          <w:p>
            <w:pPr>
              <w:spacing w:after="0"/>
              <w:rPr>
                <w:sz w:val="14"/>
                <w:szCs w:val="14"/>
                <w:color w:val="auto"/>
              </w:rPr>
            </w:pPr>
          </w:p>
        </w:tc>
      </w:tr>
      <w:tr>
        <w:trPr>
          <w:trHeight w:val="167"/>
        </w:trPr>
        <w:tc>
          <w:tcPr>
            <w:tcW w:w="2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 = Flat Glass (unless otherwise indicated)</w:t>
            </w:r>
          </w:p>
        </w:tc>
      </w:tr>
      <w:tr>
        <w:trPr>
          <w:trHeight w:val="167"/>
        </w:trPr>
        <w:tc>
          <w:tcPr>
            <w:tcW w:w="2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120" w:type="dxa"/>
            <w:vAlign w:val="bottom"/>
          </w:tcPr>
          <w:p>
            <w:pPr>
              <w:ind w:left="120"/>
              <w:spacing w:after="0"/>
              <w:rPr>
                <w:sz w:val="20"/>
                <w:szCs w:val="20"/>
                <w:color w:val="auto"/>
              </w:rPr>
            </w:pPr>
            <w:r>
              <w:rPr>
                <w:rFonts w:ascii="Courier New" w:cs="Courier New" w:eastAsia="Courier New" w:hAnsi="Courier New"/>
                <w:sz w:val="14"/>
                <w:szCs w:val="14"/>
                <w:color w:val="auto"/>
              </w:rPr>
              <w:t>C = Convex Glass</w:t>
            </w:r>
          </w:p>
        </w:tc>
        <w:tc>
          <w:tcPr>
            <w:tcW w:w="10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right="4760" w:firstLine="781"/>
        <w:spacing w:after="0" w:line="253" w:lineRule="auto"/>
        <w:rPr>
          <w:sz w:val="20"/>
          <w:szCs w:val="20"/>
          <w:color w:val="auto"/>
        </w:rPr>
      </w:pPr>
      <w:r>
        <w:rPr>
          <w:rFonts w:ascii="Courier New" w:cs="Courier New" w:eastAsia="Courier New" w:hAnsi="Courier New"/>
          <w:sz w:val="14"/>
          <w:szCs w:val="14"/>
          <w:color w:val="auto"/>
        </w:rPr>
        <w:t>Product Development. The Company plans to continue introducing additional advanced-feature NVS(R) Mirrors. Advanced-feature NVS(R) Mirrors currently being offered by the Company include the third-generation NVS(R) Headlamp Control Mirror, the NVS(R) Lighted Mirror with LED map lamps, the third-generation NVS(R) Compass Mirror, the NVS(R) Mirror with Remote Keyless Entry, the NVS(R) Compass/Temperature Mirror, the NVS(R) Dual Display Compass/Temperature Mirror, and the NVS(R) OnStar(R) Mirror. Also, the Company has introduced an NVS(R) Base Feature Mirror to target the high-volume, mid-priced vehicle segments,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540"/>
          </w:cols>
          <w:pgMar w:left="220" w:top="286" w:right="139"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and larger-size interior and exterior NVS(R) Mirrors for use on vans and light trucks. In 1996, Gentex introduced the first automatic-dimming "aspheric" exterior mirror. Aspheric mirrors are wide-angle exterior mirrors that virtually eliminate the "blind spot." During 1997, the Company introduced thin glass flat and convex exterior mirrors.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Of particular importance to the Company has been the development of its electrochromic technology for use in complete 3-mirror systems. In these systems, both the driver and passenger-side exterior NVS(R) Mirrors are controlled by the sensors and electronic circuitry in the interior rearview mirror, and the interior and both exterior mirrors dim simultaneously. At the end of 1996, the Company began shipping NVS(R) aspheric exterior mirrors to Mercedes-Benz, followed by volume shipments during 1997.</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success with electrochromic technology provides an opportunity for other potential commercial applications, which the Company expects to explore in the future as resources permit. Examples of possible applications of electrochromic technology include windows for both the automotive and architectural markets, sunroofs and sunglasses. Progress in adapting electrochromic technology to the specialized requirements of the window market continued in 2000. However, achieving the rigorous performance standards needed for launching a commercial product still could require several years of additional development work.</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the end of 1999, the Company announced the development of the second generation of its LED technology, which represents the first time that white light for illumination purposes can be achieved using high intensity LEDs on a cost-effective basis. LEDs as illuminators could have significant automotive and non-automotive lighting applications as they have many advantages over incandescent lamps, including extremely long life, low heat generation, lower current draw, more resistance to shock, and lower total cost of ownership. Progress in developing this unique technology continued in 2000. However, achieving cost and performance criteria required for commercial product applications could still require many additional months of development efforts.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Markets and Marketing. The Company markets its automatic rearview mirrors to domestic and foreign automotive manufacturers under the trademarks "Night Vision Safety(TM)" or NVS(R) Mirrors. In North America, the Company markets these products primarily through a direct sales force. The Company currently supplies NVS(R) Mirrors to General Motors Corporation and DaimlerChrysler AG (North America) under long-term agreements. During 2000, the Company negotiated a contract extension for inside mirrors with General Motors through the 2004 model year. The long-term supply agreement with DaimlerChrysler AG extends through the 2003 model year. The Company's exterior NVS(R) Mirror Sub-Assemblies are supplied to General Motors, Ford and DaimlerChrysler AG by means of sales to exterior mirror suppliers.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During 1993, the Company established a sales and engineering office in Germany and the following year, the Company formed a German limited liability company, Gentex GmbH, to expand its sales and engineering support activities in Europe. During 1999, the Company established Gentex Mirrors, Ltd., as a sales and engineering office in the United Kingdom. During 2000, the Company established Gentex France, SAS, as a sales and engineering office in France. The Company's marketing efforts in Europe are conducted through Gentex GmbH, Gentex Mirrors, Ltd., and Gentex France SAS, with limited assistance from independent manufacturers' representatives. The Company is currently supplying mirrors to Audi, Bavarian Motor Works, A.G. (BMW), Fiat, Jaguar, Land Rover, Mercedes-Benz, Opel, Porsche, Rolls Royce, Saab and Volkswagen.</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Since 1991, the Company has been shipping electrochromic mirror assemblies for Nissan Motor Co., Ltd. under a reciprocal distribution agreement with Ichikoh Industries, Ltd. (Ichikoh), a major Japanese supplier of automotive products. Under this agreement, Ichikoh markets the Company's automatic mirrors to certain Japanese automakers and their subsidiaries with manufacturing facilities in Asia. The arrangement involves very limited technology transfer by the Company and does not include the Company's proprietary electrochromic gel formulation.</w:t>
      </w:r>
    </w:p>
    <w:p>
      <w:pPr>
        <w:spacing w:after="0" w:line="33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During 1993, the Company hired sales agent, Continental Far East, to market NVS(R) Mirrors to other Japanese automakers beyond Nissan. During 1998, the Company established Gentex Japan, Inc., as a sales and engineering office to expand its sales and</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engineering support in Japan. During 1999, the Company signed an agreement with Murakami Corporation, a major Japanese mirror manufacturer, to cooperate in expanding sales of automatic-dimming mirrors using the Gentex electrochromic technology.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Historically, new safety and comfort options have entered the original equipment automotive market at relatively low rates on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NVS(R) Mirrors will be offered as standard equipment, in higher option rate packages and on more models as consumer awareness of the safety and comfort features becomes more well-known and acceptance grows.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Since 1998, Gentex Corporation has contracted with MITO Corporation to sell several of its most popular automatic-dimming mirrors directly to consumers in the automotive aftermarket; however, currently the Company directs no other efforts to the sale of NVS(R) mirrors to the automotive aftermarket. It is management's belief that such efforts are of limited value until the Company achieves a significantly higher penetration of the original equipment manufacturing market.</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Competition. Gentex is the leading producer of automatic rearview mirrors in the world and currently is the dominant supplier to the automotive industry with an approximate 83% market share worldwide. While the Company believes it will retain a dominant position, one other U.S. manufacturer (Donnelly Corporation) is competing for sales to domestic and foreign vehicle manufacturers and is supplying a number of domestic and foreign vehicle models with its hybrid version of electrochromic mirrors. In addition, two Japanese manufacturers are currently supplying a number of vehicle models in Japan with solid-state electrochromic mirrors.</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 believes its electrochromic automatic mirrors offer significant performance advantages over competing products. However, Gentex recognizes that Donnelly Corporation, a competitor, is considerably larger than the Company and presents a significant competitive threat by using pricing as its primary means to attempt to gain additional electrochromic mirror business.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There are numerous other companies in the world conducting research on various technologies, including electrochromics, for controlling light transmission and reflection. Gentex believes that the electrochromic materials and manufacturing process it uses for automotive mirrors remains the most efficient and cost-effective way to produce such products. While automatic-dimming mirrors using other technologies may eliminate glare, each of these technologies have inherent cost or performance limitations.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FIRE PROTECTION PRODUCTS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Company manufactures over 60 different models of smoke alarms and smoke detectors, combined with over 160 different models of signaling appliances. All of the smoke detectors/alarms operate on a photoelectric principle to detect smoke. While the use of photoelectric technology entails greater manufacturing costs, the Company believes that these detectors/alarms are superior in performance to competitive devices that operate through an ionization process, and are preferred in most commercial residential occupancies. Photoelectric detectors/alarms feature low light-level detection, while ionization detectors utilize an ionized atmosphere, the electrical conductivity of which varies with changes in the composition of the atmosphere. Photoelectric detectors/alarms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detectors/alarms are now being required by an increasing number of city and state laws, and national codes.</w:t>
      </w:r>
    </w:p>
    <w:p>
      <w:pPr>
        <w:spacing w:after="0" w:line="200" w:lineRule="exact"/>
        <w:rPr>
          <w:sz w:val="20"/>
          <w:szCs w:val="20"/>
          <w:color w:val="auto"/>
        </w:rPr>
      </w:pPr>
    </w:p>
    <w:p>
      <w:pPr>
        <w:spacing w:after="0" w:line="30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alarms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and/or communicate with monitored remote stations.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recent years, the Company introduced further improvements to its line of smoke detectors/alarms, including submersibility to enhance maintenance, and a new design feature that permits greater ease in sensitivity testing. The Company offers the only detection device that may be completely submersed in water for cleaning purposes. This feature permits more effective and convenient cleaning of the product, thereby enhancing reliability. In addition, the patented sensitivity test feature permits the user to check the calibration of the least and most sensitive detection levels of the detector with the simple turn of a knob. The National Fire Protection Association's code requires that all single station smoke alarms installed in dwellings larger than 1-2 family must annually conduct this sensitivity test.</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1997, the Company introduced a new visual and audible signaling line. The visual (strobe) was designed to meet the Underwriters Laboratories standard without any loss of efficiency. This product draws one of the lowest amounts of current consumption in the industry. It is also available with the largest array of visual intensities offered to meet virtually all room sizes and configurations.</w:t>
      </w:r>
    </w:p>
    <w:p>
      <w:pPr>
        <w:spacing w:after="0" w:line="329"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Also, during 1997, the Company became one of the first companies in the fire alarm market to implement the temporal code 3 pattern on the smoke detection/alarm products.</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1999, the Company introduced a new low current visual signaling appliance for general evacuation purposes. The new audible/visual series offers the widest array of light intensities in the industry and is one of the lowest current consumption appliances available.</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Markets and Marketing. The Company's fire protection products are sold directly to fire protection and security product distributors under the Company's brand name, electrical wholesale houses, and to original equipment manufacturers of fire protection systems under both the Company's brand name and private labels. The Company markets its fire protection products throughout the United States through regional sales managers and manufacturer representative organizations.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Competition. The fire protection products industry is highly competitive in terms of both the smoke detectors and signaling device markets. The Company estimates that it competes principally with eleven manufacturers of smoke detection products for commercial use and approximately four manufacturers within the residential market, three of which produce photoelectric smoke detectors. In the signaling device markets, the Company estimates it competes with approximately eight manufacturers. While the Company faces significant competition in the sale of smoke detectors and signaling devices, it believes that the recent introduction of new products, improvements to its existing products, its diversified product line, and the availability of special features will permit the Company to maintain its competitive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PATENTS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owns 7 trademarks and 76 U.S. patents, 73 of which relate to electrochromic technology and/or automotive rearview mirrors. These patents expire between 2002 and 2019. The Company believes that these patents provide the Company a significant competitive advantage in the automotive rearview mirror market; however, none of these patents is required for the success of any of the Company's products.</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 also owns 38 foreign patents, 36 of which relate to automotive rearview mirrors. These patents expire at various times between 2002 and 2018. The Company believes that the competitive advantage derived in the relevant foreign markets for these patents is comparable to that experienced in the U.S. market.</w:t>
      </w:r>
    </w:p>
    <w:p>
      <w:pPr>
        <w:spacing w:after="0" w:line="162"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The remaining 3 U.S. patents and 2 foreign patents relate to the Company's fire protection products, and the Company believes that the competitive advantage provided by these patents is relatively small.</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Company also has in process 135 U.S. patent applications, 109 foreign patent applications, and 6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considers itself to be engaged in the manufacture and sale of automatic rearview mirrors for the automotive industry and fire protection products for the commercial building industry. The Company has several important customers within the automotive industry, two of which each account for 10% or more of the Company's annual sales: General Motors Corporation and DaimlerChrysler AG. The loss of either of these customers could have a material adverse effect on the Company. The Company's backlog of unshipped orders was $74,503,000 and $68,976,000 at March 1, 2001 and 2000, respectively.</w:t>
      </w:r>
    </w:p>
    <w:p>
      <w:pPr>
        <w:spacing w:after="0" w:line="16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At March 1, 2001, the Company had 1,590 full-time employees. None of the Company's employees are represented by a labor union or other collective bargaining representative. The Company believes that its relations with its employees are good.</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2.</w:t>
        <w:tab/>
        <w:t>PROPERTIES.</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The Company operates out of four office/manufacturing facilities in Zeeland, Michigan, approximately 25 miles southwest of Grand Rapids. The office and production facility for the Fire Protection Products Group is a</w:t>
      </w:r>
    </w:p>
    <w:p>
      <w:pPr>
        <w:spacing w:after="0" w:line="1"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25,000-square-foot, one-story building leased by the Company since 1978 from related parties (see Part III, Item 13, of this report).</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corporate office and production facility for the Company's Automotive Products Group is a modern, two-story, 130,000-square-foot building of steel and masonry construction situated on a 40-acre site in a well-kept industrial park. An additional 128,000-square-foot office/manufacturing facility on this site was opened during 1996. The Company has expanded its automotive production facilities by constructing a third 170,000 square-foot facility on its current site which opened in the second quarter of 2000 to meet the Company's current and near term future automotive production needs.</w:t>
      </w:r>
    </w:p>
    <w:p>
      <w:pPr>
        <w:spacing w:after="0" w:line="16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None that are material.</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following table lists the names, ages, and positions of all of the Company's executive officers. Officers are elected at the first meeting of the Board of Directors following the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240" w:val="left"/>
          <w:tab w:leader="none" w:pos="4420" w:val="left"/>
          <w:tab w:leader="none" w:pos="824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AGE</w:t>
      </w:r>
      <w:r>
        <w:rPr>
          <w:sz w:val="20"/>
          <w:szCs w:val="20"/>
          <w:color w:val="auto"/>
        </w:rPr>
        <w:tab/>
      </w:r>
      <w:r>
        <w:rPr>
          <w:rFonts w:ascii="Courier New" w:cs="Courier New" w:eastAsia="Courier New" w:hAnsi="Courier New"/>
          <w:sz w:val="14"/>
          <w:szCs w:val="14"/>
          <w:color w:val="auto"/>
        </w:rPr>
        <w:t>POSITION</w:t>
      </w:r>
      <w:r>
        <w:rPr>
          <w:sz w:val="20"/>
          <w:szCs w:val="20"/>
          <w:color w:val="auto"/>
        </w:rPr>
        <w:tab/>
      </w:r>
      <w:r>
        <w:rPr>
          <w:rFonts w:ascii="Courier New" w:cs="Courier New" w:eastAsia="Courier New" w:hAnsi="Courier New"/>
          <w:sz w:val="14"/>
          <w:szCs w:val="14"/>
          <w:color w:val="auto"/>
        </w:rPr>
        <w:t>POSITION HELD SINCE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Fred</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Bauer</w:t>
            </w: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58</w:t>
            </w:r>
          </w:p>
        </w:tc>
        <w:tc>
          <w:tcPr>
            <w:tcW w:w="19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Chief Executive</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May 1986</w:t>
            </w:r>
          </w:p>
        </w:tc>
      </w:tr>
      <w:tr>
        <w:trPr>
          <w:trHeight w:val="167"/>
        </w:trPr>
        <w:tc>
          <w:tcPr>
            <w:tcW w:w="1880" w:type="dxa"/>
            <w:vAlign w:val="bottom"/>
            <w:gridSpan w:val="2"/>
          </w:tcPr>
          <w:p>
            <w:pPr>
              <w:spacing w:after="0"/>
              <w:rPr>
                <w:sz w:val="20"/>
                <w:szCs w:val="20"/>
                <w:color w:val="auto"/>
              </w:rPr>
            </w:pPr>
            <w:r>
              <w:rPr>
                <w:rFonts w:ascii="Courier New" w:cs="Courier New" w:eastAsia="Courier New" w:hAnsi="Courier New"/>
                <w:sz w:val="14"/>
                <w:szCs w:val="14"/>
                <w:color w:val="auto"/>
              </w:rPr>
              <w:t>Kenneth La Grand</w:t>
            </w: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60</w:t>
            </w:r>
          </w:p>
        </w:tc>
        <w:tc>
          <w:tcPr>
            <w:tcW w:w="5280" w:type="dxa"/>
            <w:vAlign w:val="bottom"/>
            <w:gridSpan w:val="3"/>
          </w:tcPr>
          <w:p>
            <w:pPr>
              <w:ind w:left="600"/>
              <w:spacing w:after="0"/>
              <w:rPr>
                <w:sz w:val="20"/>
                <w:szCs w:val="20"/>
                <w:color w:val="auto"/>
              </w:rPr>
            </w:pPr>
            <w:r>
              <w:rPr>
                <w:rFonts w:ascii="Courier New" w:cs="Courier New" w:eastAsia="Courier New" w:hAnsi="Courier New"/>
                <w:sz w:val="14"/>
                <w:szCs w:val="14"/>
                <w:color w:val="auto"/>
              </w:rPr>
              <w:t>Executive Vice President</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September 1987</w:t>
            </w:r>
          </w:p>
        </w:tc>
      </w:tr>
      <w:tr>
        <w:trPr>
          <w:trHeight w:val="167"/>
        </w:trPr>
        <w:tc>
          <w:tcPr>
            <w:tcW w:w="1880" w:type="dxa"/>
            <w:vAlign w:val="bottom"/>
            <w:gridSpan w:val="2"/>
          </w:tcPr>
          <w:p>
            <w:pPr>
              <w:spacing w:after="0"/>
              <w:rPr>
                <w:sz w:val="20"/>
                <w:szCs w:val="20"/>
                <w:color w:val="auto"/>
              </w:rPr>
            </w:pPr>
            <w:r>
              <w:rPr>
                <w:rFonts w:ascii="Courier New" w:cs="Courier New" w:eastAsia="Courier New" w:hAnsi="Courier New"/>
                <w:sz w:val="14"/>
                <w:szCs w:val="14"/>
                <w:color w:val="auto"/>
              </w:rPr>
              <w:t>Dennis Alexejun</w:t>
            </w: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49</w:t>
            </w:r>
          </w:p>
        </w:tc>
        <w:tc>
          <w:tcPr>
            <w:tcW w:w="19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Vice President,</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North American Automotive Marketing</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September 1998</w:t>
            </w:r>
          </w:p>
        </w:tc>
      </w:tr>
      <w:tr>
        <w:trPr>
          <w:trHeight w:val="167"/>
        </w:trPr>
        <w:tc>
          <w:tcPr>
            <w:tcW w:w="400" w:type="dxa"/>
            <w:vAlign w:val="bottom"/>
          </w:tcPr>
          <w:p>
            <w:pPr>
              <w:spacing w:after="0"/>
              <w:rPr>
                <w:sz w:val="20"/>
                <w:szCs w:val="20"/>
                <w:color w:val="auto"/>
              </w:rPr>
            </w:pPr>
            <w:r>
              <w:rPr>
                <w:rFonts w:ascii="Courier New" w:cs="Courier New" w:eastAsia="Courier New" w:hAnsi="Courier New"/>
                <w:sz w:val="14"/>
                <w:szCs w:val="14"/>
                <w:color w:val="auto"/>
              </w:rPr>
              <w:t>John</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Carter</w:t>
            </w: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53</w:t>
            </w:r>
          </w:p>
        </w:tc>
        <w:tc>
          <w:tcPr>
            <w:tcW w:w="1000" w:type="dxa"/>
            <w:vAlign w:val="bottom"/>
          </w:tcPr>
          <w:p>
            <w:pPr>
              <w:ind w:left="600"/>
              <w:spacing w:after="0"/>
              <w:rPr>
                <w:sz w:val="20"/>
                <w:szCs w:val="20"/>
                <w:color w:val="auto"/>
              </w:rPr>
            </w:pPr>
            <w:r>
              <w:rPr>
                <w:rFonts w:ascii="Courier New" w:cs="Courier New" w:eastAsia="Courier New" w:hAnsi="Courier New"/>
                <w:sz w:val="14"/>
                <w:szCs w:val="14"/>
                <w:color w:val="auto"/>
              </w:rPr>
              <w:t>Vice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Engineering / Mechanical</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June 1997</w:t>
            </w:r>
          </w:p>
        </w:tc>
      </w:tr>
      <w:tr>
        <w:trPr>
          <w:trHeight w:val="167"/>
        </w:trPr>
        <w:tc>
          <w:tcPr>
            <w:tcW w:w="1880" w:type="dxa"/>
            <w:vAlign w:val="bottom"/>
            <w:gridSpan w:val="2"/>
          </w:tcPr>
          <w:p>
            <w:pPr>
              <w:spacing w:after="0"/>
              <w:rPr>
                <w:sz w:val="20"/>
                <w:szCs w:val="20"/>
                <w:color w:val="auto"/>
              </w:rPr>
            </w:pPr>
            <w:r>
              <w:rPr>
                <w:rFonts w:ascii="Courier New" w:cs="Courier New" w:eastAsia="Courier New" w:hAnsi="Courier New"/>
                <w:sz w:val="14"/>
                <w:szCs w:val="14"/>
                <w:color w:val="auto"/>
              </w:rPr>
              <w:t>Enoch Jen</w:t>
            </w:r>
          </w:p>
        </w:tc>
        <w:tc>
          <w:tcPr>
            <w:tcW w:w="1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49</w:t>
            </w:r>
          </w:p>
        </w:tc>
        <w:tc>
          <w:tcPr>
            <w:tcW w:w="1000" w:type="dxa"/>
            <w:vAlign w:val="bottom"/>
          </w:tcPr>
          <w:p>
            <w:pPr>
              <w:ind w:left="600"/>
              <w:spacing w:after="0"/>
              <w:rPr>
                <w:sz w:val="20"/>
                <w:szCs w:val="20"/>
                <w:color w:val="auto"/>
              </w:rPr>
            </w:pPr>
            <w:r>
              <w:rPr>
                <w:rFonts w:ascii="Courier New" w:cs="Courier New" w:eastAsia="Courier New" w:hAnsi="Courier New"/>
                <w:sz w:val="14"/>
                <w:szCs w:val="14"/>
                <w:color w:val="auto"/>
              </w:rPr>
              <w:t>Vice</w:t>
            </w:r>
          </w:p>
        </w:tc>
        <w:tc>
          <w:tcPr>
            <w:tcW w:w="4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President-Finance, Treasurer</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February 1991</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There are no family relationships among the officers listed in the preceding table.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II</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5.</w:t>
        <w:tab/>
        <w:t>MARKET FOR THE REGISTRANT'S COMMON EQUITY AND RELATED STOCKHOLDER</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MATTERS.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Company's common stock trades on The Nasdaq Stock Market(R). As of March 1, 2001, there were 2,608 record holders of the Company's common stock. Ranges of high and low sale prices of the Company's common stock reported through The Nasdaq Stock Market for the past two fiscal years appear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740"/>
        <w:spacing w:after="0"/>
        <w:tabs>
          <w:tab w:leader="none" w:pos="2860" w:val="left"/>
          <w:tab w:leader="none" w:pos="5980" w:val="left"/>
          <w:tab w:leader="none" w:pos="754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1999</w:t>
            </w:r>
          </w:p>
        </w:tc>
        <w:tc>
          <w:tcPr>
            <w:tcW w:w="2300" w:type="dxa"/>
            <w:vAlign w:val="bottom"/>
          </w:tcPr>
          <w:p>
            <w:pPr>
              <w:ind w:left="480"/>
              <w:spacing w:after="0"/>
              <w:rPr>
                <w:sz w:val="20"/>
                <w:szCs w:val="20"/>
                <w:color w:val="auto"/>
              </w:rPr>
            </w:pPr>
            <w:r>
              <w:rPr>
                <w:rFonts w:ascii="Courier New" w:cs="Courier New" w:eastAsia="Courier New" w:hAnsi="Courier New"/>
                <w:sz w:val="14"/>
                <w:szCs w:val="14"/>
                <w:color w:val="auto"/>
              </w:rPr>
              <w:t>First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r>
      <w:tr>
        <w:trPr>
          <w:trHeight w:val="167"/>
        </w:trPr>
        <w:tc>
          <w:tcPr>
            <w:tcW w:w="820" w:type="dxa"/>
            <w:vAlign w:val="bottom"/>
          </w:tcPr>
          <w:p>
            <w:pPr>
              <w:spacing w:after="0"/>
              <w:rPr>
                <w:sz w:val="14"/>
                <w:szCs w:val="14"/>
                <w:color w:val="auto"/>
              </w:rPr>
            </w:pPr>
          </w:p>
        </w:tc>
        <w:tc>
          <w:tcPr>
            <w:tcW w:w="2300" w:type="dxa"/>
            <w:vAlign w:val="bottom"/>
          </w:tcPr>
          <w:p>
            <w:pPr>
              <w:ind w:left="480"/>
              <w:spacing w:after="0"/>
              <w:rPr>
                <w:sz w:val="20"/>
                <w:szCs w:val="20"/>
                <w:color w:val="auto"/>
              </w:rPr>
            </w:pPr>
            <w:r>
              <w:rPr>
                <w:rFonts w:ascii="Courier New" w:cs="Courier New" w:eastAsia="Courier New" w:hAnsi="Courier New"/>
                <w:sz w:val="14"/>
                <w:szCs w:val="14"/>
                <w:color w:val="auto"/>
              </w:rPr>
              <w:t>Second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7/8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r>
      <w:tr>
        <w:trPr>
          <w:trHeight w:val="167"/>
        </w:trPr>
        <w:tc>
          <w:tcPr>
            <w:tcW w:w="820" w:type="dxa"/>
            <w:vAlign w:val="bottom"/>
          </w:tcPr>
          <w:p>
            <w:pPr>
              <w:spacing w:after="0"/>
              <w:rPr>
                <w:sz w:val="14"/>
                <w:szCs w:val="14"/>
                <w:color w:val="auto"/>
              </w:rPr>
            </w:pPr>
          </w:p>
        </w:tc>
        <w:tc>
          <w:tcPr>
            <w:tcW w:w="2300" w:type="dxa"/>
            <w:vAlign w:val="bottom"/>
          </w:tcPr>
          <w:p>
            <w:pPr>
              <w:ind w:left="480"/>
              <w:spacing w:after="0"/>
              <w:rPr>
                <w:sz w:val="20"/>
                <w:szCs w:val="20"/>
                <w:color w:val="auto"/>
              </w:rPr>
            </w:pPr>
            <w:r>
              <w:rPr>
                <w:rFonts w:ascii="Courier New" w:cs="Courier New" w:eastAsia="Courier New" w:hAnsi="Courier New"/>
                <w:sz w:val="14"/>
                <w:szCs w:val="14"/>
                <w:color w:val="auto"/>
              </w:rPr>
              <w:t>Third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400" w:type="dxa"/>
            <w:vAlign w:val="bottom"/>
          </w:tcPr>
          <w:p>
            <w:pPr>
              <w:spacing w:after="0"/>
              <w:rPr>
                <w:sz w:val="14"/>
                <w:szCs w:val="14"/>
                <w:color w:val="auto"/>
              </w:rPr>
            </w:pPr>
          </w:p>
        </w:tc>
      </w:tr>
      <w:tr>
        <w:trPr>
          <w:trHeight w:val="167"/>
        </w:trPr>
        <w:tc>
          <w:tcPr>
            <w:tcW w:w="820" w:type="dxa"/>
            <w:vAlign w:val="bottom"/>
          </w:tcPr>
          <w:p>
            <w:pPr>
              <w:spacing w:after="0"/>
              <w:rPr>
                <w:sz w:val="14"/>
                <w:szCs w:val="14"/>
                <w:color w:val="auto"/>
              </w:rPr>
            </w:pPr>
          </w:p>
        </w:tc>
        <w:tc>
          <w:tcPr>
            <w:tcW w:w="2300" w:type="dxa"/>
            <w:vAlign w:val="bottom"/>
          </w:tcPr>
          <w:p>
            <w:pPr>
              <w:ind w:left="480"/>
              <w:spacing w:after="0"/>
              <w:rPr>
                <w:sz w:val="20"/>
                <w:szCs w:val="20"/>
                <w:color w:val="auto"/>
              </w:rPr>
            </w:pPr>
            <w:r>
              <w:rPr>
                <w:rFonts w:ascii="Courier New" w:cs="Courier New" w:eastAsia="Courier New" w:hAnsi="Courier New"/>
                <w:sz w:val="14"/>
                <w:szCs w:val="14"/>
                <w:color w:val="auto"/>
              </w:rPr>
              <w:t>Fourth</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1/16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400" w:type="dxa"/>
            <w:vAlign w:val="bottom"/>
          </w:tcPr>
          <w:p>
            <w:pPr>
              <w:spacing w:after="0"/>
              <w:rPr>
                <w:sz w:val="14"/>
                <w:szCs w:val="14"/>
                <w:color w:val="auto"/>
              </w:rPr>
            </w:pPr>
          </w:p>
        </w:tc>
      </w:tr>
      <w:tr>
        <w:trPr>
          <w:trHeight w:val="167"/>
        </w:trPr>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2000</w:t>
            </w:r>
          </w:p>
        </w:tc>
        <w:tc>
          <w:tcPr>
            <w:tcW w:w="2300" w:type="dxa"/>
            <w:vAlign w:val="bottom"/>
          </w:tcPr>
          <w:p>
            <w:pPr>
              <w:ind w:left="480"/>
              <w:spacing w:after="0"/>
              <w:rPr>
                <w:sz w:val="20"/>
                <w:szCs w:val="20"/>
                <w:color w:val="auto"/>
              </w:rPr>
            </w:pPr>
            <w:r>
              <w:rPr>
                <w:rFonts w:ascii="Courier New" w:cs="Courier New" w:eastAsia="Courier New" w:hAnsi="Courier New"/>
                <w:sz w:val="14"/>
                <w:szCs w:val="14"/>
                <w:color w:val="auto"/>
              </w:rPr>
              <w:t>First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7/8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r>
      <w:tr>
        <w:trPr>
          <w:trHeight w:val="167"/>
        </w:trPr>
        <w:tc>
          <w:tcPr>
            <w:tcW w:w="820" w:type="dxa"/>
            <w:vAlign w:val="bottom"/>
          </w:tcPr>
          <w:p>
            <w:pPr>
              <w:spacing w:after="0"/>
              <w:rPr>
                <w:sz w:val="14"/>
                <w:szCs w:val="14"/>
                <w:color w:val="auto"/>
              </w:rPr>
            </w:pPr>
          </w:p>
        </w:tc>
        <w:tc>
          <w:tcPr>
            <w:tcW w:w="2300" w:type="dxa"/>
            <w:vAlign w:val="bottom"/>
          </w:tcPr>
          <w:p>
            <w:pPr>
              <w:ind w:left="480"/>
              <w:spacing w:after="0"/>
              <w:rPr>
                <w:sz w:val="20"/>
                <w:szCs w:val="20"/>
                <w:color w:val="auto"/>
              </w:rPr>
            </w:pPr>
            <w:r>
              <w:rPr>
                <w:rFonts w:ascii="Courier New" w:cs="Courier New" w:eastAsia="Courier New" w:hAnsi="Courier New"/>
                <w:sz w:val="14"/>
                <w:szCs w:val="14"/>
                <w:color w:val="auto"/>
              </w:rPr>
              <w:t>Second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11/16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r>
      <w:tr>
        <w:trPr>
          <w:trHeight w:val="167"/>
        </w:trPr>
        <w:tc>
          <w:tcPr>
            <w:tcW w:w="820" w:type="dxa"/>
            <w:vAlign w:val="bottom"/>
          </w:tcPr>
          <w:p>
            <w:pPr>
              <w:spacing w:after="0"/>
              <w:rPr>
                <w:sz w:val="14"/>
                <w:szCs w:val="14"/>
                <w:color w:val="auto"/>
              </w:rPr>
            </w:pPr>
          </w:p>
        </w:tc>
        <w:tc>
          <w:tcPr>
            <w:tcW w:w="2300" w:type="dxa"/>
            <w:vAlign w:val="bottom"/>
          </w:tcPr>
          <w:p>
            <w:pPr>
              <w:ind w:left="480"/>
              <w:spacing w:after="0"/>
              <w:rPr>
                <w:sz w:val="20"/>
                <w:szCs w:val="20"/>
                <w:color w:val="auto"/>
              </w:rPr>
            </w:pPr>
            <w:r>
              <w:rPr>
                <w:rFonts w:ascii="Courier New" w:cs="Courier New" w:eastAsia="Courier New" w:hAnsi="Courier New"/>
                <w:sz w:val="14"/>
                <w:szCs w:val="14"/>
                <w:color w:val="auto"/>
              </w:rPr>
              <w:t>Third</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1/16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r>
      <w:tr>
        <w:trPr>
          <w:trHeight w:val="167"/>
        </w:trPr>
        <w:tc>
          <w:tcPr>
            <w:tcW w:w="820" w:type="dxa"/>
            <w:vAlign w:val="bottom"/>
          </w:tcPr>
          <w:p>
            <w:pPr>
              <w:spacing w:after="0"/>
              <w:rPr>
                <w:sz w:val="14"/>
                <w:szCs w:val="14"/>
                <w:color w:val="auto"/>
              </w:rPr>
            </w:pPr>
          </w:p>
        </w:tc>
        <w:tc>
          <w:tcPr>
            <w:tcW w:w="2300" w:type="dxa"/>
            <w:vAlign w:val="bottom"/>
          </w:tcPr>
          <w:p>
            <w:pPr>
              <w:ind w:left="480"/>
              <w:spacing w:after="0"/>
              <w:rPr>
                <w:sz w:val="20"/>
                <w:szCs w:val="20"/>
                <w:color w:val="auto"/>
              </w:rPr>
            </w:pPr>
            <w:r>
              <w:rPr>
                <w:rFonts w:ascii="Courier New" w:cs="Courier New" w:eastAsia="Courier New" w:hAnsi="Courier New"/>
                <w:sz w:val="14"/>
                <w:szCs w:val="14"/>
                <w:color w:val="auto"/>
              </w:rPr>
              <w:t>Fourth</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3/16</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Company has never paid any cash dividends on its common stock, and management does not anticipate paying any cash dividends in the foreseeable future.</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520"/>
        <w:spacing w:after="0"/>
        <w:tabs>
          <w:tab w:leader="none" w:pos="4060" w:val="left"/>
          <w:tab w:leader="none" w:pos="5640" w:val="left"/>
          <w:tab w:leader="none" w:pos="7100" w:val="left"/>
          <w:tab w:leader="none" w:pos="85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$297,421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$262,155</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$222,292</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$186,328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$148,708</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70,544</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64,864</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50,307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35,230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23,963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860" w:val="left"/>
          <w:tab w:leader="none" w:pos="2760" w:val="left"/>
          <w:tab w:leader="none" w:pos="4240" w:val="left"/>
          <w:tab w:leader="none" w:pos="5800" w:val="left"/>
          <w:tab w:leader="none" w:pos="7280" w:val="left"/>
          <w:tab w:leader="none" w:pos="8840" w:val="left"/>
        </w:tabs>
        <w:rPr>
          <w:sz w:val="20"/>
          <w:szCs w:val="20"/>
          <w:color w:val="auto"/>
        </w:rPr>
      </w:pPr>
      <w:r>
        <w:rPr>
          <w:rFonts w:ascii="Courier New" w:cs="Courier New" w:eastAsia="Courier New" w:hAnsi="Courier New"/>
          <w:sz w:val="14"/>
          <w:szCs w:val="14"/>
          <w:color w:val="auto"/>
        </w:rPr>
        <w:t>Earnings</w:t>
        <w:tab/>
        <w:t>Per Share*</w:t>
      </w:r>
      <w:r>
        <w:rPr>
          <w:sz w:val="20"/>
          <w:szCs w:val="20"/>
          <w:color w:val="auto"/>
        </w:rPr>
        <w:tab/>
      </w:r>
      <w:r>
        <w:rPr>
          <w:rFonts w:ascii="Courier New" w:cs="Courier New" w:eastAsia="Courier New" w:hAnsi="Courier New"/>
          <w:sz w:val="14"/>
          <w:szCs w:val="14"/>
          <w:color w:val="auto"/>
        </w:rPr>
        <w:t>0.93</w:t>
      </w:r>
      <w:r>
        <w:rPr>
          <w:sz w:val="20"/>
          <w:szCs w:val="20"/>
          <w:color w:val="auto"/>
        </w:rPr>
        <w:tab/>
      </w:r>
      <w:r>
        <w:rPr>
          <w:rFonts w:ascii="Courier New" w:cs="Courier New" w:eastAsia="Courier New" w:hAnsi="Courier New"/>
          <w:sz w:val="14"/>
          <w:szCs w:val="14"/>
          <w:color w:val="auto"/>
        </w:rPr>
        <w:t>0.86</w:t>
      </w:r>
      <w:r>
        <w:rPr>
          <w:sz w:val="20"/>
          <w:szCs w:val="20"/>
          <w:color w:val="auto"/>
        </w:rPr>
        <w:tab/>
      </w:r>
      <w:r>
        <w:rPr>
          <w:rFonts w:ascii="Courier New" w:cs="Courier New" w:eastAsia="Courier New" w:hAnsi="Courier New"/>
          <w:sz w:val="14"/>
          <w:szCs w:val="14"/>
          <w:color w:val="auto"/>
        </w:rPr>
        <w:t>0.68</w:t>
      </w:r>
      <w:r>
        <w:rPr>
          <w:sz w:val="20"/>
          <w:szCs w:val="20"/>
          <w:color w:val="auto"/>
        </w:rPr>
        <w:tab/>
      </w:r>
      <w:r>
        <w:rPr>
          <w:rFonts w:ascii="Courier New" w:cs="Courier New" w:eastAsia="Courier New" w:hAnsi="Courier New"/>
          <w:sz w:val="14"/>
          <w:szCs w:val="14"/>
          <w:color w:val="auto"/>
        </w:rPr>
        <w:t>0.49</w:t>
      </w:r>
      <w:r>
        <w:rPr>
          <w:sz w:val="20"/>
          <w:szCs w:val="20"/>
          <w:color w:val="auto"/>
        </w:rPr>
        <w:tab/>
      </w:r>
      <w:r>
        <w:rPr>
          <w:rFonts w:ascii="Courier New" w:cs="Courier New" w:eastAsia="Courier New" w:hAnsi="Courier New"/>
          <w:sz w:val="14"/>
          <w:szCs w:val="14"/>
          <w:color w:val="auto"/>
        </w:rPr>
        <w:t>0.34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2420" w:val="left"/>
          <w:tab w:leader="none" w:pos="3900" w:val="left"/>
          <w:tab w:leader="none" w:pos="5460" w:val="left"/>
          <w:tab w:leader="none" w:pos="6940" w:val="left"/>
          <w:tab w:leader="none" w:pos="8500" w:val="left"/>
        </w:tabs>
        <w:rPr>
          <w:sz w:val="20"/>
          <w:szCs w:val="20"/>
          <w:color w:val="auto"/>
        </w:rPr>
      </w:pPr>
      <w:r>
        <w:rPr>
          <w:rFonts w:ascii="Courier New" w:cs="Courier New" w:eastAsia="Courier New" w:hAnsi="Courier New"/>
          <w:sz w:val="14"/>
          <w:szCs w:val="14"/>
          <w:color w:val="auto"/>
        </w:rPr>
        <w:t>Total Assets</w:t>
      </w:r>
      <w:r>
        <w:rPr>
          <w:sz w:val="20"/>
          <w:szCs w:val="20"/>
          <w:color w:val="auto"/>
        </w:rPr>
        <w:tab/>
      </w:r>
      <w:r>
        <w:rPr>
          <w:rFonts w:ascii="Courier New" w:cs="Courier New" w:eastAsia="Courier New" w:hAnsi="Courier New"/>
          <w:sz w:val="14"/>
          <w:szCs w:val="14"/>
          <w:color w:val="auto"/>
        </w:rPr>
        <w:t>$428,129</w:t>
      </w:r>
      <w:r>
        <w:rPr>
          <w:sz w:val="20"/>
          <w:szCs w:val="20"/>
          <w:color w:val="auto"/>
        </w:rPr>
        <w:tab/>
      </w:r>
      <w:r>
        <w:rPr>
          <w:rFonts w:ascii="Courier New" w:cs="Courier New" w:eastAsia="Courier New" w:hAnsi="Courier New"/>
          <w:sz w:val="14"/>
          <w:szCs w:val="14"/>
          <w:color w:val="auto"/>
        </w:rPr>
        <w:t>$337,673</w:t>
      </w:r>
      <w:r>
        <w:rPr>
          <w:sz w:val="20"/>
          <w:szCs w:val="20"/>
          <w:color w:val="auto"/>
        </w:rPr>
        <w:tab/>
      </w:r>
      <w:r>
        <w:rPr>
          <w:rFonts w:ascii="Courier New" w:cs="Courier New" w:eastAsia="Courier New" w:hAnsi="Courier New"/>
          <w:sz w:val="14"/>
          <w:szCs w:val="14"/>
          <w:color w:val="auto"/>
        </w:rPr>
        <w:t>$254,890</w:t>
      </w:r>
      <w:r>
        <w:rPr>
          <w:sz w:val="20"/>
          <w:szCs w:val="20"/>
          <w:color w:val="auto"/>
        </w:rPr>
        <w:tab/>
      </w:r>
      <w:r>
        <w:rPr>
          <w:rFonts w:ascii="Courier New" w:cs="Courier New" w:eastAsia="Courier New" w:hAnsi="Courier New"/>
          <w:sz w:val="14"/>
          <w:szCs w:val="14"/>
          <w:color w:val="auto"/>
        </w:rPr>
        <w:t>$189,783</w:t>
      </w:r>
      <w:r>
        <w:rPr>
          <w:sz w:val="20"/>
          <w:szCs w:val="20"/>
          <w:color w:val="auto"/>
        </w:rPr>
        <w:tab/>
      </w:r>
      <w:r>
        <w:rPr>
          <w:rFonts w:ascii="Courier New" w:cs="Courier New" w:eastAsia="Courier New" w:hAnsi="Courier New"/>
          <w:sz w:val="14"/>
          <w:szCs w:val="14"/>
          <w:color w:val="auto"/>
        </w:rPr>
        <w:t>$140,378</w:t>
      </w:r>
    </w:p>
    <w:p>
      <w:pPr>
        <w:spacing w:after="0" w:line="8"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right="883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 Outstanding at</w:t>
      </w:r>
    </w:p>
    <w:p>
      <w:pPr>
        <w:spacing w:after="0" w:line="1" w:lineRule="exact"/>
        <w:rPr>
          <w:sz w:val="20"/>
          <w:szCs w:val="20"/>
          <w:color w:val="auto"/>
        </w:rPr>
      </w:pPr>
    </w:p>
    <w:p>
      <w:pPr>
        <w:ind w:left="180"/>
        <w:spacing w:after="0"/>
        <w:tabs>
          <w:tab w:leader="none" w:pos="2420" w:val="left"/>
          <w:tab w:leader="none" w:pos="3020" w:val="left"/>
          <w:tab w:leader="none" w:pos="3900" w:val="left"/>
          <w:tab w:leader="none" w:pos="4500" w:val="left"/>
          <w:tab w:leader="none" w:pos="5460" w:val="left"/>
          <w:tab w:leader="none" w:pos="6060" w:val="left"/>
          <w:tab w:leader="none" w:pos="6940" w:val="left"/>
          <w:tab w:leader="none" w:pos="7540" w:val="left"/>
          <w:tab w:leader="none" w:pos="8580" w:val="left"/>
          <w:tab w:leader="none" w:pos="9100" w:val="left"/>
        </w:tabs>
        <w:rPr>
          <w:sz w:val="20"/>
          <w:szCs w:val="20"/>
          <w:color w:val="auto"/>
        </w:rPr>
      </w:pPr>
      <w:r>
        <w:rPr>
          <w:rFonts w:ascii="Courier New" w:cs="Courier New" w:eastAsia="Courier New" w:hAnsi="Courier New"/>
          <w:sz w:val="14"/>
          <w:szCs w:val="14"/>
          <w:color w:val="auto"/>
        </w:rPr>
        <w:t>Year End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 adjusted for 2-for-1 stock splits in June 1998 and 1996.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 MANAGEMENT'S DISCUSSION AND ANALYSIS OF RESULTS OF OPERATIONS AND</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FINANCIAL CONDITION.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following table sets forth for the periods indicated certain items from the Company's Consolidated Statements of Income expressed as a percentage of net sales and the percentage change of each such item from that in the indicated previous year.</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42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Percentage of Net Sales</w:t>
            </w:r>
          </w:p>
        </w:tc>
        <w:tc>
          <w:tcPr>
            <w:tcW w:w="21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Percentage Change</w:t>
            </w:r>
          </w:p>
        </w:tc>
      </w:tr>
      <w:tr>
        <w:trPr>
          <w:trHeight w:val="167"/>
        </w:trPr>
        <w:tc>
          <w:tcPr>
            <w:tcW w:w="392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6"/>
              </w:rPr>
              <w:t>---------------------------------</w:t>
            </w:r>
          </w:p>
        </w:tc>
        <w:tc>
          <w:tcPr>
            <w:tcW w:w="1000" w:type="dxa"/>
            <w:vAlign w:val="bottom"/>
          </w:tcPr>
          <w:p>
            <w:pPr>
              <w:spacing w:after="0"/>
              <w:rPr>
                <w:sz w:val="14"/>
                <w:szCs w:val="14"/>
                <w:color w:val="auto"/>
              </w:rPr>
            </w:pPr>
          </w:p>
        </w:tc>
        <w:tc>
          <w:tcPr>
            <w:tcW w:w="2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000" w:type="dxa"/>
            <w:vAlign w:val="bottom"/>
          </w:tcPr>
          <w:p>
            <w:pPr>
              <w:spacing w:after="0"/>
              <w:rPr>
                <w:sz w:val="14"/>
                <w:szCs w:val="1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2000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92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6"/>
              </w:rPr>
              <w:t>---------------------------------</w:t>
            </w:r>
          </w:p>
        </w:tc>
        <w:tc>
          <w:tcPr>
            <w:tcW w:w="1000" w:type="dxa"/>
            <w:vAlign w:val="bottom"/>
          </w:tcPr>
          <w:p>
            <w:pPr>
              <w:spacing w:after="0"/>
              <w:rPr>
                <w:sz w:val="14"/>
                <w:szCs w:val="14"/>
                <w:color w:val="auto"/>
              </w:rPr>
            </w:pP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w:t>
            </w:r>
          </w:p>
        </w:tc>
      </w:tr>
      <w:tr>
        <w:trPr>
          <w:trHeight w:val="167"/>
        </w:trPr>
        <w:tc>
          <w:tcPr>
            <w:tcW w:w="3920" w:type="dxa"/>
            <w:vAlign w:val="bottom"/>
          </w:tcPr>
          <w:p>
            <w:pPr>
              <w:spacing w:after="0"/>
              <w:rPr>
                <w:sz w:val="14"/>
                <w:szCs w:val="14"/>
                <w:color w:val="auto"/>
              </w:rPr>
            </w:pP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1999</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1999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920" w:type="dxa"/>
            <w:vAlign w:val="bottom"/>
          </w:tcPr>
          <w:p>
            <w:pPr>
              <w:spacing w:after="0"/>
              <w:rPr>
                <w:sz w:val="14"/>
                <w:szCs w:val="14"/>
                <w:color w:val="auto"/>
              </w:rPr>
            </w:pP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58.0</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56.8</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w:t>
            </w:r>
          </w:p>
        </w:tc>
      </w:tr>
      <w:tr>
        <w:trPr>
          <w:trHeight w:val="167"/>
        </w:trPr>
        <w:tc>
          <w:tcPr>
            <w:tcW w:w="3920" w:type="dxa"/>
            <w:vAlign w:val="bottom"/>
          </w:tcPr>
          <w:p>
            <w:pPr>
              <w:spacing w:after="0"/>
              <w:rPr>
                <w:sz w:val="14"/>
                <w:szCs w:val="14"/>
                <w:color w:val="auto"/>
              </w:rPr>
            </w:pP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Gross Profit</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42.0</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43.2</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Research and Development</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5.7</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5.9</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5.4</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r>
      <w:tr>
        <w:trPr>
          <w:trHeight w:val="167"/>
        </w:trPr>
        <w:tc>
          <w:tcPr>
            <w:tcW w:w="3920" w:type="dxa"/>
            <w:vAlign w:val="bottom"/>
          </w:tcPr>
          <w:p>
            <w:pPr>
              <w:spacing w:after="0"/>
              <w:rPr>
                <w:sz w:val="14"/>
                <w:szCs w:val="14"/>
                <w:color w:val="auto"/>
              </w:rPr>
            </w:pP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440"/>
              <w:spacing w:after="0"/>
              <w:rPr>
                <w:sz w:val="20"/>
                <w:szCs w:val="20"/>
                <w:color w:val="auto"/>
              </w:rPr>
            </w:pPr>
            <w:r>
              <w:rPr>
                <w:rFonts w:ascii="Courier New" w:cs="Courier New" w:eastAsia="Courier New" w:hAnsi="Courier New"/>
                <w:sz w:val="14"/>
                <w:szCs w:val="14"/>
                <w:color w:val="auto"/>
              </w:rPr>
              <w:t>Total Operating Expenses</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11.6</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10.6</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r>
      <w:tr>
        <w:trPr>
          <w:trHeight w:val="167"/>
        </w:trPr>
        <w:tc>
          <w:tcPr>
            <w:tcW w:w="3920" w:type="dxa"/>
            <w:vAlign w:val="bottom"/>
          </w:tcPr>
          <w:p>
            <w:pPr>
              <w:spacing w:after="0"/>
              <w:rPr>
                <w:sz w:val="14"/>
                <w:szCs w:val="14"/>
                <w:color w:val="auto"/>
              </w:rPr>
            </w:pP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Operating Income</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30.4</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32.6</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4.7</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w:t>
            </w:r>
          </w:p>
        </w:tc>
      </w:tr>
      <w:tr>
        <w:trPr>
          <w:trHeight w:val="167"/>
        </w:trPr>
        <w:tc>
          <w:tcPr>
            <w:tcW w:w="3920" w:type="dxa"/>
            <w:vAlign w:val="bottom"/>
          </w:tcPr>
          <w:p>
            <w:pPr>
              <w:spacing w:after="0"/>
              <w:rPr>
                <w:sz w:val="14"/>
                <w:szCs w:val="14"/>
                <w:color w:val="auto"/>
              </w:rPr>
            </w:pP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Income Before Provision for  Income Taxes</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35.1</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36.7</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w:t>
            </w:r>
          </w:p>
        </w:tc>
      </w:tr>
      <w:tr>
        <w:trPr>
          <w:trHeight w:val="167"/>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11.4</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w:t>
            </w:r>
          </w:p>
        </w:tc>
      </w:tr>
      <w:tr>
        <w:trPr>
          <w:trHeight w:val="167"/>
        </w:trPr>
        <w:tc>
          <w:tcPr>
            <w:tcW w:w="3920" w:type="dxa"/>
            <w:vAlign w:val="bottom"/>
          </w:tcPr>
          <w:p>
            <w:pPr>
              <w:spacing w:after="0"/>
              <w:rPr>
                <w:sz w:val="14"/>
                <w:szCs w:val="14"/>
                <w:color w:val="auto"/>
              </w:rPr>
            </w:pP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23.7%</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24.7%</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r>
      <w:tr>
        <w:trPr>
          <w:trHeight w:val="167"/>
        </w:trPr>
        <w:tc>
          <w:tcPr>
            <w:tcW w:w="3920" w:type="dxa"/>
            <w:vAlign w:val="bottom"/>
          </w:tcPr>
          <w:p>
            <w:pPr>
              <w:spacing w:after="0"/>
              <w:rPr>
                <w:sz w:val="14"/>
                <w:szCs w:val="14"/>
                <w:color w:val="auto"/>
              </w:rPr>
            </w:pP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4"/>
          <w:szCs w:val="14"/>
          <w:color w:val="auto"/>
        </w:rPr>
        <w:t>RESULTS OF OPERATIONS:</w:t>
        <w:tab/>
        <w:t>2000 TO 1999</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Net Sales. Automotive net sales increased by 14% and mirror shipments increased by 13%, from 5,960,000 to 6,757,000 units, primarily reflecting increased penetration on foreign 2000 and 2001 model year vehicles for interior and exterior electrochromic Night Vision Safety (NVS) Mirrors. North American unit shipments increased by 3%, while overseas unit shipments increased by 39% during 2000. Net sales of the Company's fire protection products increased 2%.</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Cost of Goods Sold. As a percentage of net sales, cost of goods sold increased from 57% to 58%, primarily reflecting automotive customer price reductions and the opening of a third automotive manufacturing facility, partially offset by engineering and purchasing cost reductions, improved exterior mirror element glass yields, and increased sales volume spread over fixed overhead expenses.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Operating Expenses. Research and development expenses increased approximately $3,145,000, and increased from 5% to 6% of net sales, primarily due to additional staffing for new electronic and telematics product development. Selling, general and administrative expenses increased approximately $3,584,000, and increased from 5% to 6% of net sales, primarily reflecting additional staffing in Europe and Japan, including the opening of a new sales and engineering office in France, to support the Company's current and future overseas sales growth.</w:t>
      </w:r>
    </w:p>
    <w:p>
      <w:pPr>
        <w:sectPr>
          <w:pgSz w:w="11900" w:h="16838" w:orient="portrait"/>
          <w:cols w:equalWidth="0" w:num="1">
            <w:col w:w="10239"/>
          </w:cols>
          <w:pgMar w:left="220" w:top="286" w:right="1440" w:bottom="0" w:gutter="0" w:footer="0" w:header="0"/>
        </w:sectPr>
      </w:pPr>
    </w:p>
    <w:bookmarkStart w:id="11" w:name="page12"/>
    <w:bookmarkEnd w:id="11"/>
    <w:p>
      <w:pPr>
        <w:ind w:left="20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14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309"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Other Income - Net. Investment income increased $4,899,000 in 2000, primarily due to higher investible fund balances and higher interest rates, and other income decreased $1,480,000 in 2000, primarily due to realized equity losses in 2000 compared to realized equity gains in 1999.</w:t>
      </w:r>
    </w:p>
    <w:p>
      <w:pPr>
        <w:spacing w:after="0" w:line="163"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Taxes. The provision for federal income taxes varied from the statutory rate in 2000 primarily due to Foreign Sales Corporation exempted taxable income from increased foreign sales, and tax-exempt interest income.</w:t>
      </w:r>
    </w:p>
    <w:p>
      <w:pPr>
        <w:spacing w:after="0" w:line="16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Net Income. Net income increased by 9%, primarily reflecting the increased sales level and investment income, partially offset by reduced gross and operating margins in 2000.</w:t>
      </w:r>
    </w:p>
    <w:p>
      <w:pPr>
        <w:spacing w:after="0" w:line="162" w:lineRule="exact"/>
        <w:rPr>
          <w:sz w:val="20"/>
          <w:szCs w:val="20"/>
          <w:color w:val="auto"/>
        </w:rPr>
      </w:pPr>
    </w:p>
    <w:p>
      <w:pPr>
        <w:spacing w:after="0"/>
        <w:tabs>
          <w:tab w:leader="none" w:pos="2240" w:val="left"/>
        </w:tabs>
        <w:rPr>
          <w:sz w:val="20"/>
          <w:szCs w:val="20"/>
          <w:color w:val="auto"/>
        </w:rPr>
      </w:pPr>
      <w:r>
        <w:rPr>
          <w:rFonts w:ascii="Courier New" w:cs="Courier New" w:eastAsia="Courier New" w:hAnsi="Courier New"/>
          <w:sz w:val="14"/>
          <w:szCs w:val="14"/>
          <w:color w:val="auto"/>
        </w:rPr>
        <w:t>RESULTS OF OPERATIONS:</w:t>
      </w:r>
      <w:r>
        <w:rPr>
          <w:sz w:val="20"/>
          <w:szCs w:val="20"/>
          <w:color w:val="auto"/>
        </w:rPr>
        <w:tab/>
      </w:r>
      <w:r>
        <w:rPr>
          <w:rFonts w:ascii="Courier New" w:cs="Courier New" w:eastAsia="Courier New" w:hAnsi="Courier New"/>
          <w:sz w:val="14"/>
          <w:szCs w:val="14"/>
          <w:color w:val="auto"/>
        </w:rPr>
        <w:t>1999 TO 1998</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Net Sales. Automotive net sales increased by 19% and mirror shipments increased by 22%, from 4,902,000 to 5,960,000 units, primarily reflecting increased penetration on domestic and foreign 1999 and 2000 model year vehicles for interior and exterior electrochromic Night Vision Safety (NVS(R)) Mirrors. North American unit shipments increased by 22%, aided by record automotive industry production levels, while overseas unit shipments increased by 20% during 1999. Net sales of the Company's fire protection products increased 4%, primarily due to increased sales of its AC/DC smoke detectors and low current draw strobe.</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Cost of Goods Sold. As a percentage of net sales, cost of goods sold decreased from 59% to 57%, primarily reflecting product cost reductions in connection with the Company's new in-house glass coating equipment installed in mid-1998, improved exterior mirror element glass yields and increased sales volume spread over fixed overhead expenses, partially offset by automotive customer price reductions.</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Operating Expenses. Research and development expenses increased approximately $2,772,000, but remained at 5% of net sales, primarily due to additional staffing for new product development and increased engineering charges for outside services. Selling, general and administrative expenses increased approximately $1,992,000, but remained at 5% of net sales, primarily reflecting additional staffing in Europe and Japan to support the Company's current and anticipated future overseas sales growth.</w:t>
      </w:r>
    </w:p>
    <w:p>
      <w:pPr>
        <w:spacing w:after="0" w:line="165"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Other Income - Net. Investment income increased $2,569,000 in 1999, primarily due to higher investable fund balances and higher interest rates. Other income increased $804,000 in 1999, primarily due to realized equity securities gains.</w:t>
      </w:r>
    </w:p>
    <w:p>
      <w:pPr>
        <w:spacing w:after="0" w:line="163"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Taxes. The provision for income taxes was less than the statutory rate in 1999, primarily due to higher Foreign Sales Corporation exempted taxable income from increased foreign sales and tax-exempt interest income.</w:t>
      </w:r>
    </w:p>
    <w:p>
      <w:pPr>
        <w:spacing w:after="0" w:line="162"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Net Income. Net income increased by 29%, primarily reflecting the increased sales level and improved gross profit in 1999.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The Company's financial condition throughout the periods presented has remained very strong.</w:t>
      </w:r>
    </w:p>
    <w:p>
      <w:pPr>
        <w:spacing w:after="0" w:line="160"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Company's current ratio increased from 8.4 in 1999, to 9.7 in 2000, primarily as a result of the increase in cash and cash equivalents generated from operations.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Management considers the Company's working capital of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$170,865,000 and long-term investments of approximately $153,016,000 at December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2000, together with internally generated cash flow and an unsecured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 line of credit from a bank, to be sufficient to cover anticipated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needs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 CHANGING PRICES AND OTHER</w:t>
      </w:r>
    </w:p>
    <w:p>
      <w:pPr>
        <w:spacing w:after="0" w:line="175" w:lineRule="exact"/>
        <w:rPr>
          <w:sz w:val="20"/>
          <w:szCs w:val="20"/>
          <w:color w:val="auto"/>
        </w:rPr>
      </w:pPr>
    </w:p>
    <w:p>
      <w:pPr>
        <w:ind w:right="760" w:firstLine="781"/>
        <w:spacing w:after="0" w:line="253" w:lineRule="auto"/>
        <w:rPr>
          <w:sz w:val="20"/>
          <w:szCs w:val="20"/>
          <w:color w:val="auto"/>
        </w:rPr>
      </w:pPr>
      <w:r>
        <w:rPr>
          <w:rFonts w:ascii="Courier New" w:cs="Courier New" w:eastAsia="Courier New" w:hAnsi="Courier New"/>
          <w:sz w:val="14"/>
          <w:szCs w:val="14"/>
          <w:color w:val="auto"/>
        </w:rPr>
        <w:t>In addition to price reductions over the life of its long-term agreements, the Company continues to experience pricing pressures from its automotive customers, which have affected, and which will continue to affect, its margins to the extent that the Company is unable to offset the price reductions with productivity and yield improvements, engineering and purchasing cost reductions, and increases in sales volume. In addition, the Company continues to experience some pressure for raw material cost increases.</w:t>
      </w:r>
    </w:p>
    <w:p>
      <w:pPr>
        <w:spacing w:after="0" w:line="165" w:lineRule="exact"/>
        <w:rPr>
          <w:sz w:val="20"/>
          <w:szCs w:val="20"/>
          <w:color w:val="auto"/>
        </w:rPr>
      </w:pPr>
    </w:p>
    <w:p>
      <w:pPr>
        <w:ind w:right="840" w:firstLine="781"/>
        <w:spacing w:after="0" w:line="254" w:lineRule="auto"/>
        <w:rPr>
          <w:sz w:val="20"/>
          <w:szCs w:val="20"/>
          <w:color w:val="auto"/>
        </w:rPr>
      </w:pPr>
      <w:r>
        <w:rPr>
          <w:rFonts w:ascii="Courier New" w:cs="Courier New" w:eastAsia="Courier New" w:hAnsi="Courier New"/>
          <w:sz w:val="14"/>
          <w:szCs w:val="14"/>
          <w:color w:val="auto"/>
        </w:rPr>
        <w:t>The Company currently supplies NVS(R) Mirrors to DaimlerChrysler AG (North America) and General Motors Corporation under long-term agreements. The long-term supply agreement with DaimlerChrysler AG runs through the 2003 Model Year, and the GM contract runs through the 2004 Model Year for inside mirrors.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 DISCLOSURE</w:t>
      </w:r>
    </w:p>
    <w:p>
      <w:pPr>
        <w:spacing w:after="0" w:line="8" w:lineRule="exact"/>
        <w:rPr>
          <w:sz w:val="20"/>
          <w:szCs w:val="20"/>
          <w:color w:val="auto"/>
        </w:rPr>
      </w:pPr>
    </w:p>
    <w:p>
      <w:pPr>
        <w:ind w:right="660" w:firstLine="781"/>
        <w:spacing w:after="0" w:line="255" w:lineRule="auto"/>
        <w:rPr>
          <w:sz w:val="20"/>
          <w:szCs w:val="20"/>
          <w:color w:val="auto"/>
        </w:rPr>
      </w:pPr>
      <w:r>
        <w:rPr>
          <w:rFonts w:ascii="Courier New" w:cs="Courier New" w:eastAsia="Courier New" w:hAnsi="Courier New"/>
          <w:sz w:val="14"/>
          <w:szCs w:val="14"/>
          <w:color w:val="auto"/>
        </w:rPr>
        <w:t>The Company is subject to market risk exposures of varying correlations and volatilities, including foreign exchange rate risk, interest rate risk and equity price risk.</w:t>
      </w:r>
    </w:p>
    <w:p>
      <w:pPr>
        <w:spacing w:after="0" w:line="162" w:lineRule="exact"/>
        <w:rPr>
          <w:sz w:val="20"/>
          <w:szCs w:val="20"/>
          <w:color w:val="auto"/>
        </w:rPr>
      </w:pPr>
    </w:p>
    <w:p>
      <w:pPr>
        <w:ind w:right="760" w:firstLine="781"/>
        <w:spacing w:after="0" w:line="254" w:lineRule="auto"/>
        <w:rPr>
          <w:sz w:val="20"/>
          <w:szCs w:val="20"/>
          <w:color w:val="auto"/>
        </w:rPr>
      </w:pPr>
      <w:r>
        <w:rPr>
          <w:rFonts w:ascii="Courier New" w:cs="Courier New" w:eastAsia="Courier New" w:hAnsi="Courier New"/>
          <w:sz w:val="14"/>
          <w:szCs w:val="14"/>
          <w:color w:val="auto"/>
        </w:rPr>
        <w:t>The Company has some assets, liabilities and operations outside the United States, which currently are not significant. Because the Company sells its automotive mirrors throughout the world, it could be significantly affected by weak economic conditions in foreign markets that could reduce demand for its products.</w:t>
      </w:r>
    </w:p>
    <w:p>
      <w:pPr>
        <w:spacing w:after="0" w:line="162" w:lineRule="exact"/>
        <w:rPr>
          <w:sz w:val="20"/>
          <w:szCs w:val="20"/>
          <w:color w:val="auto"/>
        </w:rPr>
      </w:pPr>
    </w:p>
    <w:p>
      <w:pPr>
        <w:ind w:right="840" w:firstLine="781"/>
        <w:spacing w:after="0" w:line="254" w:lineRule="auto"/>
        <w:rPr>
          <w:sz w:val="20"/>
          <w:szCs w:val="20"/>
          <w:color w:val="auto"/>
        </w:rPr>
      </w:pPr>
      <w:r>
        <w:rPr>
          <w:rFonts w:ascii="Courier New" w:cs="Courier New" w:eastAsia="Courier New" w:hAnsi="Courier New"/>
          <w:sz w:val="14"/>
          <w:szCs w:val="14"/>
          <w:color w:val="auto"/>
        </w:rPr>
        <w:t>The Company manages interest rate risk and default risk in its fixed-income investment portfolio by investing in shorter-term maturities and investment grade issues. The Company's fixed-income investments' maturities at carrying value ($000,000), which closely approximates fair value, and average interest rates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c>
          <w:tcPr>
            <w:tcW w:w="3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3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r>
      <w:tr>
        <w:trPr>
          <w:trHeight w:val="167"/>
        </w:trPr>
        <w:tc>
          <w:tcPr>
            <w:tcW w:w="2480" w:type="dxa"/>
            <w:vAlign w:val="bottom"/>
          </w:tcPr>
          <w:p>
            <w:pPr>
              <w:spacing w:after="0"/>
              <w:rPr>
                <w:sz w:val="14"/>
                <w:szCs w:val="14"/>
                <w:color w:val="auto"/>
              </w:rPr>
            </w:pPr>
          </w:p>
        </w:tc>
        <w:tc>
          <w:tcPr>
            <w:tcW w:w="508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U.S. Treasuries</w:t>
            </w: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w:t>
            </w:r>
          </w:p>
        </w:tc>
        <w:tc>
          <w:tcPr>
            <w:tcW w:w="30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Average Interest Rate</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Municipal</w:t>
            </w: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Average Interest Rate*</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w:t>
            </w: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Average Interest Rate</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*After-tax</w:t>
            </w: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right="1020" w:firstLine="781"/>
        <w:spacing w:after="0" w:line="255" w:lineRule="auto"/>
        <w:rPr>
          <w:sz w:val="20"/>
          <w:szCs w:val="20"/>
          <w:color w:val="auto"/>
        </w:rPr>
      </w:pPr>
      <w:r>
        <w:rPr>
          <w:rFonts w:ascii="Courier New" w:cs="Courier New" w:eastAsia="Courier New" w:hAnsi="Courier New"/>
          <w:sz w:val="14"/>
          <w:szCs w:val="14"/>
          <w:color w:val="auto"/>
        </w:rPr>
        <w:t>Most of the Company's equity investments are managed by a number of outside equity fund managers who invest primarily in large capitalization companies trading on the U.S. stock markets.</w:t>
      </w:r>
    </w:p>
    <w:p>
      <w:pPr>
        <w:spacing w:after="0" w:line="32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ITEM 7. A.</w:t>
        <w:tab/>
        <w:t>QUANTITATIVE AND QUALITATIVE DISCLOSURES ABOUT MARKET RISK.</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See "Market Risk Disclosure" in Management's Discussion and Analysis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Total Balance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of December 31,</w:t>
      </w:r>
    </w:p>
    <w:p>
      <w:pPr>
        <w:spacing w:after="0" w:line="8" w:lineRule="exact"/>
        <w:rPr>
          <w:sz w:val="20"/>
          <w:szCs w:val="20"/>
          <w:color w:val="auto"/>
        </w:rPr>
      </w:pPr>
    </w:p>
    <w:p>
      <w:pPr>
        <w:ind w:left="340"/>
        <w:spacing w:after="0"/>
        <w:tabs>
          <w:tab w:leader="none" w:pos="180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$81.1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w:t>
            </w:r>
          </w:p>
        </w:tc>
      </w:tr>
      <w:tr>
        <w:trPr>
          <w:trHeight w:val="167"/>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$21.1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w:t>
            </w:r>
          </w:p>
        </w:tc>
      </w:tr>
      <w:tr>
        <w:trPr>
          <w:trHeight w:val="167"/>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4"/>
        </w:trPr>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$27.2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r>
      <w:tr>
        <w:trPr>
          <w:trHeight w:val="167"/>
        </w:trPr>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ectPr>
          <w:pgSz w:w="11900" w:h="16838" w:orient="portrait"/>
          <w:cols w:equalWidth="0" w:num="2">
            <w:col w:w="7620" w:space="720"/>
            <w:col w:w="2440"/>
          </w:cols>
          <w:pgMar w:left="220" w:top="286" w:right="899"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30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5" w:lineRule="exact"/>
        <w:rPr>
          <w:sz w:val="20"/>
          <w:szCs w:val="20"/>
          <w:color w:val="auto"/>
        </w:rPr>
      </w:pPr>
    </w:p>
    <w:p>
      <w:pPr>
        <w:jc w:val="both"/>
        <w:ind w:right="3400" w:firstLine="781"/>
        <w:spacing w:after="0" w:line="258" w:lineRule="auto"/>
        <w:rPr>
          <w:sz w:val="20"/>
          <w:szCs w:val="20"/>
          <w:color w:val="auto"/>
        </w:rPr>
      </w:pPr>
      <w:r>
        <w:rPr>
          <w:rFonts w:ascii="Courier New" w:cs="Courier New" w:eastAsia="Courier New" w:hAnsi="Courier New"/>
          <w:sz w:val="14"/>
          <w:szCs w:val="14"/>
          <w:color w:val="auto"/>
        </w:rPr>
        <w:t>The following financial statements and reports of independent auditors are filed with this report as pages 17 through 30 following the signature page: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Reports of Independent Auditors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Consolidated Balance Sheets as of December 31, 2000 and 1999</w:t>
      </w:r>
    </w:p>
    <w:p>
      <w:pPr>
        <w:spacing w:after="0" w:line="175" w:lineRule="exact"/>
        <w:rPr>
          <w:sz w:val="20"/>
          <w:szCs w:val="20"/>
          <w:color w:val="auto"/>
        </w:rPr>
      </w:pPr>
    </w:p>
    <w:p>
      <w:pPr>
        <w:ind w:left="800" w:right="3740"/>
        <w:spacing w:after="0" w:line="258" w:lineRule="auto"/>
        <w:rPr>
          <w:sz w:val="20"/>
          <w:szCs w:val="20"/>
          <w:color w:val="auto"/>
        </w:rPr>
      </w:pPr>
      <w:r>
        <w:rPr>
          <w:rFonts w:ascii="Courier New" w:cs="Courier New" w:eastAsia="Courier New" w:hAnsi="Courier New"/>
          <w:sz w:val="14"/>
          <w:szCs w:val="14"/>
          <w:color w:val="auto"/>
        </w:rPr>
        <w:t>Consolidated Statements of Income for the years ended December 31, 2000, 1999 and 1998</w:t>
      </w:r>
    </w:p>
    <w:p>
      <w:pPr>
        <w:spacing w:after="0" w:line="160" w:lineRule="exact"/>
        <w:rPr>
          <w:sz w:val="20"/>
          <w:szCs w:val="20"/>
          <w:color w:val="auto"/>
        </w:rPr>
      </w:pPr>
    </w:p>
    <w:p>
      <w:pPr>
        <w:ind w:left="800" w:right="3820"/>
        <w:spacing w:after="0" w:line="258" w:lineRule="auto"/>
        <w:rPr>
          <w:sz w:val="20"/>
          <w:szCs w:val="20"/>
          <w:color w:val="auto"/>
        </w:rPr>
      </w:pPr>
      <w:r>
        <w:rPr>
          <w:rFonts w:ascii="Courier New" w:cs="Courier New" w:eastAsia="Courier New" w:hAnsi="Courier New"/>
          <w:sz w:val="14"/>
          <w:szCs w:val="14"/>
          <w:color w:val="auto"/>
        </w:rPr>
        <w:t>Consolidated Statements of Shareholders' Investment for the years ended December 31, 2000, 1999 and 1998</w:t>
      </w:r>
    </w:p>
    <w:p>
      <w:pPr>
        <w:spacing w:after="0" w:line="160" w:lineRule="exact"/>
        <w:rPr>
          <w:sz w:val="20"/>
          <w:szCs w:val="20"/>
          <w:color w:val="auto"/>
        </w:rPr>
      </w:pPr>
    </w:p>
    <w:p>
      <w:pPr>
        <w:ind w:left="800" w:right="3400"/>
        <w:spacing w:after="0" w:line="258" w:lineRule="auto"/>
        <w:rPr>
          <w:sz w:val="20"/>
          <w:szCs w:val="20"/>
          <w:color w:val="auto"/>
        </w:rPr>
      </w:pPr>
      <w:r>
        <w:rPr>
          <w:rFonts w:ascii="Courier New" w:cs="Courier New" w:eastAsia="Courier New" w:hAnsi="Courier New"/>
          <w:sz w:val="14"/>
          <w:szCs w:val="14"/>
          <w:color w:val="auto"/>
        </w:rPr>
        <w:t>Consolidated Statements of Cash Flows for the years ended December 31, 2000, 1999 and 1998</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ind w:right="4080"/>
        <w:spacing w:after="0" w:line="258" w:lineRule="auto"/>
        <w:rPr>
          <w:sz w:val="20"/>
          <w:szCs w:val="20"/>
          <w:color w:val="auto"/>
        </w:rPr>
      </w:pPr>
      <w:r>
        <w:rPr>
          <w:rFonts w:ascii="Courier New" w:cs="Courier New" w:eastAsia="Courier New" w:hAnsi="Courier New"/>
          <w:sz w:val="14"/>
          <w:szCs w:val="14"/>
          <w:color w:val="auto"/>
        </w:rPr>
        <w:t>Selected quarterly financial data for the past two years appears in the following table:</w:t>
      </w:r>
    </w:p>
    <w:p>
      <w:pPr>
        <w:spacing w:after="0" w:line="200" w:lineRule="exact"/>
        <w:rPr>
          <w:sz w:val="20"/>
          <w:szCs w:val="20"/>
          <w:color w:val="auto"/>
        </w:rPr>
      </w:pPr>
    </w:p>
    <w:p>
      <w:pPr>
        <w:spacing w:after="0" w:line="29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Quarterly Results of Operations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First</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4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9"/>
              </w:rPr>
              <w:t>Second</w:t>
            </w:r>
          </w:p>
        </w:tc>
        <w:tc>
          <w:tcPr>
            <w:tcW w:w="840" w:type="dxa"/>
            <w:vAlign w:val="bottom"/>
          </w:tcPr>
          <w:p>
            <w:pPr>
              <w:spacing w:after="0"/>
              <w:rPr>
                <w:sz w:val="14"/>
                <w:szCs w:val="14"/>
                <w:color w:val="auto"/>
              </w:rPr>
            </w:pPr>
          </w:p>
        </w:tc>
        <w:tc>
          <w:tcPr>
            <w:tcW w:w="134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5"/>
              </w:rPr>
              <w:t>Third</w:t>
            </w:r>
          </w:p>
        </w:tc>
        <w:tc>
          <w:tcPr>
            <w:tcW w:w="86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Fourth</w:t>
            </w:r>
          </w:p>
        </w:tc>
      </w:tr>
      <w:tr>
        <w:trPr>
          <w:trHeight w:val="167"/>
        </w:trPr>
        <w:tc>
          <w:tcPr>
            <w:tcW w:w="9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7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73,877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65,618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76,756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66,889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71,934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64,146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74,854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65,502</w:t>
            </w:r>
          </w:p>
        </w:tc>
      </w:tr>
      <w:tr>
        <w:trPr>
          <w:trHeight w:val="167"/>
        </w:trPr>
        <w:tc>
          <w:tcPr>
            <w:tcW w:w="1880" w:type="dxa"/>
            <w:vAlign w:val="bottom"/>
            <w:gridSpan w:val="2"/>
          </w:tcPr>
          <w:p>
            <w:pPr>
              <w:spacing w:after="0"/>
              <w:rPr>
                <w:sz w:val="20"/>
                <w:szCs w:val="20"/>
                <w:color w:val="auto"/>
              </w:rPr>
            </w:pPr>
            <w:r>
              <w:rPr>
                <w:rFonts w:ascii="Courier New" w:cs="Courier New" w:eastAsia="Courier New" w:hAnsi="Courier New"/>
                <w:sz w:val="14"/>
                <w:szCs w:val="14"/>
                <w:color w:val="auto"/>
              </w:rPr>
              <w:t>Gross Profit</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32,507</w:t>
            </w:r>
          </w:p>
        </w:tc>
        <w:tc>
          <w:tcPr>
            <w:tcW w:w="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28,993</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32,120</w:t>
            </w:r>
          </w:p>
        </w:tc>
        <w:tc>
          <w:tcPr>
            <w:tcW w:w="26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29,337</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28,550</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25,794</w:t>
            </w:r>
          </w:p>
        </w:tc>
        <w:tc>
          <w:tcPr>
            <w:tcW w:w="4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31,776</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29,211</w:t>
            </w:r>
          </w:p>
        </w:tc>
      </w:tr>
      <w:tr>
        <w:trPr>
          <w:trHeight w:val="167"/>
        </w:trPr>
        <w:tc>
          <w:tcPr>
            <w:tcW w:w="188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24,494</w:t>
            </w:r>
          </w:p>
        </w:tc>
        <w:tc>
          <w:tcPr>
            <w:tcW w:w="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22,288</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23,363</w:t>
            </w:r>
          </w:p>
        </w:tc>
        <w:tc>
          <w:tcPr>
            <w:tcW w:w="26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22,159</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19,985</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18,744</w:t>
            </w:r>
          </w:p>
        </w:tc>
        <w:tc>
          <w:tcPr>
            <w:tcW w:w="4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22,570</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22,332</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156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18,550</w:t>
            </w:r>
          </w:p>
        </w:tc>
        <w:tc>
          <w:tcPr>
            <w:tcW w:w="2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16,710</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18,360</w:t>
            </w:r>
          </w:p>
        </w:tc>
        <w:tc>
          <w:tcPr>
            <w:tcW w:w="26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16,537</w:t>
            </w:r>
          </w:p>
        </w:tc>
        <w:tc>
          <w:tcPr>
            <w:tcW w:w="3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15,854</w:t>
            </w:r>
          </w:p>
        </w:tc>
        <w:tc>
          <w:tcPr>
            <w:tcW w:w="26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14,444</w:t>
            </w:r>
          </w:p>
        </w:tc>
        <w:tc>
          <w:tcPr>
            <w:tcW w:w="4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17,780</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17,174</w:t>
            </w:r>
          </w:p>
        </w:tc>
      </w:tr>
      <w:tr>
        <w:trPr>
          <w:trHeight w:val="167"/>
        </w:trPr>
        <w:tc>
          <w:tcPr>
            <w:tcW w:w="188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9.</w:t>
        <w:tab/>
        <w:t>CHANGES AND DISAGREEMENTS WITH ACCOUNTANTS ON ACCOUNTING AND FINANCIAL</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DISCLOSURE.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60"/>
          </w:cols>
          <w:pgMar w:left="220" w:top="286" w:right="1419"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the 2001 Annual Meeting of Shareholders and filed with the Commission is hereby incorporated herein by reference. Information concerning compliance with Section 16(a) of the Securities and Exchange Act of 1934 appearing under the caption "Section 16(A) Beneficial Ownership Reporting Compliance" in the definitive Proxy Statement for the 2001 Annual Meeting of Shareholders and filed with the Commission is hereby incorporated herein by reference.</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The information contained under the caption "Executive Compensation" contained in the definitive Proxy Statement for the 2001 Annual Meeting of Shareholders and filed with the Commission is hereby incorporated herein by reference.</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information contained under the captions "Securities Ownership of Management" and "Securities Ownership of Certain Beneficial Owners" contained in the definitive Proxy Statement for the 2001 Annual Meeting of Shareholders and filed with the Commission is hereby incorporated herein by reference.</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5"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The information contained under the caption "Transactions with Management" contained in the definitive Proxy Statement for the 2001 Annual Meeting of Shareholders and filed with the Commission is hereby incorporated herein by reference.</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5" w:lineRule="exact"/>
        <w:rPr>
          <w:sz w:val="20"/>
          <w:szCs w:val="20"/>
          <w:color w:val="auto"/>
        </w:rPr>
      </w:pPr>
    </w:p>
    <w:p>
      <w:pPr>
        <w:ind w:left="1580" w:hanging="790"/>
        <w:spacing w:after="0"/>
        <w:tabs>
          <w:tab w:leader="none" w:pos="15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Financial Statements.   See Item 8.</w:t>
      </w:r>
    </w:p>
    <w:p>
      <w:pPr>
        <w:spacing w:after="0" w:line="175" w:lineRule="exact"/>
        <w:rPr>
          <w:rFonts w:ascii="Courier New" w:cs="Courier New" w:eastAsia="Courier New" w:hAnsi="Courier New"/>
          <w:sz w:val="14"/>
          <w:szCs w:val="14"/>
          <w:color w:val="auto"/>
        </w:rPr>
      </w:pPr>
    </w:p>
    <w:p>
      <w:pPr>
        <w:ind w:left="2000" w:right="3719" w:hanging="429"/>
        <w:spacing w:after="0" w:line="258" w:lineRule="auto"/>
        <w:tabs>
          <w:tab w:leader="none" w:pos="200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Schedules. None required or not applicable.</w:t>
      </w:r>
    </w:p>
    <w:p>
      <w:pPr>
        <w:spacing w:after="0" w:line="159" w:lineRule="exact"/>
        <w:rPr>
          <w:rFonts w:ascii="Courier New" w:cs="Courier New" w:eastAsia="Courier New" w:hAnsi="Courier New"/>
          <w:sz w:val="14"/>
          <w:szCs w:val="14"/>
          <w:color w:val="auto"/>
        </w:rPr>
      </w:pPr>
    </w:p>
    <w:p>
      <w:pPr>
        <w:ind w:left="2000" w:hanging="429"/>
        <w:spacing w:after="0"/>
        <w:tabs>
          <w:tab w:leader="none" w:pos="200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See Exhibit Index located on page 31.</w:t>
      </w:r>
    </w:p>
    <w:p>
      <w:pPr>
        <w:spacing w:after="0" w:line="342" w:lineRule="exact"/>
        <w:rPr>
          <w:rFonts w:ascii="Courier New" w:cs="Courier New" w:eastAsia="Courier New" w:hAnsi="Courier New"/>
          <w:sz w:val="14"/>
          <w:szCs w:val="14"/>
          <w:color w:val="auto"/>
        </w:rPr>
      </w:pPr>
    </w:p>
    <w:p>
      <w:pPr>
        <w:ind w:left="1580" w:right="3799" w:hanging="790"/>
        <w:spacing w:after="0" w:line="258" w:lineRule="auto"/>
        <w:tabs>
          <w:tab w:leader="none" w:pos="15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reports on Form 8-K were filed during the three-month period ended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34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Pursuant to the requirements of Section 13 of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780" w:val="left"/>
          <w:tab w:leader="none" w:pos="302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March 2, 2001</w:t>
      </w:r>
      <w:r>
        <w:rPr>
          <w:sz w:val="20"/>
          <w:szCs w:val="20"/>
          <w:color w:val="auto"/>
        </w:rPr>
        <w:tab/>
      </w:r>
      <w:r>
        <w:rPr>
          <w:rFonts w:ascii="Courier New" w:cs="Courier New" w:eastAsia="Courier New" w:hAnsi="Courier New"/>
          <w:sz w:val="14"/>
          <w:szCs w:val="14"/>
          <w:color w:val="auto"/>
        </w:rPr>
        <w:t>GENTEX CORPORATION</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040"/>
        <w:spacing w:after="0"/>
        <w:tabs>
          <w:tab w:leader="none" w:pos="3460" w:val="left"/>
        </w:tabs>
        <w:rPr>
          <w:sz w:val="20"/>
          <w:szCs w:val="20"/>
          <w:color w:val="auto"/>
        </w:rPr>
      </w:pPr>
      <w:r>
        <w:rPr>
          <w:rFonts w:ascii="Courier New" w:cs="Courier New" w:eastAsia="Courier New" w:hAnsi="Courier New"/>
          <w:sz w:val="14"/>
          <w:szCs w:val="14"/>
          <w:color w:val="auto"/>
        </w:rPr>
        <w:t>By:</w:t>
        <w:tab/>
        <w:t>/s/ Fred Bauer</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Fred Bauer, Chairman and Principal</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Executive Officer</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/s/ Enoch Jen</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Enoch Jen, Vice President-Finance and</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Principal Financial and Accounting</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Officer</w:t>
      </w:r>
    </w:p>
    <w:p>
      <w:pPr>
        <w:spacing w:after="0" w:line="34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on this 2nd day of March, 2001, by the following persons on behalf of the Registrant and in the capacities indicated.</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Each Director of the Registrant whose signature appears below hereby appoints Enoch Jen and Kenneth La Grand, each of them individually, as his attorney-in-fact to sign in his name and on his behalf, and to file with the Commission any and all amendments to this report on Form 10-K to the same extent and with the same effect as if done personally.</w:t>
      </w:r>
    </w:p>
    <w:p>
      <w:pPr>
        <w:spacing w:after="0" w:line="329"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4"/>
          <w:szCs w:val="14"/>
          <w:color w:val="auto"/>
        </w:rPr>
        <w:t>/s/ Fred Bauer</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Fred Bauer</w:t>
      </w:r>
    </w:p>
    <w:p>
      <w:pPr>
        <w:spacing w:after="0" w:line="342"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4"/>
          <w:szCs w:val="14"/>
          <w:color w:val="auto"/>
        </w:rPr>
        <w:t>/s/ Mickey E. Fouts</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Mickey E. Fouts</w:t>
      </w:r>
    </w:p>
    <w:p>
      <w:pPr>
        <w:spacing w:after="0" w:line="342"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4"/>
          <w:szCs w:val="14"/>
          <w:color w:val="auto"/>
        </w:rPr>
        <w:t>/s/ Kenneth La Grand</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Kenneth La Grand</w:t>
      </w:r>
    </w:p>
    <w:p>
      <w:pPr>
        <w:spacing w:after="0" w:line="342"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4"/>
          <w:szCs w:val="14"/>
          <w:color w:val="auto"/>
        </w:rPr>
        <w:t>/s/ Arlyn Lanting</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Arlyn Lanting</w:t>
      </w:r>
    </w:p>
    <w:p>
      <w:pPr>
        <w:spacing w:after="0" w:line="342"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4"/>
          <w:szCs w:val="14"/>
          <w:color w:val="auto"/>
        </w:rPr>
        <w:t>/s/ John Mulder</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John Mulder</w:t>
      </w:r>
    </w:p>
    <w:p>
      <w:pPr>
        <w:spacing w:after="0" w:line="342"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4"/>
          <w:szCs w:val="14"/>
          <w:color w:val="auto"/>
        </w:rPr>
        <w:t>/s/ Fred Sotok</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Fred Sotok</w:t>
      </w:r>
    </w:p>
    <w:p>
      <w:pPr>
        <w:spacing w:after="0" w:line="342"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Ted Thompson</w:t>
      </w:r>
    </w:p>
    <w:p>
      <w:pPr>
        <w:spacing w:after="0" w:line="342"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4"/>
          <w:szCs w:val="14"/>
          <w:color w:val="auto"/>
        </w:rPr>
        <w:t>/s/ Leo Weber</w:t>
      </w:r>
      <w:r>
        <w:rPr>
          <w:sz w:val="20"/>
          <w:szCs w:val="20"/>
          <w:color w:val="auto"/>
        </w:rPr>
        <w:tab/>
      </w:r>
      <w:r>
        <w:rPr>
          <w:rFonts w:ascii="Courier New" w:cs="Courier New" w:eastAsia="Courier New" w:hAnsi="Courier New"/>
          <w:sz w:val="14"/>
          <w:szCs w:val="14"/>
          <w:color w:val="auto"/>
        </w:rPr>
        <w:t>Director</w:t>
      </w:r>
    </w:p>
    <w:p>
      <w:pPr>
        <w:spacing w:after="0" w:line="8" w:lineRule="exact"/>
        <w:rPr>
          <w:sz w:val="20"/>
          <w:szCs w:val="20"/>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Leo Weber</w:t>
      </w:r>
    </w:p>
    <w:p>
      <w:pPr>
        <w:sectPr>
          <w:pgSz w:w="11900" w:h="16838" w:orient="portrait"/>
          <w:cols w:equalWidth="0" w:num="1">
            <w:col w:w="10239"/>
          </w:cols>
          <w:pgMar w:left="220" w:top="286" w:right="1440" w:bottom="1440" w:gutter="0" w:footer="0" w:header="0"/>
        </w:sectPr>
      </w:pP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30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REPORT OF INDEPENDENT AUDITORS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Gentex Corporation Board of Directors and Shareholders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GENTEX CORPORATION (a Michigan corporation) and subsidiaries as of December 31, 2000 and 1999, and the related consolidated statements of income, shareholders' investment and cash flows for the years ended. These financial statements are the responsibility of the Company's management. Our responsibility is to express an opinion on these financial statements based on our audits.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Gentex Corporation and subsidiaries at December 31, 2000 and 1999, and the consolidated results of their operations and their cash flows for the years ended in conformity with accounting principles generally accepted in the United States.</w:t>
      </w:r>
    </w:p>
    <w:p>
      <w:pPr>
        <w:spacing w:after="0" w:line="329" w:lineRule="exact"/>
        <w:rPr>
          <w:sz w:val="20"/>
          <w:szCs w:val="20"/>
          <w:color w:val="auto"/>
        </w:rPr>
      </w:pPr>
    </w:p>
    <w:p>
      <w:pPr>
        <w:ind w:left="3560"/>
        <w:spacing w:after="0"/>
        <w:tabs>
          <w:tab w:leader="none" w:pos="3980" w:val="left"/>
          <w:tab w:leader="none" w:pos="5280" w:val="left"/>
        </w:tabs>
        <w:rPr>
          <w:sz w:val="20"/>
          <w:szCs w:val="20"/>
          <w:color w:val="auto"/>
        </w:rPr>
      </w:pPr>
      <w:r>
        <w:rPr>
          <w:rFonts w:ascii="Courier New" w:cs="Courier New" w:eastAsia="Courier New" w:hAnsi="Courier New"/>
          <w:sz w:val="14"/>
          <w:szCs w:val="14"/>
          <w:color w:val="auto"/>
        </w:rPr>
        <w:t>/s/</w:t>
        <w:tab/>
        <w:t>Ernst &amp; Young</w:t>
        <w:tab/>
        <w:t>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Grand Rapids, Michigan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18,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18</w:t>
      </w:r>
    </w:p>
    <w:p>
      <w:pPr>
        <w:spacing w:after="0" w:line="342"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of Gentex Corporation:</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We have audited the consolidated statements of income, shareholders' investment and cash flows of GENTEX CORPORATION (a Michigan corporation) and subsidiaries for the year ended December 31, 1998. These financial statements are the responsibility of the Company's management. Our responsibility is to express an opinion on these financial statements based on our audit.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results of the operations and the cash flows of Gentex Corporation and subsidiaries for the year ended December 31, 1998, in conformity with accounting principles generally accepted in the United States.</w:t>
      </w:r>
    </w:p>
    <w:p>
      <w:pPr>
        <w:spacing w:after="0" w:line="329" w:lineRule="exact"/>
        <w:rPr>
          <w:sz w:val="20"/>
          <w:szCs w:val="20"/>
          <w:color w:val="auto"/>
        </w:rPr>
      </w:pPr>
    </w:p>
    <w:p>
      <w:pPr>
        <w:ind w:left="3560"/>
        <w:spacing w:after="0"/>
        <w:tabs>
          <w:tab w:leader="none" w:pos="3980" w:val="left"/>
        </w:tabs>
        <w:rPr>
          <w:sz w:val="20"/>
          <w:szCs w:val="20"/>
          <w:color w:val="auto"/>
        </w:rPr>
      </w:pPr>
      <w:r>
        <w:rPr>
          <w:rFonts w:ascii="Courier New" w:cs="Courier New" w:eastAsia="Courier New" w:hAnsi="Courier New"/>
          <w:sz w:val="14"/>
          <w:szCs w:val="14"/>
          <w:color w:val="auto"/>
        </w:rPr>
        <w:t>/s/</w:t>
        <w:tab/>
        <w:t>Arthur Andersen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Grand Rapids, Michigan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19</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CONSOLIDATED BALANCE SHEETS</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AS OF DECEMBER 31, 2000 AND 1999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501"/>
        </w:trPr>
        <w:tc>
          <w:tcPr>
            <w:tcW w:w="44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$110,195,583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$69,227,972</w:t>
            </w: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Short-term investments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28,246,967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25,505,657</w:t>
            </w: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less allowances</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of $350,000 and $325,000 in 2000 and 1999</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35,614,669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30,633,501</w:t>
            </w: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Inventories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12,087,513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9,975,178</w:t>
            </w: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4,411,118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2,873,276</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Total current assets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190,555,850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138,215,584</w:t>
            </w:r>
          </w:p>
        </w:tc>
      </w:tr>
      <w:tr>
        <w:trPr>
          <w:trHeight w:val="501"/>
        </w:trPr>
        <w:tc>
          <w:tcPr>
            <w:tcW w:w="4400" w:type="dxa"/>
            <w:vAlign w:val="bottom"/>
          </w:tcPr>
          <w:p>
            <w:pPr>
              <w:spacing w:after="0"/>
              <w:rPr>
                <w:sz w:val="20"/>
                <w:szCs w:val="20"/>
                <w:color w:val="auto"/>
              </w:rPr>
            </w:pPr>
            <w:r>
              <w:rPr>
                <w:rFonts w:ascii="Courier New" w:cs="Courier New" w:eastAsia="Courier New" w:hAnsi="Courier New"/>
                <w:sz w:val="14"/>
                <w:szCs w:val="14"/>
                <w:color w:val="auto"/>
              </w:rPr>
              <w:t>PLANT AND EQUIPMENT:</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Land, buildings and improvements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40,400,929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26,844,317</w:t>
            </w: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Machinery and equipment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84,480,366</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68,703,998</w:t>
            </w: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Construction-in-process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4,816,097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12,676,977</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129,697,392</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108,225,292</w:t>
            </w: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Less-Accumulated depreciation</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and amortization</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(47,777,724)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(36,887,239)</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81,919,668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71,338,053</w:t>
            </w:r>
          </w:p>
        </w:tc>
      </w:tr>
      <w:tr>
        <w:trPr>
          <w:trHeight w:val="501"/>
        </w:trPr>
        <w:tc>
          <w:tcPr>
            <w:tcW w:w="44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Long-term investments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153,016,195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125,816,629</w:t>
            </w: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Patents and other assets, net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2,636,980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2,302,504</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155,653,175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128,119,133</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$428,128,693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$337,672,770</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LIABILITIES AND SHAREHOLDERS' INVESTMENT</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4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CURRENT LIABILITIES:</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Accounts payable</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$9,328,155</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$8,288,327</w:t>
            </w:r>
          </w:p>
        </w:tc>
      </w:tr>
      <w:tr>
        <w:trPr>
          <w:trHeight w:val="167"/>
        </w:trPr>
        <w:tc>
          <w:tcPr>
            <w:tcW w:w="4400" w:type="dxa"/>
            <w:vAlign w:val="bottom"/>
          </w:tcPr>
          <w:p>
            <w:pPr>
              <w:ind w:left="520"/>
              <w:spacing w:after="0"/>
              <w:rPr>
                <w:sz w:val="20"/>
                <w:szCs w:val="20"/>
                <w:color w:val="auto"/>
              </w:rPr>
            </w:pPr>
            <w:r>
              <w:rPr>
                <w:rFonts w:ascii="Courier New" w:cs="Courier New" w:eastAsia="Courier New" w:hAnsi="Courier New"/>
                <w:sz w:val="14"/>
                <w:szCs w:val="14"/>
                <w:color w:val="auto"/>
              </w:rPr>
              <w:t>Accrued liabilities:</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400" w:type="dxa"/>
            <w:vAlign w:val="bottom"/>
          </w:tcPr>
          <w:p>
            <w:pPr>
              <w:ind w:left="960"/>
              <w:spacing w:after="0"/>
              <w:rPr>
                <w:sz w:val="20"/>
                <w:szCs w:val="20"/>
                <w:color w:val="auto"/>
              </w:rPr>
            </w:pPr>
            <w:r>
              <w:rPr>
                <w:rFonts w:ascii="Courier New" w:cs="Courier New" w:eastAsia="Courier New" w:hAnsi="Courier New"/>
                <w:sz w:val="14"/>
                <w:szCs w:val="14"/>
                <w:color w:val="auto"/>
              </w:rPr>
              <w:t>Salaries, wages and vacation</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1,973,485</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1,758,941</w:t>
            </w:r>
          </w:p>
        </w:tc>
      </w:tr>
      <w:tr>
        <w:trPr>
          <w:trHeight w:val="167"/>
        </w:trPr>
        <w:tc>
          <w:tcPr>
            <w:tcW w:w="4400" w:type="dxa"/>
            <w:vAlign w:val="bottom"/>
          </w:tcPr>
          <w:p>
            <w:pPr>
              <w:ind w:left="960"/>
              <w:spacing w:after="0"/>
              <w:rPr>
                <w:sz w:val="20"/>
                <w:szCs w:val="20"/>
                <w:color w:val="auto"/>
              </w:rPr>
            </w:pPr>
            <w:r>
              <w:rPr>
                <w:rFonts w:ascii="Courier New" w:cs="Courier New" w:eastAsia="Courier New" w:hAnsi="Courier New"/>
                <w:sz w:val="14"/>
                <w:szCs w:val="14"/>
                <w:color w:val="auto"/>
              </w:rPr>
              <w:t>Income taxes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1,805,500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1,215,735</w:t>
            </w:r>
          </w:p>
        </w:tc>
      </w:tr>
      <w:tr>
        <w:trPr>
          <w:trHeight w:val="167"/>
        </w:trPr>
        <w:tc>
          <w:tcPr>
            <w:tcW w:w="4400" w:type="dxa"/>
            <w:vAlign w:val="bottom"/>
          </w:tcPr>
          <w:p>
            <w:pPr>
              <w:ind w:left="960"/>
              <w:spacing w:after="0"/>
              <w:rPr>
                <w:sz w:val="20"/>
                <w:szCs w:val="20"/>
                <w:color w:val="auto"/>
              </w:rPr>
            </w:pPr>
            <w:r>
              <w:rPr>
                <w:rFonts w:ascii="Courier New" w:cs="Courier New" w:eastAsia="Courier New" w:hAnsi="Courier New"/>
                <w:sz w:val="14"/>
                <w:szCs w:val="14"/>
                <w:color w:val="auto"/>
              </w:rPr>
              <w:t>Royalties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3,684,822</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2,582,522</w:t>
            </w:r>
          </w:p>
        </w:tc>
      </w:tr>
      <w:tr>
        <w:trPr>
          <w:trHeight w:val="167"/>
        </w:trPr>
        <w:tc>
          <w:tcPr>
            <w:tcW w:w="4400" w:type="dxa"/>
            <w:vAlign w:val="bottom"/>
          </w:tcPr>
          <w:p>
            <w:pPr>
              <w:ind w:left="960"/>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2,899,290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2,624,686</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ind w:left="1480"/>
              <w:spacing w:after="0"/>
              <w:rPr>
                <w:sz w:val="20"/>
                <w:szCs w:val="20"/>
                <w:color w:val="auto"/>
              </w:rPr>
            </w:pPr>
            <w:r>
              <w:rPr>
                <w:rFonts w:ascii="Courier New" w:cs="Courier New" w:eastAsia="Courier New" w:hAnsi="Courier New"/>
                <w:sz w:val="14"/>
                <w:szCs w:val="14"/>
                <w:color w:val="auto"/>
              </w:rPr>
              <w:t>Total current liabilities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19,691,252</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16,470,211</w:t>
            </w:r>
          </w:p>
        </w:tc>
      </w:tr>
      <w:tr>
        <w:trPr>
          <w:trHeight w:val="334"/>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6,333,880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4,151,143</w:t>
            </w:r>
          </w:p>
        </w:tc>
      </w:tr>
      <w:tr>
        <w:trPr>
          <w:trHeight w:val="668"/>
        </w:trPr>
        <w:tc>
          <w:tcPr>
            <w:tcW w:w="4400" w:type="dxa"/>
            <w:vAlign w:val="bottom"/>
          </w:tcPr>
          <w:p>
            <w:pPr>
              <w:ind w:left="260"/>
              <w:spacing w:after="0"/>
              <w:rPr>
                <w:sz w:val="20"/>
                <w:szCs w:val="20"/>
                <w:color w:val="auto"/>
              </w:rPr>
            </w:pPr>
            <w:r>
              <w:rPr>
                <w:rFonts w:ascii="Courier New" w:cs="Courier New" w:eastAsia="Courier New" w:hAnsi="Courier New"/>
                <w:sz w:val="14"/>
                <w:szCs w:val="14"/>
                <w:color w:val="auto"/>
              </w:rPr>
              <w:t>SHAREHOLDERS' INVESTMENT:</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4"/>
        </w:trPr>
        <w:tc>
          <w:tcPr>
            <w:tcW w:w="4400" w:type="dxa"/>
            <w:vAlign w:val="bottom"/>
          </w:tcPr>
          <w:p>
            <w:pPr>
              <w:ind w:left="620"/>
              <w:spacing w:after="0"/>
              <w:rPr>
                <w:sz w:val="20"/>
                <w:szCs w:val="20"/>
                <w:color w:val="auto"/>
              </w:rPr>
            </w:pPr>
            <w:r>
              <w:rPr>
                <w:rFonts w:ascii="Courier New" w:cs="Courier New" w:eastAsia="Courier New" w:hAnsi="Courier New"/>
                <w:sz w:val="14"/>
                <w:szCs w:val="14"/>
                <w:color w:val="auto"/>
              </w:rPr>
              <w:t>Preferred stock, no par value,</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4400" w:type="dxa"/>
            <w:vAlign w:val="bottom"/>
          </w:tcPr>
          <w:p>
            <w:pPr>
              <w:ind w:left="960"/>
              <w:spacing w:after="0"/>
              <w:rPr>
                <w:sz w:val="20"/>
                <w:szCs w:val="20"/>
                <w:color w:val="auto"/>
              </w:rPr>
            </w:pPr>
            <w:r>
              <w:rPr>
                <w:rFonts w:ascii="Courier New" w:cs="Courier New" w:eastAsia="Courier New" w:hAnsi="Courier New"/>
                <w:sz w:val="14"/>
                <w:szCs w:val="14"/>
                <w:color w:val="auto"/>
              </w:rPr>
              <w:t>5,000,000 shares authorized; none</w:t>
            </w: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400" w:type="dxa"/>
            <w:vAlign w:val="bottom"/>
          </w:tcPr>
          <w:p>
            <w:pPr>
              <w:ind w:left="960"/>
              <w:spacing w:after="0"/>
              <w:rPr>
                <w:sz w:val="20"/>
                <w:szCs w:val="20"/>
                <w:color w:val="auto"/>
              </w:rPr>
            </w:pPr>
            <w:r>
              <w:rPr>
                <w:rFonts w:ascii="Courier New" w:cs="Courier New" w:eastAsia="Courier New" w:hAnsi="Courier New"/>
                <w:sz w:val="14"/>
                <w:szCs w:val="14"/>
                <w:color w:val="auto"/>
              </w:rPr>
              <w:t>issued or outstanding</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ind w:left="620"/>
              <w:spacing w:after="0"/>
              <w:rPr>
                <w:sz w:val="20"/>
                <w:szCs w:val="20"/>
                <w:color w:val="auto"/>
              </w:rPr>
            </w:pPr>
            <w:r>
              <w:rPr>
                <w:rFonts w:ascii="Courier New" w:cs="Courier New" w:eastAsia="Courier New" w:hAnsi="Courier New"/>
                <w:sz w:val="14"/>
                <w:szCs w:val="14"/>
                <w:color w:val="auto"/>
              </w:rPr>
              <w:t>Common stock, par value $.06 per share;</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4400" w:type="dxa"/>
            <w:vAlign w:val="bottom"/>
          </w:tcPr>
          <w:p>
            <w:pPr>
              <w:ind w:left="1060"/>
              <w:spacing w:after="0"/>
              <w:rPr>
                <w:sz w:val="20"/>
                <w:szCs w:val="20"/>
                <w:color w:val="auto"/>
              </w:rPr>
            </w:pPr>
            <w:r>
              <w:rPr>
                <w:rFonts w:ascii="Courier New" w:cs="Courier New" w:eastAsia="Courier New" w:hAnsi="Courier New"/>
                <w:sz w:val="14"/>
                <w:szCs w:val="14"/>
                <w:color w:val="auto"/>
              </w:rPr>
              <w:t>100,000,000 shares authorized</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4,457,465</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4,404,739</w:t>
            </w:r>
          </w:p>
        </w:tc>
      </w:tr>
      <w:tr>
        <w:trPr>
          <w:trHeight w:val="167"/>
        </w:trPr>
        <w:tc>
          <w:tcPr>
            <w:tcW w:w="4400" w:type="dxa"/>
            <w:vAlign w:val="bottom"/>
          </w:tcPr>
          <w:p>
            <w:pPr>
              <w:ind w:left="620"/>
              <w:spacing w:after="0"/>
              <w:rPr>
                <w:sz w:val="20"/>
                <w:szCs w:val="20"/>
                <w:color w:val="auto"/>
              </w:rPr>
            </w:pPr>
            <w:r>
              <w:rPr>
                <w:rFonts w:ascii="Courier New" w:cs="Courier New" w:eastAsia="Courier New" w:hAnsi="Courier New"/>
                <w:sz w:val="14"/>
                <w:szCs w:val="14"/>
                <w:color w:val="auto"/>
              </w:rPr>
              <w:t>Additional paid-in capital</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92,132,617</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79,670,301</w:t>
            </w:r>
          </w:p>
        </w:tc>
      </w:tr>
      <w:tr>
        <w:trPr>
          <w:trHeight w:val="167"/>
        </w:trPr>
        <w:tc>
          <w:tcPr>
            <w:tcW w:w="4400" w:type="dxa"/>
            <w:vAlign w:val="bottom"/>
          </w:tcPr>
          <w:p>
            <w:pPr>
              <w:ind w:left="620"/>
              <w:spacing w:after="0"/>
              <w:rPr>
                <w:sz w:val="20"/>
                <w:szCs w:val="20"/>
                <w:color w:val="auto"/>
              </w:rPr>
            </w:pPr>
            <w:r>
              <w:rPr>
                <w:rFonts w:ascii="Courier New" w:cs="Courier New" w:eastAsia="Courier New" w:hAnsi="Courier New"/>
                <w:sz w:val="14"/>
                <w:szCs w:val="14"/>
                <w:color w:val="auto"/>
              </w:rPr>
              <w:t>Retained earnings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303,213,652</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232,669,586</w:t>
            </w:r>
          </w:p>
        </w:tc>
      </w:tr>
      <w:tr>
        <w:trPr>
          <w:trHeight w:val="167"/>
        </w:trPr>
        <w:tc>
          <w:tcPr>
            <w:tcW w:w="4400" w:type="dxa"/>
            <w:vAlign w:val="bottom"/>
          </w:tcPr>
          <w:p>
            <w:pPr>
              <w:ind w:left="620"/>
              <w:spacing w:after="0"/>
              <w:rPr>
                <w:sz w:val="20"/>
                <w:szCs w:val="20"/>
                <w:color w:val="auto"/>
              </w:rPr>
            </w:pPr>
            <w:r>
              <w:rPr>
                <w:rFonts w:ascii="Courier New" w:cs="Courier New" w:eastAsia="Courier New" w:hAnsi="Courier New"/>
                <w:sz w:val="14"/>
                <w:szCs w:val="14"/>
                <w:color w:val="auto"/>
              </w:rPr>
              <w:t>Deferred compensation</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(2,532,327)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(2,070,639)</w:t>
            </w:r>
          </w:p>
        </w:tc>
      </w:tr>
      <w:tr>
        <w:trPr>
          <w:trHeight w:val="167"/>
        </w:trPr>
        <w:tc>
          <w:tcPr>
            <w:tcW w:w="4400" w:type="dxa"/>
            <w:vAlign w:val="bottom"/>
          </w:tcPr>
          <w:p>
            <w:pPr>
              <w:ind w:left="620"/>
              <w:spacing w:after="0"/>
              <w:rPr>
                <w:sz w:val="20"/>
                <w:szCs w:val="20"/>
                <w:color w:val="auto"/>
              </w:rPr>
            </w:pPr>
            <w:r>
              <w:rPr>
                <w:rFonts w:ascii="Courier New" w:cs="Courier New" w:eastAsia="Courier New" w:hAnsi="Courier New"/>
                <w:sz w:val="14"/>
                <w:szCs w:val="14"/>
                <w:color w:val="auto"/>
              </w:rPr>
              <w:t>Unrealized gain on investments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4,874,928</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2,366,637</w:t>
            </w:r>
          </w:p>
        </w:tc>
      </w:tr>
      <w:tr>
        <w:trPr>
          <w:trHeight w:val="167"/>
        </w:trPr>
        <w:tc>
          <w:tcPr>
            <w:tcW w:w="4400" w:type="dxa"/>
            <w:vAlign w:val="bottom"/>
          </w:tcPr>
          <w:p>
            <w:pPr>
              <w:ind w:left="620"/>
              <w:spacing w:after="0"/>
              <w:rPr>
                <w:sz w:val="20"/>
                <w:szCs w:val="20"/>
                <w:color w:val="auto"/>
              </w:rPr>
            </w:pPr>
            <w:r>
              <w:rPr>
                <w:rFonts w:ascii="Courier New" w:cs="Courier New" w:eastAsia="Courier New" w:hAnsi="Courier New"/>
                <w:sz w:val="14"/>
                <w:szCs w:val="14"/>
                <w:color w:val="auto"/>
              </w:rPr>
              <w:t>Cumulative translation adjustment</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(42,774)</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10,792</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ind w:left="1400"/>
              <w:spacing w:after="0"/>
              <w:rPr>
                <w:sz w:val="20"/>
                <w:szCs w:val="20"/>
                <w:color w:val="auto"/>
              </w:rPr>
            </w:pPr>
            <w:r>
              <w:rPr>
                <w:rFonts w:ascii="Courier New" w:cs="Courier New" w:eastAsia="Courier New" w:hAnsi="Courier New"/>
                <w:sz w:val="14"/>
                <w:szCs w:val="14"/>
                <w:color w:val="auto"/>
              </w:rPr>
              <w:t>Total shareholders' investment</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402,103,561</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317,051,416</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40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$428,128,693</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$337,672,770</w:t>
            </w:r>
          </w:p>
        </w:tc>
      </w:tr>
      <w:tr>
        <w:trPr>
          <w:trHeight w:val="167"/>
        </w:trPr>
        <w:tc>
          <w:tcPr>
            <w:tcW w:w="440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accompanying notes are an integral part of these consolidated financial statements.</w:t>
      </w:r>
    </w:p>
    <w:p>
      <w:pPr>
        <w:sectPr>
          <w:pgSz w:w="11900" w:h="16838" w:orient="portrait"/>
          <w:cols w:equalWidth="0" w:num="1">
            <w:col w:w="10239"/>
          </w:cols>
          <w:pgMar w:left="220" w:top="286" w:right="1440" w:bottom="0" w:gutter="0" w:footer="0" w:header="0"/>
        </w:sectPr>
      </w:pP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30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2000, 1999 AND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7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44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r>
      <w:tr>
        <w:trPr>
          <w:trHeight w:val="501"/>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$297,420,802</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$262,155,498</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$222,292,053</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172,467,846</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148,820,129</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131,900,585</w:t>
            </w:r>
          </w:p>
        </w:tc>
      </w:tr>
      <w:tr>
        <w:trPr>
          <w:trHeight w:val="167"/>
        </w:trPr>
        <w:tc>
          <w:tcPr>
            <w:tcW w:w="422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Gross profit</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124,952,956</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113,335,369</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90,391,468</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16,900,659</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13,755,318</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10,983,514</w:t>
            </w: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17,641,306</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14,057,560</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12,065,141</w:t>
            </w:r>
          </w:p>
        </w:tc>
      </w:tr>
      <w:tr>
        <w:trPr>
          <w:trHeight w:val="167"/>
        </w:trPr>
        <w:tc>
          <w:tcPr>
            <w:tcW w:w="422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Total operating expenses</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34,541,965</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27,812,878</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23,048,655</w:t>
            </w:r>
          </w:p>
        </w:tc>
      </w:tr>
      <w:tr>
        <w:trPr>
          <w:trHeight w:val="167"/>
        </w:trPr>
        <w:tc>
          <w:tcPr>
            <w:tcW w:w="422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Operating income</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90,410,991</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85,522,491</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67,342,813</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Interest and dividend income</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13,358,636</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8,459,607</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5,890,612</w:t>
            </w: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Other, net</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753,439</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2,233,658</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1,429,705</w:t>
            </w:r>
          </w:p>
        </w:tc>
      </w:tr>
      <w:tr>
        <w:trPr>
          <w:trHeight w:val="167"/>
        </w:trPr>
        <w:tc>
          <w:tcPr>
            <w:tcW w:w="422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Total other income</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14,112,075</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10,693,265</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7,320,317</w:t>
            </w:r>
          </w:p>
        </w:tc>
      </w:tr>
      <w:tr>
        <w:trPr>
          <w:trHeight w:val="167"/>
        </w:trPr>
        <w:tc>
          <w:tcPr>
            <w:tcW w:w="422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provision</w:t>
            </w: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for income taxes</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104,523,066</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96,215,756</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74,663,130</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33,979,000</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31,352,000</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24,356,000</w:t>
            </w:r>
          </w:p>
        </w:tc>
      </w:tr>
      <w:tr>
        <w:trPr>
          <w:trHeight w:val="167"/>
        </w:trPr>
        <w:tc>
          <w:tcPr>
            <w:tcW w:w="422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$70,544,066</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$64,863,756</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$50,307,130</w:t>
            </w:r>
          </w:p>
        </w:tc>
      </w:tr>
      <w:tr>
        <w:trPr>
          <w:trHeight w:val="167"/>
        </w:trPr>
        <w:tc>
          <w:tcPr>
            <w:tcW w:w="422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7"/>
        </w:trPr>
        <w:tc>
          <w:tcPr>
            <w:tcW w:w="4220" w:type="dxa"/>
            <w:vAlign w:val="bottom"/>
          </w:tcPr>
          <w:p>
            <w:pPr>
              <w:ind w:left="100"/>
              <w:spacing w:after="0"/>
              <w:rPr>
                <w:sz w:val="20"/>
                <w:szCs w:val="20"/>
                <w:color w:val="auto"/>
              </w:rPr>
            </w:pPr>
            <w:r>
              <w:rPr>
                <w:rFonts w:ascii="Courier New" w:cs="Courier New" w:eastAsia="Courier New" w:hAnsi="Courier New"/>
                <w:sz w:val="14"/>
                <w:szCs w:val="14"/>
                <w:color w:val="auto"/>
              </w:rPr>
              <w:t>Basic</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0.95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0.70</w:t>
            </w:r>
          </w:p>
        </w:tc>
      </w:tr>
      <w:tr>
        <w:trPr>
          <w:trHeight w:val="167"/>
        </w:trPr>
        <w:tc>
          <w:tcPr>
            <w:tcW w:w="422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100"/>
              <w:spacing w:after="0"/>
              <w:rPr>
                <w:sz w:val="20"/>
                <w:szCs w:val="20"/>
                <w:color w:val="auto"/>
              </w:rPr>
            </w:pPr>
            <w:r>
              <w:rPr>
                <w:rFonts w:ascii="Courier New" w:cs="Courier New" w:eastAsia="Courier New" w:hAnsi="Courier New"/>
                <w:sz w:val="14"/>
                <w:szCs w:val="14"/>
                <w:color w:val="auto"/>
              </w:rPr>
              <w:t>Diluted</w:t>
            </w:r>
          </w:p>
        </w:tc>
        <w:tc>
          <w:tcPr>
            <w:tcW w:w="1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0.93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0.68</w:t>
            </w:r>
          </w:p>
        </w:tc>
      </w:tr>
      <w:tr>
        <w:trPr>
          <w:trHeight w:val="167"/>
        </w:trPr>
        <w:tc>
          <w:tcPr>
            <w:tcW w:w="4220" w:type="dxa"/>
            <w:vAlign w:val="bottom"/>
          </w:tcPr>
          <w:p>
            <w:pPr>
              <w:spacing w:after="0"/>
              <w:rPr>
                <w:sz w:val="14"/>
                <w:szCs w:val="14"/>
                <w:color w:val="auto"/>
              </w:rPr>
            </w:pPr>
          </w:p>
        </w:tc>
        <w:tc>
          <w:tcPr>
            <w:tcW w:w="2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1" w:name="page22"/>
    <w:bookmarkEnd w:id="21"/>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21</w:t>
      </w:r>
    </w:p>
    <w:p>
      <w:pPr>
        <w:spacing w:after="0" w:line="342"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CONSOLIDATED STATEMENTS OF SHAREHOLDERS' INVESTMENT</w:t>
      </w:r>
    </w:p>
    <w:p>
      <w:pPr>
        <w:spacing w:after="0" w:line="8"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FOR THE YEARS ENDED DECEMBER 31, 2000, 1999, AND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7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Common Stock</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Additional</w:t>
            </w: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040" w:type="dxa"/>
            <w:vAlign w:val="bottom"/>
          </w:tcPr>
          <w:p>
            <w:pPr>
              <w:spacing w:after="0"/>
              <w:rPr>
                <w:sz w:val="14"/>
                <w:szCs w:val="14"/>
                <w:color w:val="auto"/>
              </w:rPr>
            </w:pPr>
          </w:p>
        </w:tc>
        <w:tc>
          <w:tcPr>
            <w:tcW w:w="27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Paid-In</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Comprehensive</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Retained</w:t>
            </w:r>
          </w:p>
        </w:tc>
      </w:tr>
      <w:tr>
        <w:trPr>
          <w:trHeight w:val="167"/>
        </w:trPr>
        <w:tc>
          <w:tcPr>
            <w:tcW w:w="4040" w:type="dxa"/>
            <w:vAlign w:val="bottom"/>
          </w:tcPr>
          <w:p>
            <w:pPr>
              <w:spacing w:after="0"/>
              <w:rPr>
                <w:sz w:val="14"/>
                <w:szCs w:val="14"/>
                <w:color w:val="auto"/>
              </w:rPr>
            </w:pPr>
          </w:p>
        </w:tc>
        <w:tc>
          <w:tcPr>
            <w:tcW w:w="162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Capital</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w:t>
            </w:r>
          </w:p>
        </w:tc>
      </w:tr>
      <w:tr>
        <w:trPr>
          <w:trHeight w:val="167"/>
        </w:trPr>
        <w:tc>
          <w:tcPr>
            <w:tcW w:w="4040" w:type="dxa"/>
            <w:vAlign w:val="bottom"/>
          </w:tcPr>
          <w:p>
            <w:pPr>
              <w:spacing w:after="0"/>
              <w:rPr>
                <w:sz w:val="14"/>
                <w:szCs w:val="14"/>
                <w:color w:val="auto"/>
              </w:rPr>
            </w:pPr>
          </w:p>
        </w:tc>
        <w:tc>
          <w:tcPr>
            <w:tcW w:w="162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404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1997</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35,399,147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$ 2,123,949</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$ 53,654,663</w:t>
            </w:r>
          </w:p>
        </w:tc>
        <w:tc>
          <w:tcPr>
            <w:tcW w:w="1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$ 117,498,700</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of stock plan transactions</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1,023,593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61,416</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13,371,605</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Stock split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35,836,177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2,150,170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(2,150,170)</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$50,307,130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50,307,130</w:t>
            </w:r>
          </w:p>
        </w:tc>
      </w:tr>
      <w:tr>
        <w:trPr>
          <w:trHeight w:val="334"/>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40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translation adjustment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58,177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ind w:left="440"/>
              <w:spacing w:after="0"/>
              <w:rPr>
                <w:sz w:val="20"/>
                <w:szCs w:val="20"/>
                <w:color w:val="auto"/>
              </w:rPr>
            </w:pPr>
            <w:r>
              <w:rPr>
                <w:rFonts w:ascii="Courier New" w:cs="Courier New" w:eastAsia="Courier New" w:hAnsi="Courier New"/>
                <w:sz w:val="14"/>
                <w:szCs w:val="14"/>
                <w:color w:val="auto"/>
              </w:rPr>
              <w:t>Unrealized gain on investments</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423,200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7"/>
        </w:trPr>
        <w:tc>
          <w:tcPr>
            <w:tcW w:w="4040" w:type="dxa"/>
            <w:vAlign w:val="bottom"/>
          </w:tcPr>
          <w:p>
            <w:pPr>
              <w:ind w:left="880"/>
              <w:spacing w:after="0"/>
              <w:rPr>
                <w:sz w:val="20"/>
                <w:szCs w:val="20"/>
                <w:color w:val="auto"/>
              </w:rPr>
            </w:pPr>
            <w:r>
              <w:rPr>
                <w:rFonts w:ascii="Courier New" w:cs="Courier New" w:eastAsia="Courier New" w:hAnsi="Courier New"/>
                <w:sz w:val="14"/>
                <w:szCs w:val="14"/>
                <w:color w:val="auto"/>
              </w:rPr>
              <w:t>Other comprehensive income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481,377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7"/>
        </w:trPr>
        <w:tc>
          <w:tcPr>
            <w:tcW w:w="4040" w:type="dxa"/>
            <w:vAlign w:val="bottom"/>
          </w:tcPr>
          <w:p>
            <w:pPr>
              <w:ind w:left="1320"/>
              <w:spacing w:after="0"/>
              <w:rPr>
                <w:sz w:val="20"/>
                <w:szCs w:val="20"/>
                <w:color w:val="auto"/>
              </w:rPr>
            </w:pPr>
            <w:r>
              <w:rPr>
                <w:rFonts w:ascii="Courier New" w:cs="Courier New" w:eastAsia="Courier New" w:hAnsi="Courier New"/>
                <w:sz w:val="14"/>
                <w:szCs w:val="14"/>
                <w:color w:val="auto"/>
              </w:rPr>
              <w:t>Comprehensive income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$50,788,507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1998</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72,258,917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4,335,535</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64,876,098</w:t>
            </w:r>
          </w:p>
        </w:tc>
        <w:tc>
          <w:tcPr>
            <w:tcW w:w="1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167,805,830</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of stock plan transactions</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1,153,399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69,204</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14,794,203</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$64,863,756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64,863,756</w:t>
            </w:r>
          </w:p>
        </w:tc>
      </w:tr>
      <w:tr>
        <w:trPr>
          <w:trHeight w:val="334"/>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40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translation adjustment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ind w:left="440"/>
              <w:spacing w:after="0"/>
              <w:rPr>
                <w:sz w:val="20"/>
                <w:szCs w:val="20"/>
                <w:color w:val="auto"/>
              </w:rPr>
            </w:pPr>
            <w:r>
              <w:rPr>
                <w:rFonts w:ascii="Courier New" w:cs="Courier New" w:eastAsia="Courier New" w:hAnsi="Courier New"/>
                <w:sz w:val="14"/>
                <w:szCs w:val="14"/>
                <w:color w:val="auto"/>
              </w:rPr>
              <w:t>Unrealized gain on investments</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359,069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7"/>
        </w:trPr>
        <w:tc>
          <w:tcPr>
            <w:tcW w:w="4040" w:type="dxa"/>
            <w:vAlign w:val="bottom"/>
          </w:tcPr>
          <w:p>
            <w:pPr>
              <w:ind w:left="880"/>
              <w:spacing w:after="0"/>
              <w:rPr>
                <w:sz w:val="20"/>
                <w:szCs w:val="20"/>
                <w:color w:val="auto"/>
              </w:rPr>
            </w:pPr>
            <w:r>
              <w:rPr>
                <w:rFonts w:ascii="Courier New" w:cs="Courier New" w:eastAsia="Courier New" w:hAnsi="Courier New"/>
                <w:sz w:val="14"/>
                <w:szCs w:val="14"/>
                <w:color w:val="auto"/>
              </w:rPr>
              <w:t>Other comprehensive income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332,564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7"/>
        </w:trPr>
        <w:tc>
          <w:tcPr>
            <w:tcW w:w="4040" w:type="dxa"/>
            <w:vAlign w:val="bottom"/>
          </w:tcPr>
          <w:p>
            <w:pPr>
              <w:ind w:left="1320"/>
              <w:spacing w:after="0"/>
              <w:rPr>
                <w:sz w:val="20"/>
                <w:szCs w:val="20"/>
                <w:color w:val="auto"/>
              </w:rPr>
            </w:pPr>
            <w:r>
              <w:rPr>
                <w:rFonts w:ascii="Courier New" w:cs="Courier New" w:eastAsia="Courier New" w:hAnsi="Courier New"/>
                <w:sz w:val="14"/>
                <w:szCs w:val="14"/>
                <w:color w:val="auto"/>
              </w:rPr>
              <w:t>Comprehensive income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$65,196,320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1999</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73,412,316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4,404,739</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79,670,301</w:t>
            </w:r>
          </w:p>
        </w:tc>
        <w:tc>
          <w:tcPr>
            <w:tcW w:w="1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232,669,586</w:t>
            </w:r>
          </w:p>
        </w:tc>
      </w:tr>
      <w:tr>
        <w:trPr>
          <w:trHeight w:val="501"/>
        </w:trPr>
        <w:tc>
          <w:tcPr>
            <w:tcW w:w="4040" w:type="dxa"/>
            <w:vAlign w:val="bottom"/>
          </w:tcPr>
          <w:p>
            <w:pPr>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1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of stock plan transactions</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878,766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52,726</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12,462,316</w:t>
            </w:r>
          </w:p>
        </w:tc>
        <w:tc>
          <w:tcPr>
            <w:tcW w:w="1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$70,544,066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70,544,066</w:t>
            </w: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7"/>
        </w:trPr>
        <w:tc>
          <w:tcPr>
            <w:tcW w:w="40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translation adjustment</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(53,566)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ind w:left="440"/>
              <w:spacing w:after="0"/>
              <w:rPr>
                <w:sz w:val="20"/>
                <w:szCs w:val="20"/>
                <w:color w:val="auto"/>
              </w:rPr>
            </w:pPr>
            <w:r>
              <w:rPr>
                <w:rFonts w:ascii="Courier New" w:cs="Courier New" w:eastAsia="Courier New" w:hAnsi="Courier New"/>
                <w:sz w:val="14"/>
                <w:szCs w:val="14"/>
                <w:color w:val="auto"/>
              </w:rPr>
              <w:t>Unrealized gain on investments</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2,508,291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7"/>
        </w:trPr>
        <w:tc>
          <w:tcPr>
            <w:tcW w:w="4040" w:type="dxa"/>
            <w:vAlign w:val="bottom"/>
          </w:tcPr>
          <w:p>
            <w:pPr>
              <w:ind w:left="880"/>
              <w:spacing w:after="0"/>
              <w:rPr>
                <w:sz w:val="20"/>
                <w:szCs w:val="20"/>
                <w:color w:val="auto"/>
              </w:rPr>
            </w:pPr>
            <w:r>
              <w:rPr>
                <w:rFonts w:ascii="Courier New" w:cs="Courier New" w:eastAsia="Courier New" w:hAnsi="Courier New"/>
                <w:sz w:val="14"/>
                <w:szCs w:val="14"/>
                <w:color w:val="auto"/>
              </w:rPr>
              <w:t>Other comprehensive income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2,454,725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7"/>
        </w:trPr>
        <w:tc>
          <w:tcPr>
            <w:tcW w:w="4040" w:type="dxa"/>
            <w:vAlign w:val="bottom"/>
          </w:tcPr>
          <w:p>
            <w:pPr>
              <w:ind w:left="1320"/>
              <w:spacing w:after="0"/>
              <w:rPr>
                <w:sz w:val="20"/>
                <w:szCs w:val="20"/>
                <w:color w:val="auto"/>
              </w:rPr>
            </w:pPr>
            <w:r>
              <w:rPr>
                <w:rFonts w:ascii="Courier New" w:cs="Courier New" w:eastAsia="Courier New" w:hAnsi="Courier New"/>
                <w:sz w:val="14"/>
                <w:szCs w:val="14"/>
                <w:color w:val="auto"/>
              </w:rPr>
              <w:t>Comprehensive income</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$72,998,791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BALANCE AS OF DECEMBER 31, 2000</w:t>
            </w: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74,291,082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$4,457,465</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$92,132,617</w:t>
            </w:r>
          </w:p>
        </w:tc>
        <w:tc>
          <w:tcPr>
            <w:tcW w:w="1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$303,213,652</w:t>
            </w:r>
          </w:p>
        </w:tc>
      </w:tr>
      <w:tr>
        <w:trPr>
          <w:trHeight w:val="167"/>
        </w:trPr>
        <w:tc>
          <w:tcPr>
            <w:tcW w:w="4040" w:type="dxa"/>
            <w:vAlign w:val="bottom"/>
          </w:tcPr>
          <w:p>
            <w:pPr>
              <w:spacing w:after="0"/>
              <w:rPr>
                <w:sz w:val="14"/>
                <w:szCs w:val="14"/>
                <w:color w:val="auto"/>
              </w:rPr>
            </w:pPr>
          </w:p>
        </w:tc>
        <w:tc>
          <w:tcPr>
            <w:tcW w:w="1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w:t>
            </w:r>
          </w:p>
        </w:tc>
        <w:tc>
          <w:tcPr>
            <w:tcW w:w="1260" w:type="dxa"/>
            <w:vAlign w:val="bottom"/>
          </w:tcPr>
          <w:p>
            <w:pPr>
              <w:spacing w:after="0"/>
              <w:rPr>
                <w:sz w:val="14"/>
                <w:szCs w:val="14"/>
                <w:color w:val="auto"/>
              </w:rPr>
            </w:pPr>
          </w:p>
        </w:tc>
      </w:tr>
      <w:tr>
        <w:trPr>
          <w:trHeight w:val="167"/>
        </w:trPr>
        <w:tc>
          <w:tcPr>
            <w:tcW w:w="4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Other</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300" w:type="dxa"/>
            <w:vAlign w:val="bottom"/>
          </w:tcPr>
          <w:p>
            <w:pPr>
              <w:spacing w:after="0"/>
              <w:rPr>
                <w:sz w:val="14"/>
                <w:szCs w:val="14"/>
                <w:color w:val="auto"/>
              </w:rPr>
            </w:pPr>
          </w:p>
        </w:tc>
        <w:tc>
          <w:tcPr>
            <w:tcW w:w="1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Deferred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Comprehensive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Shareholders'</w:t>
            </w:r>
          </w:p>
        </w:tc>
      </w:tr>
      <w:tr>
        <w:trPr>
          <w:trHeight w:val="167"/>
        </w:trPr>
        <w:tc>
          <w:tcPr>
            <w:tcW w:w="4300" w:type="dxa"/>
            <w:vAlign w:val="bottom"/>
          </w:tcPr>
          <w:p>
            <w:pPr>
              <w:spacing w:after="0"/>
              <w:rPr>
                <w:sz w:val="14"/>
                <w:szCs w:val="14"/>
                <w:color w:val="auto"/>
              </w:rPr>
            </w:pP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Compensation</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Income</w:t>
            </w:r>
          </w:p>
        </w:tc>
        <w:tc>
          <w:tcPr>
            <w:tcW w:w="1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Investment</w:t>
            </w:r>
          </w:p>
        </w:tc>
      </w:tr>
      <w:tr>
        <w:trPr>
          <w:trHeight w:val="167"/>
        </w:trPr>
        <w:tc>
          <w:tcPr>
            <w:tcW w:w="4300" w:type="dxa"/>
            <w:vAlign w:val="bottom"/>
          </w:tcPr>
          <w:p>
            <w:pPr>
              <w:spacing w:after="0"/>
              <w:rPr>
                <w:sz w:val="14"/>
                <w:szCs w:val="14"/>
                <w:color w:val="auto"/>
              </w:rPr>
            </w:pP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668"/>
        </w:trPr>
        <w:tc>
          <w:tcPr>
            <w:tcW w:w="430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1997</w:t>
            </w:r>
          </w:p>
        </w:tc>
        <w:tc>
          <w:tcPr>
            <w:tcW w:w="1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($1,635,623)</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$ 1,563,488</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$ 173,205,177</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of stock plan transactions</w:t>
            </w:r>
          </w:p>
        </w:tc>
        <w:tc>
          <w:tcPr>
            <w:tcW w:w="1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(990,218)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12,442,803</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571,731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571,731</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Stock split</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50,307,130</w:t>
            </w:r>
          </w:p>
        </w:tc>
      </w:tr>
      <w:tr>
        <w:trPr>
          <w:trHeight w:val="334"/>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430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translation adjustment</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440"/>
              <w:spacing w:after="0"/>
              <w:rPr>
                <w:sz w:val="20"/>
                <w:szCs w:val="20"/>
                <w:color w:val="auto"/>
              </w:rPr>
            </w:pPr>
            <w:r>
              <w:rPr>
                <w:rFonts w:ascii="Courier New" w:cs="Courier New" w:eastAsia="Courier New" w:hAnsi="Courier New"/>
                <w:sz w:val="14"/>
                <w:szCs w:val="14"/>
                <w:color w:val="auto"/>
              </w:rPr>
              <w:t>Unrealized gain on investments</w:t>
            </w:r>
          </w:p>
        </w:tc>
        <w:tc>
          <w:tcPr>
            <w:tcW w:w="1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9" w:orient="portrait"/>
          <w:cols w:equalWidth="0" w:num="1">
            <w:col w:w="10680"/>
          </w:cols>
          <w:pgMar w:left="220" w:top="286" w:right="99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ind w:left="880"/>
              <w:spacing w:after="0"/>
              <w:rPr>
                <w:sz w:val="20"/>
                <w:szCs w:val="20"/>
                <w:color w:val="auto"/>
              </w:rPr>
            </w:pPr>
            <w:r>
              <w:rPr>
                <w:rFonts w:ascii="Courier New" w:cs="Courier New" w:eastAsia="Courier New" w:hAnsi="Courier New"/>
                <w:sz w:val="14"/>
                <w:szCs w:val="14"/>
                <w:color w:val="auto"/>
              </w:rPr>
              <w:t>Other comprehensive income</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481,377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481,377</w:t>
            </w:r>
          </w:p>
        </w:tc>
      </w:tr>
      <w:tr>
        <w:trPr>
          <w:trHeight w:val="334"/>
        </w:trPr>
        <w:tc>
          <w:tcPr>
            <w:tcW w:w="43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Comprehensive income</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1998</w:t>
            </w:r>
          </w:p>
        </w:tc>
        <w:tc>
          <w:tcPr>
            <w:tcW w:w="1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(2,054,110)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2,044,865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237,008,218</w:t>
            </w: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of stock plan transactions</w:t>
            </w:r>
          </w:p>
        </w:tc>
        <w:tc>
          <w:tcPr>
            <w:tcW w:w="1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(759,504)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14,103,903</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742,975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742,975</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64,863,756</w:t>
            </w:r>
          </w:p>
        </w:tc>
      </w:tr>
      <w:tr>
        <w:trPr>
          <w:trHeight w:val="334"/>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translation adjustment</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Unrealized gain on investments</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tcPr>
          <w:p>
            <w:pPr>
              <w:ind w:left="880"/>
              <w:spacing w:after="0"/>
              <w:rPr>
                <w:sz w:val="20"/>
                <w:szCs w:val="20"/>
                <w:color w:val="auto"/>
              </w:rPr>
            </w:pPr>
            <w:r>
              <w:rPr>
                <w:rFonts w:ascii="Courier New" w:cs="Courier New" w:eastAsia="Courier New" w:hAnsi="Courier New"/>
                <w:sz w:val="14"/>
                <w:szCs w:val="14"/>
                <w:color w:val="auto"/>
              </w:rPr>
              <w:t>Other comprehensive income</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332,564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332,564</w:t>
            </w:r>
          </w:p>
        </w:tc>
      </w:tr>
      <w:tr>
        <w:trPr>
          <w:trHeight w:val="334"/>
        </w:trPr>
        <w:tc>
          <w:tcPr>
            <w:tcW w:w="43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Comprehensive income</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BALANCE AS OF DECEMBER 31, 1999</w:t>
            </w:r>
          </w:p>
        </w:tc>
        <w:tc>
          <w:tcPr>
            <w:tcW w:w="1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(2,070,639)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2,377,429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317,051,416</w:t>
            </w:r>
          </w:p>
        </w:tc>
      </w:tr>
      <w:tr>
        <w:trPr>
          <w:trHeight w:val="501"/>
        </w:trPr>
        <w:tc>
          <w:tcPr>
            <w:tcW w:w="4340" w:type="dxa"/>
            <w:vAlign w:val="bottom"/>
          </w:tcPr>
          <w:p>
            <w:pPr>
              <w:spacing w:after="0"/>
              <w:rPr>
                <w:sz w:val="20"/>
                <w:szCs w:val="20"/>
                <w:color w:val="auto"/>
              </w:rPr>
            </w:pPr>
            <w:r>
              <w:rPr>
                <w:rFonts w:ascii="Courier New" w:cs="Courier New" w:eastAsia="Courier New" w:hAnsi="Courier New"/>
                <w:sz w:val="14"/>
                <w:szCs w:val="14"/>
                <w:color w:val="auto"/>
              </w:rPr>
              <w:t>Issuance of common stock and the tax benefit</w:t>
            </w: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of stock plan transactions</w:t>
            </w:r>
          </w:p>
        </w:tc>
        <w:tc>
          <w:tcPr>
            <w:tcW w:w="1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(1,269,959)</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11,245,083</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Amortization of deferred compensation</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808,271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808,271</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70,544,066</w:t>
            </w:r>
          </w:p>
        </w:tc>
      </w:tr>
      <w:tr>
        <w:trPr>
          <w:trHeight w:val="167"/>
        </w:trPr>
        <w:tc>
          <w:tcPr>
            <w:tcW w:w="434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1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4340" w:type="dxa"/>
            <w:vAlign w:val="bottom"/>
          </w:tcPr>
          <w:p>
            <w:pPr>
              <w:ind w:left="440"/>
              <w:spacing w:after="0"/>
              <w:rPr>
                <w:sz w:val="20"/>
                <w:szCs w:val="20"/>
                <w:color w:val="auto"/>
              </w:rPr>
            </w:pPr>
            <w:r>
              <w:rPr>
                <w:rFonts w:ascii="Courier New" w:cs="Courier New" w:eastAsia="Courier New" w:hAnsi="Courier New"/>
                <w:sz w:val="14"/>
                <w:szCs w:val="14"/>
                <w:color w:val="auto"/>
              </w:rPr>
              <w:t>Foreign currency translation adjustment</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Unrealized gain on investments</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tcPr>
          <w:p>
            <w:pPr>
              <w:ind w:left="880"/>
              <w:spacing w:after="0"/>
              <w:rPr>
                <w:sz w:val="20"/>
                <w:szCs w:val="20"/>
                <w:color w:val="auto"/>
              </w:rPr>
            </w:pPr>
            <w:r>
              <w:rPr>
                <w:rFonts w:ascii="Courier New" w:cs="Courier New" w:eastAsia="Courier New" w:hAnsi="Courier New"/>
                <w:sz w:val="14"/>
                <w:szCs w:val="14"/>
                <w:color w:val="auto"/>
              </w:rPr>
              <w:t>Other comprehensive income</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2,454,725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2,454,725</w:t>
            </w:r>
          </w:p>
        </w:tc>
      </w:tr>
      <w:tr>
        <w:trPr>
          <w:trHeight w:val="334"/>
        </w:trPr>
        <w:tc>
          <w:tcPr>
            <w:tcW w:w="43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Comprehensive income</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BALANCE AS OF DECEMBER 31, 2000</w:t>
            </w:r>
          </w:p>
        </w:tc>
        <w:tc>
          <w:tcPr>
            <w:tcW w:w="1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$(2,532,327)</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$4,832,154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$402,103,561</w:t>
            </w:r>
          </w:p>
        </w:tc>
      </w:tr>
      <w:tr>
        <w:trPr>
          <w:trHeight w:val="167"/>
        </w:trPr>
        <w:tc>
          <w:tcPr>
            <w:tcW w:w="4340" w:type="dxa"/>
            <w:vAlign w:val="bottom"/>
          </w:tcPr>
          <w:p>
            <w:pPr>
              <w:spacing w:after="0"/>
              <w:rPr>
                <w:sz w:val="14"/>
                <w:szCs w:val="14"/>
                <w:color w:val="auto"/>
              </w:rPr>
            </w:pP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4"/>
          <w:szCs w:val="14"/>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308"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309"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FOR THE YEARS ENDED DECEMBER 31, 2000, 1999, AND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14"/>
                <w:szCs w:val="14"/>
                <w:color w:val="auto"/>
              </w:rPr>
            </w:pPr>
          </w:p>
        </w:tc>
        <w:tc>
          <w:tcPr>
            <w:tcW w:w="1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1999</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5180" w:type="dxa"/>
            <w:vAlign w:val="bottom"/>
          </w:tcPr>
          <w:p>
            <w:pPr>
              <w:spacing w:after="0"/>
              <w:rPr>
                <w:sz w:val="14"/>
                <w:szCs w:val="14"/>
                <w:color w:val="auto"/>
              </w:rPr>
            </w:pPr>
          </w:p>
        </w:tc>
        <w:tc>
          <w:tcPr>
            <w:tcW w:w="2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70,544,066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64,863,756</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50,307,130</w:t>
            </w: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income to net</w:t>
            </w: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cash provided by operating activities-</w:t>
            </w: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5180" w:type="dxa"/>
            <w:vAlign w:val="bottom"/>
          </w:tcPr>
          <w:p>
            <w:pPr>
              <w:ind w:left="700"/>
              <w:spacing w:after="0"/>
              <w:rPr>
                <w:sz w:val="20"/>
                <w:szCs w:val="20"/>
                <w:color w:val="auto"/>
              </w:rPr>
            </w:pPr>
            <w:r>
              <w:rPr>
                <w:rFonts w:ascii="Courier New" w:cs="Courier New" w:eastAsia="Courier New" w:hAnsi="Courier New"/>
                <w:sz w:val="14"/>
                <w:szCs w:val="14"/>
                <w:color w:val="auto"/>
              </w:rPr>
              <w:t>Depreciation and amortization</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11,334,104</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9,656,700</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7,522,521</w:t>
            </w:r>
          </w:p>
        </w:tc>
      </w:tr>
      <w:tr>
        <w:trPr>
          <w:trHeight w:val="167"/>
        </w:trPr>
        <w:tc>
          <w:tcPr>
            <w:tcW w:w="5180" w:type="dxa"/>
            <w:vAlign w:val="bottom"/>
          </w:tcPr>
          <w:p>
            <w:pPr>
              <w:ind w:left="700"/>
              <w:spacing w:after="0"/>
              <w:rPr>
                <w:sz w:val="20"/>
                <w:szCs w:val="20"/>
                <w:color w:val="auto"/>
              </w:rPr>
            </w:pPr>
            <w:r>
              <w:rPr>
                <w:rFonts w:ascii="Courier New" w:cs="Courier New" w:eastAsia="Courier New" w:hAnsi="Courier New"/>
                <w:sz w:val="14"/>
                <w:szCs w:val="14"/>
                <w:color w:val="auto"/>
              </w:rPr>
              <w:t>(Gain) loss on disposal of equipment</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5,026</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(112,252)</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111,218</w:t>
            </w:r>
          </w:p>
        </w:tc>
      </w:tr>
      <w:tr>
        <w:trPr>
          <w:trHeight w:val="167"/>
        </w:trPr>
        <w:tc>
          <w:tcPr>
            <w:tcW w:w="5180" w:type="dxa"/>
            <w:vAlign w:val="bottom"/>
          </w:tcPr>
          <w:p>
            <w:pPr>
              <w:ind w:left="700"/>
              <w:spacing w:after="0"/>
              <w:rPr>
                <w:sz w:val="20"/>
                <w:szCs w:val="20"/>
                <w:color w:val="auto"/>
              </w:rPr>
            </w:pPr>
            <w:r>
              <w:rPr>
                <w:rFonts w:ascii="Courier New" w:cs="Courier New" w:eastAsia="Courier New" w:hAnsi="Courier New"/>
                <w:sz w:val="14"/>
                <w:szCs w:val="14"/>
                <w:color w:val="auto"/>
              </w:rPr>
              <w:t>Gain on sale of investments</w:t>
            </w:r>
          </w:p>
        </w:tc>
        <w:tc>
          <w:tcPr>
            <w:tcW w:w="2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(1,443,772)</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(2,580,397)</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(1,557,458)</w:t>
            </w:r>
          </w:p>
        </w:tc>
      </w:tr>
      <w:tr>
        <w:trPr>
          <w:trHeight w:val="167"/>
        </w:trPr>
        <w:tc>
          <w:tcPr>
            <w:tcW w:w="5180" w:type="dxa"/>
            <w:vAlign w:val="bottom"/>
          </w:tcPr>
          <w:p>
            <w:pPr>
              <w:ind w:left="700"/>
              <w:spacing w:after="0"/>
              <w:rPr>
                <w:sz w:val="20"/>
                <w:szCs w:val="20"/>
                <w:color w:val="auto"/>
              </w:rPr>
            </w:pPr>
            <w:r>
              <w:rPr>
                <w:rFonts w:ascii="Courier New" w:cs="Courier New" w:eastAsia="Courier New" w:hAnsi="Courier New"/>
                <w:sz w:val="14"/>
                <w:szCs w:val="14"/>
                <w:color w:val="auto"/>
              </w:rPr>
              <w:t>Loss on sale of investments</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2,068,229</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1,068,288</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620,098</w:t>
            </w:r>
          </w:p>
        </w:tc>
      </w:tr>
      <w:tr>
        <w:trPr>
          <w:trHeight w:val="167"/>
        </w:trPr>
        <w:tc>
          <w:tcPr>
            <w:tcW w:w="5180" w:type="dxa"/>
            <w:vAlign w:val="bottom"/>
          </w:tcPr>
          <w:p>
            <w:pPr>
              <w:ind w:left="700"/>
              <w:spacing w:after="0"/>
              <w:rPr>
                <w:sz w:val="20"/>
                <w:szCs w:val="20"/>
                <w:color w:val="auto"/>
              </w:rPr>
            </w:pPr>
            <w:r>
              <w:rPr>
                <w:rFonts w:ascii="Courier New" w:cs="Courier New" w:eastAsia="Courier New" w:hAnsi="Courier New"/>
                <w:sz w:val="14"/>
                <w:szCs w:val="14"/>
                <w:color w:val="auto"/>
              </w:rPr>
              <w:t>Deferred income taxes</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497,162</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719,999</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456,474</w:t>
            </w:r>
          </w:p>
        </w:tc>
      </w:tr>
      <w:tr>
        <w:trPr>
          <w:trHeight w:val="167"/>
        </w:trPr>
        <w:tc>
          <w:tcPr>
            <w:tcW w:w="5180" w:type="dxa"/>
            <w:vAlign w:val="bottom"/>
          </w:tcPr>
          <w:p>
            <w:pPr>
              <w:ind w:left="700"/>
              <w:spacing w:after="0"/>
              <w:rPr>
                <w:sz w:val="20"/>
                <w:szCs w:val="20"/>
                <w:color w:val="auto"/>
              </w:rPr>
            </w:pPr>
            <w:r>
              <w:rPr>
                <w:rFonts w:ascii="Courier New" w:cs="Courier New" w:eastAsia="Courier New" w:hAnsi="Courier New"/>
                <w:sz w:val="14"/>
                <w:szCs w:val="14"/>
                <w:color w:val="auto"/>
              </w:rPr>
              <w:t>Amortization of deferred compensation</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808,271</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742,975</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571,731</w:t>
            </w:r>
          </w:p>
        </w:tc>
      </w:tr>
      <w:tr>
        <w:trPr>
          <w:trHeight w:val="167"/>
        </w:trPr>
        <w:tc>
          <w:tcPr>
            <w:tcW w:w="5180" w:type="dxa"/>
            <w:vAlign w:val="bottom"/>
          </w:tcPr>
          <w:p>
            <w:pPr>
              <w:ind w:left="700"/>
              <w:spacing w:after="0"/>
              <w:rPr>
                <w:sz w:val="20"/>
                <w:szCs w:val="20"/>
                <w:color w:val="auto"/>
              </w:rPr>
            </w:pPr>
            <w:r>
              <w:rPr>
                <w:rFonts w:ascii="Courier New" w:cs="Courier New" w:eastAsia="Courier New" w:hAnsi="Courier New"/>
                <w:sz w:val="14"/>
                <w:szCs w:val="14"/>
                <w:color w:val="auto"/>
              </w:rPr>
              <w:t>Change in operating assets and liabilities:</w:t>
            </w: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5180" w:type="dxa"/>
            <w:vAlign w:val="bottom"/>
          </w:tcPr>
          <w:p>
            <w:pPr>
              <w:ind w:left="880"/>
              <w:spacing w:after="0"/>
              <w:rPr>
                <w:sz w:val="20"/>
                <w:szCs w:val="20"/>
                <w:color w:val="auto"/>
              </w:rPr>
            </w:pPr>
            <w:r>
              <w:rPr>
                <w:rFonts w:ascii="Courier New" w:cs="Courier New" w:eastAsia="Courier New" w:hAnsi="Courier New"/>
                <w:sz w:val="14"/>
                <w:szCs w:val="14"/>
                <w:color w:val="auto"/>
              </w:rPr>
              <w:t>Accounts receivable, net</w:t>
            </w:r>
          </w:p>
        </w:tc>
        <w:tc>
          <w:tcPr>
            <w:tcW w:w="2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(4,981,168)</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(376,706)</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(5,741,270)</w:t>
            </w:r>
          </w:p>
        </w:tc>
      </w:tr>
      <w:tr>
        <w:trPr>
          <w:trHeight w:val="167"/>
        </w:trPr>
        <w:tc>
          <w:tcPr>
            <w:tcW w:w="5180" w:type="dxa"/>
            <w:vAlign w:val="bottom"/>
          </w:tcPr>
          <w:p>
            <w:pPr>
              <w:ind w:left="880"/>
              <w:spacing w:after="0"/>
              <w:rPr>
                <w:sz w:val="20"/>
                <w:szCs w:val="20"/>
                <w:color w:val="auto"/>
              </w:rPr>
            </w:pPr>
            <w:r>
              <w:rPr>
                <w:rFonts w:ascii="Courier New" w:cs="Courier New" w:eastAsia="Courier New" w:hAnsi="Courier New"/>
                <w:sz w:val="14"/>
                <w:szCs w:val="14"/>
                <w:color w:val="auto"/>
              </w:rPr>
              <w:t>Inventories</w:t>
            </w:r>
          </w:p>
        </w:tc>
        <w:tc>
          <w:tcPr>
            <w:tcW w:w="2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(2,112,335)</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(1,248,758)</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61,269</w:t>
            </w:r>
          </w:p>
        </w:tc>
      </w:tr>
      <w:tr>
        <w:trPr>
          <w:trHeight w:val="167"/>
        </w:trPr>
        <w:tc>
          <w:tcPr>
            <w:tcW w:w="5180" w:type="dxa"/>
            <w:vAlign w:val="bottom"/>
          </w:tcPr>
          <w:p>
            <w:pPr>
              <w:ind w:left="880"/>
              <w:spacing w:after="0"/>
              <w:rPr>
                <w:sz w:val="20"/>
                <w:szCs w:val="20"/>
                <w:color w:val="auto"/>
              </w:rPr>
            </w:pPr>
            <w:r>
              <w:rPr>
                <w:rFonts w:ascii="Courier New" w:cs="Courier New" w:eastAsia="Courier New" w:hAnsi="Courier New"/>
                <w:sz w:val="14"/>
                <w:szCs w:val="14"/>
                <w:color w:val="auto"/>
              </w:rPr>
              <w:t>Prepaid expenses and other</w:t>
            </w:r>
          </w:p>
        </w:tc>
        <w:tc>
          <w:tcPr>
            <w:tcW w:w="2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(1,202,885)</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(358,346)</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(463,089)</w:t>
            </w:r>
          </w:p>
        </w:tc>
      </w:tr>
      <w:tr>
        <w:trPr>
          <w:trHeight w:val="167"/>
        </w:trPr>
        <w:tc>
          <w:tcPr>
            <w:tcW w:w="5180" w:type="dxa"/>
            <w:vAlign w:val="bottom"/>
          </w:tcPr>
          <w:p>
            <w:pPr>
              <w:ind w:left="880"/>
              <w:spacing w:after="0"/>
              <w:rPr>
                <w:sz w:val="20"/>
                <w:szCs w:val="20"/>
                <w:color w:val="auto"/>
              </w:rPr>
            </w:pPr>
            <w:r>
              <w:rPr>
                <w:rFonts w:ascii="Courier New" w:cs="Courier New" w:eastAsia="Courier New" w:hAnsi="Courier New"/>
                <w:sz w:val="14"/>
                <w:szCs w:val="14"/>
                <w:color w:val="auto"/>
              </w:rPr>
              <w:t>Accounts payable</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1,039,828</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685,394</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(1,157,323)</w:t>
            </w:r>
          </w:p>
        </w:tc>
      </w:tr>
      <w:tr>
        <w:trPr>
          <w:trHeight w:val="167"/>
        </w:trPr>
        <w:tc>
          <w:tcPr>
            <w:tcW w:w="5180" w:type="dxa"/>
            <w:vAlign w:val="bottom"/>
          </w:tcPr>
          <w:p>
            <w:pPr>
              <w:ind w:left="880"/>
              <w:spacing w:after="0"/>
              <w:rPr>
                <w:sz w:val="20"/>
                <w:szCs w:val="20"/>
                <w:color w:val="auto"/>
              </w:rPr>
            </w:pPr>
            <w:r>
              <w:rPr>
                <w:rFonts w:ascii="Courier New" w:cs="Courier New" w:eastAsia="Courier New" w:hAnsi="Courier New"/>
                <w:sz w:val="14"/>
                <w:szCs w:val="14"/>
                <w:color w:val="auto"/>
              </w:rPr>
              <w:t>Accrued liabilities</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2,181,213</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937,927</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1,412,989</w:t>
            </w:r>
          </w:p>
        </w:tc>
      </w:tr>
      <w:tr>
        <w:trPr>
          <w:trHeight w:val="167"/>
        </w:trPr>
        <w:tc>
          <w:tcPr>
            <w:tcW w:w="5180" w:type="dxa"/>
            <w:vAlign w:val="bottom"/>
          </w:tcPr>
          <w:p>
            <w:pPr>
              <w:spacing w:after="0"/>
              <w:rPr>
                <w:sz w:val="14"/>
                <w:szCs w:val="14"/>
                <w:color w:val="auto"/>
              </w:rPr>
            </w:pP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ind w:left="1140"/>
              <w:spacing w:after="0"/>
              <w:rPr>
                <w:sz w:val="20"/>
                <w:szCs w:val="20"/>
                <w:color w:val="auto"/>
              </w:rPr>
            </w:pPr>
            <w:r>
              <w:rPr>
                <w:rFonts w:ascii="Courier New" w:cs="Courier New" w:eastAsia="Courier New" w:hAnsi="Courier New"/>
                <w:sz w:val="14"/>
                <w:szCs w:val="14"/>
                <w:color w:val="auto"/>
              </w:rPr>
              <w:t>Net cash provided by</w:t>
            </w: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5180" w:type="dxa"/>
            <w:vAlign w:val="bottom"/>
          </w:tcPr>
          <w:p>
            <w:pPr>
              <w:ind w:left="1320"/>
              <w:spacing w:after="0"/>
              <w:rPr>
                <w:sz w:val="20"/>
                <w:szCs w:val="20"/>
                <w:color w:val="auto"/>
              </w:rPr>
            </w:pPr>
            <w:r>
              <w:rPr>
                <w:rFonts w:ascii="Courier New" w:cs="Courier New" w:eastAsia="Courier New" w:hAnsi="Courier New"/>
                <w:sz w:val="14"/>
                <w:szCs w:val="14"/>
                <w:color w:val="auto"/>
              </w:rPr>
              <w:t>operating activities</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78,737,739</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73,998,580</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52,144,290</w:t>
            </w:r>
          </w:p>
        </w:tc>
      </w:tr>
      <w:tr>
        <w:trPr>
          <w:trHeight w:val="167"/>
        </w:trPr>
        <w:tc>
          <w:tcPr>
            <w:tcW w:w="5180" w:type="dxa"/>
            <w:vAlign w:val="bottom"/>
          </w:tcPr>
          <w:p>
            <w:pPr>
              <w:spacing w:after="0"/>
              <w:rPr>
                <w:sz w:val="14"/>
                <w:szCs w:val="14"/>
                <w:color w:val="auto"/>
              </w:rPr>
            </w:pP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Activity in Held-To-Maturity Securities</w:t>
            </w: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Sales Proceeds</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952,230</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Maturities and Calls</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23,160,550</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22,755,000</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12,366,000</w:t>
            </w: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Purchases</w:t>
            </w:r>
          </w:p>
        </w:tc>
        <w:tc>
          <w:tcPr>
            <w:tcW w:w="2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(23,558,062)</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(8,753,236)</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(8,333,178)</w:t>
            </w: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Activity in Available-For-Sale Securities</w:t>
            </w: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Sales Proceeds</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7,023,476</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9,431,697</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5,028,187</w:t>
            </w: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Purchases</w:t>
            </w:r>
          </w:p>
        </w:tc>
        <w:tc>
          <w:tcPr>
            <w:tcW w:w="2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(34,284,618)</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(69,912,210)</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(25,597,708)</w:t>
            </w: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Plant and equipment additions</w:t>
            </w:r>
          </w:p>
        </w:tc>
        <w:tc>
          <w:tcPr>
            <w:tcW w:w="2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(21,617,088)</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(21,968,447)</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(24,596,224)</w:t>
            </w: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sale of plant and equipment</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51,200</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516,184</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52,615</w:t>
            </w: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Increase in other assets</w:t>
            </w:r>
          </w:p>
        </w:tc>
        <w:tc>
          <w:tcPr>
            <w:tcW w:w="2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(742,899)</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(971,246)</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(247,685)</w:t>
            </w:r>
          </w:p>
        </w:tc>
      </w:tr>
      <w:tr>
        <w:trPr>
          <w:trHeight w:val="167"/>
        </w:trPr>
        <w:tc>
          <w:tcPr>
            <w:tcW w:w="5180" w:type="dxa"/>
            <w:vAlign w:val="bottom"/>
          </w:tcPr>
          <w:p>
            <w:pPr>
              <w:spacing w:after="0"/>
              <w:rPr>
                <w:sz w:val="14"/>
                <w:szCs w:val="14"/>
                <w:color w:val="auto"/>
              </w:rPr>
            </w:pP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ind w:left="1400"/>
              <w:spacing w:after="0"/>
              <w:rPr>
                <w:sz w:val="20"/>
                <w:szCs w:val="20"/>
                <w:color w:val="auto"/>
              </w:rPr>
            </w:pPr>
            <w:r>
              <w:rPr>
                <w:rFonts w:ascii="Courier New" w:cs="Courier New" w:eastAsia="Courier New" w:hAnsi="Courier New"/>
                <w:sz w:val="14"/>
                <w:szCs w:val="14"/>
                <w:color w:val="auto"/>
              </w:rPr>
              <w:t>Net cash used for</w:t>
            </w: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5180" w:type="dxa"/>
            <w:vAlign w:val="bottom"/>
          </w:tcPr>
          <w:p>
            <w:pPr>
              <w:ind w:left="1480"/>
              <w:spacing w:after="0"/>
              <w:rPr>
                <w:sz w:val="20"/>
                <w:szCs w:val="20"/>
                <w:color w:val="auto"/>
              </w:rPr>
            </w:pPr>
            <w:r>
              <w:rPr>
                <w:rFonts w:ascii="Courier New" w:cs="Courier New" w:eastAsia="Courier New" w:hAnsi="Courier New"/>
                <w:sz w:val="14"/>
                <w:szCs w:val="14"/>
                <w:color w:val="auto"/>
              </w:rPr>
              <w:t>investing activities</w:t>
            </w:r>
          </w:p>
        </w:tc>
        <w:tc>
          <w:tcPr>
            <w:tcW w:w="2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(49,015,211)</w:t>
            </w:r>
          </w:p>
        </w:tc>
        <w:tc>
          <w:tcPr>
            <w:tcW w:w="3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(68,902,258)</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(41,327,993)</w:t>
            </w:r>
          </w:p>
        </w:tc>
      </w:tr>
      <w:tr>
        <w:trPr>
          <w:trHeight w:val="167"/>
        </w:trPr>
        <w:tc>
          <w:tcPr>
            <w:tcW w:w="5180" w:type="dxa"/>
            <w:vAlign w:val="bottom"/>
          </w:tcPr>
          <w:p>
            <w:pPr>
              <w:spacing w:after="0"/>
              <w:rPr>
                <w:sz w:val="14"/>
                <w:szCs w:val="14"/>
                <w:color w:val="auto"/>
              </w:rPr>
            </w:pP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Issuance of common stock and tax benefit of</w:t>
            </w: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5180" w:type="dxa"/>
            <w:vAlign w:val="bottom"/>
          </w:tcPr>
          <w:p>
            <w:pPr>
              <w:ind w:left="360"/>
              <w:spacing w:after="0"/>
              <w:rPr>
                <w:sz w:val="20"/>
                <w:szCs w:val="20"/>
                <w:color w:val="auto"/>
              </w:rPr>
            </w:pPr>
            <w:r>
              <w:rPr>
                <w:rFonts w:ascii="Courier New" w:cs="Courier New" w:eastAsia="Courier New" w:hAnsi="Courier New"/>
                <w:sz w:val="14"/>
                <w:szCs w:val="14"/>
                <w:color w:val="auto"/>
              </w:rPr>
              <w:t>stock plan transactions</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11,245,083</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14,103,903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12,442,803</w:t>
            </w:r>
          </w:p>
        </w:tc>
      </w:tr>
      <w:tr>
        <w:trPr>
          <w:trHeight w:val="167"/>
        </w:trPr>
        <w:tc>
          <w:tcPr>
            <w:tcW w:w="5180" w:type="dxa"/>
            <w:vAlign w:val="bottom"/>
          </w:tcPr>
          <w:p>
            <w:pPr>
              <w:spacing w:after="0"/>
              <w:rPr>
                <w:sz w:val="14"/>
                <w:szCs w:val="14"/>
                <w:color w:val="auto"/>
              </w:rPr>
            </w:pP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180" w:type="dxa"/>
            <w:vAlign w:val="bottom"/>
          </w:tcPr>
          <w:p>
            <w:pPr>
              <w:ind w:left="1400"/>
              <w:spacing w:after="0"/>
              <w:rPr>
                <w:sz w:val="20"/>
                <w:szCs w:val="20"/>
                <w:color w:val="auto"/>
              </w:rPr>
            </w:pPr>
            <w:r>
              <w:rPr>
                <w:rFonts w:ascii="Courier New" w:cs="Courier New" w:eastAsia="Courier New" w:hAnsi="Courier New"/>
                <w:sz w:val="14"/>
                <w:szCs w:val="14"/>
                <w:color w:val="auto"/>
              </w:rPr>
              <w:t>Net cash provided by</w:t>
            </w: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7"/>
        </w:trPr>
        <w:tc>
          <w:tcPr>
            <w:tcW w:w="5180" w:type="dxa"/>
            <w:vAlign w:val="bottom"/>
          </w:tcPr>
          <w:p>
            <w:pPr>
              <w:ind w:left="1480"/>
              <w:spacing w:after="0"/>
              <w:rPr>
                <w:sz w:val="20"/>
                <w:szCs w:val="20"/>
                <w:color w:val="auto"/>
              </w:rPr>
            </w:pPr>
            <w:r>
              <w:rPr>
                <w:rFonts w:ascii="Courier New" w:cs="Courier New" w:eastAsia="Courier New" w:hAnsi="Courier New"/>
                <w:sz w:val="14"/>
                <w:szCs w:val="14"/>
                <w:color w:val="auto"/>
              </w:rPr>
              <w:t>financing activities</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11,245,083</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14,103,903</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12,442,803</w:t>
            </w:r>
          </w:p>
        </w:tc>
      </w:tr>
      <w:tr>
        <w:trPr>
          <w:trHeight w:val="167"/>
        </w:trPr>
        <w:tc>
          <w:tcPr>
            <w:tcW w:w="5180" w:type="dxa"/>
            <w:vAlign w:val="bottom"/>
          </w:tcPr>
          <w:p>
            <w:pPr>
              <w:spacing w:after="0"/>
              <w:rPr>
                <w:sz w:val="14"/>
                <w:szCs w:val="14"/>
                <w:color w:val="auto"/>
              </w:rPr>
            </w:pP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INCREASE IN CASH AND</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CASH EQUIVALENTS</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40,967,611</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19,200,225</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23,259,100</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beginning of year</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69,227,972</w:t>
            </w:r>
          </w:p>
        </w:tc>
        <w:tc>
          <w:tcPr>
            <w:tcW w:w="3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50,027,747</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26,768,647</w:t>
            </w:r>
          </w:p>
        </w:tc>
      </w:tr>
      <w:tr>
        <w:trPr>
          <w:trHeight w:val="167"/>
        </w:trPr>
        <w:tc>
          <w:tcPr>
            <w:tcW w:w="5180" w:type="dxa"/>
            <w:vAlign w:val="bottom"/>
          </w:tcPr>
          <w:p>
            <w:pPr>
              <w:spacing w:after="0"/>
              <w:rPr>
                <w:sz w:val="14"/>
                <w:szCs w:val="14"/>
                <w:color w:val="auto"/>
              </w:rPr>
            </w:pP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1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7"/>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end of year</w:t>
            </w: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$ 110,195,583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69,227,972</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$ 50,027,747</w:t>
            </w:r>
          </w:p>
        </w:tc>
      </w:tr>
      <w:tr>
        <w:trPr>
          <w:trHeight w:val="167"/>
        </w:trPr>
        <w:tc>
          <w:tcPr>
            <w:tcW w:w="5180" w:type="dxa"/>
            <w:vAlign w:val="bottom"/>
          </w:tcPr>
          <w:p>
            <w:pPr>
              <w:spacing w:after="0"/>
              <w:rPr>
                <w:sz w:val="14"/>
                <w:szCs w:val="14"/>
                <w:color w:val="auto"/>
              </w:rPr>
            </w:pPr>
          </w:p>
        </w:tc>
        <w:tc>
          <w:tcPr>
            <w:tcW w:w="2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4"/>
          <w:szCs w:val="14"/>
          <w:color w:val="auto"/>
        </w:rPr>
        <w:t>The accompanying notes are an integral part of these consolidated financial</w:t>
      </w:r>
    </w:p>
    <w:p>
      <w:pPr>
        <w:spacing w:after="0" w:line="8"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4"/>
          <w:szCs w:val="14"/>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680"/>
          </w:cols>
          <w:pgMar w:left="220" w:top="286" w:right="999" w:bottom="1141" w:gutter="0" w:footer="0" w:header="0"/>
        </w:sectPr>
      </w:pPr>
    </w:p>
    <w:bookmarkStart w:id="24" w:name="page25"/>
    <w:bookmarkEnd w:id="24"/>
    <w:p>
      <w:pPr>
        <w:ind w:left="251"/>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991"/>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8" w:lineRule="exact"/>
        <w:rPr>
          <w:sz w:val="20"/>
          <w:szCs w:val="20"/>
          <w:color w:val="auto"/>
        </w:rPr>
      </w:pPr>
    </w:p>
    <w:p>
      <w:pPr>
        <w:ind w:left="1651"/>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791" w:hanging="791"/>
        <w:spacing w:after="0"/>
        <w:tabs>
          <w:tab w:leader="none" w:pos="79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AND REPORTING POLICIES</w:t>
      </w:r>
    </w:p>
    <w:p>
      <w:pPr>
        <w:spacing w:after="0" w:line="175" w:lineRule="exact"/>
        <w:rPr>
          <w:sz w:val="20"/>
          <w:szCs w:val="20"/>
          <w:color w:val="auto"/>
        </w:rPr>
      </w:pPr>
    </w:p>
    <w:p>
      <w:pPr>
        <w:ind w:left="431"/>
        <w:spacing w:after="0"/>
        <w:rPr>
          <w:sz w:val="20"/>
          <w:szCs w:val="20"/>
          <w:color w:val="auto"/>
        </w:rPr>
      </w:pPr>
      <w:r>
        <w:rPr>
          <w:rFonts w:ascii="Courier New" w:cs="Courier New" w:eastAsia="Courier New" w:hAnsi="Courier New"/>
          <w:sz w:val="14"/>
          <w:szCs w:val="14"/>
          <w:color w:val="auto"/>
        </w:rPr>
        <w:t>The Company</w:t>
      </w:r>
    </w:p>
    <w:p>
      <w:pPr>
        <w:spacing w:after="0" w:line="175" w:lineRule="exact"/>
        <w:rPr>
          <w:sz w:val="20"/>
          <w:szCs w:val="20"/>
          <w:color w:val="auto"/>
        </w:rPr>
      </w:pPr>
    </w:p>
    <w:p>
      <w:pPr>
        <w:ind w:left="691" w:right="3279" w:hanging="259"/>
        <w:spacing w:after="0" w:line="253" w:lineRule="auto"/>
        <w:rPr>
          <w:sz w:val="20"/>
          <w:szCs w:val="20"/>
          <w:color w:val="auto"/>
        </w:rPr>
      </w:pPr>
      <w:r>
        <w:rPr>
          <w:rFonts w:ascii="Courier New" w:cs="Courier New" w:eastAsia="Courier New" w:hAnsi="Courier New"/>
          <w:sz w:val="14"/>
          <w:szCs w:val="14"/>
          <w:color w:val="auto"/>
        </w:rPr>
        <w:t>Gentex Corporation designs, develops, manufactures and markets proprietary electro-optical products: automatic rearview mirrors for the automotive industry and fire protection products for the commercial building industry. A substantial portion of the Company's net sales and accounts receivable result from transactions with domestic and foreign automotive manufacturers and tier one suppliers. The Company's fire protection products are primarily sold to domestic distributors and original equipment manufacturers of fire and security systems.</w:t>
      </w:r>
    </w:p>
    <w:p>
      <w:pPr>
        <w:spacing w:after="0" w:line="165" w:lineRule="exact"/>
        <w:rPr>
          <w:sz w:val="20"/>
          <w:szCs w:val="20"/>
          <w:color w:val="auto"/>
        </w:rPr>
      </w:pPr>
    </w:p>
    <w:p>
      <w:pPr>
        <w:ind w:left="691" w:right="3719" w:hanging="259"/>
        <w:spacing w:after="0" w:line="258" w:lineRule="auto"/>
        <w:rPr>
          <w:sz w:val="20"/>
          <w:szCs w:val="20"/>
          <w:color w:val="auto"/>
        </w:rPr>
      </w:pPr>
      <w:r>
        <w:rPr>
          <w:rFonts w:ascii="Courier New" w:cs="Courier New" w:eastAsia="Courier New" w:hAnsi="Courier New"/>
          <w:sz w:val="14"/>
          <w:szCs w:val="14"/>
          <w:color w:val="auto"/>
        </w:rPr>
        <w:t>Significant accounting policies of the Company not described elsewhere are as follows:</w:t>
      </w:r>
    </w:p>
    <w:p>
      <w:pPr>
        <w:spacing w:after="0" w:line="160" w:lineRule="exact"/>
        <w:rPr>
          <w:sz w:val="20"/>
          <w:szCs w:val="20"/>
          <w:color w:val="auto"/>
        </w:rPr>
      </w:pPr>
    </w:p>
    <w:p>
      <w:pPr>
        <w:ind w:left="431"/>
        <w:spacing w:after="0"/>
        <w:rPr>
          <w:sz w:val="20"/>
          <w:szCs w:val="20"/>
          <w:color w:val="auto"/>
        </w:rPr>
      </w:pPr>
      <w:r>
        <w:rPr>
          <w:rFonts w:ascii="Courier New" w:cs="Courier New" w:eastAsia="Courier New" w:hAnsi="Courier New"/>
          <w:sz w:val="14"/>
          <w:szCs w:val="14"/>
          <w:color w:val="auto"/>
        </w:rPr>
        <w:t>Consolidation</w:t>
      </w:r>
    </w:p>
    <w:p>
      <w:pPr>
        <w:spacing w:after="0" w:line="175" w:lineRule="exact"/>
        <w:rPr>
          <w:sz w:val="20"/>
          <w:szCs w:val="20"/>
          <w:color w:val="auto"/>
        </w:rPr>
      </w:pPr>
    </w:p>
    <w:p>
      <w:pPr>
        <w:ind w:left="691" w:right="3379" w:hanging="259"/>
        <w:spacing w:after="0" w:line="254" w:lineRule="auto"/>
        <w:rPr>
          <w:sz w:val="20"/>
          <w:szCs w:val="20"/>
          <w:color w:val="auto"/>
        </w:rPr>
      </w:pPr>
      <w:r>
        <w:rPr>
          <w:rFonts w:ascii="Courier New" w:cs="Courier New" w:eastAsia="Courier New" w:hAnsi="Courier New"/>
          <w:sz w:val="14"/>
          <w:szCs w:val="14"/>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163" w:lineRule="exact"/>
        <w:rPr>
          <w:sz w:val="20"/>
          <w:szCs w:val="20"/>
          <w:color w:val="auto"/>
        </w:rPr>
      </w:pPr>
    </w:p>
    <w:p>
      <w:pPr>
        <w:ind w:left="431"/>
        <w:spacing w:after="0"/>
        <w:rPr>
          <w:sz w:val="20"/>
          <w:szCs w:val="20"/>
          <w:color w:val="auto"/>
        </w:rPr>
      </w:pPr>
      <w:r>
        <w:rPr>
          <w:rFonts w:ascii="Courier New" w:cs="Courier New" w:eastAsia="Courier New" w:hAnsi="Courier New"/>
          <w:sz w:val="14"/>
          <w:szCs w:val="14"/>
          <w:color w:val="auto"/>
        </w:rPr>
        <w:t>Cash Equivalents</w:t>
      </w:r>
    </w:p>
    <w:p>
      <w:pPr>
        <w:spacing w:after="0" w:line="175" w:lineRule="exact"/>
        <w:rPr>
          <w:sz w:val="20"/>
          <w:szCs w:val="20"/>
          <w:color w:val="auto"/>
        </w:rPr>
      </w:pPr>
    </w:p>
    <w:p>
      <w:pPr>
        <w:ind w:left="431"/>
        <w:spacing w:after="0"/>
        <w:rPr>
          <w:sz w:val="20"/>
          <w:szCs w:val="20"/>
          <w:color w:val="auto"/>
        </w:rPr>
      </w:pPr>
      <w:r>
        <w:rPr>
          <w:rFonts w:ascii="Courier New" w:cs="Courier New" w:eastAsia="Courier New" w:hAnsi="Courier New"/>
          <w:sz w:val="14"/>
          <w:szCs w:val="14"/>
          <w:color w:val="auto"/>
        </w:rPr>
        <w:t>Cash equivalents consist of funds invested in money market accounts.</w:t>
      </w:r>
    </w:p>
    <w:p>
      <w:pPr>
        <w:spacing w:after="0" w:line="175" w:lineRule="exact"/>
        <w:rPr>
          <w:sz w:val="20"/>
          <w:szCs w:val="20"/>
          <w:color w:val="auto"/>
        </w:rPr>
      </w:pPr>
    </w:p>
    <w:p>
      <w:pPr>
        <w:ind w:left="431"/>
        <w:spacing w:after="0"/>
        <w:rPr>
          <w:sz w:val="20"/>
          <w:szCs w:val="20"/>
          <w:color w:val="auto"/>
        </w:rPr>
      </w:pPr>
      <w:r>
        <w:rPr>
          <w:rFonts w:ascii="Courier New" w:cs="Courier New" w:eastAsia="Courier New" w:hAnsi="Courier New"/>
          <w:sz w:val="14"/>
          <w:szCs w:val="14"/>
          <w:color w:val="auto"/>
        </w:rPr>
        <w:t>Investments</w:t>
      </w:r>
    </w:p>
    <w:p>
      <w:pPr>
        <w:spacing w:after="0" w:line="175" w:lineRule="exact"/>
        <w:rPr>
          <w:sz w:val="20"/>
          <w:szCs w:val="20"/>
          <w:color w:val="auto"/>
        </w:rPr>
      </w:pPr>
    </w:p>
    <w:p>
      <w:pPr>
        <w:ind w:left="691" w:right="3799" w:hanging="259"/>
        <w:spacing w:after="0" w:line="255" w:lineRule="auto"/>
        <w:rPr>
          <w:sz w:val="20"/>
          <w:szCs w:val="20"/>
          <w:color w:val="auto"/>
        </w:rPr>
      </w:pPr>
      <w:r>
        <w:rPr>
          <w:rFonts w:ascii="Courier New" w:cs="Courier New" w:eastAsia="Courier New" w:hAnsi="Courier New"/>
          <w:sz w:val="14"/>
          <w:szCs w:val="14"/>
          <w:color w:val="auto"/>
        </w:rPr>
        <w:t>The amortized cost, unrealized gains and losses, and market value of securities held to maturity and available for sale are shown as of December 31, 2000 and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91"/>
        <w:spacing w:after="0"/>
        <w:tabs>
          <w:tab w:leader="none" w:pos="3451" w:val="left"/>
          <w:tab w:leader="none" w:pos="5371" w:val="left"/>
          <w:tab w:leader="none" w:pos="7271" w:val="left"/>
          <w:tab w:leader="none" w:pos="8751"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Gains</w:t>
      </w:r>
      <w:r>
        <w:rPr>
          <w:sz w:val="20"/>
          <w:szCs w:val="20"/>
          <w:color w:val="auto"/>
        </w:rPr>
        <w:tab/>
      </w:r>
      <w:r>
        <w:rPr>
          <w:rFonts w:ascii="Courier New" w:cs="Courier New" w:eastAsia="Courier New" w:hAnsi="Courier New"/>
          <w:sz w:val="14"/>
          <w:szCs w:val="14"/>
          <w:color w:val="auto"/>
        </w:rPr>
        <w:t>Losses</w:t>
      </w:r>
      <w:r>
        <w:rPr>
          <w:sz w:val="20"/>
          <w:szCs w:val="20"/>
          <w:color w:val="auto"/>
        </w:rPr>
        <w:tab/>
      </w:r>
      <w:r>
        <w:rPr>
          <w:rFonts w:ascii="Courier New" w:cs="Courier New" w:eastAsia="Courier New" w:hAnsi="Courier New"/>
          <w:sz w:val="14"/>
          <w:szCs w:val="14"/>
          <w:color w:val="auto"/>
        </w:rPr>
        <w:t>Market Value</w:t>
      </w:r>
    </w:p>
    <w:p>
      <w:pPr>
        <w:spacing w:after="0" w:line="8" w:lineRule="exact"/>
        <w:rPr>
          <w:sz w:val="20"/>
          <w:szCs w:val="20"/>
          <w:color w:val="auto"/>
        </w:rPr>
      </w:pPr>
    </w:p>
    <w:p>
      <w:pPr>
        <w:ind w:left="791"/>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791" w:type="dxa"/>
        <w:tblCellMar>
          <w:top w:w="0" w:type="dxa"/>
          <w:left w:w="0" w:type="dxa"/>
          <w:bottom w:w="0" w:type="dxa"/>
          <w:right w:w="0" w:type="dxa"/>
        </w:tblCellMar>
      </w:tblPr>
      <w:tr>
        <w:trPr>
          <w:trHeight w:val="162"/>
        </w:trPr>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U.S. Treasuries</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80,010,620</w:t>
            </w:r>
          </w:p>
        </w:tc>
        <w:tc>
          <w:tcPr>
            <w:tcW w:w="1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$ 1,109,708</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(5,062)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81,115,266</w:t>
            </w:r>
          </w:p>
        </w:tc>
      </w:tr>
      <w:tr>
        <w:trPr>
          <w:trHeight w:val="167"/>
        </w:trPr>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Municipal</w:t>
            </w:r>
          </w:p>
        </w:tc>
        <w:tc>
          <w:tcPr>
            <w:tcW w:w="6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21,070,646</w:t>
            </w:r>
          </w:p>
        </w:tc>
        <w:tc>
          <w:tcPr>
            <w:tcW w:w="600" w:type="dxa"/>
            <w:vAlign w:val="bottom"/>
          </w:tcPr>
          <w:p>
            <w:pPr>
              <w:spacing w:after="0"/>
              <w:rPr>
                <w:sz w:val="14"/>
                <w:szCs w:val="14"/>
                <w:color w:val="auto"/>
              </w:rPr>
            </w:pP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51,298</w:t>
            </w:r>
          </w:p>
        </w:tc>
        <w:tc>
          <w:tcPr>
            <w:tcW w:w="660" w:type="dxa"/>
            <w:vAlign w:val="bottom"/>
          </w:tcPr>
          <w:p>
            <w:pPr>
              <w:spacing w:after="0"/>
              <w:rPr>
                <w:sz w:val="14"/>
                <w:szCs w:val="1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(29,381)</w:t>
            </w: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21,092,563</w:t>
            </w:r>
          </w:p>
        </w:tc>
      </w:tr>
      <w:tr>
        <w:trPr>
          <w:trHeight w:val="167"/>
        </w:trPr>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Other Fixed</w:t>
            </w:r>
          </w:p>
        </w:tc>
        <w:tc>
          <w:tcPr>
            <w:tcW w:w="6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27,095,719</w:t>
            </w:r>
          </w:p>
        </w:tc>
        <w:tc>
          <w:tcPr>
            <w:tcW w:w="600" w:type="dxa"/>
            <w:vAlign w:val="bottom"/>
          </w:tcPr>
          <w:p>
            <w:pPr>
              <w:spacing w:after="0"/>
              <w:rPr>
                <w:sz w:val="14"/>
                <w:szCs w:val="14"/>
                <w:color w:val="auto"/>
              </w:rPr>
            </w:pP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175,666</w:t>
            </w:r>
          </w:p>
        </w:tc>
        <w:tc>
          <w:tcPr>
            <w:tcW w:w="660" w:type="dxa"/>
            <w:vAlign w:val="bottom"/>
          </w:tcPr>
          <w:p>
            <w:pPr>
              <w:spacing w:after="0"/>
              <w:rPr>
                <w:sz w:val="14"/>
                <w:szCs w:val="1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(39,377)</w:t>
            </w: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27,232,008</w:t>
            </w:r>
          </w:p>
        </w:tc>
      </w:tr>
      <w:tr>
        <w:trPr>
          <w:trHeight w:val="167"/>
        </w:trPr>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Equity</w:t>
            </w:r>
          </w:p>
        </w:tc>
        <w:tc>
          <w:tcPr>
            <w:tcW w:w="6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45,586,289</w:t>
            </w:r>
          </w:p>
        </w:tc>
        <w:tc>
          <w:tcPr>
            <w:tcW w:w="600" w:type="dxa"/>
            <w:vAlign w:val="bottom"/>
          </w:tcPr>
          <w:p>
            <w:pPr>
              <w:spacing w:after="0"/>
              <w:rPr>
                <w:sz w:val="14"/>
                <w:szCs w:val="14"/>
                <w:color w:val="auto"/>
              </w:rPr>
            </w:pP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7,130,465</w:t>
            </w:r>
          </w:p>
        </w:tc>
        <w:tc>
          <w:tcPr>
            <w:tcW w:w="660" w:type="dxa"/>
            <w:vAlign w:val="bottom"/>
          </w:tcPr>
          <w:p>
            <w:pPr>
              <w:spacing w:after="0"/>
              <w:rPr>
                <w:sz w:val="14"/>
                <w:szCs w:val="1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(735,222)</w:t>
            </w: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51,981,532</w:t>
            </w:r>
          </w:p>
        </w:tc>
      </w:tr>
      <w:tr>
        <w:trPr>
          <w:trHeight w:val="167"/>
        </w:trPr>
        <w:tc>
          <w:tcPr>
            <w:tcW w:w="1980" w:type="dxa"/>
            <w:vAlign w:val="bottom"/>
          </w:tcPr>
          <w:p>
            <w:pPr>
              <w:spacing w:after="0"/>
              <w:rPr>
                <w:sz w:val="14"/>
                <w:szCs w:val="14"/>
                <w:color w:val="auto"/>
              </w:rPr>
            </w:pPr>
          </w:p>
        </w:tc>
        <w:tc>
          <w:tcPr>
            <w:tcW w:w="19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980" w:type="dxa"/>
            <w:vAlign w:val="bottom"/>
          </w:tcPr>
          <w:p>
            <w:pPr>
              <w:spacing w:after="0"/>
              <w:rPr>
                <w:sz w:val="14"/>
                <w:szCs w:val="14"/>
                <w:color w:val="auto"/>
              </w:rPr>
            </w:pPr>
          </w:p>
        </w:tc>
        <w:tc>
          <w:tcPr>
            <w:tcW w:w="19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$ 173,763,274</w:t>
            </w:r>
          </w:p>
        </w:tc>
        <w:tc>
          <w:tcPr>
            <w:tcW w:w="1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$ 8,467,137</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(809,042)</w:t>
            </w: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$181,421,369</w:t>
            </w:r>
          </w:p>
        </w:tc>
      </w:tr>
      <w:tr>
        <w:trPr>
          <w:trHeight w:val="167"/>
        </w:trPr>
        <w:tc>
          <w:tcPr>
            <w:tcW w:w="1980" w:type="dxa"/>
            <w:vAlign w:val="bottom"/>
          </w:tcPr>
          <w:p>
            <w:pPr>
              <w:spacing w:after="0"/>
              <w:rPr>
                <w:sz w:val="14"/>
                <w:szCs w:val="14"/>
                <w:color w:val="auto"/>
              </w:rPr>
            </w:pPr>
          </w:p>
        </w:tc>
        <w:tc>
          <w:tcPr>
            <w:tcW w:w="19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9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9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U.S. Treasuries</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66,970,652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66,356</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(483,687)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66,553,321</w:t>
            </w:r>
          </w:p>
        </w:tc>
      </w:tr>
      <w:tr>
        <w:trPr>
          <w:trHeight w:val="167"/>
        </w:trPr>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Municipal</w:t>
            </w:r>
          </w:p>
        </w:tc>
        <w:tc>
          <w:tcPr>
            <w:tcW w:w="6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32,175,393</w:t>
            </w:r>
          </w:p>
        </w:tc>
        <w:tc>
          <w:tcPr>
            <w:tcW w:w="600" w:type="dxa"/>
            <w:vAlign w:val="bottom"/>
          </w:tcPr>
          <w:p>
            <w:pPr>
              <w:spacing w:after="0"/>
              <w:rPr>
                <w:sz w:val="14"/>
                <w:szCs w:val="14"/>
                <w:color w:val="auto"/>
              </w:rPr>
            </w:pP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73,203</w:t>
            </w:r>
          </w:p>
        </w:tc>
        <w:tc>
          <w:tcPr>
            <w:tcW w:w="660" w:type="dxa"/>
            <w:vAlign w:val="bottom"/>
          </w:tcPr>
          <w:p>
            <w:pPr>
              <w:spacing w:after="0"/>
              <w:rPr>
                <w:sz w:val="14"/>
                <w:szCs w:val="1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(140,288)</w:t>
            </w: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32,108,308</w:t>
            </w:r>
          </w:p>
        </w:tc>
      </w:tr>
      <w:tr>
        <w:trPr>
          <w:trHeight w:val="167"/>
        </w:trPr>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Other Fixed</w:t>
            </w:r>
          </w:p>
        </w:tc>
        <w:tc>
          <w:tcPr>
            <w:tcW w:w="6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8,540,658</w:t>
            </w:r>
          </w:p>
        </w:tc>
        <w:tc>
          <w:tcPr>
            <w:tcW w:w="600" w:type="dxa"/>
            <w:vAlign w:val="bottom"/>
          </w:tcPr>
          <w:p>
            <w:pPr>
              <w:spacing w:after="0"/>
              <w:rPr>
                <w:sz w:val="14"/>
                <w:szCs w:val="14"/>
                <w:color w:val="auto"/>
              </w:rPr>
            </w:pPr>
          </w:p>
        </w:tc>
        <w:tc>
          <w:tcPr>
            <w:tcW w:w="12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(80,997)</w:t>
            </w: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8,459,661</w:t>
            </w:r>
          </w:p>
        </w:tc>
      </w:tr>
      <w:tr>
        <w:trPr>
          <w:trHeight w:val="167"/>
        </w:trPr>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Equity</w:t>
            </w:r>
          </w:p>
        </w:tc>
        <w:tc>
          <w:tcPr>
            <w:tcW w:w="62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39,994,603</w:t>
            </w:r>
          </w:p>
        </w:tc>
        <w:tc>
          <w:tcPr>
            <w:tcW w:w="600" w:type="dxa"/>
            <w:vAlign w:val="bottom"/>
          </w:tcPr>
          <w:p>
            <w:pPr>
              <w:spacing w:after="0"/>
              <w:rPr>
                <w:sz w:val="14"/>
                <w:szCs w:val="14"/>
                <w:color w:val="auto"/>
              </w:rPr>
            </w:pP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4,841,445</w:t>
            </w:r>
          </w:p>
        </w:tc>
        <w:tc>
          <w:tcPr>
            <w:tcW w:w="660" w:type="dxa"/>
            <w:vAlign w:val="bottom"/>
          </w:tcPr>
          <w:p>
            <w:pPr>
              <w:spacing w:after="0"/>
              <w:rPr>
                <w:sz w:val="14"/>
                <w:szCs w:val="14"/>
                <w:color w:val="auto"/>
              </w:rPr>
            </w:pP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(783,134)</w:t>
            </w:r>
          </w:p>
        </w:tc>
        <w:tc>
          <w:tcPr>
            <w:tcW w:w="4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44,052,914</w:t>
            </w:r>
          </w:p>
        </w:tc>
      </w:tr>
      <w:tr>
        <w:trPr>
          <w:trHeight w:val="167"/>
        </w:trPr>
        <w:tc>
          <w:tcPr>
            <w:tcW w:w="1980" w:type="dxa"/>
            <w:vAlign w:val="bottom"/>
          </w:tcPr>
          <w:p>
            <w:pPr>
              <w:spacing w:after="0"/>
              <w:rPr>
                <w:sz w:val="14"/>
                <w:szCs w:val="14"/>
                <w:color w:val="auto"/>
              </w:rPr>
            </w:pPr>
          </w:p>
        </w:tc>
        <w:tc>
          <w:tcPr>
            <w:tcW w:w="19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980" w:type="dxa"/>
            <w:vAlign w:val="bottom"/>
          </w:tcPr>
          <w:p>
            <w:pPr>
              <w:spacing w:after="0"/>
              <w:rPr>
                <w:sz w:val="14"/>
                <w:szCs w:val="14"/>
                <w:color w:val="auto"/>
              </w:rPr>
            </w:pPr>
          </w:p>
        </w:tc>
        <w:tc>
          <w:tcPr>
            <w:tcW w:w="19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$ 147,681,306</w:t>
            </w:r>
          </w:p>
        </w:tc>
        <w:tc>
          <w:tcPr>
            <w:tcW w:w="1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$ 4,981,004</w:t>
            </w:r>
          </w:p>
        </w:tc>
        <w:tc>
          <w:tcPr>
            <w:tcW w:w="188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(1,488,106)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151,174,204</w:t>
            </w:r>
          </w:p>
        </w:tc>
      </w:tr>
      <w:tr>
        <w:trPr>
          <w:trHeight w:val="167"/>
        </w:trPr>
        <w:tc>
          <w:tcPr>
            <w:tcW w:w="1980" w:type="dxa"/>
            <w:vAlign w:val="bottom"/>
          </w:tcPr>
          <w:p>
            <w:pPr>
              <w:spacing w:after="0"/>
              <w:rPr>
                <w:sz w:val="14"/>
                <w:szCs w:val="14"/>
                <w:color w:val="auto"/>
              </w:rPr>
            </w:pPr>
          </w:p>
        </w:tc>
        <w:tc>
          <w:tcPr>
            <w:tcW w:w="19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691" w:right="3279" w:hanging="259"/>
        <w:spacing w:after="0" w:line="254" w:lineRule="auto"/>
        <w:rPr>
          <w:sz w:val="20"/>
          <w:szCs w:val="20"/>
          <w:color w:val="auto"/>
        </w:rPr>
      </w:pPr>
      <w:r>
        <w:rPr>
          <w:rFonts w:ascii="Courier New" w:cs="Courier New" w:eastAsia="Courier New" w:hAnsi="Courier New"/>
          <w:sz w:val="14"/>
          <w:szCs w:val="14"/>
          <w:color w:val="auto"/>
        </w:rPr>
        <w:t>Fixed income securities, excluding U.S. Treasuries, are considered held to maturity and, accordingly, are carried at amortized cost. Equity securities and U.S. Treasuries are available for sale, which are recorded at market value. Held to maturity securities as of December 31, 2000, have contractual maturities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211" w:type="dxa"/>
        <w:tblCellMar>
          <w:top w:w="0" w:type="dxa"/>
          <w:left w:w="0" w:type="dxa"/>
          <w:bottom w:w="0" w:type="dxa"/>
          <w:right w:w="0" w:type="dxa"/>
        </w:tblCellMar>
      </w:tblPr>
      <w:tr>
        <w:trPr>
          <w:trHeight w:val="162"/>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Due within one year</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18,140,332</w:t>
            </w:r>
          </w:p>
        </w:tc>
      </w:tr>
      <w:tr>
        <w:trPr>
          <w:trHeight w:val="167"/>
        </w:trPr>
        <w:tc>
          <w:tcPr>
            <w:tcW w:w="300" w:type="dxa"/>
            <w:vAlign w:val="bottom"/>
          </w:tcPr>
          <w:p>
            <w:pPr>
              <w:spacing w:after="0"/>
              <w:rPr>
                <w:sz w:val="20"/>
                <w:szCs w:val="20"/>
                <w:color w:val="auto"/>
              </w:rPr>
            </w:pPr>
            <w:r>
              <w:rPr>
                <w:rFonts w:ascii="Courier New" w:cs="Courier New" w:eastAsia="Courier New" w:hAnsi="Courier New"/>
                <w:sz w:val="14"/>
                <w:szCs w:val="14"/>
                <w:color w:val="auto"/>
              </w:rPr>
              <w:t>Due</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between one and five years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29,736,354</w:t>
            </w:r>
          </w:p>
        </w:tc>
      </w:tr>
      <w:tr>
        <w:trPr>
          <w:trHeight w:val="167"/>
        </w:trPr>
        <w:tc>
          <w:tcPr>
            <w:tcW w:w="300" w:type="dxa"/>
            <w:vAlign w:val="bottom"/>
          </w:tcPr>
          <w:p>
            <w:pPr>
              <w:spacing w:after="0"/>
              <w:rPr>
                <w:sz w:val="20"/>
                <w:szCs w:val="20"/>
                <w:color w:val="auto"/>
              </w:rPr>
            </w:pPr>
            <w:r>
              <w:rPr>
                <w:rFonts w:ascii="Courier New" w:cs="Courier New" w:eastAsia="Courier New" w:hAnsi="Courier New"/>
                <w:sz w:val="14"/>
                <w:szCs w:val="14"/>
                <w:color w:val="auto"/>
              </w:rPr>
              <w:t>Due</w:t>
            </w:r>
          </w:p>
        </w:tc>
        <w:tc>
          <w:tcPr>
            <w:tcW w:w="2620" w:type="dxa"/>
            <w:vAlign w:val="bottom"/>
          </w:tcPr>
          <w:p>
            <w:pPr>
              <w:ind w:left="60"/>
              <w:spacing w:after="0"/>
              <w:rPr>
                <w:sz w:val="20"/>
                <w:szCs w:val="20"/>
                <w:color w:val="auto"/>
              </w:rPr>
            </w:pPr>
            <w:r>
              <w:rPr>
                <w:rFonts w:ascii="Courier New" w:cs="Courier New" w:eastAsia="Courier New" w:hAnsi="Courier New"/>
                <w:sz w:val="14"/>
                <w:szCs w:val="14"/>
                <w:color w:val="auto"/>
              </w:rPr>
              <w:t>over five years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289,679</w:t>
            </w:r>
          </w:p>
        </w:tc>
      </w:tr>
    </w:tbl>
    <w:p>
      <w:pPr>
        <w:spacing w:after="0" w:line="200" w:lineRule="exact"/>
        <w:rPr>
          <w:sz w:val="20"/>
          <w:szCs w:val="20"/>
          <w:color w:val="auto"/>
        </w:rPr>
      </w:pPr>
    </w:p>
    <w:p>
      <w:pPr>
        <w:spacing w:after="0" w:line="305" w:lineRule="exact"/>
        <w:rPr>
          <w:sz w:val="20"/>
          <w:szCs w:val="20"/>
          <w:color w:val="auto"/>
        </w:rPr>
      </w:pPr>
    </w:p>
    <w:p>
      <w:pPr>
        <w:ind w:left="691" w:right="3379" w:hanging="259"/>
        <w:spacing w:after="0" w:line="254" w:lineRule="auto"/>
        <w:rPr>
          <w:sz w:val="20"/>
          <w:szCs w:val="20"/>
          <w:color w:val="auto"/>
        </w:rPr>
      </w:pPr>
      <w:r>
        <w:rPr>
          <w:rFonts w:ascii="Courier New" w:cs="Courier New" w:eastAsia="Courier New" w:hAnsi="Courier New"/>
          <w:sz w:val="14"/>
          <w:szCs w:val="14"/>
          <w:color w:val="auto"/>
        </w:rPr>
        <w:t>During 2000, the Company sold approximately $947,000 of securities classified as held to maturity for $952,000. The decision to sell these securities was based on deterioration in the credit worthiness of the issuer.</w:t>
      </w:r>
    </w:p>
    <w:p>
      <w:pPr>
        <w:spacing w:after="0" w:line="330" w:lineRule="exact"/>
        <w:rPr>
          <w:sz w:val="20"/>
          <w:szCs w:val="20"/>
          <w:color w:val="auto"/>
        </w:rPr>
      </w:pPr>
    </w:p>
    <w:p>
      <w:pPr>
        <w:ind w:left="431"/>
        <w:spacing w:after="0"/>
        <w:rPr>
          <w:sz w:val="20"/>
          <w:szCs w:val="20"/>
          <w:color w:val="auto"/>
        </w:rPr>
      </w:pPr>
      <w:r>
        <w:rPr>
          <w:rFonts w:ascii="Courier New" w:cs="Courier New" w:eastAsia="Courier New" w:hAnsi="Courier New"/>
          <w:sz w:val="14"/>
          <w:szCs w:val="14"/>
          <w:color w:val="auto"/>
        </w:rPr>
        <w:t>Inventories</w:t>
      </w:r>
    </w:p>
    <w:p>
      <w:pPr>
        <w:spacing w:after="0" w:line="175" w:lineRule="exact"/>
        <w:rPr>
          <w:sz w:val="20"/>
          <w:szCs w:val="20"/>
          <w:color w:val="auto"/>
        </w:rPr>
      </w:pPr>
    </w:p>
    <w:p>
      <w:pPr>
        <w:ind w:left="691" w:right="3279" w:hanging="259"/>
        <w:spacing w:after="0" w:line="255" w:lineRule="auto"/>
        <w:rPr>
          <w:sz w:val="20"/>
          <w:szCs w:val="20"/>
          <w:color w:val="auto"/>
        </w:rPr>
      </w:pPr>
      <w:r>
        <w:rPr>
          <w:rFonts w:ascii="Courier New" w:cs="Courier New" w:eastAsia="Courier New" w:hAnsi="Courier New"/>
          <w:sz w:val="14"/>
          <w:szCs w:val="14"/>
          <w:color w:val="auto"/>
        </w:rPr>
        <w:t>Inventories include material, direct labor and manufacturing overhead and are valued at the lower of first-in, first-out (FIFO) cost or market. Inventories consisted of the following as of December 31, 2000 and 1999:</w:t>
      </w:r>
    </w:p>
    <w:p>
      <w:pPr>
        <w:sectPr>
          <w:pgSz w:w="11900" w:h="16838" w:orient="portrait"/>
          <w:cols w:equalWidth="0" w:num="1">
            <w:col w:w="10230"/>
          </w:cols>
          <w:pgMar w:left="229" w:top="286" w:right="1440" w:bottom="0" w:gutter="0" w:footer="0" w:header="0"/>
        </w:sectPr>
      </w:pPr>
    </w:p>
    <w:bookmarkStart w:id="25" w:name="page26"/>
    <w:bookmarkEnd w:id="25"/>
    <w:tbl>
      <w:tblPr>
        <w:tblLayout w:type="fixed"/>
        <w:tblInd w:w="36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1520" w:type="dxa"/>
            <w:vAlign w:val="bottom"/>
          </w:tcPr>
          <w:p>
            <w:pPr>
              <w:spacing w:after="0"/>
              <w:rPr>
                <w:sz w:val="14"/>
                <w:szCs w:val="14"/>
                <w:color w:val="auto"/>
              </w:rPr>
            </w:pPr>
          </w:p>
        </w:tc>
        <w:tc>
          <w:tcPr>
            <w:tcW w:w="2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52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2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7,362,544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4,910,081</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Work-in-process</w:t>
            </w:r>
          </w:p>
        </w:tc>
        <w:tc>
          <w:tcPr>
            <w:tcW w:w="2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1,488,326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1,194,632</w:t>
            </w:r>
          </w:p>
        </w:tc>
      </w:tr>
      <w:tr>
        <w:trPr>
          <w:trHeight w:val="167"/>
        </w:trPr>
        <w:tc>
          <w:tcPr>
            <w:tcW w:w="152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3,236,643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3,870,465</w:t>
            </w:r>
          </w:p>
        </w:tc>
      </w:tr>
      <w:tr>
        <w:trPr>
          <w:trHeight w:val="167"/>
        </w:trPr>
        <w:tc>
          <w:tcPr>
            <w:tcW w:w="1520" w:type="dxa"/>
            <w:vAlign w:val="bottom"/>
          </w:tcPr>
          <w:p>
            <w:pPr>
              <w:spacing w:after="0"/>
              <w:rPr>
                <w:sz w:val="14"/>
                <w:szCs w:val="14"/>
                <w:color w:val="auto"/>
              </w:rPr>
            </w:pPr>
          </w:p>
        </w:tc>
        <w:tc>
          <w:tcPr>
            <w:tcW w:w="2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20" w:type="dxa"/>
            <w:vAlign w:val="bottom"/>
          </w:tcPr>
          <w:p>
            <w:pPr>
              <w:spacing w:after="0"/>
              <w:rPr>
                <w:sz w:val="14"/>
                <w:szCs w:val="14"/>
                <w:color w:val="auto"/>
              </w:rPr>
            </w:pPr>
          </w:p>
        </w:tc>
        <w:tc>
          <w:tcPr>
            <w:tcW w:w="2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$12,087,513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$ 9,975,178</w:t>
            </w:r>
          </w:p>
        </w:tc>
      </w:tr>
      <w:tr>
        <w:trPr>
          <w:trHeight w:val="167"/>
        </w:trPr>
        <w:tc>
          <w:tcPr>
            <w:tcW w:w="1520" w:type="dxa"/>
            <w:vAlign w:val="bottom"/>
          </w:tcPr>
          <w:p>
            <w:pPr>
              <w:spacing w:after="0"/>
              <w:rPr>
                <w:sz w:val="14"/>
                <w:szCs w:val="14"/>
                <w:color w:val="auto"/>
              </w:rPr>
            </w:pPr>
          </w:p>
        </w:tc>
        <w:tc>
          <w:tcPr>
            <w:tcW w:w="2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835"/>
        </w:trPr>
        <w:tc>
          <w:tcPr>
            <w:tcW w:w="1520" w:type="dxa"/>
            <w:vAlign w:val="bottom"/>
          </w:tcPr>
          <w:p>
            <w:pPr>
              <w:spacing w:after="0"/>
              <w:rPr>
                <w:sz w:val="24"/>
                <w:szCs w:val="24"/>
                <w:color w:val="auto"/>
              </w:rPr>
            </w:pPr>
          </w:p>
        </w:tc>
        <w:tc>
          <w:tcPr>
            <w:tcW w:w="23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-23-</w:t>
            </w:r>
          </w:p>
        </w:tc>
        <w:tc>
          <w:tcPr>
            <w:tcW w:w="1380" w:type="dxa"/>
            <w:vAlign w:val="bottom"/>
          </w:tcPr>
          <w:p>
            <w:pPr>
              <w:spacing w:after="0"/>
              <w:rPr>
                <w:sz w:val="24"/>
                <w:szCs w:val="24"/>
                <w:color w:val="auto"/>
              </w:rPr>
            </w:pPr>
          </w:p>
        </w:tc>
      </w:tr>
    </w:tbl>
    <w:p>
      <w:pPr>
        <w:sectPr>
          <w:pgSz w:w="11900" w:h="16838" w:orient="portrait"/>
          <w:cols w:equalWidth="0" w:num="1">
            <w:col w:w="9019"/>
          </w:cols>
          <w:pgMar w:left="1440" w:top="642"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24</w:t>
      </w:r>
    </w:p>
    <w:p>
      <w:pPr>
        <w:spacing w:after="0" w:line="342"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440" w:right="1040" w:hanging="431"/>
        <w:spacing w:after="0" w:line="505" w:lineRule="auto"/>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AND REPORTING POLICIES, continued Plant and Equipment</w:t>
      </w:r>
    </w:p>
    <w:p>
      <w:pPr>
        <w:ind w:left="700" w:right="520" w:hanging="2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Plant and equipment are stated at cost. Depreciation and amortization are computed for financial reporting purposes using the straight-line method, with estimated useful lives of 7 to 40 years for buildings and improvements, and 3 to 10 years for machinery and equipment.</w:t>
      </w:r>
    </w:p>
    <w:p>
      <w:pPr>
        <w:spacing w:after="0" w:line="163"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Patents</w:t>
      </w:r>
    </w:p>
    <w:p>
      <w:pPr>
        <w:spacing w:after="0" w:line="175" w:lineRule="exact"/>
        <w:rPr>
          <w:rFonts w:ascii="Courier New" w:cs="Courier New" w:eastAsia="Courier New" w:hAnsi="Courier New"/>
          <w:sz w:val="14"/>
          <w:szCs w:val="14"/>
          <w:color w:val="auto"/>
        </w:rPr>
      </w:pPr>
    </w:p>
    <w:p>
      <w:pPr>
        <w:ind w:left="700" w:right="340" w:hanging="26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policy is to capitalize costs incurred to obtain and defend patents. The cost of patents is amortized over their useful lives. The cost of patents in process is not amortized until issuance. Accumulated amortization was approximately $2,095,000 and $4,961,000 at December 31, 2000 and 1999, respectively. In 2000, fully amortized patents with an original cost of approximately $3,200,000 were written off. Patent amortization expense was approximately $355,000, $71,000, and $211,000 in 2000, 1999, and 1998, respectively.</w:t>
      </w:r>
    </w:p>
    <w:p>
      <w:pPr>
        <w:spacing w:after="0" w:line="164"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Revenue Recognition</w:t>
      </w:r>
    </w:p>
    <w:p>
      <w:pPr>
        <w:spacing w:after="0" w:line="175" w:lineRule="exact"/>
        <w:rPr>
          <w:rFonts w:ascii="Courier New" w:cs="Courier New" w:eastAsia="Courier New" w:hAnsi="Courier New"/>
          <w:sz w:val="14"/>
          <w:szCs w:val="14"/>
          <w:color w:val="auto"/>
        </w:rPr>
      </w:pPr>
    </w:p>
    <w:p>
      <w:pPr>
        <w:ind w:left="700" w:right="600" w:hanging="2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revenue is generated primarily from sales of its products. Sales are recognized when the product is shipped and legal title has passed to the customer.</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and Promotional Materials</w:t>
      </w:r>
    </w:p>
    <w:p>
      <w:pPr>
        <w:spacing w:after="0" w:line="175" w:lineRule="exact"/>
        <w:rPr>
          <w:rFonts w:ascii="Courier New" w:cs="Courier New" w:eastAsia="Courier New" w:hAnsi="Courier New"/>
          <w:sz w:val="14"/>
          <w:szCs w:val="14"/>
          <w:color w:val="auto"/>
        </w:rPr>
      </w:pPr>
    </w:p>
    <w:p>
      <w:pPr>
        <w:ind w:left="700" w:right="340" w:hanging="2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advertising and promotional costs are expensed as incurred and amounted to approximately $932,000, $808,000, and $640,000 in 2000, 1999, and 1998, respectively.</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Repairs and Maintenance</w:t>
      </w:r>
    </w:p>
    <w:p>
      <w:pPr>
        <w:spacing w:after="0" w:line="175" w:lineRule="exact"/>
        <w:rPr>
          <w:rFonts w:ascii="Courier New" w:cs="Courier New" w:eastAsia="Courier New" w:hAnsi="Courier New"/>
          <w:sz w:val="14"/>
          <w:szCs w:val="14"/>
          <w:color w:val="auto"/>
        </w:rPr>
      </w:pPr>
    </w:p>
    <w:p>
      <w:pPr>
        <w:ind w:left="700" w:right="440" w:hanging="2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Major renewals and improvements of property and equipment are capitalized, and repairs and maintenance are expensed as incurred. The Company incurred expenses relating to the repair and maintenance of plant and equipment of approximately $3,182,000, $2,535,000, and $2,165,000 in 2000, 1999, and 1998, respectively.</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Self-Insurance</w:t>
      </w:r>
    </w:p>
    <w:p>
      <w:pPr>
        <w:spacing w:after="0" w:line="175" w:lineRule="exact"/>
        <w:rPr>
          <w:rFonts w:ascii="Courier New" w:cs="Courier New" w:eastAsia="Courier New" w:hAnsi="Courier New"/>
          <w:sz w:val="14"/>
          <w:szCs w:val="14"/>
          <w:color w:val="auto"/>
        </w:rPr>
      </w:pPr>
    </w:p>
    <w:p>
      <w:pPr>
        <w:ind w:left="700" w:right="340" w:hanging="2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w:t>
      </w:r>
    </w:p>
    <w:p>
      <w:pPr>
        <w:spacing w:after="0" w:line="162"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5" w:lineRule="exact"/>
        <w:rPr>
          <w:rFonts w:ascii="Courier New" w:cs="Courier New" w:eastAsia="Courier New" w:hAnsi="Courier New"/>
          <w:sz w:val="14"/>
          <w:szCs w:val="14"/>
          <w:color w:val="auto"/>
        </w:rPr>
      </w:pPr>
    </w:p>
    <w:p>
      <w:pPr>
        <w:ind w:left="700" w:right="440" w:hanging="2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reconciles the numerators and denominators used in the calculations of basic and diluted earnings per share (EPS) for each of the last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11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Numerators:</w:t>
            </w:r>
          </w:p>
        </w:tc>
        <w:tc>
          <w:tcPr>
            <w:tcW w:w="4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56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Numerator for both basic and diluted EPS, net income</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  70,544,066</w:t>
            </w:r>
          </w:p>
        </w:tc>
      </w:tr>
      <w:tr>
        <w:trPr>
          <w:trHeight w:val="334"/>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Denominators:</w:t>
            </w:r>
          </w:p>
        </w:tc>
        <w:tc>
          <w:tcPr>
            <w:tcW w:w="4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Denominator</w:t>
            </w: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for basic EPS,</w:t>
            </w:r>
          </w:p>
        </w:tc>
        <w:tc>
          <w:tcPr>
            <w:tcW w:w="1260" w:type="dxa"/>
            <w:vAlign w:val="bottom"/>
          </w:tcPr>
          <w:p>
            <w:pPr>
              <w:spacing w:after="0"/>
              <w:rPr>
                <w:sz w:val="14"/>
                <w:szCs w:val="14"/>
                <w:color w:val="auto"/>
              </w:rPr>
            </w:pPr>
          </w:p>
        </w:tc>
      </w:tr>
      <w:tr>
        <w:trPr>
          <w:trHeight w:val="167"/>
        </w:trPr>
        <w:tc>
          <w:tcPr>
            <w:tcW w:w="5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weighted-average common shares outstanding</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73,941,256</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Potentially</w:t>
            </w: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dilutive shares resulting from stock option plans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1,576,877</w:t>
            </w:r>
          </w:p>
        </w:tc>
      </w:tr>
      <w:tr>
        <w:trPr>
          <w:trHeight w:val="167"/>
        </w:trPr>
        <w:tc>
          <w:tcPr>
            <w:tcW w:w="11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Denominator</w:t>
            </w:r>
          </w:p>
        </w:tc>
        <w:tc>
          <w:tcPr>
            <w:tcW w:w="4420" w:type="dxa"/>
            <w:vAlign w:val="bottom"/>
          </w:tcPr>
          <w:p>
            <w:pPr>
              <w:ind w:left="40"/>
              <w:spacing w:after="0"/>
              <w:rPr>
                <w:sz w:val="20"/>
                <w:szCs w:val="20"/>
                <w:color w:val="auto"/>
              </w:rPr>
            </w:pPr>
            <w:r>
              <w:rPr>
                <w:rFonts w:ascii="Courier New" w:cs="Courier New" w:eastAsia="Courier New" w:hAnsi="Courier New"/>
                <w:sz w:val="14"/>
                <w:szCs w:val="14"/>
                <w:color w:val="auto"/>
              </w:rPr>
              <w:t>for diluted EPS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75,518,133</w:t>
            </w:r>
          </w:p>
        </w:tc>
      </w:tr>
      <w:tr>
        <w:trPr>
          <w:trHeight w:val="167"/>
        </w:trPr>
        <w:tc>
          <w:tcPr>
            <w:tcW w:w="11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700" w:right="440" w:hanging="259"/>
        <w:spacing w:after="0" w:line="254" w:lineRule="auto"/>
        <w:rPr>
          <w:sz w:val="20"/>
          <w:szCs w:val="20"/>
          <w:color w:val="auto"/>
        </w:rPr>
      </w:pPr>
      <w:r>
        <w:rPr>
          <w:rFonts w:ascii="Courier New" w:cs="Courier New" w:eastAsia="Courier New" w:hAnsi="Courier New"/>
          <w:sz w:val="14"/>
          <w:szCs w:val="14"/>
          <w:color w:val="auto"/>
        </w:rPr>
        <w:t>For the years ended December 31, 2000, 1999, and 1998, 373,865, 101,897 and 319,723 shares related to stock option plans were not included in diluted average common shares outstanding because their effect would be antidilutive.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501"/>
        </w:trPr>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$ 64,863,756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$50,307,130</w:t>
            </w:r>
          </w:p>
        </w:tc>
      </w:tr>
      <w:tr>
        <w:trPr>
          <w:trHeight w:val="668"/>
        </w:trPr>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72,999,601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71,611,401</w:t>
            </w:r>
          </w:p>
        </w:tc>
      </w:tr>
      <w:tr>
        <w:trPr>
          <w:trHeight w:val="167"/>
        </w:trPr>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1,996,713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2,005,319</w:t>
            </w:r>
          </w:p>
        </w:tc>
      </w:tr>
      <w:tr>
        <w:trPr>
          <w:trHeight w:val="167"/>
        </w:trPr>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74,996,314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73,616,720</w:t>
            </w:r>
          </w:p>
        </w:tc>
      </w:tr>
      <w:tr>
        <w:trPr>
          <w:trHeight w:val="167"/>
        </w:trPr>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300" w:space="440"/>
            <w:col w:w="2600"/>
          </w:cols>
          <w:pgMar w:left="220" w:top="286" w:right="1339" w:bottom="1440" w:gutter="0" w:footer="0" w:header="0"/>
        </w:sectPr>
      </w:pPr>
    </w:p>
    <w:bookmarkStart w:id="27" w:name="page28"/>
    <w:bookmarkEnd w:id="27"/>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25</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440" w:right="5020" w:hanging="431"/>
        <w:spacing w:after="0" w:line="505" w:lineRule="auto"/>
        <w:tabs>
          <w:tab w:leader="none" w:pos="353"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AND REPORTING POLICIES, continued Other Comprehensive Income</w:t>
      </w:r>
    </w:p>
    <w:p>
      <w:pPr>
        <w:ind w:left="700" w:right="4240" w:hanging="259"/>
        <w:spacing w:after="0" w:line="253" w:lineRule="auto"/>
        <w:rPr>
          <w:sz w:val="20"/>
          <w:szCs w:val="20"/>
          <w:color w:val="auto"/>
        </w:rPr>
      </w:pPr>
      <w:r>
        <w:rPr>
          <w:rFonts w:ascii="Courier New" w:cs="Courier New" w:eastAsia="Courier New" w:hAnsi="Courier New"/>
          <w:sz w:val="14"/>
          <w:szCs w:val="14"/>
          <w:color w:val="auto"/>
        </w:rPr>
        <w:t>Statement of Financial Accounting Standards No. 130: "Reporting Comprehensive Income" establishes standards for reporting and display of comprehensive income and its components. Comprehensive income reflects the change in equity of a business enterprise during a period from transactions and other events and circumstances from non-owner sources. For Gentex, comprehensive income represents net income adjusted for items such as unrealized gains and losses on certain investments and foreign currency translation adjustments. The changes in the components of other comprehensive income (loss)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12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Years Ended December 31,</w:t>
            </w: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83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spacing w:after="0"/>
              <w:rPr>
                <w:sz w:val="14"/>
                <w:szCs w:val="14"/>
                <w:color w:val="auto"/>
              </w:rPr>
            </w:pPr>
          </w:p>
        </w:tc>
        <w:tc>
          <w:tcPr>
            <w:tcW w:w="1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c>
          <w:tcPr>
            <w:tcW w:w="1260" w:type="dxa"/>
            <w:vAlign w:val="bottom"/>
          </w:tcPr>
          <w:p>
            <w:pPr>
              <w:spacing w:after="0"/>
              <w:rPr>
                <w:sz w:val="14"/>
                <w:szCs w:val="14"/>
                <w:color w:val="auto"/>
              </w:rPr>
            </w:pPr>
          </w:p>
        </w:tc>
        <w:tc>
          <w:tcPr>
            <w:tcW w:w="1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2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Pre-Tax</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Tax Exp.</w:t>
            </w:r>
          </w:p>
        </w:tc>
        <w:tc>
          <w:tcPr>
            <w:tcW w:w="1860" w:type="dxa"/>
            <w:vAlign w:val="bottom"/>
          </w:tcPr>
          <w:p>
            <w:pPr>
              <w:ind w:left="600"/>
              <w:spacing w:after="0"/>
              <w:rPr>
                <w:sz w:val="20"/>
                <w:szCs w:val="20"/>
                <w:color w:val="auto"/>
              </w:rPr>
            </w:pPr>
            <w:r>
              <w:rPr>
                <w:rFonts w:ascii="Courier New" w:cs="Courier New" w:eastAsia="Courier New" w:hAnsi="Courier New"/>
                <w:sz w:val="14"/>
                <w:szCs w:val="14"/>
                <w:color w:val="auto"/>
              </w:rPr>
              <w:t>Pre-Tax</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Tax Exp.</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Pre-Tax</w:t>
            </w:r>
          </w:p>
        </w:tc>
        <w:tc>
          <w:tcPr>
            <w:tcW w:w="82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Amount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(Credit)</w:t>
            </w:r>
          </w:p>
        </w:tc>
        <w:tc>
          <w:tcPr>
            <w:tcW w:w="1860" w:type="dxa"/>
            <w:vAlign w:val="bottom"/>
          </w:tcPr>
          <w:p>
            <w:pPr>
              <w:ind w:left="600"/>
              <w:spacing w:after="0"/>
              <w:rPr>
                <w:sz w:val="20"/>
                <w:szCs w:val="20"/>
                <w:color w:val="auto"/>
              </w:rPr>
            </w:pPr>
            <w:r>
              <w:rPr>
                <w:rFonts w:ascii="Courier New" w:cs="Courier New" w:eastAsia="Courier New" w:hAnsi="Courier New"/>
                <w:sz w:val="14"/>
                <w:szCs w:val="14"/>
                <w:color w:val="auto"/>
              </w:rPr>
              <w:t>Amount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(Credit)</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Amount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Tax Exp.</w:t>
            </w:r>
          </w:p>
        </w:tc>
      </w:tr>
      <w:tr>
        <w:trPr>
          <w:trHeight w:val="167"/>
        </w:trPr>
        <w:tc>
          <w:tcPr>
            <w:tcW w:w="244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Unrealized Gain</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2440" w:type="dxa"/>
            <w:vAlign w:val="bottom"/>
          </w:tcPr>
          <w:p>
            <w:pPr>
              <w:ind w:left="180"/>
              <w:spacing w:after="0"/>
              <w:rPr>
                <w:sz w:val="20"/>
                <w:szCs w:val="20"/>
                <w:color w:val="auto"/>
              </w:rPr>
            </w:pPr>
            <w:r>
              <w:rPr>
                <w:rFonts w:ascii="Courier New" w:cs="Courier New" w:eastAsia="Courier New" w:hAnsi="Courier New"/>
                <w:sz w:val="14"/>
                <w:szCs w:val="14"/>
                <w:color w:val="auto"/>
              </w:rPr>
              <w:t>on Securities</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$3,858,909</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$1,350,618</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$552,415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$193,346</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$ 651,075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$227,875</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2440" w:type="dxa"/>
            <w:vAlign w:val="bottom"/>
          </w:tcPr>
          <w:p>
            <w:pPr>
              <w:ind w:left="180"/>
              <w:spacing w:after="0"/>
              <w:rPr>
                <w:sz w:val="20"/>
                <w:szCs w:val="20"/>
                <w:color w:val="auto"/>
              </w:rPr>
            </w:pPr>
            <w:r>
              <w:rPr>
                <w:rFonts w:ascii="Courier New" w:cs="Courier New" w:eastAsia="Courier New" w:hAnsi="Courier New"/>
                <w:sz w:val="14"/>
                <w:szCs w:val="14"/>
                <w:color w:val="auto"/>
              </w:rPr>
              <w:t>Translation Adjustments</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(82,409)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(28,843)</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(40,777)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(14,272)</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89,503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31,326</w:t>
            </w:r>
          </w:p>
        </w:tc>
      </w:tr>
      <w:tr>
        <w:trPr>
          <w:trHeight w:val="167"/>
        </w:trPr>
        <w:tc>
          <w:tcPr>
            <w:tcW w:w="244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Other Comprehensive</w:t>
            </w: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Income</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$3,776,500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$1,321,775</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$511,638</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$179,074</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$ 740,578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$259,201</w:t>
            </w:r>
          </w:p>
        </w:tc>
      </w:tr>
      <w:tr>
        <w:trPr>
          <w:trHeight w:val="167"/>
        </w:trPr>
        <w:tc>
          <w:tcPr>
            <w:tcW w:w="244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Foreign Currency Translation</w:t>
      </w:r>
    </w:p>
    <w:p>
      <w:pPr>
        <w:spacing w:after="0" w:line="175" w:lineRule="exact"/>
        <w:rPr>
          <w:sz w:val="20"/>
          <w:szCs w:val="20"/>
          <w:color w:val="auto"/>
        </w:rPr>
      </w:pPr>
    </w:p>
    <w:p>
      <w:pPr>
        <w:ind w:left="700" w:right="4340" w:hanging="339"/>
        <w:spacing w:after="0" w:line="253" w:lineRule="auto"/>
        <w:tabs>
          <w:tab w:leader="none" w:pos="680" w:val="left"/>
        </w:tabs>
        <w:rPr>
          <w:sz w:val="20"/>
          <w:szCs w:val="20"/>
          <w:color w:val="auto"/>
        </w:rPr>
      </w:pPr>
      <w:r>
        <w:rPr>
          <w:rFonts w:ascii="Courier New" w:cs="Courier New" w:eastAsia="Courier New" w:hAnsi="Courier New"/>
          <w:sz w:val="14"/>
          <w:szCs w:val="14"/>
          <w:color w:val="auto"/>
        </w:rPr>
        <w:t>The</w:t>
        <w:tab/>
        <w:t>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Estimates</w:t>
      </w:r>
    </w:p>
    <w:p>
      <w:pPr>
        <w:spacing w:after="0" w:line="175" w:lineRule="exact"/>
        <w:rPr>
          <w:sz w:val="20"/>
          <w:szCs w:val="20"/>
          <w:color w:val="auto"/>
        </w:rPr>
      </w:pPr>
    </w:p>
    <w:p>
      <w:pPr>
        <w:ind w:left="700" w:right="4420" w:hanging="339"/>
        <w:spacing w:after="0" w:line="253" w:lineRule="auto"/>
        <w:tabs>
          <w:tab w:leader="none" w:pos="680" w:val="left"/>
        </w:tabs>
        <w:rPr>
          <w:sz w:val="20"/>
          <w:szCs w:val="20"/>
          <w:color w:val="auto"/>
        </w:rPr>
      </w:pPr>
      <w:r>
        <w:rPr>
          <w:rFonts w:ascii="Courier New" w:cs="Courier New" w:eastAsia="Courier New" w:hAnsi="Courier New"/>
          <w:sz w:val="14"/>
          <w:szCs w:val="14"/>
          <w:color w:val="auto"/>
        </w:rPr>
        <w:t>The</w:t>
        <w:tab/>
        <w:t>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Accounting Standards</w:t>
      </w:r>
    </w:p>
    <w:p>
      <w:pPr>
        <w:spacing w:after="0" w:line="8" w:lineRule="exact"/>
        <w:rPr>
          <w:sz w:val="20"/>
          <w:szCs w:val="20"/>
          <w:color w:val="auto"/>
        </w:rPr>
      </w:pPr>
    </w:p>
    <w:p>
      <w:pPr>
        <w:ind w:left="700" w:right="4240" w:hanging="259"/>
        <w:spacing w:after="0" w:line="253" w:lineRule="auto"/>
        <w:tabs>
          <w:tab w:leader="none" w:pos="680" w:val="left"/>
        </w:tabs>
        <w:rPr>
          <w:sz w:val="20"/>
          <w:szCs w:val="20"/>
          <w:color w:val="auto"/>
        </w:rPr>
      </w:pPr>
      <w:r>
        <w:rPr>
          <w:rFonts w:ascii="Courier New" w:cs="Courier New" w:eastAsia="Courier New" w:hAnsi="Courier New"/>
          <w:sz w:val="14"/>
          <w:szCs w:val="14"/>
          <w:color w:val="auto"/>
        </w:rPr>
        <w:t>In</w:t>
        <w:tab/>
        <w:t>June 1998 and June 2000, the Financial Accounting Standards Board issued SFAS No. 133, "Accounting for Derivative Instruments and Hedging Activities," and SFAS No. 138, "Accounting for Certain Derivative Instruments and Certain Hedging Activities - an amendment of SFAS No. 133", respectively, which establish accounting and reporting standards for all derivative instruments and hedging activities. These statements require an entity to recognize all derivatives as either assets or liabilities in the balance sheet and measure those investments at fair value. The Company is required to and will adopt these pronouncements in the first quarter of fiscal 2001 and expects adoption to have minimal effect on its consolidated results of operations, financial position and financial disclosures.</w:t>
      </w:r>
    </w:p>
    <w:p>
      <w:pPr>
        <w:spacing w:after="0" w:line="164" w:lineRule="exact"/>
        <w:rPr>
          <w:sz w:val="20"/>
          <w:szCs w:val="20"/>
          <w:color w:val="auto"/>
        </w:rPr>
      </w:pPr>
    </w:p>
    <w:p>
      <w:pPr>
        <w:ind w:left="700" w:right="4420" w:hanging="259"/>
        <w:spacing w:after="0" w:line="258" w:lineRule="auto"/>
        <w:tabs>
          <w:tab w:leader="none" w:pos="680" w:val="left"/>
        </w:tabs>
        <w:rPr>
          <w:sz w:val="20"/>
          <w:szCs w:val="20"/>
          <w:color w:val="auto"/>
        </w:rPr>
      </w:pPr>
      <w:r>
        <w:rPr>
          <w:rFonts w:ascii="Courier New" w:cs="Courier New" w:eastAsia="Courier New" w:hAnsi="Courier New"/>
          <w:sz w:val="14"/>
          <w:szCs w:val="14"/>
          <w:color w:val="auto"/>
        </w:rPr>
        <w:t>As</w:t>
        <w:tab/>
        <w:t>of December 31, 2000, the Company has not entered into any significant derivative or other off-balance-sheet financing arrangements.</w:t>
      </w:r>
    </w:p>
    <w:p>
      <w:pPr>
        <w:spacing w:after="0" w:line="160" w:lineRule="exact"/>
        <w:rPr>
          <w:sz w:val="20"/>
          <w:szCs w:val="20"/>
          <w:color w:val="auto"/>
        </w:rPr>
      </w:pPr>
    </w:p>
    <w:p>
      <w:pPr>
        <w:ind w:left="440" w:hanging="431"/>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LINE OF CREDIT</w:t>
      </w:r>
    </w:p>
    <w:p>
      <w:pPr>
        <w:spacing w:after="0" w:line="175" w:lineRule="exact"/>
        <w:rPr>
          <w:rFonts w:ascii="Courier New" w:cs="Courier New" w:eastAsia="Courier New" w:hAnsi="Courier New"/>
          <w:sz w:val="14"/>
          <w:szCs w:val="14"/>
          <w:color w:val="auto"/>
        </w:rPr>
      </w:pPr>
    </w:p>
    <w:p>
      <w:pPr>
        <w:ind w:left="700" w:right="4240" w:hanging="2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available an unsecured $5,000,000 line of credit from a bank at the lower of the bank's prime rate or 1.5% above the LIBOR rate. No borrowings were outstanding under this line in 2000 or 1999. No compensating balances are required under this line.</w:t>
      </w:r>
    </w:p>
    <w:p>
      <w:pPr>
        <w:spacing w:after="0" w:line="16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5" w:lineRule="exact"/>
        <w:rPr>
          <w:rFonts w:ascii="Courier New" w:cs="Courier New" w:eastAsia="Courier New" w:hAnsi="Courier New"/>
          <w:sz w:val="14"/>
          <w:szCs w:val="14"/>
          <w:color w:val="auto"/>
        </w:rPr>
      </w:pPr>
    </w:p>
    <w:p>
      <w:pPr>
        <w:ind w:left="700" w:right="4420" w:hanging="2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income taxes is based on the earnings reported in the accompanying consolidated financial statements. The Company recognizes deferred tax liabilities and assets for the expected future tax</w:t>
      </w:r>
    </w:p>
    <w:p>
      <w:pPr>
        <w:sectPr>
          <w:pgSz w:w="11900" w:h="16848" w:orient="portrait"/>
          <w:cols w:equalWidth="0" w:num="1">
            <w:col w:w="11200"/>
          </w:cols>
          <w:pgMar w:left="220" w:top="286" w:right="479"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consequences of events that have been</w:t>
      </w:r>
    </w:p>
    <w:p>
      <w:pPr>
        <w:sectPr>
          <w:pgSz w:w="11900" w:h="16838" w:orient="portrait"/>
          <w:cols w:equalWidth="0" w:num="1">
            <w:col w:w="9539"/>
          </w:cols>
          <w:pgMar w:left="920" w:top="141" w:right="1440" w:bottom="1440" w:gutter="0" w:footer="0" w:header="0"/>
        </w:sectPr>
      </w:pPr>
    </w:p>
    <w:p>
      <w:pPr>
        <w:spacing w:after="0" w:line="342"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9539"/>
          </w:cols>
          <w:pgMar w:left="920" w:top="141"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440" w:hanging="431"/>
        <w:spacing w:after="0"/>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continued</w:t>
      </w:r>
    </w:p>
    <w:p>
      <w:pPr>
        <w:spacing w:after="0" w:line="175" w:lineRule="exact"/>
        <w:rPr>
          <w:sz w:val="20"/>
          <w:szCs w:val="20"/>
          <w:color w:val="auto"/>
        </w:rPr>
      </w:pPr>
    </w:p>
    <w:p>
      <w:pPr>
        <w:ind w:left="700" w:right="3279"/>
        <w:spacing w:after="0" w:line="253" w:lineRule="auto"/>
        <w:rPr>
          <w:sz w:val="20"/>
          <w:szCs w:val="20"/>
          <w:color w:val="auto"/>
        </w:rPr>
      </w:pPr>
      <w:r>
        <w:rPr>
          <w:rFonts w:ascii="Courier New" w:cs="Courier New" w:eastAsia="Courier New" w:hAnsi="Courier New"/>
          <w:sz w:val="14"/>
          <w:szCs w:val="14"/>
          <w:color w:val="auto"/>
        </w:rPr>
        <w:t>included in the consolidated financial statements or tax returns. Under this method, deferred tax liabilities and assets are determined based on the cumulative temporary differences between the financial statement and tax bases of assets and liabilities using enacted tax rates in effect for the year in which the differences are expected to reverse. Deferred income tax expense is measured by the net change in deferred income tax assets and liabilities during the year.</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components of the provision for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2000</w:t>
            </w:r>
          </w:p>
        </w:tc>
        <w:tc>
          <w:tcPr>
            <w:tcW w:w="23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1999</w:t>
            </w:r>
          </w:p>
        </w:tc>
        <w:tc>
          <w:tcPr>
            <w:tcW w:w="1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2900" w:type="dxa"/>
            <w:vAlign w:val="bottom"/>
          </w:tcPr>
          <w:p>
            <w:pPr>
              <w:spacing w:after="0"/>
              <w:rPr>
                <w:sz w:val="14"/>
                <w:szCs w:val="14"/>
                <w:color w:val="auto"/>
              </w:rPr>
            </w:pP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00" w:type="dxa"/>
            <w:vAlign w:val="bottom"/>
          </w:tcPr>
          <w:p>
            <w:pPr>
              <w:spacing w:after="0"/>
              <w:rPr>
                <w:sz w:val="20"/>
                <w:szCs w:val="20"/>
                <w:color w:val="auto"/>
              </w:rPr>
            </w:pPr>
            <w:r>
              <w:rPr>
                <w:rFonts w:ascii="Courier New" w:cs="Courier New" w:eastAsia="Courier New" w:hAnsi="Courier New"/>
                <w:sz w:val="14"/>
                <w:szCs w:val="14"/>
                <w:color w:val="auto"/>
              </w:rPr>
              <w:t>Currently payable:</w:t>
            </w:r>
          </w:p>
        </w:tc>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67"/>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Federal</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$33,417,000</w:t>
            </w: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$30,173,000</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$23,900,000</w:t>
            </w:r>
          </w:p>
        </w:tc>
      </w:tr>
      <w:tr>
        <w:trPr>
          <w:trHeight w:val="167"/>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State</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65,000</w:t>
            </w: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459,000</w:t>
            </w:r>
          </w:p>
        </w:tc>
        <w:tc>
          <w:tcPr>
            <w:tcW w:w="16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14"/>
                <w:szCs w:val="14"/>
                <w:color w:val="auto"/>
              </w:rPr>
            </w:pP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Total</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33,482,000</w:t>
            </w: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30,632,000</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23,900,000</w:t>
            </w:r>
          </w:p>
        </w:tc>
      </w:tr>
      <w:tr>
        <w:trPr>
          <w:trHeight w:val="167"/>
        </w:trPr>
        <w:tc>
          <w:tcPr>
            <w:tcW w:w="2900" w:type="dxa"/>
            <w:vAlign w:val="bottom"/>
          </w:tcPr>
          <w:p>
            <w:pPr>
              <w:spacing w:after="0"/>
              <w:rPr>
                <w:sz w:val="14"/>
                <w:szCs w:val="14"/>
                <w:color w:val="auto"/>
              </w:rPr>
            </w:pP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deferred:</w:t>
            </w:r>
          </w:p>
        </w:tc>
        <w:tc>
          <w:tcPr>
            <w:tcW w:w="2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7"/>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Federal</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497,000</w:t>
            </w: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720,000</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456,000</w:t>
            </w:r>
          </w:p>
        </w:tc>
      </w:tr>
      <w:tr>
        <w:trPr>
          <w:trHeight w:val="167"/>
        </w:trPr>
        <w:tc>
          <w:tcPr>
            <w:tcW w:w="2900" w:type="dxa"/>
            <w:vAlign w:val="bottom"/>
          </w:tcPr>
          <w:p>
            <w:pPr>
              <w:spacing w:after="0"/>
              <w:rPr>
                <w:sz w:val="14"/>
                <w:szCs w:val="14"/>
                <w:color w:val="auto"/>
              </w:rPr>
            </w:pP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0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$33,979,000</w:t>
            </w: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$31,352,000</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$24,356,000</w:t>
            </w:r>
          </w:p>
        </w:tc>
      </w:tr>
      <w:tr>
        <w:trPr>
          <w:trHeight w:val="167"/>
        </w:trPr>
        <w:tc>
          <w:tcPr>
            <w:tcW w:w="2900" w:type="dxa"/>
            <w:vAlign w:val="bottom"/>
          </w:tcPr>
          <w:p>
            <w:pPr>
              <w:spacing w:after="0"/>
              <w:rPr>
                <w:sz w:val="14"/>
                <w:szCs w:val="14"/>
                <w:color w:val="auto"/>
              </w:rPr>
            </w:pPr>
          </w:p>
        </w:tc>
        <w:tc>
          <w:tcPr>
            <w:tcW w:w="2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700" w:right="3379" w:hanging="339"/>
        <w:spacing w:after="0" w:line="254" w:lineRule="auto"/>
        <w:tabs>
          <w:tab w:leader="none" w:pos="680" w:val="left"/>
        </w:tabs>
        <w:rPr>
          <w:sz w:val="20"/>
          <w:szCs w:val="20"/>
          <w:color w:val="auto"/>
        </w:rPr>
      </w:pPr>
      <w:r>
        <w:rPr>
          <w:rFonts w:ascii="Courier New" w:cs="Courier New" w:eastAsia="Courier New" w:hAnsi="Courier New"/>
          <w:sz w:val="14"/>
          <w:szCs w:val="14"/>
          <w:color w:val="auto"/>
        </w:rPr>
        <w:t>The</w:t>
        <w:tab/>
        <w:t>currently payable provision is further reduced by the tax benefits associated with the exercise, vesting or disposition of stock under the stock plans described in Note 6. These reductions totaled approximately $4,878,000, $6,415,000, and $4,227,000, in 2000, 1999, and 1998, respectively.</w:t>
      </w:r>
    </w:p>
    <w:p>
      <w:pPr>
        <w:spacing w:after="0" w:line="162" w:lineRule="exact"/>
        <w:rPr>
          <w:sz w:val="20"/>
          <w:szCs w:val="20"/>
          <w:color w:val="auto"/>
        </w:rPr>
      </w:pPr>
    </w:p>
    <w:p>
      <w:pPr>
        <w:ind w:left="700" w:right="3719" w:hanging="339"/>
        <w:spacing w:after="0" w:line="258" w:lineRule="auto"/>
        <w:tabs>
          <w:tab w:leader="none" w:pos="680" w:val="left"/>
        </w:tabs>
        <w:rPr>
          <w:sz w:val="20"/>
          <w:szCs w:val="20"/>
          <w:color w:val="auto"/>
        </w:rPr>
      </w:pPr>
      <w:r>
        <w:rPr>
          <w:rFonts w:ascii="Courier New" w:cs="Courier New" w:eastAsia="Courier New" w:hAnsi="Courier New"/>
          <w:sz w:val="14"/>
          <w:szCs w:val="14"/>
          <w:color w:val="auto"/>
        </w:rPr>
        <w:t>The</w:t>
        <w:tab/>
        <w:t>effective income tax rates are different from the statutory federal income tax rates for the following reasons:</w:t>
      </w:r>
    </w:p>
    <w:p>
      <w:pPr>
        <w:spacing w:after="0" w:line="32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2000</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1999</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4960" w:type="dxa"/>
            <w:vAlign w:val="bottom"/>
          </w:tcPr>
          <w:p>
            <w:pPr>
              <w:spacing w:after="0"/>
              <w:rPr>
                <w:sz w:val="14"/>
                <w:szCs w:val="14"/>
                <w:color w:val="auto"/>
              </w:rPr>
            </w:pP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35.0%</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35.0%</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w w:val="95"/>
              </w:rPr>
              <w:t>35.0%</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State income taxes, net of federal income tax benefit</w:t>
            </w: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0.1</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0.2</w:t>
            </w:r>
          </w:p>
        </w:tc>
        <w:tc>
          <w:tcPr>
            <w:tcW w:w="9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Foreign Sales Corporation exempted income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(1.5)</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w w:val="95"/>
              </w:rPr>
              <w:t>(1.3)</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Tax-exempt investment income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(0.6)</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w w:val="95"/>
              </w:rPr>
              <w:t>(0.8)</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(0.5)</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w w:val="95"/>
              </w:rPr>
              <w:t>(0.3)</w:t>
            </w:r>
          </w:p>
        </w:tc>
      </w:tr>
      <w:tr>
        <w:trPr>
          <w:trHeight w:val="167"/>
        </w:trPr>
        <w:tc>
          <w:tcPr>
            <w:tcW w:w="4960" w:type="dxa"/>
            <w:vAlign w:val="bottom"/>
          </w:tcPr>
          <w:p>
            <w:pPr>
              <w:spacing w:after="0"/>
              <w:rPr>
                <w:sz w:val="14"/>
                <w:szCs w:val="14"/>
                <w:color w:val="auto"/>
              </w:rPr>
            </w:pP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tcPr>
          <w:p>
            <w:pPr>
              <w:spacing w:after="0"/>
              <w:rPr>
                <w:sz w:val="20"/>
                <w:szCs w:val="20"/>
                <w:color w:val="auto"/>
              </w:rPr>
            </w:pPr>
            <w:r>
              <w:rPr>
                <w:rFonts w:ascii="Courier New" w:cs="Courier New" w:eastAsia="Courier New" w:hAnsi="Courier New"/>
                <w:sz w:val="14"/>
                <w:szCs w:val="14"/>
                <w:color w:val="auto"/>
              </w:rPr>
              <w:t>Effective income tax rate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32.5%</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32.6%</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w w:val="95"/>
              </w:rPr>
              <w:t>32.6%</w:t>
            </w:r>
          </w:p>
        </w:tc>
      </w:tr>
      <w:tr>
        <w:trPr>
          <w:trHeight w:val="167"/>
        </w:trPr>
        <w:tc>
          <w:tcPr>
            <w:tcW w:w="4960" w:type="dxa"/>
            <w:vAlign w:val="bottom"/>
          </w:tcPr>
          <w:p>
            <w:pPr>
              <w:spacing w:after="0"/>
              <w:rPr>
                <w:sz w:val="14"/>
                <w:szCs w:val="14"/>
                <w:color w:val="auto"/>
              </w:rPr>
            </w:pPr>
          </w:p>
        </w:tc>
        <w:tc>
          <w:tcPr>
            <w:tcW w:w="1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700" w:right="3379"/>
        <w:spacing w:after="0" w:line="258" w:lineRule="auto"/>
        <w:rPr>
          <w:sz w:val="20"/>
          <w:szCs w:val="20"/>
          <w:color w:val="auto"/>
        </w:rPr>
      </w:pPr>
      <w:r>
        <w:rPr>
          <w:rFonts w:ascii="Courier New" w:cs="Courier New" w:eastAsia="Courier New" w:hAnsi="Courier New"/>
          <w:sz w:val="14"/>
          <w:szCs w:val="14"/>
          <w:color w:val="auto"/>
        </w:rPr>
        <w:t>The tax effect of temporary differences which give rise to deferred tax assets and liabilities at December 31, 2000 and 1999,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1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spacing w:after="0"/>
              <w:rPr>
                <w:sz w:val="14"/>
                <w:szCs w:val="14"/>
                <w:color w:val="auto"/>
              </w:rPr>
            </w:pP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9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Current</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Non-Current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Current</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Non-Current</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Accruals not currently deductible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969,589</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262,203</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762,951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249,603</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Deferred compensation</w:t>
            </w:r>
          </w:p>
        </w:tc>
        <w:tc>
          <w:tcPr>
            <w:tcW w:w="2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635,326</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587,122</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1,109,233</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11,880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1,002,721</w:t>
            </w:r>
          </w:p>
        </w:tc>
        <w:tc>
          <w:tcPr>
            <w:tcW w:w="5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23,355</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Total deferred tax assets</w:t>
            </w:r>
          </w:p>
        </w:tc>
        <w:tc>
          <w:tcPr>
            <w:tcW w:w="2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2,078,822</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909,409</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1,765,672</w:t>
            </w:r>
          </w:p>
        </w:tc>
        <w:tc>
          <w:tcPr>
            <w:tcW w:w="5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860,080</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Excess tax over book depreciation</w:t>
            </w:r>
          </w:p>
        </w:tc>
        <w:tc>
          <w:tcPr>
            <w:tcW w:w="2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(4,257,983)</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(3,395,195)</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Patent costs</w:t>
            </w:r>
          </w:p>
        </w:tc>
        <w:tc>
          <w:tcPr>
            <w:tcW w:w="2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(360,345)</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(341,685)</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gain/loss on investments</w:t>
            </w:r>
          </w:p>
        </w:tc>
        <w:tc>
          <w:tcPr>
            <w:tcW w:w="2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(2,624,961)</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(1,274,343)</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(193,242)</w:t>
            </w: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(215,049)</w:t>
            </w:r>
          </w:p>
        </w:tc>
        <w:tc>
          <w:tcPr>
            <w:tcW w:w="56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Net deferred taxes</w:t>
            </w:r>
          </w:p>
        </w:tc>
        <w:tc>
          <w:tcPr>
            <w:tcW w:w="2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$1,885,580</w:t>
            </w:r>
          </w:p>
        </w:tc>
        <w:tc>
          <w:tcPr>
            <w:tcW w:w="1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$(6,333,880)</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$1,550,623</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$(4,151,143)</w:t>
            </w:r>
          </w:p>
        </w:tc>
      </w:tr>
      <w:tr>
        <w:trPr>
          <w:trHeight w:val="167"/>
        </w:trPr>
        <w:tc>
          <w:tcPr>
            <w:tcW w:w="3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right="3459"/>
        <w:spacing w:after="0" w:line="258" w:lineRule="auto"/>
        <w:rPr>
          <w:sz w:val="20"/>
          <w:szCs w:val="20"/>
          <w:color w:val="auto"/>
        </w:rPr>
      </w:pPr>
      <w:r>
        <w:rPr>
          <w:rFonts w:ascii="Courier New" w:cs="Courier New" w:eastAsia="Courier New" w:hAnsi="Courier New"/>
          <w:sz w:val="14"/>
          <w:szCs w:val="14"/>
          <w:color w:val="auto"/>
        </w:rPr>
        <w:t>Income taxes paid in cash were approximately $28,302,000, $26,530,000, and $18,815,000 in 2000, 1999, and 1998, respectively.</w:t>
      </w:r>
    </w:p>
    <w:p>
      <w:pPr>
        <w:sectPr>
          <w:pgSz w:w="11900" w:h="16838" w:orient="portrait"/>
          <w:cols w:equalWidth="0" w:num="1">
            <w:col w:w="10239"/>
          </w:cols>
          <w:pgMar w:left="220" w:top="286" w:right="1440" w:bottom="124" w:gutter="0" w:footer="0" w:header="0"/>
        </w:sectPr>
      </w:pPr>
    </w:p>
    <w:bookmarkStart w:id="30" w:name="page31"/>
    <w:bookmarkEnd w:id="30"/>
    <w:p>
      <w:pPr>
        <w:ind w:left="20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9019"/>
          </w:cols>
          <w:pgMar w:left="1440" w:top="475"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27</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126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342" w:lineRule="exact"/>
        <w:rPr>
          <w:sz w:val="20"/>
          <w:szCs w:val="20"/>
          <w:color w:val="auto"/>
        </w:rPr>
      </w:pPr>
    </w:p>
    <w:p>
      <w:pPr>
        <w:ind w:left="440" w:hanging="431"/>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w:t>
      </w:r>
    </w:p>
    <w:p>
      <w:pPr>
        <w:spacing w:after="0" w:line="175" w:lineRule="exact"/>
        <w:rPr>
          <w:rFonts w:ascii="Courier New" w:cs="Courier New" w:eastAsia="Courier New" w:hAnsi="Courier New"/>
          <w:sz w:val="14"/>
          <w:szCs w:val="14"/>
          <w:color w:val="auto"/>
        </w:rPr>
      </w:pPr>
    </w:p>
    <w:p>
      <w:pPr>
        <w:ind w:left="800" w:right="1269" w:hanging="347"/>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2000, 1999, and 1998, the Company's contributions were approximately $620,000, $526,000, and $378,000, respectively.</w:t>
      </w:r>
    </w:p>
    <w:p>
      <w:pPr>
        <w:spacing w:after="0" w:line="16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does not provide health care benefits to retired employees.</w:t>
      </w:r>
    </w:p>
    <w:p>
      <w:pPr>
        <w:spacing w:after="0" w:line="175"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PROTECTION RIGHTS PLAN</w:t>
      </w:r>
    </w:p>
    <w:p>
      <w:pPr>
        <w:spacing w:after="0" w:line="175" w:lineRule="exact"/>
        <w:rPr>
          <w:sz w:val="20"/>
          <w:szCs w:val="20"/>
          <w:color w:val="auto"/>
        </w:rPr>
      </w:pPr>
    </w:p>
    <w:p>
      <w:pPr>
        <w:ind w:left="800" w:right="1629" w:hanging="279"/>
        <w:spacing w:after="0" w:line="254" w:lineRule="auto"/>
        <w:tabs>
          <w:tab w:leader="none" w:pos="780" w:val="left"/>
        </w:tabs>
        <w:rPr>
          <w:sz w:val="20"/>
          <w:szCs w:val="20"/>
          <w:color w:val="auto"/>
        </w:rPr>
      </w:pPr>
      <w:r>
        <w:rPr>
          <w:rFonts w:ascii="Courier New" w:cs="Courier New" w:eastAsia="Courier New" w:hAnsi="Courier New"/>
          <w:sz w:val="14"/>
          <w:szCs w:val="14"/>
          <w:color w:val="auto"/>
        </w:rPr>
        <w:t>In</w:t>
        <w:tab/>
        <w:t>August 1991, the Company's Board of Directors adopted a Shareholder Protection Rights Plan (the Plan). The Plan is designed to protect shareholders against unsolicited attempts to acquire control of the Company in a manner that does not offer a fair price to all shareholders.</w:t>
      </w:r>
    </w:p>
    <w:p>
      <w:pPr>
        <w:spacing w:after="0" w:line="162" w:lineRule="exact"/>
        <w:rPr>
          <w:sz w:val="20"/>
          <w:szCs w:val="20"/>
          <w:color w:val="auto"/>
        </w:rPr>
      </w:pPr>
    </w:p>
    <w:p>
      <w:pPr>
        <w:ind w:left="800" w:right="1369" w:hanging="346"/>
        <w:spacing w:after="0" w:line="253" w:lineRule="auto"/>
        <w:rPr>
          <w:sz w:val="20"/>
          <w:szCs w:val="20"/>
          <w:color w:val="auto"/>
        </w:rPr>
      </w:pPr>
      <w:r>
        <w:rPr>
          <w:rFonts w:ascii="Courier New" w:cs="Courier New" w:eastAsia="Courier New" w:hAnsi="Courier New"/>
          <w:sz w:val="14"/>
          <w:szCs w:val="14"/>
          <w:color w:val="auto"/>
        </w:rPr>
        <w:t>Under the Plan, one purchase Right automatically trades with each share of the Company's common stock. Each Right entitles a shareholder to purchase 1/100 of a share of junior participating preferred stock at a price of $40,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$.00125 per Right and, unless earlier redeemed, will expire on August 26, 2001. Rights beneficially owned by holders of 15 percent or more of the Company's common stock, or their transferees, automatically become void.</w:t>
      </w:r>
    </w:p>
    <w:p>
      <w:pPr>
        <w:spacing w:after="0" w:line="164" w:lineRule="exact"/>
        <w:rPr>
          <w:sz w:val="20"/>
          <w:szCs w:val="20"/>
          <w:color w:val="auto"/>
        </w:rPr>
      </w:pPr>
    </w:p>
    <w:p>
      <w:pPr>
        <w:ind w:left="440" w:hanging="431"/>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STOCK-BASED COMPENSATION PLANS</w:t>
      </w:r>
    </w:p>
    <w:p>
      <w:pPr>
        <w:spacing w:after="0" w:line="175" w:lineRule="exact"/>
        <w:rPr>
          <w:sz w:val="20"/>
          <w:szCs w:val="20"/>
          <w:color w:val="auto"/>
        </w:rPr>
      </w:pPr>
    </w:p>
    <w:p>
      <w:pPr>
        <w:ind w:left="700" w:right="1369" w:hanging="339"/>
        <w:spacing w:after="0" w:line="253" w:lineRule="auto"/>
        <w:tabs>
          <w:tab w:leader="none" w:pos="680" w:val="left"/>
        </w:tabs>
        <w:rPr>
          <w:sz w:val="20"/>
          <w:szCs w:val="20"/>
          <w:color w:val="auto"/>
        </w:rPr>
      </w:pPr>
      <w:r>
        <w:rPr>
          <w:rFonts w:ascii="Courier New" w:cs="Courier New" w:eastAsia="Courier New" w:hAnsi="Courier New"/>
          <w:sz w:val="14"/>
          <w:szCs w:val="14"/>
          <w:color w:val="auto"/>
        </w:rPr>
        <w:t>The</w:t>
        <w:tab/>
        <w:t>Company has three stock option plans, including two employee stock option plans ("Employee Plans") and a non-employee directors stock option plan ("Director Plan"), and an employee stock purchase plan. The Company accounts for these plans in accordance with APB Opinion No. 25, as amended by FIN 44, "Accounting for Certain Transactions Involving Stock Compensation," under which no compensation cost has been recognized. Had compensation cost for these plans been determined consistent with FASB Statement No. 123, the Company's net income and earnings per share would have been reduced to the following pro-forma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2000</w:t>
            </w:r>
          </w:p>
        </w:tc>
        <w:tc>
          <w:tcPr>
            <w:tcW w:w="7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15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700" w:type="dxa"/>
            <w:vAlign w:val="bottom"/>
          </w:tcPr>
          <w:p>
            <w:pPr>
              <w:ind w:left="360"/>
              <w:spacing w:after="0"/>
              <w:rPr>
                <w:sz w:val="20"/>
                <w:szCs w:val="20"/>
                <w:color w:val="auto"/>
              </w:rPr>
            </w:pPr>
            <w:r>
              <w:rPr>
                <w:rFonts w:ascii="Courier New" w:cs="Courier New" w:eastAsia="Courier New" w:hAnsi="Courier New"/>
                <w:sz w:val="14"/>
                <w:szCs w:val="14"/>
                <w:color w:val="auto"/>
              </w:rPr>
              <w:t>As Reported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70,544,066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64,863,756</w:t>
            </w:r>
          </w:p>
        </w:tc>
      </w:tr>
      <w:tr>
        <w:trPr>
          <w:trHeight w:val="167"/>
        </w:trPr>
        <w:tc>
          <w:tcPr>
            <w:tcW w:w="1560" w:type="dxa"/>
            <w:vAlign w:val="bottom"/>
          </w:tcPr>
          <w:p>
            <w:pPr>
              <w:spacing w:after="0"/>
              <w:rPr>
                <w:sz w:val="14"/>
                <w:szCs w:val="14"/>
                <w:color w:val="auto"/>
              </w:rPr>
            </w:pPr>
          </w:p>
        </w:tc>
        <w:tc>
          <w:tcPr>
            <w:tcW w:w="1700" w:type="dxa"/>
            <w:vAlign w:val="bottom"/>
          </w:tcPr>
          <w:p>
            <w:pPr>
              <w:ind w:left="360"/>
              <w:spacing w:after="0"/>
              <w:rPr>
                <w:sz w:val="20"/>
                <w:szCs w:val="20"/>
                <w:color w:val="auto"/>
              </w:rPr>
            </w:pPr>
            <w:r>
              <w:rPr>
                <w:rFonts w:ascii="Courier New" w:cs="Courier New" w:eastAsia="Courier New" w:hAnsi="Courier New"/>
                <w:sz w:val="14"/>
                <w:szCs w:val="14"/>
                <w:color w:val="auto"/>
              </w:rPr>
              <w:t>Pro Forma</w:t>
            </w:r>
          </w:p>
        </w:tc>
        <w:tc>
          <w:tcPr>
            <w:tcW w:w="520" w:type="dxa"/>
            <w:vAlign w:val="bottom"/>
          </w:tcPr>
          <w:p>
            <w:pPr>
              <w:spacing w:after="0"/>
              <w:rPr>
                <w:sz w:val="14"/>
                <w:szCs w:val="14"/>
                <w:color w:val="auto"/>
              </w:rPr>
            </w:pPr>
          </w:p>
        </w:tc>
        <w:tc>
          <w:tcPr>
            <w:tcW w:w="152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64,500,375</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60,394,893</w:t>
            </w:r>
          </w:p>
        </w:tc>
      </w:tr>
      <w:tr>
        <w:trPr>
          <w:trHeight w:val="334"/>
        </w:trPr>
        <w:tc>
          <w:tcPr>
            <w:tcW w:w="1560" w:type="dxa"/>
            <w:vAlign w:val="bottom"/>
          </w:tcPr>
          <w:p>
            <w:pPr>
              <w:spacing w:after="0"/>
              <w:rPr>
                <w:sz w:val="20"/>
                <w:szCs w:val="20"/>
                <w:color w:val="auto"/>
              </w:rPr>
            </w:pPr>
            <w:r>
              <w:rPr>
                <w:rFonts w:ascii="Courier New" w:cs="Courier New" w:eastAsia="Courier New" w:hAnsi="Courier New"/>
                <w:sz w:val="14"/>
                <w:szCs w:val="14"/>
                <w:color w:val="auto"/>
              </w:rPr>
              <w:t>EPS (diluted):</w:t>
            </w:r>
          </w:p>
        </w:tc>
        <w:tc>
          <w:tcPr>
            <w:tcW w:w="1700" w:type="dxa"/>
            <w:vAlign w:val="bottom"/>
          </w:tcPr>
          <w:p>
            <w:pPr>
              <w:ind w:left="360"/>
              <w:spacing w:after="0"/>
              <w:rPr>
                <w:sz w:val="20"/>
                <w:szCs w:val="20"/>
                <w:color w:val="auto"/>
              </w:rPr>
            </w:pPr>
            <w:r>
              <w:rPr>
                <w:rFonts w:ascii="Courier New" w:cs="Courier New" w:eastAsia="Courier New" w:hAnsi="Courier New"/>
                <w:sz w:val="14"/>
                <w:szCs w:val="14"/>
                <w:color w:val="auto"/>
              </w:rPr>
              <w:t>As Reported</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0.93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0.86</w:t>
            </w:r>
          </w:p>
        </w:tc>
      </w:tr>
      <w:tr>
        <w:trPr>
          <w:trHeight w:val="167"/>
        </w:trPr>
        <w:tc>
          <w:tcPr>
            <w:tcW w:w="1560" w:type="dxa"/>
            <w:vAlign w:val="bottom"/>
          </w:tcPr>
          <w:p>
            <w:pPr>
              <w:spacing w:after="0"/>
              <w:rPr>
                <w:sz w:val="14"/>
                <w:szCs w:val="14"/>
                <w:color w:val="auto"/>
              </w:rPr>
            </w:pPr>
          </w:p>
        </w:tc>
        <w:tc>
          <w:tcPr>
            <w:tcW w:w="1700" w:type="dxa"/>
            <w:vAlign w:val="bottom"/>
          </w:tcPr>
          <w:p>
            <w:pPr>
              <w:ind w:left="360"/>
              <w:spacing w:after="0"/>
              <w:rPr>
                <w:sz w:val="20"/>
                <w:szCs w:val="20"/>
                <w:color w:val="auto"/>
              </w:rPr>
            </w:pPr>
            <w:r>
              <w:rPr>
                <w:rFonts w:ascii="Courier New" w:cs="Courier New" w:eastAsia="Courier New" w:hAnsi="Courier New"/>
                <w:sz w:val="14"/>
                <w:szCs w:val="14"/>
                <w:color w:val="auto"/>
              </w:rPr>
              <w:t>Pro Forma</w:t>
            </w:r>
          </w:p>
        </w:tc>
        <w:tc>
          <w:tcPr>
            <w:tcW w:w="52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0.85</w:t>
            </w:r>
          </w:p>
        </w:tc>
        <w:tc>
          <w:tcPr>
            <w:tcW w:w="7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0.81</w:t>
            </w:r>
          </w:p>
        </w:tc>
      </w:tr>
    </w:tbl>
    <w:p>
      <w:pPr>
        <w:spacing w:after="0" w:line="200" w:lineRule="exact"/>
        <w:rPr>
          <w:sz w:val="20"/>
          <w:szCs w:val="20"/>
          <w:color w:val="auto"/>
        </w:rPr>
      </w:pPr>
    </w:p>
    <w:p>
      <w:pPr>
        <w:spacing w:after="0" w:line="305" w:lineRule="exact"/>
        <w:rPr>
          <w:sz w:val="20"/>
          <w:szCs w:val="20"/>
          <w:color w:val="auto"/>
        </w:rPr>
      </w:pPr>
    </w:p>
    <w:p>
      <w:pPr>
        <w:ind w:left="700" w:right="1529" w:hanging="259"/>
        <w:spacing w:after="0" w:line="254" w:lineRule="auto"/>
        <w:rPr>
          <w:sz w:val="20"/>
          <w:szCs w:val="20"/>
          <w:color w:val="auto"/>
        </w:rPr>
      </w:pPr>
      <w:r>
        <w:rPr>
          <w:rFonts w:ascii="Courier New" w:cs="Courier New" w:eastAsia="Courier New" w:hAnsi="Courier New"/>
          <w:sz w:val="14"/>
          <w:szCs w:val="14"/>
          <w:color w:val="auto"/>
        </w:rPr>
        <w:t>Because the Statement 123 method of accounting has not been applied to options granted prior to January 1, 1995, the resulting pro forma compensation cost may not be representative of that to be expected in future years.</w:t>
      </w:r>
    </w:p>
    <w:p>
      <w:pPr>
        <w:spacing w:after="0" w:line="163" w:lineRule="exact"/>
        <w:rPr>
          <w:sz w:val="20"/>
          <w:szCs w:val="20"/>
          <w:color w:val="auto"/>
        </w:rPr>
      </w:pPr>
    </w:p>
    <w:p>
      <w:pPr>
        <w:jc w:val="center"/>
        <w:ind w:right="1009"/>
        <w:spacing w:after="0"/>
        <w:rPr>
          <w:sz w:val="20"/>
          <w:szCs w:val="20"/>
          <w:color w:val="auto"/>
        </w:rPr>
      </w:pPr>
      <w:r>
        <w:rPr>
          <w:rFonts w:ascii="Courier New" w:cs="Courier New" w:eastAsia="Courier New" w:hAnsi="Courier New"/>
          <w:sz w:val="14"/>
          <w:szCs w:val="14"/>
          <w:color w:val="auto"/>
        </w:rPr>
        <w:t>The Company may sell up to 1,600,000 shares of stock to its employees under</w:t>
      </w:r>
    </w:p>
    <w:p>
      <w:pPr>
        <w:spacing w:after="0" w:line="8" w:lineRule="exact"/>
        <w:rPr>
          <w:sz w:val="20"/>
          <w:szCs w:val="20"/>
          <w:color w:val="auto"/>
        </w:rPr>
      </w:pPr>
    </w:p>
    <w:p>
      <w:pPr>
        <w:ind w:left="700" w:right="1269"/>
        <w:spacing w:after="0" w:line="253" w:lineRule="auto"/>
        <w:rPr>
          <w:sz w:val="20"/>
          <w:szCs w:val="20"/>
          <w:color w:val="auto"/>
        </w:rPr>
      </w:pPr>
      <w:r>
        <w:rPr>
          <w:rFonts w:ascii="Courier New" w:cs="Courier New" w:eastAsia="Courier New" w:hAnsi="Courier New"/>
          <w:sz w:val="14"/>
          <w:szCs w:val="14"/>
          <w:color w:val="auto"/>
        </w:rPr>
        <w:t>the Employee Stock Purchase Plan. The Company has sold to employees 47,023 shares, 50,550 shares, and 61,748 shares in 2000, 1999, and 1998, respectively, and has sold a total of 471,715 shares through December 31, 2000. The Company sells shares at 85% of the stock's market price at date of purchase. The weighted average fair value of shares sold in 2000 was approximately $22.</w:t>
      </w:r>
    </w:p>
    <w:p>
      <w:pPr>
        <w:spacing w:after="0" w:line="165" w:lineRule="exact"/>
        <w:rPr>
          <w:sz w:val="20"/>
          <w:szCs w:val="20"/>
          <w:color w:val="auto"/>
        </w:rPr>
      </w:pPr>
    </w:p>
    <w:p>
      <w:pPr>
        <w:ind w:left="700" w:right="1269" w:hanging="339"/>
        <w:spacing w:after="0" w:line="254" w:lineRule="auto"/>
        <w:tabs>
          <w:tab w:leader="none" w:pos="680" w:val="left"/>
        </w:tabs>
        <w:rPr>
          <w:sz w:val="20"/>
          <w:szCs w:val="20"/>
          <w:color w:val="auto"/>
        </w:rPr>
      </w:pPr>
      <w:r>
        <w:rPr>
          <w:rFonts w:ascii="Courier New" w:cs="Courier New" w:eastAsia="Courier New" w:hAnsi="Courier New"/>
          <w:sz w:val="14"/>
          <w:szCs w:val="14"/>
          <w:color w:val="auto"/>
        </w:rPr>
        <w:t>The</w:t>
        <w:tab/>
        <w:t>Company may grant options for up to 9,000,000 shares under the Employee Plans. The Company has granted options on 5,470,900 shares through December 31, 2000. Under the Plans, the option exercise price equals the stock's market price on date of grant. The options vest after one to five years, and expire after five to seven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71"/>
        <w:spacing w:after="0"/>
        <w:rPr>
          <w:sz w:val="20"/>
          <w:szCs w:val="20"/>
          <w:color w:val="auto"/>
        </w:rPr>
      </w:pPr>
      <w:r>
        <w:rPr>
          <w:rFonts w:ascii="Courier New" w:cs="Courier New" w:eastAsia="Courier New" w:hAnsi="Courier New"/>
          <w:sz w:val="14"/>
          <w:szCs w:val="14"/>
          <w:color w:val="auto"/>
        </w:rPr>
        <w:t>1998</w:t>
      </w:r>
    </w:p>
    <w:p>
      <w:pPr>
        <w:spacing w:after="0" w:line="8" w:lineRule="exact"/>
        <w:rPr>
          <w:sz w:val="20"/>
          <w:szCs w:val="20"/>
          <w:color w:val="auto"/>
        </w:rPr>
      </w:pPr>
    </w:p>
    <w:p>
      <w:pPr>
        <w:ind w:left="171"/>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71" w:hanging="171"/>
        <w:spacing w:after="0"/>
        <w:tabs>
          <w:tab w:leader="none" w:pos="17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50,307,130</w:t>
      </w:r>
    </w:p>
    <w:p>
      <w:pPr>
        <w:spacing w:after="0" w:line="8" w:lineRule="exact"/>
        <w:rPr>
          <w:rFonts w:ascii="Courier New" w:cs="Courier New" w:eastAsia="Courier New" w:hAnsi="Courier New"/>
          <w:sz w:val="14"/>
          <w:szCs w:val="14"/>
          <w:color w:val="auto"/>
        </w:rPr>
      </w:pPr>
    </w:p>
    <w:p>
      <w:pPr>
        <w:ind w:left="17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46,098,379</w:t>
      </w:r>
    </w:p>
    <w:p>
      <w:pPr>
        <w:spacing w:after="0" w:line="175" w:lineRule="exact"/>
        <w:rPr>
          <w:sz w:val="20"/>
          <w:szCs w:val="20"/>
          <w:color w:val="auto"/>
        </w:rPr>
      </w:pPr>
    </w:p>
    <w:p>
      <w:pPr>
        <w:ind w:left="691" w:hanging="691"/>
        <w:spacing w:after="0"/>
        <w:tabs>
          <w:tab w:leader="none" w:pos="69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0.68</w:t>
      </w:r>
    </w:p>
    <w:p>
      <w:pPr>
        <w:spacing w:after="0" w:line="8" w:lineRule="exact"/>
        <w:rPr>
          <w:rFonts w:ascii="Courier New" w:cs="Courier New" w:eastAsia="Courier New" w:hAnsi="Courier New"/>
          <w:sz w:val="14"/>
          <w:szCs w:val="14"/>
          <w:color w:val="auto"/>
        </w:rPr>
      </w:pPr>
    </w:p>
    <w:p>
      <w:pPr>
        <w:ind w:left="69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0.63</w:t>
      </w:r>
    </w:p>
    <w:p>
      <w:pPr>
        <w:spacing w:after="0" w:line="3718" w:lineRule="exact"/>
        <w:rPr>
          <w:sz w:val="20"/>
          <w:szCs w:val="20"/>
          <w:color w:val="auto"/>
        </w:rPr>
      </w:pPr>
    </w:p>
    <w:p>
      <w:pPr>
        <w:sectPr>
          <w:pgSz w:w="11900" w:h="16838" w:orient="portrait"/>
          <w:cols w:equalWidth="0" w:num="2">
            <w:col w:w="8229" w:space="720"/>
            <w:col w:w="1291"/>
          </w:cols>
          <w:pgMar w:left="220" w:top="28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0" w:gutter="0" w:footer="0" w:header="0"/>
          <w:type w:val="continuous"/>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28</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440" w:hanging="431"/>
        <w:spacing w:after="0"/>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STOCK-BASED COMPENSATION PLANS, continued</w:t>
      </w:r>
    </w:p>
    <w:p>
      <w:pPr>
        <w:spacing w:after="0" w:line="175" w:lineRule="exact"/>
        <w:rPr>
          <w:sz w:val="20"/>
          <w:szCs w:val="20"/>
          <w:color w:val="auto"/>
        </w:rPr>
      </w:pPr>
    </w:p>
    <w:p>
      <w:pPr>
        <w:ind w:left="700" w:right="4240" w:hanging="179"/>
        <w:spacing w:after="0" w:line="255" w:lineRule="auto"/>
        <w:tabs>
          <w:tab w:leader="none" w:pos="680" w:val="left"/>
        </w:tabs>
        <w:rPr>
          <w:sz w:val="20"/>
          <w:szCs w:val="20"/>
          <w:color w:val="auto"/>
        </w:rPr>
      </w:pPr>
      <w:r>
        <w:rPr>
          <w:rFonts w:ascii="Courier New" w:cs="Courier New" w:eastAsia="Courier New" w:hAnsi="Courier New"/>
          <w:sz w:val="14"/>
          <w:szCs w:val="14"/>
          <w:color w:val="auto"/>
        </w:rPr>
        <w:t>A</w:t>
        <w:tab/>
        <w:t>summary of the status of the Company's employee stock option plans at December 31, 2000, 1999, and 1998, and changes during the years then ended is presented in the table and narrative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gridSpan w:val="2"/>
          </w:tcPr>
          <w:p>
            <w:pPr>
              <w:jc w:val="right"/>
              <w:ind w:right="928"/>
              <w:spacing w:after="0"/>
              <w:rPr>
                <w:sz w:val="20"/>
                <w:szCs w:val="20"/>
                <w:color w:val="auto"/>
              </w:rPr>
            </w:pPr>
            <w:r>
              <w:rPr>
                <w:rFonts w:ascii="Courier New" w:cs="Courier New" w:eastAsia="Courier New" w:hAnsi="Courier New"/>
                <w:sz w:val="14"/>
                <w:szCs w:val="14"/>
                <w:color w:val="auto"/>
                <w:w w:val="95"/>
              </w:rPr>
              <w:t>1999</w:t>
            </w:r>
          </w:p>
        </w:tc>
        <w:tc>
          <w:tcPr>
            <w:tcW w:w="9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1998</w:t>
            </w:r>
          </w:p>
        </w:tc>
        <w:tc>
          <w:tcPr>
            <w:tcW w:w="780" w:type="dxa"/>
            <w:vAlign w:val="bottom"/>
          </w:tcPr>
          <w:p>
            <w:pPr>
              <w:spacing w:after="0"/>
              <w:rPr>
                <w:sz w:val="14"/>
                <w:szCs w:val="14"/>
                <w:color w:val="auto"/>
              </w:rPr>
            </w:pPr>
          </w:p>
        </w:tc>
      </w:tr>
      <w:tr>
        <w:trPr>
          <w:trHeight w:val="167"/>
        </w:trPr>
        <w:tc>
          <w:tcPr>
            <w:tcW w:w="3340" w:type="dxa"/>
            <w:vAlign w:val="bottom"/>
          </w:tcPr>
          <w:p>
            <w:pPr>
              <w:spacing w:after="0"/>
              <w:rPr>
                <w:sz w:val="14"/>
                <w:szCs w:val="14"/>
                <w:color w:val="auto"/>
              </w:rPr>
            </w:pPr>
          </w:p>
        </w:tc>
        <w:tc>
          <w:tcPr>
            <w:tcW w:w="230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Wtd. Avg.</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Wtd. Avg.</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3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Wtd. Avg.</w:t>
            </w:r>
          </w:p>
        </w:tc>
      </w:tr>
      <w:tr>
        <w:trPr>
          <w:trHeight w:val="167"/>
        </w:trPr>
        <w:tc>
          <w:tcPr>
            <w:tcW w:w="3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Ex price</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Ex price</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3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Ex price</w:t>
            </w:r>
          </w:p>
        </w:tc>
      </w:tr>
      <w:tr>
        <w:trPr>
          <w:trHeight w:val="167"/>
        </w:trPr>
        <w:tc>
          <w:tcPr>
            <w:tcW w:w="33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4"/>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Outstanding at Beginning of Year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3,807</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4,145</w:t>
            </w:r>
          </w:p>
        </w:tc>
        <w:tc>
          <w:tcPr>
            <w:tcW w:w="2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Granted</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887</w:t>
            </w:r>
          </w:p>
        </w:tc>
        <w:tc>
          <w:tcPr>
            <w:tcW w:w="260" w:type="dxa"/>
            <w:vAlign w:val="bottom"/>
          </w:tcPr>
          <w:p>
            <w:pPr>
              <w:spacing w:after="0"/>
              <w:rPr>
                <w:sz w:val="14"/>
                <w:szCs w:val="14"/>
                <w:color w:val="auto"/>
              </w:rPr>
            </w:pP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774</w:t>
            </w:r>
          </w:p>
        </w:tc>
        <w:tc>
          <w:tcPr>
            <w:tcW w:w="220" w:type="dxa"/>
            <w:vAlign w:val="bottom"/>
          </w:tcPr>
          <w:p>
            <w:pPr>
              <w:spacing w:after="0"/>
              <w:rPr>
                <w:sz w:val="14"/>
                <w:szCs w:val="14"/>
                <w:color w:val="auto"/>
              </w:rPr>
            </w:pPr>
          </w:p>
        </w:tc>
        <w:tc>
          <w:tcPr>
            <w:tcW w:w="1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761</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w:t>
            </w:r>
          </w:p>
        </w:tc>
        <w:tc>
          <w:tcPr>
            <w:tcW w:w="260" w:type="dxa"/>
            <w:vAlign w:val="bottom"/>
          </w:tcPr>
          <w:p>
            <w:pPr>
              <w:spacing w:after="0"/>
              <w:rPr>
                <w:sz w:val="14"/>
                <w:szCs w:val="14"/>
                <w:color w:val="auto"/>
              </w:rPr>
            </w:pP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(1,055)</w:t>
            </w:r>
          </w:p>
        </w:tc>
        <w:tc>
          <w:tcPr>
            <w:tcW w:w="220" w:type="dxa"/>
            <w:vAlign w:val="bottom"/>
          </w:tcPr>
          <w:p>
            <w:pPr>
              <w:spacing w:after="0"/>
              <w:rPr>
                <w:sz w:val="14"/>
                <w:szCs w:val="14"/>
                <w:color w:val="auto"/>
              </w:rPr>
            </w:pPr>
          </w:p>
        </w:tc>
        <w:tc>
          <w:tcPr>
            <w:tcW w:w="1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(1,267)</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Forfeited</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spacing w:after="0"/>
              <w:rPr>
                <w:sz w:val="14"/>
                <w:szCs w:val="14"/>
                <w:color w:val="auto"/>
              </w:rPr>
            </w:pP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c>
          <w:tcPr>
            <w:tcW w:w="220" w:type="dxa"/>
            <w:vAlign w:val="bottom"/>
          </w:tcPr>
          <w:p>
            <w:pPr>
              <w:spacing w:after="0"/>
              <w:rPr>
                <w:sz w:val="14"/>
                <w:szCs w:val="14"/>
                <w:color w:val="auto"/>
              </w:rPr>
            </w:pPr>
          </w:p>
        </w:tc>
        <w:tc>
          <w:tcPr>
            <w:tcW w:w="1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Expired</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Outstanding at End of Year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3,901</w:t>
            </w:r>
          </w:p>
        </w:tc>
        <w:tc>
          <w:tcPr>
            <w:tcW w:w="260" w:type="dxa"/>
            <w:vAlign w:val="bottom"/>
          </w:tcPr>
          <w:p>
            <w:pPr>
              <w:spacing w:after="0"/>
              <w:rPr>
                <w:sz w:val="14"/>
                <w:szCs w:val="14"/>
                <w:color w:val="auto"/>
              </w:rPr>
            </w:pP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3,807</w:t>
            </w:r>
          </w:p>
        </w:tc>
        <w:tc>
          <w:tcPr>
            <w:tcW w:w="220" w:type="dxa"/>
            <w:vAlign w:val="bottom"/>
          </w:tcPr>
          <w:p>
            <w:pPr>
              <w:spacing w:after="0"/>
              <w:rPr>
                <w:sz w:val="14"/>
                <w:szCs w:val="14"/>
                <w:color w:val="auto"/>
              </w:rPr>
            </w:pPr>
          </w:p>
        </w:tc>
        <w:tc>
          <w:tcPr>
            <w:tcW w:w="1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4,145</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r>
      <w:tr>
        <w:trPr>
          <w:trHeight w:val="167"/>
        </w:trPr>
        <w:tc>
          <w:tcPr>
            <w:tcW w:w="33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Exercisable at End of Year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1,736</w:t>
            </w:r>
          </w:p>
        </w:tc>
        <w:tc>
          <w:tcPr>
            <w:tcW w:w="260" w:type="dxa"/>
            <w:vAlign w:val="bottom"/>
          </w:tcPr>
          <w:p>
            <w:pPr>
              <w:spacing w:after="0"/>
              <w:rPr>
                <w:sz w:val="14"/>
                <w:szCs w:val="14"/>
                <w:color w:val="auto"/>
              </w:rPr>
            </w:pP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1,660</w:t>
            </w:r>
          </w:p>
        </w:tc>
        <w:tc>
          <w:tcPr>
            <w:tcW w:w="220" w:type="dxa"/>
            <w:vAlign w:val="bottom"/>
          </w:tcPr>
          <w:p>
            <w:pPr>
              <w:spacing w:after="0"/>
              <w:rPr>
                <w:sz w:val="14"/>
                <w:szCs w:val="14"/>
                <w:color w:val="auto"/>
              </w:rPr>
            </w:pPr>
          </w:p>
        </w:tc>
        <w:tc>
          <w:tcPr>
            <w:tcW w:w="1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1,782</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r>
      <w:tr>
        <w:trPr>
          <w:trHeight w:val="167"/>
        </w:trPr>
        <w:tc>
          <w:tcPr>
            <w:tcW w:w="3340" w:type="dxa"/>
            <w:vAlign w:val="bottom"/>
          </w:tcPr>
          <w:p>
            <w:pPr>
              <w:ind w:left="260"/>
              <w:spacing w:after="0"/>
              <w:rPr>
                <w:sz w:val="20"/>
                <w:szCs w:val="20"/>
                <w:color w:val="auto"/>
              </w:rPr>
            </w:pPr>
            <w:r>
              <w:rPr>
                <w:rFonts w:ascii="Courier New" w:cs="Courier New" w:eastAsia="Courier New" w:hAnsi="Courier New"/>
                <w:sz w:val="14"/>
                <w:szCs w:val="14"/>
                <w:color w:val="auto"/>
              </w:rPr>
              <w:t>Weighted Avg. Fair Value</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340" w:type="dxa"/>
            <w:vAlign w:val="bottom"/>
          </w:tcPr>
          <w:p>
            <w:pPr>
              <w:ind w:left="520"/>
              <w:spacing w:after="0"/>
              <w:rPr>
                <w:sz w:val="20"/>
                <w:szCs w:val="20"/>
                <w:color w:val="auto"/>
              </w:rPr>
            </w:pPr>
            <w:r>
              <w:rPr>
                <w:rFonts w:ascii="Courier New" w:cs="Courier New" w:eastAsia="Courier New" w:hAnsi="Courier New"/>
                <w:sz w:val="14"/>
                <w:szCs w:val="14"/>
                <w:color w:val="auto"/>
              </w:rPr>
              <w:t>of Options Granted</w:t>
            </w:r>
          </w:p>
        </w:tc>
        <w:tc>
          <w:tcPr>
            <w:tcW w:w="100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w:t>
            </w:r>
          </w:p>
        </w:tc>
        <w:tc>
          <w:tcPr>
            <w:tcW w:w="9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w:t>
            </w:r>
          </w:p>
        </w:tc>
        <w:tc>
          <w:tcPr>
            <w:tcW w:w="9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r>
      <w:tr>
        <w:trPr>
          <w:trHeight w:val="668"/>
        </w:trPr>
        <w:tc>
          <w:tcPr>
            <w:tcW w:w="4600" w:type="dxa"/>
            <w:vAlign w:val="bottom"/>
            <w:gridSpan w:val="3"/>
          </w:tcPr>
          <w:p>
            <w:pPr>
              <w:spacing w:after="0"/>
              <w:rPr>
                <w:sz w:val="20"/>
                <w:szCs w:val="20"/>
                <w:color w:val="auto"/>
              </w:rPr>
            </w:pPr>
            <w:r>
              <w:rPr>
                <w:rFonts w:ascii="Courier New" w:cs="Courier New" w:eastAsia="Courier New" w:hAnsi="Courier New"/>
                <w:sz w:val="14"/>
                <w:szCs w:val="14"/>
                <w:color w:val="auto"/>
              </w:rPr>
              <w:t>Options Outstanding and Exercisable by Price Range As</w:t>
            </w:r>
          </w:p>
        </w:tc>
        <w:tc>
          <w:tcPr>
            <w:tcW w:w="2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of December 31, 2000</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9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Options Exercisable</w:t>
            </w:r>
          </w:p>
        </w:tc>
      </w:tr>
      <w:tr>
        <w:trPr>
          <w:trHeight w:val="167"/>
        </w:trPr>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740" w:type="dxa"/>
            <w:vAlign w:val="bottom"/>
            <w:gridSpan w:val="2"/>
          </w:tcPr>
          <w:p>
            <w:pPr>
              <w:jc w:val="right"/>
              <w:ind w:right="1228"/>
              <w:spacing w:after="0"/>
              <w:rPr>
                <w:sz w:val="20"/>
                <w:szCs w:val="20"/>
                <w:color w:val="auto"/>
              </w:rPr>
            </w:pPr>
            <w:r>
              <w:rPr>
                <w:rFonts w:ascii="Courier New" w:cs="Courier New" w:eastAsia="Courier New" w:hAnsi="Courier New"/>
                <w:sz w:val="14"/>
                <w:szCs w:val="14"/>
                <w:color w:val="auto"/>
              </w:rPr>
              <w:t>Options Outstanding</w:t>
            </w:r>
          </w:p>
        </w:tc>
        <w:tc>
          <w:tcPr>
            <w:tcW w:w="178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gridSpan w:val="2"/>
          </w:tcPr>
          <w:p>
            <w:pPr>
              <w:spacing w:after="0"/>
              <w:rPr>
                <w:sz w:val="20"/>
                <w:szCs w:val="20"/>
                <w:color w:val="auto"/>
              </w:rPr>
            </w:pPr>
            <w:r>
              <w:rPr>
                <w:rFonts w:ascii="Courier New" w:cs="Courier New" w:eastAsia="Courier New" w:hAnsi="Courier New"/>
                <w:sz w:val="1"/>
                <w:szCs w:val="1"/>
                <w:color w:val="auto"/>
                <w:w w:val="98"/>
              </w:rPr>
              <w: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Shares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Weighted-Average</w:t>
            </w:r>
          </w:p>
        </w:tc>
      </w:tr>
      <w:tr>
        <w:trPr>
          <w:trHeight w:val="167"/>
        </w:trPr>
        <w:tc>
          <w:tcPr>
            <w:tcW w:w="2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Range</w:t>
            </w:r>
          </w:p>
        </w:tc>
        <w:tc>
          <w:tcPr>
            <w:tcW w:w="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of</w:t>
            </w:r>
          </w:p>
        </w:tc>
        <w:tc>
          <w:tcPr>
            <w:tcW w:w="2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Outstanding</w:t>
            </w:r>
          </w:p>
        </w:tc>
        <w:tc>
          <w:tcPr>
            <w:tcW w:w="1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Remaining</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Weighted-Average</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Exercisable</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740" w:type="dxa"/>
            <w:vAlign w:val="bottom"/>
            <w:gridSpan w:val="3"/>
          </w:tcPr>
          <w:p>
            <w:pPr>
              <w:spacing w:after="0"/>
              <w:rPr>
                <w:sz w:val="20"/>
                <w:szCs w:val="20"/>
                <w:color w:val="auto"/>
              </w:rPr>
            </w:pPr>
            <w:r>
              <w:rPr>
                <w:rFonts w:ascii="Courier New" w:cs="Courier New" w:eastAsia="Courier New" w:hAnsi="Courier New"/>
                <w:sz w:val="14"/>
                <w:szCs w:val="14"/>
                <w:color w:val="auto"/>
              </w:rPr>
              <w:t>Exercise</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Prices</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(000)</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Contractual Life</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Exercise Price</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480" w:type="dxa"/>
            <w:vAlign w:val="bottom"/>
            <w:gridSpan w:val="2"/>
          </w:tcPr>
          <w:p>
            <w:pPr>
              <w:spacing w:after="0"/>
              <w:rPr>
                <w:sz w:val="20"/>
                <w:szCs w:val="20"/>
                <w:color w:val="auto"/>
              </w:rPr>
            </w:pPr>
            <w:r>
              <w:rPr>
                <w:rFonts w:ascii="Courier New" w:cs="Courier New" w:eastAsia="Courier New" w:hAnsi="Courier New"/>
                <w:sz w:val="7"/>
                <w:szCs w:val="7"/>
                <w:color w:val="auto"/>
                <w:w w:val="72"/>
              </w:rPr>
              <w: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0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$10</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810</w:t>
            </w:r>
          </w:p>
        </w:tc>
        <w:tc>
          <w:tcPr>
            <w:tcW w:w="1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$ 8</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728</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$ 8</w:t>
            </w:r>
          </w:p>
        </w:tc>
      </w:tr>
      <w:tr>
        <w:trPr>
          <w:trHeight w:val="167"/>
        </w:trPr>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c>
          <w:tcPr>
            <w:tcW w:w="10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$20</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1,669</w:t>
            </w:r>
          </w:p>
        </w:tc>
        <w:tc>
          <w:tcPr>
            <w:tcW w:w="1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851</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w:t>
            </w:r>
          </w:p>
        </w:tc>
      </w:tr>
      <w:tr>
        <w:trPr>
          <w:trHeight w:val="167"/>
        </w:trPr>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21</w:t>
            </w:r>
          </w:p>
        </w:tc>
        <w:tc>
          <w:tcPr>
            <w:tcW w:w="108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$37</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1,422</w:t>
            </w:r>
          </w:p>
        </w:tc>
        <w:tc>
          <w:tcPr>
            <w:tcW w:w="1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157</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w:t>
            </w:r>
          </w:p>
        </w:tc>
      </w:tr>
      <w:tr>
        <w:trPr>
          <w:trHeight w:val="167"/>
        </w:trPr>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Total</w:t>
            </w:r>
          </w:p>
        </w:tc>
        <w:tc>
          <w:tcPr>
            <w:tcW w:w="820" w:type="dxa"/>
            <w:vAlign w:val="bottom"/>
          </w:tcPr>
          <w:p>
            <w:pPr>
              <w:spacing w:after="0"/>
              <w:rPr>
                <w:sz w:val="14"/>
                <w:szCs w:val="14"/>
                <w:color w:val="auto"/>
              </w:rPr>
            </w:pP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3,901</w:t>
            </w:r>
          </w:p>
        </w:tc>
        <w:tc>
          <w:tcPr>
            <w:tcW w:w="1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18</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1,736</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r>
    </w:tbl>
    <w:p>
      <w:pPr>
        <w:spacing w:after="0" w:line="338" w:lineRule="exact"/>
        <w:rPr>
          <w:sz w:val="20"/>
          <w:szCs w:val="20"/>
          <w:color w:val="auto"/>
        </w:rPr>
      </w:pPr>
    </w:p>
    <w:p>
      <w:pPr>
        <w:ind w:left="700" w:right="4080" w:hanging="339"/>
        <w:spacing w:after="0" w:line="253" w:lineRule="auto"/>
        <w:tabs>
          <w:tab w:leader="none" w:pos="680" w:val="left"/>
        </w:tabs>
        <w:rPr>
          <w:sz w:val="20"/>
          <w:szCs w:val="20"/>
          <w:color w:val="auto"/>
        </w:rPr>
      </w:pPr>
      <w:r>
        <w:rPr>
          <w:rFonts w:ascii="Courier New" w:cs="Courier New" w:eastAsia="Courier New" w:hAnsi="Courier New"/>
          <w:sz w:val="14"/>
          <w:szCs w:val="14"/>
          <w:color w:val="auto"/>
        </w:rPr>
        <w:t>The</w:t>
        <w:tab/>
        <w:t>fair value of each option grant is estimated on the date of grant using the Black-Scholes option pricing model with the following weighted-average assumptions used for grants in 2000, 1999, and 1998, respectively: risk-free interest rates of 4.8, 5.9, and 5.1 percent; expected dividend yields of 0.0, 0.0 and 0.0 percent; expected lives of 5 years, 5 years and 6 years; expected volatility of 54, 52, and 43 percent.</w:t>
      </w:r>
    </w:p>
    <w:p>
      <w:pPr>
        <w:spacing w:after="0" w:line="165" w:lineRule="exact"/>
        <w:rPr>
          <w:sz w:val="20"/>
          <w:szCs w:val="20"/>
          <w:color w:val="auto"/>
        </w:rPr>
      </w:pPr>
    </w:p>
    <w:p>
      <w:pPr>
        <w:ind w:left="700" w:right="4080" w:hanging="339"/>
        <w:spacing w:after="0" w:line="254" w:lineRule="auto"/>
        <w:tabs>
          <w:tab w:leader="none" w:pos="680" w:val="left"/>
        </w:tabs>
        <w:rPr>
          <w:sz w:val="20"/>
          <w:szCs w:val="20"/>
          <w:color w:val="auto"/>
        </w:rPr>
      </w:pPr>
      <w:r>
        <w:rPr>
          <w:rFonts w:ascii="Courier New" w:cs="Courier New" w:eastAsia="Courier New" w:hAnsi="Courier New"/>
          <w:sz w:val="14"/>
          <w:szCs w:val="14"/>
          <w:color w:val="auto"/>
        </w:rPr>
        <w:t>The</w:t>
        <w:tab/>
        <w:t>Company may grant options for up to 2,000,000 shares under the Director Plan. The Company has granted options on 1,099,590 shares through December 31, 2000. Under the plan the option exercise price equals the stock's market price on date of grant. The Director Plan options vest after six months, and all expire after ten years.</w:t>
      </w:r>
    </w:p>
    <w:p>
      <w:pPr>
        <w:spacing w:after="0" w:line="162" w:lineRule="exact"/>
        <w:rPr>
          <w:sz w:val="20"/>
          <w:szCs w:val="20"/>
          <w:color w:val="auto"/>
        </w:rPr>
      </w:pPr>
    </w:p>
    <w:p>
      <w:pPr>
        <w:ind w:left="700" w:right="4160" w:hanging="179"/>
        <w:spacing w:after="0" w:line="255" w:lineRule="auto"/>
        <w:tabs>
          <w:tab w:leader="none" w:pos="680" w:val="left"/>
        </w:tabs>
        <w:rPr>
          <w:sz w:val="20"/>
          <w:szCs w:val="20"/>
          <w:color w:val="auto"/>
        </w:rPr>
      </w:pPr>
      <w:r>
        <w:rPr>
          <w:rFonts w:ascii="Courier New" w:cs="Courier New" w:eastAsia="Courier New" w:hAnsi="Courier New"/>
          <w:sz w:val="14"/>
          <w:szCs w:val="14"/>
          <w:color w:val="auto"/>
        </w:rPr>
        <w:t>A</w:t>
        <w:tab/>
        <w:t>summary of the status of the Director Plan at December 31, 2000, 1999, and 1998, and changes during the years then ended is presented in the table and narrative below:</w:t>
      </w:r>
    </w:p>
    <w:p>
      <w:pPr>
        <w:spacing w:after="0" w:line="200" w:lineRule="exact"/>
        <w:rPr>
          <w:sz w:val="20"/>
          <w:szCs w:val="20"/>
          <w:color w:val="auto"/>
        </w:rPr>
      </w:pPr>
    </w:p>
    <w:p>
      <w:pPr>
        <w:spacing w:after="0" w:line="296"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right"/>
              <w:ind w:right="928"/>
              <w:spacing w:after="0"/>
              <w:rPr>
                <w:sz w:val="20"/>
                <w:szCs w:val="20"/>
                <w:color w:val="auto"/>
              </w:rPr>
            </w:pPr>
            <w:r>
              <w:rPr>
                <w:rFonts w:ascii="Courier New" w:cs="Courier New" w:eastAsia="Courier New" w:hAnsi="Courier New"/>
                <w:sz w:val="14"/>
                <w:szCs w:val="14"/>
                <w:color w:val="auto"/>
                <w:w w:val="95"/>
              </w:rPr>
              <w:t>1999</w:t>
            </w:r>
          </w:p>
        </w:tc>
        <w:tc>
          <w:tcPr>
            <w:tcW w:w="9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1998</w:t>
            </w:r>
          </w:p>
        </w:tc>
        <w:tc>
          <w:tcPr>
            <w:tcW w:w="600" w:type="dxa"/>
            <w:vAlign w:val="bottom"/>
          </w:tcPr>
          <w:p>
            <w:pPr>
              <w:spacing w:after="0"/>
              <w:rPr>
                <w:sz w:val="14"/>
                <w:szCs w:val="14"/>
                <w:color w:val="auto"/>
              </w:rPr>
            </w:pPr>
          </w:p>
        </w:tc>
      </w:tr>
      <w:tr>
        <w:trPr>
          <w:trHeight w:val="167"/>
        </w:trPr>
        <w:tc>
          <w:tcPr>
            <w:tcW w:w="3120" w:type="dxa"/>
            <w:vAlign w:val="bottom"/>
          </w:tcPr>
          <w:p>
            <w:pPr>
              <w:spacing w:after="0"/>
              <w:rPr>
                <w:sz w:val="14"/>
                <w:szCs w:val="14"/>
                <w:color w:val="auto"/>
              </w:rPr>
            </w:pPr>
          </w:p>
        </w:tc>
        <w:tc>
          <w:tcPr>
            <w:tcW w:w="226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0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2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Wtd. Avg.</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Shares</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Wtd. Avg.</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1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Wtd. Avg.</w:t>
            </w:r>
          </w:p>
        </w:tc>
      </w:tr>
      <w:tr>
        <w:trPr>
          <w:trHeight w:val="167"/>
        </w:trPr>
        <w:tc>
          <w:tcPr>
            <w:tcW w:w="312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Ex</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price</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Ex price</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c>
          <w:tcPr>
            <w:tcW w:w="1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Ex price</w:t>
            </w:r>
          </w:p>
        </w:tc>
      </w:tr>
      <w:tr>
        <w:trPr>
          <w:trHeight w:val="167"/>
        </w:trPr>
        <w:tc>
          <w:tcPr>
            <w:tcW w:w="312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312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548</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w:t>
            </w:r>
          </w:p>
        </w:tc>
        <w:tc>
          <w:tcPr>
            <w:tcW w:w="220" w:type="dxa"/>
            <w:vAlign w:val="bottom"/>
          </w:tcPr>
          <w:p>
            <w:pPr>
              <w:spacing w:after="0"/>
              <w:rPr>
                <w:sz w:val="14"/>
                <w:szCs w:val="14"/>
                <w:color w:val="auto"/>
              </w:rPr>
            </w:pPr>
          </w:p>
        </w:tc>
        <w:tc>
          <w:tcPr>
            <w:tcW w:w="86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4"/>
              </w:rPr>
              <w:t>30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w:t>
            </w:r>
          </w:p>
        </w:tc>
        <w:tc>
          <w:tcPr>
            <w:tcW w:w="52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220" w:type="dxa"/>
            <w:vAlign w:val="bottom"/>
          </w:tcPr>
          <w:p>
            <w:pPr>
              <w:spacing w:after="0"/>
              <w:rPr>
                <w:sz w:val="14"/>
                <w:szCs w:val="14"/>
                <w:color w:val="auto"/>
              </w:rPr>
            </w:pPr>
          </w:p>
        </w:tc>
        <w:tc>
          <w:tcPr>
            <w:tcW w:w="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52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Expired</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220" w:type="dxa"/>
            <w:vAlign w:val="bottom"/>
          </w:tcPr>
          <w:p>
            <w:pPr>
              <w:spacing w:after="0"/>
              <w:rPr>
                <w:sz w:val="14"/>
                <w:szCs w:val="14"/>
                <w:color w:val="auto"/>
              </w:rPr>
            </w:pPr>
          </w:p>
        </w:tc>
        <w:tc>
          <w:tcPr>
            <w:tcW w:w="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2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476</w:t>
            </w:r>
          </w:p>
        </w:tc>
        <w:tc>
          <w:tcPr>
            <w:tcW w:w="220" w:type="dxa"/>
            <w:vAlign w:val="bottom"/>
          </w:tcPr>
          <w:p>
            <w:pPr>
              <w:spacing w:after="0"/>
              <w:rPr>
                <w:sz w:val="14"/>
                <w:szCs w:val="14"/>
                <w:color w:val="auto"/>
              </w:rPr>
            </w:pPr>
          </w:p>
        </w:tc>
        <w:tc>
          <w:tcPr>
            <w:tcW w:w="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512</w:t>
            </w:r>
          </w:p>
        </w:tc>
        <w:tc>
          <w:tcPr>
            <w:tcW w:w="52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r>
      <w:tr>
        <w:trPr>
          <w:trHeight w:val="167"/>
        </w:trPr>
        <w:tc>
          <w:tcPr>
            <w:tcW w:w="3120" w:type="dxa"/>
            <w:vAlign w:val="bottom"/>
          </w:tcPr>
          <w:p>
            <w:pPr>
              <w:spacing w:after="0"/>
              <w:rPr>
                <w:sz w:val="14"/>
                <w:szCs w:val="14"/>
                <w:color w:val="auto"/>
              </w:rPr>
            </w:pP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472</w:t>
            </w:r>
          </w:p>
        </w:tc>
        <w:tc>
          <w:tcPr>
            <w:tcW w:w="220" w:type="dxa"/>
            <w:vAlign w:val="bottom"/>
          </w:tcPr>
          <w:p>
            <w:pPr>
              <w:spacing w:after="0"/>
              <w:rPr>
                <w:sz w:val="14"/>
                <w:szCs w:val="14"/>
                <w:color w:val="auto"/>
              </w:rPr>
            </w:pPr>
          </w:p>
        </w:tc>
        <w:tc>
          <w:tcPr>
            <w:tcW w:w="8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512</w:t>
            </w:r>
          </w:p>
        </w:tc>
        <w:tc>
          <w:tcPr>
            <w:tcW w:w="52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r>
      <w:tr>
        <w:trPr>
          <w:trHeight w:val="167"/>
        </w:trPr>
        <w:tc>
          <w:tcPr>
            <w:tcW w:w="3120" w:type="dxa"/>
            <w:vAlign w:val="bottom"/>
          </w:tcPr>
          <w:p>
            <w:pPr>
              <w:spacing w:after="0"/>
              <w:rPr>
                <w:sz w:val="20"/>
                <w:szCs w:val="20"/>
                <w:color w:val="auto"/>
              </w:rPr>
            </w:pPr>
            <w:r>
              <w:rPr>
                <w:rFonts w:ascii="Courier New" w:cs="Courier New" w:eastAsia="Courier New" w:hAnsi="Courier New"/>
                <w:sz w:val="14"/>
                <w:szCs w:val="14"/>
                <w:color w:val="auto"/>
              </w:rPr>
              <w:t>Weighted Avg. Fair Value</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3120" w:type="dxa"/>
            <w:vAlign w:val="bottom"/>
          </w:tcPr>
          <w:p>
            <w:pPr>
              <w:ind w:left="260"/>
              <w:spacing w:after="0"/>
              <w:rPr>
                <w:sz w:val="20"/>
                <w:szCs w:val="20"/>
                <w:color w:val="auto"/>
              </w:rPr>
            </w:pPr>
            <w:r>
              <w:rPr>
                <w:rFonts w:ascii="Courier New" w:cs="Courier New" w:eastAsia="Courier New" w:hAnsi="Courier New"/>
                <w:sz w:val="14"/>
                <w:szCs w:val="14"/>
                <w:color w:val="auto"/>
              </w:rPr>
              <w:t>of Options Granted</w:t>
            </w:r>
          </w:p>
        </w:tc>
        <w:tc>
          <w:tcPr>
            <w:tcW w:w="1180" w:type="dxa"/>
            <w:vAlign w:val="bottom"/>
          </w:tcPr>
          <w:p>
            <w:pPr>
              <w:spacing w:after="0"/>
              <w:rPr>
                <w:sz w:val="14"/>
                <w:szCs w:val="14"/>
                <w:color w:val="auto"/>
              </w:rPr>
            </w:pPr>
          </w:p>
        </w:tc>
        <w:tc>
          <w:tcPr>
            <w:tcW w:w="10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$ 21</w:t>
            </w:r>
          </w:p>
        </w:tc>
        <w:tc>
          <w:tcPr>
            <w:tcW w:w="960" w:type="dxa"/>
            <w:vAlign w:val="bottom"/>
          </w:tcPr>
          <w:p>
            <w:pPr>
              <w:spacing w:after="0"/>
              <w:rPr>
                <w:sz w:val="14"/>
                <w:szCs w:val="14"/>
                <w:color w:val="auto"/>
              </w:rPr>
            </w:pPr>
          </w:p>
        </w:tc>
        <w:tc>
          <w:tcPr>
            <w:tcW w:w="13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$ 19</w:t>
            </w:r>
          </w:p>
        </w:tc>
        <w:tc>
          <w:tcPr>
            <w:tcW w:w="920" w:type="dxa"/>
            <w:vAlign w:val="bottom"/>
          </w:tcPr>
          <w:p>
            <w:pPr>
              <w:spacing w:after="0"/>
              <w:rPr>
                <w:sz w:val="14"/>
                <w:szCs w:val="14"/>
                <w:color w:val="auto"/>
              </w:rPr>
            </w:pP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r>
    </w:tbl>
    <w:p>
      <w:pPr>
        <w:sectPr>
          <w:pgSz w:w="11900" w:h="16838" w:orient="portrait"/>
          <w:cols w:equalWidth="0" w:num="1">
            <w:col w:w="10940"/>
          </w:cols>
          <w:pgMar w:left="220" w:top="286" w:right="739" w:bottom="0" w:gutter="0" w:footer="0" w:header="0"/>
        </w:sectPr>
      </w:pPr>
    </w:p>
    <w:bookmarkStart w:id="34" w:name="page35"/>
    <w:bookmarkEnd w:id="34"/>
    <w:p>
      <w:pPr>
        <w:ind w:left="20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019"/>
          </w:cols>
          <w:pgMar w:left="1440" w:top="642"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29</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408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440" w:hanging="431"/>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STOCK-BASED COMPENSATION PLANS, continued</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 Outstanding and Exercisable by Price Range As Of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Options</w:t>
            </w:r>
          </w:p>
        </w:tc>
        <w:tc>
          <w:tcPr>
            <w:tcW w:w="166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Exercisable</w:t>
            </w:r>
          </w:p>
        </w:tc>
      </w:tr>
      <w:tr>
        <w:trPr>
          <w:trHeight w:val="167"/>
        </w:trPr>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60" w:type="dxa"/>
            <w:vAlign w:val="bottom"/>
            <w:gridSpan w:val="2"/>
          </w:tcPr>
          <w:p>
            <w:pPr>
              <w:jc w:val="right"/>
              <w:ind w:right="1148"/>
              <w:spacing w:after="0"/>
              <w:rPr>
                <w:sz w:val="20"/>
                <w:szCs w:val="20"/>
                <w:color w:val="auto"/>
              </w:rPr>
            </w:pPr>
            <w:r>
              <w:rPr>
                <w:rFonts w:ascii="Courier New" w:cs="Courier New" w:eastAsia="Courier New" w:hAnsi="Courier New"/>
                <w:sz w:val="14"/>
                <w:szCs w:val="14"/>
                <w:color w:val="auto"/>
              </w:rPr>
              <w:t>Option  Outstanding</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880" w:type="dxa"/>
            <w:vAlign w:val="bottom"/>
          </w:tcPr>
          <w:p>
            <w:pPr>
              <w:spacing w:after="0"/>
              <w:rPr>
                <w:sz w:val="14"/>
                <w:szCs w:val="14"/>
                <w:color w:val="auto"/>
              </w:rPr>
            </w:pPr>
          </w:p>
        </w:tc>
      </w:tr>
      <w:tr>
        <w:trPr>
          <w:trHeight w:val="167"/>
        </w:trPr>
        <w:tc>
          <w:tcPr>
            <w:tcW w:w="152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8"/>
              </w:rPr>
              <w:t>--------------------------------------------------------------------------------</w:t>
            </w:r>
          </w:p>
        </w:tc>
        <w:tc>
          <w:tcPr>
            <w:tcW w:w="2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Shares</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Weighted-Average</w:t>
            </w:r>
          </w:p>
        </w:tc>
      </w:tr>
      <w:tr>
        <w:trPr>
          <w:trHeight w:val="167"/>
        </w:trPr>
        <w:tc>
          <w:tcPr>
            <w:tcW w:w="15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Range of</w:t>
            </w:r>
          </w:p>
        </w:tc>
        <w:tc>
          <w:tcPr>
            <w:tcW w:w="2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 Outstanding</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Remaining</w:t>
            </w:r>
          </w:p>
        </w:tc>
        <w:tc>
          <w:tcPr>
            <w:tcW w:w="1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Weighted-Average</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Exercisable</w:t>
            </w:r>
          </w:p>
        </w:tc>
        <w:tc>
          <w:tcPr>
            <w:tcW w:w="16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44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Prices</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(000)</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Contractual Life</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Exercise Price</w:t>
            </w:r>
          </w:p>
        </w:tc>
        <w:tc>
          <w:tcPr>
            <w:tcW w:w="1380" w:type="dxa"/>
            <w:vAlign w:val="bottom"/>
          </w:tcPr>
          <w:p>
            <w:pPr>
              <w:ind w:left="520"/>
              <w:spacing w:after="0"/>
              <w:rPr>
                <w:sz w:val="20"/>
                <w:szCs w:val="20"/>
                <w:color w:val="auto"/>
              </w:rPr>
            </w:pPr>
            <w:r>
              <w:rPr>
                <w:rFonts w:ascii="Courier New" w:cs="Courier New" w:eastAsia="Courier New" w:hAnsi="Courier New"/>
                <w:sz w:val="14"/>
                <w:szCs w:val="14"/>
                <w:color w:val="auto"/>
              </w:rPr>
              <w:t>(000)</w:t>
            </w:r>
          </w:p>
        </w:tc>
        <w:tc>
          <w:tcPr>
            <w:tcW w:w="7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Price</w:t>
            </w:r>
          </w:p>
        </w:tc>
      </w:tr>
      <w:tr>
        <w:trPr>
          <w:trHeight w:val="167"/>
        </w:trPr>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1 - $10</w:t>
            </w: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392</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w:t>
            </w:r>
          </w:p>
        </w:tc>
      </w:tr>
      <w:tr>
        <w:trPr>
          <w:trHeight w:val="167"/>
        </w:trPr>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8"/>
              </w:rPr>
              <w:t>11 - $31</w:t>
            </w: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84</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w:t>
            </w:r>
          </w:p>
        </w:tc>
        <w:tc>
          <w:tcPr>
            <w:tcW w:w="740" w:type="dxa"/>
            <w:vAlign w:val="bottom"/>
          </w:tcPr>
          <w:p>
            <w:pPr>
              <w:spacing w:after="0"/>
              <w:rPr>
                <w:sz w:val="14"/>
                <w:szCs w:val="14"/>
                <w:color w:val="auto"/>
              </w:rPr>
            </w:pPr>
          </w:p>
        </w:tc>
        <w:tc>
          <w:tcPr>
            <w:tcW w:w="10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c>
          <w:tcPr>
            <w:tcW w:w="780" w:type="dxa"/>
            <w:vAlign w:val="bottom"/>
          </w:tcPr>
          <w:p>
            <w:pPr>
              <w:spacing w:after="0"/>
              <w:rPr>
                <w:sz w:val="14"/>
                <w:szCs w:val="14"/>
                <w:color w:val="auto"/>
              </w:rPr>
            </w:pPr>
          </w:p>
        </w:tc>
        <w:tc>
          <w:tcPr>
            <w:tcW w:w="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24</w:t>
            </w:r>
          </w:p>
        </w:tc>
      </w:tr>
      <w:tr>
        <w:trPr>
          <w:trHeight w:val="167"/>
        </w:trPr>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476</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spacing w:after="0"/>
              <w:rPr>
                <w:sz w:val="14"/>
                <w:szCs w:val="14"/>
                <w:color w:val="auto"/>
              </w:rPr>
            </w:pPr>
          </w:p>
        </w:tc>
        <w:tc>
          <w:tcPr>
            <w:tcW w:w="10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w:t>
            </w:r>
          </w:p>
        </w:tc>
        <w:tc>
          <w:tcPr>
            <w:tcW w:w="780" w:type="dxa"/>
            <w:vAlign w:val="bottom"/>
          </w:tcPr>
          <w:p>
            <w:pPr>
              <w:spacing w:after="0"/>
              <w:rPr>
                <w:sz w:val="14"/>
                <w:szCs w:val="14"/>
                <w:color w:val="auto"/>
              </w:rPr>
            </w:pPr>
          </w:p>
        </w:tc>
        <w:tc>
          <w:tcPr>
            <w:tcW w:w="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right="4180" w:hanging="339"/>
        <w:spacing w:after="0" w:line="253" w:lineRule="auto"/>
        <w:tabs>
          <w:tab w:leader="none" w:pos="680" w:val="left"/>
        </w:tabs>
        <w:rPr>
          <w:sz w:val="20"/>
          <w:szCs w:val="20"/>
          <w:color w:val="auto"/>
        </w:rPr>
      </w:pPr>
      <w:r>
        <w:rPr>
          <w:rFonts w:ascii="Courier New" w:cs="Courier New" w:eastAsia="Courier New" w:hAnsi="Courier New"/>
          <w:sz w:val="14"/>
          <w:szCs w:val="14"/>
          <w:color w:val="auto"/>
        </w:rPr>
        <w:t>The</w:t>
        <w:tab/>
        <w:t>fair value of each option grant is estimated on the date of grant using the Black-Scholes option pricing model with the following weighted-average assumptions used for grants in 2000, 1999, and 1998, respectively: risk-free interest rates of 5.0, 5.6, and 5.7 percent; expected dividend yields of 0.0, 0.0 and 0.0 percent; expected lives of 9, 9, and 5 years; expected volatility of 54, 52, and 43 percent.</w:t>
      </w:r>
    </w:p>
    <w:p>
      <w:pPr>
        <w:spacing w:after="0" w:line="165" w:lineRule="exact"/>
        <w:rPr>
          <w:sz w:val="20"/>
          <w:szCs w:val="20"/>
          <w:color w:val="auto"/>
        </w:rPr>
      </w:pPr>
    </w:p>
    <w:p>
      <w:pPr>
        <w:ind w:left="700" w:right="4180" w:hanging="339"/>
        <w:spacing w:after="0" w:line="252" w:lineRule="auto"/>
        <w:tabs>
          <w:tab w:leader="none" w:pos="680" w:val="left"/>
        </w:tabs>
        <w:rPr>
          <w:sz w:val="20"/>
          <w:szCs w:val="20"/>
          <w:color w:val="auto"/>
        </w:rPr>
      </w:pPr>
      <w:r>
        <w:rPr>
          <w:rFonts w:ascii="Courier New" w:cs="Courier New" w:eastAsia="Courier New" w:hAnsi="Courier New"/>
          <w:sz w:val="14"/>
          <w:szCs w:val="14"/>
          <w:color w:val="auto"/>
        </w:rPr>
        <w:t>The</w:t>
        <w:tab/>
        <w:t>Company has a restricted stock plan covering 1,600,000 shares of common stock, the purpose of which is to permit grants of shares, subject to restrictions, to key employees of the Company as a means of retaining and rewarding them for long-term performance and to increase their ownership in the Company. Shares awarded under the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During 2000, 1999, and 1998, 47,800, 31,600, and 64,200 shares, respectively, were granted with restriction periods of four to six years at market prices ranging from $18.75 to $37.625 in 2000, $20.72 to $33.063 in 1999, and $14.032 to $19.813 in 1998. The related expense is reflected as a deferred compensation component of shareholders' investment in the accompanying consolidated financial statements and is being amortized over the applicable restriction periods.</w:t>
      </w:r>
    </w:p>
    <w:p>
      <w:pPr>
        <w:spacing w:after="0" w:line="200" w:lineRule="exact"/>
        <w:rPr>
          <w:sz w:val="20"/>
          <w:szCs w:val="20"/>
          <w:color w:val="auto"/>
        </w:rPr>
      </w:pPr>
    </w:p>
    <w:p>
      <w:pPr>
        <w:spacing w:after="0" w:line="307" w:lineRule="exact"/>
        <w:rPr>
          <w:sz w:val="20"/>
          <w:szCs w:val="20"/>
          <w:color w:val="auto"/>
        </w:rPr>
      </w:pPr>
    </w:p>
    <w:p>
      <w:pPr>
        <w:ind w:left="440" w:hanging="431"/>
        <w:spacing w:after="0"/>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SPLITS</w:t>
      </w:r>
    </w:p>
    <w:p>
      <w:pPr>
        <w:spacing w:after="0" w:line="175" w:lineRule="exact"/>
        <w:rPr>
          <w:rFonts w:ascii="Courier New" w:cs="Courier New" w:eastAsia="Courier New" w:hAnsi="Courier New"/>
          <w:sz w:val="14"/>
          <w:szCs w:val="14"/>
          <w:color w:val="auto"/>
        </w:rPr>
      </w:pPr>
    </w:p>
    <w:p>
      <w:pPr>
        <w:ind w:left="700" w:right="4340" w:hanging="2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May 21, 1998, the Company's Board of Directors declared a two-for-one stock split effected in the form of a 100% common stock dividend to shareholders of record on June 5, 1998. The stock split increased the number of shares of common stock then outstanding from 35,836,177 to 71,672,354.</w:t>
      </w:r>
    </w:p>
    <w:p>
      <w:pPr>
        <w:spacing w:after="0" w:line="162" w:lineRule="exact"/>
        <w:rPr>
          <w:rFonts w:ascii="Courier New" w:cs="Courier New" w:eastAsia="Courier New" w:hAnsi="Courier New"/>
          <w:sz w:val="14"/>
          <w:szCs w:val="14"/>
          <w:color w:val="auto"/>
        </w:rPr>
      </w:pPr>
    </w:p>
    <w:p>
      <w:pPr>
        <w:ind w:left="440" w:right="444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and all share data have been restated in all periods prior to the date of the split.</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5" w:lineRule="exact"/>
        <w:rPr>
          <w:rFonts w:ascii="Courier New" w:cs="Courier New" w:eastAsia="Courier New" w:hAnsi="Courier New"/>
          <w:sz w:val="14"/>
          <w:szCs w:val="14"/>
          <w:color w:val="auto"/>
        </w:rPr>
      </w:pPr>
    </w:p>
    <w:p>
      <w:pPr>
        <w:ind w:left="700" w:right="4180" w:hanging="260"/>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the Company is subject to legal proceedings and claims which arise in the ordinary course of its business. In the opinion of management, the amount of ultimate liability with respect to these actions will not materially affect the financial position or results of operations of the Company.</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REPORTING</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Financial Accounting Standards No. 131: "Disclosures About</w:t>
      </w:r>
    </w:p>
    <w:p>
      <w:pPr>
        <w:spacing w:after="0" w:line="8" w:lineRule="exact"/>
        <w:rPr>
          <w:rFonts w:ascii="Courier New" w:cs="Courier New" w:eastAsia="Courier New" w:hAnsi="Courier New"/>
          <w:sz w:val="14"/>
          <w:szCs w:val="14"/>
          <w:color w:val="auto"/>
        </w:rPr>
      </w:pPr>
    </w:p>
    <w:p>
      <w:pPr>
        <w:ind w:left="700" w:right="408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Segments of an Enterprise and Related Information" (SFAS No. 131) requires that a public enterprise report financial and descriptive information about its reportable operating segments subject to certain aggregation criteria and quantitative thresholds. Operating segments are defined by SFAS No. 131 as components of an enterprise about which separate financial information is available that is evaluated regularly by the chief operating decision-makers in deciding how to allocate resources and in assessing performance.</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1040"/>
          </w:cols>
          <w:pgMar w:left="220" w:top="286" w:right="639" w:bottom="139"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30</w:t>
      </w:r>
    </w:p>
    <w:p>
      <w:pPr>
        <w:spacing w:after="0" w:line="34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GENTEX CORPORATION AND SUBSIDIARIES</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(9)</w:t>
        <w:tab/>
        <w:t>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2000</w:t>
            </w:r>
          </w:p>
        </w:tc>
        <w:tc>
          <w:tcPr>
            <w:tcW w:w="640" w:type="dxa"/>
            <w:vAlign w:val="bottom"/>
          </w:tcPr>
          <w:p>
            <w:pPr>
              <w:spacing w:after="0"/>
              <w:rPr>
                <w:sz w:val="14"/>
                <w:szCs w:val="14"/>
                <w:color w:val="auto"/>
              </w:rPr>
            </w:pPr>
          </w:p>
        </w:tc>
        <w:tc>
          <w:tcPr>
            <w:tcW w:w="17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3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1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Automotive Products</w:t>
            </w: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120" w:type="dxa"/>
            <w:vAlign w:val="bottom"/>
          </w:tcPr>
          <w:p>
            <w:pPr>
              <w:ind w:left="620"/>
              <w:spacing w:after="0"/>
              <w:rPr>
                <w:sz w:val="20"/>
                <w:szCs w:val="20"/>
                <w:color w:val="auto"/>
              </w:rPr>
            </w:pPr>
            <w:r>
              <w:rPr>
                <w:rFonts w:ascii="Courier New" w:cs="Courier New" w:eastAsia="Courier New" w:hAnsi="Courier New"/>
                <w:sz w:val="14"/>
                <w:szCs w:val="14"/>
                <w:color w:val="auto"/>
              </w:rPr>
              <w:t>U.S.</w:t>
            </w: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$ 154,972,098</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$ 151,222,877</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$127,588,319</w:t>
            </w:r>
          </w:p>
        </w:tc>
      </w:tr>
      <w:tr>
        <w:trPr>
          <w:trHeight w:val="167"/>
        </w:trPr>
        <w:tc>
          <w:tcPr>
            <w:tcW w:w="3120" w:type="dxa"/>
            <w:vAlign w:val="bottom"/>
          </w:tcPr>
          <w:p>
            <w:pPr>
              <w:ind w:left="620"/>
              <w:spacing w:after="0"/>
              <w:rPr>
                <w:sz w:val="20"/>
                <w:szCs w:val="20"/>
                <w:color w:val="auto"/>
              </w:rPr>
            </w:pPr>
            <w:r>
              <w:rPr>
                <w:rFonts w:ascii="Courier New" w:cs="Courier New" w:eastAsia="Courier New" w:hAnsi="Courier New"/>
                <w:sz w:val="14"/>
                <w:szCs w:val="14"/>
                <w:color w:val="auto"/>
              </w:rPr>
              <w:t>Germany</w:t>
            </w: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60,754,241</w:t>
            </w:r>
          </w:p>
        </w:tc>
        <w:tc>
          <w:tcPr>
            <w:tcW w:w="64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47,870,761</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46,009,639</w:t>
            </w:r>
          </w:p>
        </w:tc>
      </w:tr>
      <w:tr>
        <w:trPr>
          <w:trHeight w:val="167"/>
        </w:trPr>
        <w:tc>
          <w:tcPr>
            <w:tcW w:w="3120" w:type="dxa"/>
            <w:vAlign w:val="bottom"/>
          </w:tcPr>
          <w:p>
            <w:pPr>
              <w:ind w:left="620"/>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60,127,795</w:t>
            </w:r>
          </w:p>
        </w:tc>
        <w:tc>
          <w:tcPr>
            <w:tcW w:w="64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41,979,787</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28,518,734</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Fire Protection Products</w:t>
            </w: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21,566,668</w:t>
            </w:r>
          </w:p>
        </w:tc>
        <w:tc>
          <w:tcPr>
            <w:tcW w:w="64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21,082,073</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20,175,361</w:t>
            </w:r>
          </w:p>
        </w:tc>
      </w:tr>
      <w:tr>
        <w:trPr>
          <w:trHeight w:val="167"/>
        </w:trPr>
        <w:tc>
          <w:tcPr>
            <w:tcW w:w="3120" w:type="dxa"/>
            <w:vAlign w:val="bottom"/>
          </w:tcPr>
          <w:p>
            <w:pPr>
              <w:spacing w:after="0"/>
              <w:rPr>
                <w:sz w:val="14"/>
                <w:szCs w:val="14"/>
                <w:color w:val="auto"/>
              </w:rPr>
            </w:pP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$297,420,802</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$ 262,155,498</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$222,292,053</w:t>
            </w:r>
          </w:p>
        </w:tc>
      </w:tr>
      <w:tr>
        <w:trPr>
          <w:trHeight w:val="167"/>
        </w:trPr>
        <w:tc>
          <w:tcPr>
            <w:tcW w:w="3120" w:type="dxa"/>
            <w:vAlign w:val="bottom"/>
          </w:tcPr>
          <w:p>
            <w:pPr>
              <w:spacing w:after="0"/>
              <w:rPr>
                <w:sz w:val="14"/>
                <w:szCs w:val="14"/>
                <w:color w:val="auto"/>
              </w:rPr>
            </w:pP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Automotive Products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86,218,950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81,757,998</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$ 63,718,817</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Fire Protection Products</w:t>
            </w: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4,192,041</w:t>
            </w:r>
          </w:p>
        </w:tc>
        <w:tc>
          <w:tcPr>
            <w:tcW w:w="64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3,764,493</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3,623,996</w:t>
            </w:r>
          </w:p>
        </w:tc>
      </w:tr>
      <w:tr>
        <w:trPr>
          <w:trHeight w:val="167"/>
        </w:trPr>
        <w:tc>
          <w:tcPr>
            <w:tcW w:w="3120" w:type="dxa"/>
            <w:vAlign w:val="bottom"/>
          </w:tcPr>
          <w:p>
            <w:pPr>
              <w:spacing w:after="0"/>
              <w:rPr>
                <w:sz w:val="14"/>
                <w:szCs w:val="14"/>
                <w:color w:val="auto"/>
              </w:rPr>
            </w:pP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90,410,991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85,522,491</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$ 67,342,813</w:t>
            </w:r>
          </w:p>
        </w:tc>
      </w:tr>
      <w:tr>
        <w:trPr>
          <w:trHeight w:val="167"/>
        </w:trPr>
        <w:tc>
          <w:tcPr>
            <w:tcW w:w="3120" w:type="dxa"/>
            <w:vAlign w:val="bottom"/>
          </w:tcPr>
          <w:p>
            <w:pPr>
              <w:spacing w:after="0"/>
              <w:rPr>
                <w:sz w:val="14"/>
                <w:szCs w:val="14"/>
                <w:color w:val="auto"/>
              </w:rPr>
            </w:pP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Automotive Products</w:t>
            </w: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$ 119,720,400</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$ 101,257,610</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$ 89,252,971</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Fire Protection Products</w:t>
            </w: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4,396,643</w:t>
            </w:r>
          </w:p>
        </w:tc>
        <w:tc>
          <w:tcPr>
            <w:tcW w:w="64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4,353,082</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3,864,138</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304,011,650</w:t>
            </w:r>
          </w:p>
        </w:tc>
        <w:tc>
          <w:tcPr>
            <w:tcW w:w="64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232,062,078</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161,772,449</w:t>
            </w:r>
          </w:p>
        </w:tc>
      </w:tr>
      <w:tr>
        <w:trPr>
          <w:trHeight w:val="167"/>
        </w:trPr>
        <w:tc>
          <w:tcPr>
            <w:tcW w:w="3120" w:type="dxa"/>
            <w:vAlign w:val="bottom"/>
          </w:tcPr>
          <w:p>
            <w:pPr>
              <w:spacing w:after="0"/>
              <w:rPr>
                <w:sz w:val="14"/>
                <w:szCs w:val="14"/>
                <w:color w:val="auto"/>
              </w:rPr>
            </w:pP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$ 428,128,693</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$ 337,672,770</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$254,889,558</w:t>
            </w:r>
          </w:p>
        </w:tc>
      </w:tr>
      <w:tr>
        <w:trPr>
          <w:trHeight w:val="167"/>
        </w:trPr>
        <w:tc>
          <w:tcPr>
            <w:tcW w:w="3120" w:type="dxa"/>
            <w:vAlign w:val="bottom"/>
          </w:tcPr>
          <w:p>
            <w:pPr>
              <w:spacing w:after="0"/>
              <w:rPr>
                <w:sz w:val="14"/>
                <w:szCs w:val="14"/>
                <w:color w:val="auto"/>
              </w:rPr>
            </w:pP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2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Automotive Products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10,349,325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8,645,455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6,658,551</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Fire Protection Products</w:t>
            </w: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315,018</w:t>
            </w:r>
          </w:p>
        </w:tc>
        <w:tc>
          <w:tcPr>
            <w:tcW w:w="64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323,477</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314,522</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669,761</w:t>
            </w:r>
          </w:p>
        </w:tc>
        <w:tc>
          <w:tcPr>
            <w:tcW w:w="64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687,768</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549,448</w:t>
            </w:r>
          </w:p>
        </w:tc>
      </w:tr>
      <w:tr>
        <w:trPr>
          <w:trHeight w:val="167"/>
        </w:trPr>
        <w:tc>
          <w:tcPr>
            <w:tcW w:w="3120" w:type="dxa"/>
            <w:vAlign w:val="bottom"/>
          </w:tcPr>
          <w:p>
            <w:pPr>
              <w:spacing w:after="0"/>
              <w:rPr>
                <w:sz w:val="14"/>
                <w:szCs w:val="14"/>
                <w:color w:val="auto"/>
              </w:rPr>
            </w:pP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11,334,104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9,656,700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7,522,521</w:t>
            </w:r>
          </w:p>
        </w:tc>
      </w:tr>
      <w:tr>
        <w:trPr>
          <w:trHeight w:val="167"/>
        </w:trPr>
        <w:tc>
          <w:tcPr>
            <w:tcW w:w="3120" w:type="dxa"/>
            <w:vAlign w:val="bottom"/>
          </w:tcPr>
          <w:p>
            <w:pPr>
              <w:spacing w:after="0"/>
              <w:rPr>
                <w:sz w:val="14"/>
                <w:szCs w:val="14"/>
                <w:color w:val="auto"/>
              </w:rPr>
            </w:pP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Automotive Products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21,084,629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19,279,715</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$ 19,595,844</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Fire Protection Products</w:t>
            </w: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192,222</w:t>
            </w:r>
          </w:p>
        </w:tc>
        <w:tc>
          <w:tcPr>
            <w:tcW w:w="64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322,962</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209,867</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spacing w:after="0"/>
              <w:rPr>
                <w:sz w:val="14"/>
                <w:szCs w:val="14"/>
                <w:color w:val="auto"/>
              </w:rPr>
            </w:pP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340,237</w:t>
            </w:r>
          </w:p>
        </w:tc>
        <w:tc>
          <w:tcPr>
            <w:tcW w:w="640" w:type="dxa"/>
            <w:vAlign w:val="bottom"/>
          </w:tcPr>
          <w:p>
            <w:pPr>
              <w:spacing w:after="0"/>
              <w:rPr>
                <w:sz w:val="14"/>
                <w:szCs w:val="14"/>
                <w:color w:val="auto"/>
              </w:rPr>
            </w:pP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2,365,770</w:t>
            </w:r>
          </w:p>
        </w:tc>
        <w:tc>
          <w:tcPr>
            <w:tcW w:w="7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4,790,513</w:t>
            </w:r>
          </w:p>
        </w:tc>
      </w:tr>
      <w:tr>
        <w:trPr>
          <w:trHeight w:val="167"/>
        </w:trPr>
        <w:tc>
          <w:tcPr>
            <w:tcW w:w="3120" w:type="dxa"/>
            <w:vAlign w:val="bottom"/>
          </w:tcPr>
          <w:p>
            <w:pPr>
              <w:spacing w:after="0"/>
              <w:rPr>
                <w:sz w:val="14"/>
                <w:szCs w:val="14"/>
                <w:color w:val="auto"/>
              </w:rPr>
            </w:pP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2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21,617,088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21,968,447</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$ 24,596,224</w:t>
            </w:r>
          </w:p>
        </w:tc>
      </w:tr>
      <w:tr>
        <w:trPr>
          <w:trHeight w:val="167"/>
        </w:trPr>
        <w:tc>
          <w:tcPr>
            <w:tcW w:w="3120" w:type="dxa"/>
            <w:vAlign w:val="bottom"/>
          </w:tcPr>
          <w:p>
            <w:pPr>
              <w:spacing w:after="0"/>
              <w:rPr>
                <w:sz w:val="14"/>
                <w:szCs w:val="14"/>
                <w:color w:val="auto"/>
              </w:rPr>
            </w:pPr>
          </w:p>
        </w:tc>
        <w:tc>
          <w:tcPr>
            <w:tcW w:w="24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34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Other assets are principally cash, investments, deferred income taxes, and corporate fixed assets.</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Automotive Products revenues in the "Other" category are sales to U.S. automotive manufacturing plants in Canada, Mexico and other foreign automotive customers, primarily located in Japan.. All non-U.S. sales are invoiced and paid in U.S. dollars.</w:t>
      </w:r>
    </w:p>
    <w:p>
      <w:pPr>
        <w:spacing w:after="0" w:line="163"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During the years presented, the Company had three automotive customers which individually accounted for 10% or more of net sales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780" w:type="dxa"/>
            <w:vAlign w:val="bottom"/>
          </w:tcPr>
          <w:p>
            <w:pPr>
              <w:ind w:left="420"/>
              <w:spacing w:after="0"/>
              <w:rPr>
                <w:sz w:val="20"/>
                <w:szCs w:val="20"/>
                <w:color w:val="auto"/>
              </w:rPr>
            </w:pPr>
            <w:r>
              <w:rPr>
                <w:rFonts w:ascii="Courier New" w:cs="Courier New" w:eastAsia="Courier New" w:hAnsi="Courier New"/>
                <w:sz w:val="14"/>
                <w:szCs w:val="14"/>
                <w:color w:val="auto"/>
              </w:rPr>
              <w:t>Customer</w:t>
            </w:r>
          </w:p>
        </w:tc>
        <w:tc>
          <w:tcPr>
            <w:tcW w:w="900" w:type="dxa"/>
            <w:vAlign w:val="bottom"/>
          </w:tcPr>
          <w:p>
            <w:pPr>
              <w:spacing w:after="0"/>
              <w:rPr>
                <w:sz w:val="14"/>
                <w:szCs w:val="14"/>
                <w:color w:val="auto"/>
              </w:rPr>
            </w:pPr>
          </w:p>
        </w:tc>
      </w:tr>
      <w:tr>
        <w:trPr>
          <w:trHeight w:val="167"/>
        </w:trPr>
        <w:tc>
          <w:tcPr>
            <w:tcW w:w="860" w:type="dxa"/>
            <w:vAlign w:val="bottom"/>
          </w:tcPr>
          <w:p>
            <w:pPr>
              <w:spacing w:after="0"/>
              <w:rPr>
                <w:sz w:val="14"/>
                <w:szCs w:val="14"/>
                <w:color w:val="auto"/>
              </w:rPr>
            </w:pPr>
          </w:p>
        </w:tc>
        <w:tc>
          <w:tcPr>
            <w:tcW w:w="4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60" w:type="dxa"/>
            <w:vAlign w:val="bottom"/>
          </w:tcPr>
          <w:p>
            <w:pPr>
              <w:spacing w:after="0"/>
              <w:rPr>
                <w:sz w:val="24"/>
                <w:szCs w:val="24"/>
                <w:color w:val="auto"/>
              </w:rPr>
            </w:pPr>
          </w:p>
        </w:tc>
        <w:tc>
          <w:tcPr>
            <w:tcW w:w="1400" w:type="dxa"/>
            <w:vAlign w:val="bottom"/>
          </w:tcPr>
          <w:p>
            <w:pPr>
              <w:ind w:left="700"/>
              <w:spacing w:after="0"/>
              <w:rPr>
                <w:sz w:val="20"/>
                <w:szCs w:val="20"/>
                <w:color w:val="auto"/>
              </w:rPr>
            </w:pPr>
            <w:r>
              <w:rPr>
                <w:rFonts w:ascii="Courier New" w:cs="Courier New" w:eastAsia="Courier New" w:hAnsi="Courier New"/>
                <w:sz w:val="14"/>
                <w:szCs w:val="14"/>
                <w:color w:val="auto"/>
              </w:rPr>
              <w:t>#1</w:t>
            </w:r>
          </w:p>
        </w:tc>
        <w:tc>
          <w:tcPr>
            <w:tcW w:w="1780" w:type="dxa"/>
            <w:vAlign w:val="bottom"/>
          </w:tcPr>
          <w:p>
            <w:pPr>
              <w:ind w:left="860"/>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860" w:type="dxa"/>
            <w:vAlign w:val="bottom"/>
          </w:tcPr>
          <w:p>
            <w:pPr>
              <w:spacing w:after="0"/>
              <w:rPr>
                <w:sz w:val="14"/>
                <w:szCs w:val="14"/>
                <w:color w:val="auto"/>
              </w:rPr>
            </w:pPr>
          </w:p>
        </w:tc>
        <w:tc>
          <w:tcPr>
            <w:tcW w:w="140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2000</w:t>
            </w:r>
          </w:p>
        </w:tc>
        <w:tc>
          <w:tcPr>
            <w:tcW w:w="1400" w:type="dxa"/>
            <w:vAlign w:val="bottom"/>
          </w:tcPr>
          <w:p>
            <w:pPr>
              <w:ind w:left="700"/>
              <w:spacing w:after="0"/>
              <w:rPr>
                <w:sz w:val="20"/>
                <w:szCs w:val="20"/>
                <w:color w:val="auto"/>
              </w:rPr>
            </w:pPr>
            <w:r>
              <w:rPr>
                <w:rFonts w:ascii="Courier New" w:cs="Courier New" w:eastAsia="Courier New" w:hAnsi="Courier New"/>
                <w:sz w:val="14"/>
                <w:szCs w:val="14"/>
                <w:color w:val="auto"/>
              </w:rPr>
              <w:t>40%</w:t>
            </w:r>
          </w:p>
        </w:tc>
        <w:tc>
          <w:tcPr>
            <w:tcW w:w="1780" w:type="dxa"/>
            <w:vAlign w:val="bottom"/>
          </w:tcPr>
          <w:p>
            <w:pPr>
              <w:ind w:left="860"/>
              <w:spacing w:after="0"/>
              <w:rPr>
                <w:sz w:val="20"/>
                <w:szCs w:val="20"/>
                <w:color w:val="auto"/>
              </w:rPr>
            </w:pPr>
            <w:r>
              <w:rPr>
                <w:rFonts w:ascii="Courier New" w:cs="Courier New" w:eastAsia="Courier New" w:hAnsi="Courier New"/>
                <w:sz w:val="14"/>
                <w:szCs w:val="14"/>
                <w:color w:val="auto"/>
              </w:rPr>
              <w:t>20%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1999</w:t>
            </w:r>
          </w:p>
        </w:tc>
        <w:tc>
          <w:tcPr>
            <w:tcW w:w="1400" w:type="dxa"/>
            <w:vAlign w:val="bottom"/>
          </w:tcPr>
          <w:p>
            <w:pPr>
              <w:ind w:left="700"/>
              <w:spacing w:after="0"/>
              <w:rPr>
                <w:sz w:val="20"/>
                <w:szCs w:val="20"/>
                <w:color w:val="auto"/>
              </w:rPr>
            </w:pPr>
            <w:r>
              <w:rPr>
                <w:rFonts w:ascii="Courier New" w:cs="Courier New" w:eastAsia="Courier New" w:hAnsi="Courier New"/>
                <w:sz w:val="14"/>
                <w:szCs w:val="14"/>
                <w:color w:val="auto"/>
              </w:rPr>
              <w:t>44%</w:t>
            </w:r>
          </w:p>
        </w:tc>
        <w:tc>
          <w:tcPr>
            <w:tcW w:w="1780" w:type="dxa"/>
            <w:vAlign w:val="bottom"/>
          </w:tcPr>
          <w:p>
            <w:pPr>
              <w:ind w:left="860"/>
              <w:spacing w:after="0"/>
              <w:rPr>
                <w:sz w:val="20"/>
                <w:szCs w:val="20"/>
                <w:color w:val="auto"/>
              </w:rPr>
            </w:pPr>
            <w:r>
              <w:rPr>
                <w:rFonts w:ascii="Courier New" w:cs="Courier New" w:eastAsia="Courier New" w:hAnsi="Courier New"/>
                <w:sz w:val="14"/>
                <w:szCs w:val="14"/>
                <w:color w:val="auto"/>
              </w:rPr>
              <w:t>22%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1998</w:t>
            </w:r>
          </w:p>
        </w:tc>
        <w:tc>
          <w:tcPr>
            <w:tcW w:w="1400" w:type="dxa"/>
            <w:vAlign w:val="bottom"/>
          </w:tcPr>
          <w:p>
            <w:pPr>
              <w:ind w:left="700"/>
              <w:spacing w:after="0"/>
              <w:rPr>
                <w:sz w:val="20"/>
                <w:szCs w:val="20"/>
                <w:color w:val="auto"/>
              </w:rPr>
            </w:pPr>
            <w:r>
              <w:rPr>
                <w:rFonts w:ascii="Courier New" w:cs="Courier New" w:eastAsia="Courier New" w:hAnsi="Courier New"/>
                <w:sz w:val="14"/>
                <w:szCs w:val="14"/>
                <w:color w:val="auto"/>
              </w:rPr>
              <w:t>43%</w:t>
            </w:r>
          </w:p>
        </w:tc>
        <w:tc>
          <w:tcPr>
            <w:tcW w:w="1780" w:type="dxa"/>
            <w:vAlign w:val="bottom"/>
          </w:tcPr>
          <w:p>
            <w:pPr>
              <w:ind w:left="860"/>
              <w:spacing w:after="0"/>
              <w:rPr>
                <w:sz w:val="20"/>
                <w:szCs w:val="20"/>
                <w:color w:val="auto"/>
              </w:rPr>
            </w:pPr>
            <w:r>
              <w:rPr>
                <w:rFonts w:ascii="Courier New" w:cs="Courier New" w:eastAsia="Courier New" w:hAnsi="Courier New"/>
                <w:sz w:val="14"/>
                <w:szCs w:val="14"/>
                <w:color w:val="auto"/>
              </w:rPr>
              <w:t>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171"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286" w:right="1440" w:bottom="306"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31</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EXHIBIT INDEX</w:t>
      </w:r>
    </w:p>
    <w:p>
      <w:pPr>
        <w:spacing w:after="0" w:line="175" w:lineRule="exact"/>
        <w:rPr>
          <w:sz w:val="20"/>
          <w:szCs w:val="20"/>
          <w:color w:val="auto"/>
        </w:rPr>
      </w:pPr>
    </w:p>
    <w:p>
      <w:pPr>
        <w:spacing w:after="0"/>
        <w:tabs>
          <w:tab w:leader="none" w:pos="2680" w:val="left"/>
          <w:tab w:leader="none" w:pos="658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PAGE</w:t>
      </w:r>
    </w:p>
    <w:p>
      <w:pPr>
        <w:spacing w:after="0" w:line="175" w:lineRule="exact"/>
        <w:rPr>
          <w:sz w:val="20"/>
          <w:szCs w:val="20"/>
          <w:color w:val="auto"/>
        </w:rPr>
      </w:pPr>
    </w:p>
    <w:p>
      <w:pPr>
        <w:ind w:left="880" w:right="3799" w:hanging="867"/>
        <w:spacing w:after="0" w:line="252" w:lineRule="auto"/>
        <w:tabs>
          <w:tab w:leader="none" w:pos="860" w:val="left"/>
        </w:tabs>
        <w:rPr>
          <w:sz w:val="20"/>
          <w:szCs w:val="20"/>
          <w:color w:val="auto"/>
        </w:rPr>
      </w:pPr>
      <w:r>
        <w:rPr>
          <w:rFonts w:ascii="Courier New" w:cs="Courier New" w:eastAsia="Courier New" w:hAnsi="Courier New"/>
          <w:sz w:val="14"/>
          <w:szCs w:val="14"/>
          <w:color w:val="auto"/>
        </w:rPr>
        <w:t>3(a)(1)</w:t>
        <w:tab/>
        <w:t>Registrant's Articles of Incorporation were filed in 1981 as Exhibit 2(a) to a Registration Statement on Form S-18 (Registration No. 2-74226C), an Amendment to those Articles was filed as Exhibit 3 to Registrant's Report on Form 10-Q in August of 1985, an additional Amendment to those Articles was filed as Exhibit 3(a)(1) to Registrant's Report on Form 10-Q in August of 1987, and an additional Amendment to those Articles was filed as Exhibit 3(a)(2) to Registrant's Report on Form 10-K dated March 10, 1992, and an additional Amendment to those Articles was filed as Exhibit 3(a)(2) to Registrant's Report on</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Form 10-Q dated July 31, 1996, all of which are hereby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jc w:val="center"/>
        <w:ind w:right="3799"/>
        <w:spacing w:after="0"/>
        <w:tabs>
          <w:tab w:leader="none" w:pos="240" w:val="left"/>
        </w:tabs>
        <w:rPr>
          <w:sz w:val="20"/>
          <w:szCs w:val="20"/>
          <w:color w:val="auto"/>
        </w:rPr>
      </w:pPr>
      <w:r>
        <w:rPr>
          <w:rFonts w:ascii="Courier New" w:cs="Courier New" w:eastAsia="Courier New" w:hAnsi="Courier New"/>
          <w:sz w:val="14"/>
          <w:szCs w:val="14"/>
          <w:color w:val="auto"/>
        </w:rPr>
        <w:t>3(a)(2)</w:t>
        <w:tab/>
        <w:t>Amendment to Articles of Incorporation, adopted on May 21, 1998,</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was filed as Exhibit 3(a)(2) to Registrant's Report 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Form 10-Q dated July 30, 1998, and the same is hereby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incorporated herein by reference.</w:t>
      </w:r>
    </w:p>
    <w:p>
      <w:pPr>
        <w:spacing w:after="0" w:line="175" w:lineRule="exact"/>
        <w:rPr>
          <w:sz w:val="20"/>
          <w:szCs w:val="20"/>
          <w:color w:val="auto"/>
        </w:rPr>
      </w:pPr>
    </w:p>
    <w:p>
      <w:pPr>
        <w:ind w:left="880" w:right="415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3(b)(1)</w:t>
        <w:tab/>
        <w:t>Registrant's Bylaws as amended and restated August 18, 2000, were filed as Exhibit 3(b)(1) to Registrant's Report on Form 10-Q dated October 27, 2000, and the same is hereby incorporated herein by reference.</w:t>
      </w:r>
    </w:p>
    <w:p>
      <w:pPr>
        <w:spacing w:after="0" w:line="163" w:lineRule="exact"/>
        <w:rPr>
          <w:sz w:val="20"/>
          <w:szCs w:val="20"/>
          <w:color w:val="auto"/>
        </w:rPr>
      </w:pPr>
    </w:p>
    <w:p>
      <w:pPr>
        <w:ind w:left="880" w:right="4239" w:hanging="879"/>
        <w:spacing w:after="0" w:line="253" w:lineRule="auto"/>
        <w:tabs>
          <w:tab w:leader="none" w:pos="860" w:val="left"/>
        </w:tabs>
        <w:rPr>
          <w:sz w:val="20"/>
          <w:szCs w:val="20"/>
          <w:color w:val="auto"/>
        </w:rPr>
      </w:pPr>
      <w:r>
        <w:rPr>
          <w:rFonts w:ascii="Courier New" w:cs="Courier New" w:eastAsia="Courier New" w:hAnsi="Courier New"/>
          <w:sz w:val="14"/>
          <w:szCs w:val="14"/>
          <w:color w:val="auto"/>
        </w:rPr>
        <w:t>4(a)</w:t>
      </w:r>
      <w:r>
        <w:rPr>
          <w:sz w:val="20"/>
          <w:szCs w:val="20"/>
          <w:color w:val="auto"/>
        </w:rPr>
        <w:tab/>
      </w:r>
      <w:r>
        <w:rPr>
          <w:rFonts w:ascii="Courier New" w:cs="Courier New" w:eastAsia="Courier New" w:hAnsi="Courier New"/>
          <w:sz w:val="14"/>
          <w:szCs w:val="14"/>
          <w:color w:val="auto"/>
        </w:rPr>
        <w:t>A specimen form of certificate for the Registrant's common stock, par value $.06 per share, was filed as part of a Registration Statement (Registration Number 2-74226C) as Exhibit 3(a), as amended by Amendment No. 3 to such Registration Statement, and the same is hereby incorporated herein by reference.</w:t>
      </w:r>
    </w:p>
    <w:p>
      <w:pPr>
        <w:spacing w:after="0" w:line="165" w:lineRule="exact"/>
        <w:rPr>
          <w:sz w:val="20"/>
          <w:szCs w:val="20"/>
          <w:color w:val="auto"/>
        </w:rPr>
      </w:pPr>
    </w:p>
    <w:p>
      <w:pPr>
        <w:ind w:left="880" w:right="3899" w:hanging="879"/>
        <w:spacing w:after="0" w:line="253" w:lineRule="auto"/>
        <w:tabs>
          <w:tab w:leader="none" w:pos="860" w:val="left"/>
        </w:tabs>
        <w:rPr>
          <w:sz w:val="20"/>
          <w:szCs w:val="20"/>
          <w:color w:val="auto"/>
        </w:rPr>
      </w:pPr>
      <w:r>
        <w:rPr>
          <w:rFonts w:ascii="Courier New" w:cs="Courier New" w:eastAsia="Courier New" w:hAnsi="Courier New"/>
          <w:sz w:val="14"/>
          <w:szCs w:val="14"/>
          <w:color w:val="auto"/>
        </w:rPr>
        <w:t>4(b)</w:t>
      </w:r>
      <w:r>
        <w:rPr>
          <w:sz w:val="20"/>
          <w:szCs w:val="20"/>
          <w:color w:val="auto"/>
        </w:rPr>
        <w:tab/>
      </w:r>
      <w:r>
        <w:rPr>
          <w:rFonts w:ascii="Courier New" w:cs="Courier New" w:eastAsia="Courier New" w:hAnsi="Courier New"/>
          <w:sz w:val="14"/>
          <w:szCs w:val="14"/>
          <w:color w:val="auto"/>
        </w:rPr>
        <w:t>Shareholder Protection Rights Agreement, dated as of August 26, 1991, including as Exhibit A the form of Certificate of Adoption of Resolution Establishing Series of Shares of Junior Participating Preferred Stock of the Company, and as Exhibit B the form of Rights Certificate and of Election to Exercise, was filed as Exhibit 4(b) to Registrant's Report on Form 8-K on August 1991, and the same is hereby incorporated herein by reference.</w:t>
      </w:r>
    </w:p>
    <w:p>
      <w:pPr>
        <w:spacing w:after="0" w:line="165" w:lineRule="exact"/>
        <w:rPr>
          <w:sz w:val="20"/>
          <w:szCs w:val="20"/>
          <w:color w:val="auto"/>
        </w:rPr>
      </w:pPr>
    </w:p>
    <w:p>
      <w:pPr>
        <w:ind w:left="880" w:right="423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4(b)(1)</w:t>
        <w:tab/>
        <w:t>First Amendment to Shareholder Protection Rights Agreement, effective April 1, 1994, was filed as Exhibit 4(b)(1) to Registrant's Report on Form 10-Q dated April 29, 1994, and the same is hereby incorporated herein by reference.</w:t>
      </w:r>
    </w:p>
    <w:p>
      <w:pPr>
        <w:spacing w:after="0" w:line="163" w:lineRule="exact"/>
        <w:rPr>
          <w:sz w:val="20"/>
          <w:szCs w:val="20"/>
          <w:color w:val="auto"/>
        </w:rPr>
      </w:pPr>
    </w:p>
    <w:p>
      <w:pPr>
        <w:ind w:left="880" w:right="405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4(b)(2)</w:t>
        <w:tab/>
        <w:t>Second Amendment to Shareholder Protection Rights Agreement, effective November 8, 1996, was filed as Exhibit 4(b)(2) to Registrant's Report on Form 10-K dated March 7, 1997, and the same is hereby incorporated herein by reference.</w:t>
      </w:r>
    </w:p>
    <w:p>
      <w:pPr>
        <w:spacing w:after="0" w:line="163" w:lineRule="exact"/>
        <w:rPr>
          <w:sz w:val="20"/>
          <w:szCs w:val="20"/>
          <w:color w:val="auto"/>
        </w:rPr>
      </w:pPr>
    </w:p>
    <w:p>
      <w:pPr>
        <w:ind w:left="880" w:right="4239" w:hanging="867"/>
        <w:spacing w:after="0" w:line="254" w:lineRule="auto"/>
        <w:tabs>
          <w:tab w:leader="none" w:pos="860" w:val="left"/>
        </w:tabs>
        <w:rPr>
          <w:sz w:val="20"/>
          <w:szCs w:val="20"/>
          <w:color w:val="auto"/>
        </w:rPr>
      </w:pPr>
      <w:r>
        <w:rPr>
          <w:rFonts w:ascii="Courier New" w:cs="Courier New" w:eastAsia="Courier New" w:hAnsi="Courier New"/>
          <w:sz w:val="14"/>
          <w:szCs w:val="14"/>
          <w:color w:val="auto"/>
        </w:rPr>
        <w:t>4(b)(3)</w:t>
        <w:tab/>
        <w:t>Third Amendment to Shareholder Protection Rights Agreement, effective March 12, 1999, was filed as Exhibit 4(b)(3) to Registrant's Report on Form 10-Q, dated April 30, 1999, and the same is hereby incorporated herein by reference.</w:t>
      </w:r>
    </w:p>
    <w:p>
      <w:pPr>
        <w:spacing w:after="0" w:line="163" w:lineRule="exact"/>
        <w:rPr>
          <w:sz w:val="20"/>
          <w:szCs w:val="20"/>
          <w:color w:val="auto"/>
        </w:rPr>
      </w:pPr>
    </w:p>
    <w:p>
      <w:pPr>
        <w:ind w:left="880" w:right="423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10(a)(1)</w:t>
        <w:tab/>
        <w:t>A Lease, dated August 15, 1981, was filed as part of a Registration Statement (Registration Number 2-74226C) as Exhibit 9(a)(1), and the same is hereby incorporated herein by reference.</w:t>
      </w:r>
    </w:p>
    <w:p>
      <w:pPr>
        <w:spacing w:after="0" w:line="163" w:lineRule="exact"/>
        <w:rPr>
          <w:sz w:val="20"/>
          <w:szCs w:val="20"/>
          <w:color w:val="auto"/>
        </w:rPr>
      </w:pPr>
    </w:p>
    <w:p>
      <w:pPr>
        <w:ind w:left="880" w:right="3719" w:hanging="879"/>
        <w:spacing w:after="0" w:line="255" w:lineRule="auto"/>
        <w:tabs>
          <w:tab w:leader="none" w:pos="860" w:val="left"/>
        </w:tabs>
        <w:rPr>
          <w:sz w:val="20"/>
          <w:szCs w:val="20"/>
          <w:color w:val="auto"/>
        </w:rPr>
      </w:pPr>
      <w:r>
        <w:rPr>
          <w:rFonts w:ascii="Courier New" w:cs="Courier New" w:eastAsia="Courier New" w:hAnsi="Courier New"/>
          <w:sz w:val="14"/>
          <w:szCs w:val="14"/>
          <w:color w:val="auto"/>
        </w:rPr>
        <w:t>10(a)(2)</w:t>
        <w:tab/>
        <w:t>A First Amendment to Lease, dated June 28, 1985, was filed as Exhibit 10(m) to Registrant's Report on Form 10-K dated March 18, 1986, and the same is hereby incorporated herein by reference.</w:t>
      </w:r>
    </w:p>
    <w:p>
      <w:pPr>
        <w:spacing w:after="0" w:line="162" w:lineRule="exact"/>
        <w:rPr>
          <w:sz w:val="20"/>
          <w:szCs w:val="20"/>
          <w:color w:val="auto"/>
        </w:rPr>
      </w:pPr>
    </w:p>
    <w:p>
      <w:pPr>
        <w:ind w:left="880" w:right="397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*10(b)(1)</w:t>
        <w:tab/>
        <w:t>Gentex Corporation Qualified Stock Option Plan (as amended and restated, effective August 25, 1997) was filed as Exhibit 10(b)(1) to Registrant's Report on Form 10-Q dated July 30, 1998, and the same is hereby incorporated herein by reference.</w:t>
      </w:r>
    </w:p>
    <w:p>
      <w:pPr>
        <w:spacing w:after="0" w:line="163" w:lineRule="exact"/>
        <w:rPr>
          <w:sz w:val="20"/>
          <w:szCs w:val="20"/>
          <w:color w:val="auto"/>
        </w:rPr>
      </w:pPr>
    </w:p>
    <w:p>
      <w:pPr>
        <w:ind w:left="880" w:right="4159" w:hanging="879"/>
        <w:spacing w:after="0" w:line="254" w:lineRule="auto"/>
        <w:tabs>
          <w:tab w:leader="none" w:pos="860" w:val="left"/>
        </w:tabs>
        <w:rPr>
          <w:sz w:val="20"/>
          <w:szCs w:val="20"/>
          <w:color w:val="auto"/>
        </w:rPr>
      </w:pPr>
      <w:r>
        <w:rPr>
          <w:rFonts w:ascii="Courier New" w:cs="Courier New" w:eastAsia="Courier New" w:hAnsi="Courier New"/>
          <w:sz w:val="14"/>
          <w:szCs w:val="14"/>
          <w:color w:val="auto"/>
        </w:rPr>
        <w:t>*10(b)(2)</w:t>
        <w:tab/>
        <w:t>Gentex Corporation 1987 Incentive Stock Option Plan (as amended through May 24, 1989), was filed as Exhibit 10(g)(3) to Registrant's Report on Form 10-K dated March 1, 1990, and the same is hereby incorporated herein by reference.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6"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680" w:val="left"/>
          <w:tab w:leader="none" w:pos="6580" w:val="left"/>
        </w:tabs>
        <w:rPr>
          <w:sz w:val="20"/>
          <w:szCs w:val="20"/>
          <w:color w:val="auto"/>
        </w:rPr>
      </w:pPr>
      <w:r>
        <w:rPr>
          <w:rFonts w:ascii="Courier New" w:cs="Courier New" w:eastAsia="Courier New" w:hAnsi="Courier New"/>
          <w:sz w:val="14"/>
          <w:szCs w:val="14"/>
          <w:color w:val="auto"/>
        </w:rPr>
        <w:t>EXHIBIT NO.</w:t>
      </w:r>
      <w:r>
        <w:rPr>
          <w:sz w:val="20"/>
          <w:szCs w:val="20"/>
          <w:color w:val="auto"/>
        </w:rPr>
        <w:tab/>
      </w: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PAGE</w:t>
      </w:r>
    </w:p>
    <w:p>
      <w:pPr>
        <w:spacing w:after="0" w:line="342" w:lineRule="exact"/>
        <w:rPr>
          <w:sz w:val="20"/>
          <w:szCs w:val="20"/>
          <w:color w:val="auto"/>
        </w:rPr>
      </w:pPr>
    </w:p>
    <w:p>
      <w:pPr>
        <w:ind w:left="1060" w:right="3799" w:hanging="1059"/>
        <w:spacing w:after="0" w:line="255" w:lineRule="auto"/>
        <w:tabs>
          <w:tab w:leader="none" w:pos="1040" w:val="left"/>
        </w:tabs>
        <w:rPr>
          <w:sz w:val="20"/>
          <w:szCs w:val="20"/>
          <w:color w:val="auto"/>
        </w:rPr>
      </w:pPr>
      <w:r>
        <w:rPr>
          <w:rFonts w:ascii="Courier New" w:cs="Courier New" w:eastAsia="Courier New" w:hAnsi="Courier New"/>
          <w:sz w:val="14"/>
          <w:szCs w:val="14"/>
          <w:color w:val="auto"/>
        </w:rPr>
        <w:t>*10(b)(3)</w:t>
        <w:tab/>
        <w:t>Gentex Corporation Restricted Stock Plan was filed as Exhibit 10(b)(3) to Registrant's Report on Form 10-K dated March 10, 1992, and the same is hereby incorporated herein by reference.</w:t>
      </w:r>
    </w:p>
    <w:p>
      <w:pPr>
        <w:spacing w:after="0" w:line="162" w:lineRule="exact"/>
        <w:rPr>
          <w:sz w:val="20"/>
          <w:szCs w:val="20"/>
          <w:color w:val="auto"/>
        </w:rPr>
      </w:pPr>
    </w:p>
    <w:p>
      <w:pPr>
        <w:ind w:left="1060" w:right="3899" w:hanging="1059"/>
        <w:spacing w:after="0" w:line="252" w:lineRule="auto"/>
        <w:tabs>
          <w:tab w:leader="none" w:pos="1040" w:val="left"/>
        </w:tabs>
        <w:rPr>
          <w:sz w:val="20"/>
          <w:szCs w:val="20"/>
          <w:color w:val="auto"/>
        </w:rPr>
      </w:pPr>
      <w:r>
        <w:rPr>
          <w:rFonts w:ascii="Courier New" w:cs="Courier New" w:eastAsia="Courier New" w:hAnsi="Courier New"/>
          <w:sz w:val="14"/>
          <w:szCs w:val="14"/>
          <w:color w:val="auto"/>
        </w:rPr>
        <w:t>*10(b)(4)</w:t>
        <w:tab/>
        <w:t>Gentex Corporation Non-Employee Director Stock Option Plan (as amended and restated, effective March 7, 1997) was filed as Exhibit 10(b)(4) to Registrant's Report on Form 10-K dated March 7, 1997, and the same is hereby incorporated herein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by reference.</w:t>
      </w:r>
    </w:p>
    <w:p>
      <w:pPr>
        <w:spacing w:after="0" w:line="175" w:lineRule="exact"/>
        <w:rPr>
          <w:sz w:val="20"/>
          <w:szCs w:val="20"/>
          <w:color w:val="auto"/>
        </w:rPr>
      </w:pPr>
    </w:p>
    <w:p>
      <w:pPr>
        <w:ind w:left="1060" w:right="3799" w:hanging="1059"/>
        <w:spacing w:after="0" w:line="254" w:lineRule="auto"/>
        <w:tabs>
          <w:tab w:leader="none" w:pos="1040" w:val="left"/>
        </w:tabs>
        <w:rPr>
          <w:sz w:val="20"/>
          <w:szCs w:val="20"/>
          <w:color w:val="auto"/>
        </w:rPr>
      </w:pPr>
      <w:r>
        <w:rPr>
          <w:rFonts w:ascii="Courier New" w:cs="Courier New" w:eastAsia="Courier New" w:hAnsi="Courier New"/>
          <w:sz w:val="14"/>
          <w:szCs w:val="14"/>
          <w:color w:val="auto"/>
        </w:rPr>
        <w:t>10(e)</w:t>
      </w:r>
      <w:r>
        <w:rPr>
          <w:sz w:val="20"/>
          <w:szCs w:val="20"/>
          <w:color w:val="auto"/>
        </w:rPr>
        <w:tab/>
      </w:r>
      <w:r>
        <w:rPr>
          <w:rFonts w:ascii="Courier New" w:cs="Courier New" w:eastAsia="Courier New" w:hAnsi="Courier New"/>
          <w:sz w:val="14"/>
          <w:szCs w:val="14"/>
          <w:color w:val="auto"/>
        </w:rPr>
        <w:t>The form of Indemnity Agreement between Registrant and each of the Registrant's directors was filed as a part of a Registration Statement on Form S-2 (Registration No. 33-30353) as Exhibit 10(k) and the same is hereby incorporated herein by reference.</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21</w:t>
            </w:r>
          </w:p>
        </w:tc>
        <w:tc>
          <w:tcPr>
            <w:tcW w:w="4960" w:type="dxa"/>
            <w:vAlign w:val="bottom"/>
            <w:gridSpan w:val="4"/>
          </w:tcPr>
          <w:p>
            <w:pPr>
              <w:ind w:left="320"/>
              <w:spacing w:after="0"/>
              <w:rPr>
                <w:sz w:val="20"/>
                <w:szCs w:val="20"/>
                <w:color w:val="auto"/>
              </w:rPr>
            </w:pPr>
            <w:r>
              <w:rPr>
                <w:rFonts w:ascii="Courier New" w:cs="Courier New" w:eastAsia="Courier New" w:hAnsi="Courier New"/>
                <w:sz w:val="14"/>
                <w:szCs w:val="14"/>
                <w:color w:val="auto"/>
              </w:rPr>
              <w:t>List of Company Subsidiaries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23(a)</w:t>
            </w:r>
          </w:p>
        </w:tc>
        <w:tc>
          <w:tcPr>
            <w:tcW w:w="960" w:type="dxa"/>
            <w:vAlign w:val="bottom"/>
          </w:tcPr>
          <w:p>
            <w:pPr>
              <w:ind w:left="320"/>
              <w:spacing w:after="0"/>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Independent</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Auditors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23(b)</w:t>
            </w:r>
          </w:p>
        </w:tc>
        <w:tc>
          <w:tcPr>
            <w:tcW w:w="960" w:type="dxa"/>
            <w:vAlign w:val="bottom"/>
          </w:tcPr>
          <w:p>
            <w:pPr>
              <w:ind w:left="320"/>
              <w:spacing w:after="0"/>
              <w:rPr>
                <w:sz w:val="20"/>
                <w:szCs w:val="20"/>
                <w:color w:val="auto"/>
              </w:rPr>
            </w:pPr>
            <w:r>
              <w:rPr>
                <w:rFonts w:ascii="Courier New" w:cs="Courier New" w:eastAsia="Courier New" w:hAnsi="Courier New"/>
                <w:sz w:val="14"/>
                <w:szCs w:val="14"/>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Independent</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Public Accountants</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*Indicates a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6"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21</w:t>
      </w:r>
    </w:p>
    <w:p>
      <w:pPr>
        <w:spacing w:after="0" w:line="200" w:lineRule="exact"/>
        <w:rPr>
          <w:sz w:val="20"/>
          <w:szCs w:val="20"/>
          <w:color w:val="auto"/>
        </w:rPr>
      </w:pPr>
    </w:p>
    <w:p>
      <w:pPr>
        <w:spacing w:after="0" w:line="309"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LIST OF GENTEX CORPORATION SUBSIDIARIES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right="3639" w:hanging="431"/>
        <w:spacing w:after="0" w:line="258"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 Aviation Services, Inc., a Michigan corporation, is a wholly-owned subsidiary of Gentex Corporation.</w:t>
      </w:r>
    </w:p>
    <w:p>
      <w:pPr>
        <w:spacing w:after="0" w:line="159" w:lineRule="exact"/>
        <w:rPr>
          <w:rFonts w:ascii="Courier New" w:cs="Courier New" w:eastAsia="Courier New" w:hAnsi="Courier New"/>
          <w:sz w:val="14"/>
          <w:szCs w:val="14"/>
          <w:color w:val="auto"/>
        </w:rPr>
      </w:pPr>
    </w:p>
    <w:p>
      <w:pPr>
        <w:ind w:left="440" w:right="3379" w:hanging="431"/>
        <w:spacing w:after="0" w:line="258"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International Corporation, a Foreign Sales Corporation incorporated in Barbados, is a wholly-owned subsidiary of Gentex Corporation.</w:t>
      </w:r>
    </w:p>
    <w:p>
      <w:pPr>
        <w:spacing w:after="0" w:line="159" w:lineRule="exact"/>
        <w:rPr>
          <w:rFonts w:ascii="Courier New" w:cs="Courier New" w:eastAsia="Courier New" w:hAnsi="Courier New"/>
          <w:sz w:val="14"/>
          <w:szCs w:val="14"/>
          <w:color w:val="auto"/>
        </w:rPr>
      </w:pPr>
    </w:p>
    <w:p>
      <w:pPr>
        <w:ind w:left="440" w:right="3279" w:hanging="431"/>
        <w:spacing w:after="0" w:line="258"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Holdings, Inc., a Michigan corporation, is a wholly-owned subsidiary of Gentex Corporation.</w:t>
      </w:r>
    </w:p>
    <w:p>
      <w:pPr>
        <w:spacing w:after="0" w:line="159" w:lineRule="exact"/>
        <w:rPr>
          <w:rFonts w:ascii="Courier New" w:cs="Courier New" w:eastAsia="Courier New" w:hAnsi="Courier New"/>
          <w:sz w:val="14"/>
          <w:szCs w:val="14"/>
          <w:color w:val="auto"/>
        </w:rPr>
      </w:pPr>
    </w:p>
    <w:p>
      <w:pPr>
        <w:ind w:left="440" w:right="3379" w:hanging="431"/>
        <w:spacing w:after="0" w:line="258"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GmbH, a German limited liability company, is a subsidiary 50% owned by Gentex Corporation and 50% owned by Gentex Holdings, Inc.</w:t>
      </w:r>
    </w:p>
    <w:p>
      <w:pPr>
        <w:spacing w:after="0" w:line="159" w:lineRule="exact"/>
        <w:rPr>
          <w:rFonts w:ascii="Courier New" w:cs="Courier New" w:eastAsia="Courier New" w:hAnsi="Courier New"/>
          <w:sz w:val="14"/>
          <w:szCs w:val="14"/>
          <w:color w:val="auto"/>
        </w:rPr>
      </w:pPr>
    </w:p>
    <w:p>
      <w:pPr>
        <w:ind w:left="440" w:right="3279" w:hanging="431"/>
        <w:spacing w:after="0" w:line="258"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Japan, Inc., a Japanese corporation, is a wholly-owned subsidiary of Gentex Corporation.</w:t>
      </w:r>
    </w:p>
    <w:p>
      <w:pPr>
        <w:spacing w:after="0" w:line="159" w:lineRule="exact"/>
        <w:rPr>
          <w:rFonts w:ascii="Courier New" w:cs="Courier New" w:eastAsia="Courier New" w:hAnsi="Courier New"/>
          <w:sz w:val="14"/>
          <w:szCs w:val="14"/>
          <w:color w:val="auto"/>
        </w:rPr>
      </w:pPr>
    </w:p>
    <w:p>
      <w:pPr>
        <w:ind w:left="440" w:right="3799" w:hanging="431"/>
        <w:spacing w:after="0" w:line="258"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Mirrors Ltd., a United Kingdom limited liability company, is a wholly-owned subsidiary of Gentex Corporation.</w:t>
      </w:r>
    </w:p>
    <w:p>
      <w:pPr>
        <w:spacing w:after="0" w:line="159" w:lineRule="exact"/>
        <w:rPr>
          <w:rFonts w:ascii="Courier New" w:cs="Courier New" w:eastAsia="Courier New" w:hAnsi="Courier New"/>
          <w:sz w:val="14"/>
          <w:szCs w:val="14"/>
          <w:color w:val="auto"/>
        </w:rPr>
      </w:pPr>
    </w:p>
    <w:p>
      <w:pPr>
        <w:ind w:left="440" w:right="3979" w:hanging="431"/>
        <w:spacing w:after="0" w:line="258" w:lineRule="auto"/>
        <w:tabs>
          <w:tab w:leader="none" w:pos="4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Gentex France, SAS, a French simplified liability corporation, is a wholly-owned subsidiary of Gentex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14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23(a)</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20" w:right="3639"/>
        <w:spacing w:after="0" w:line="252"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(Form S-8 Nos. 33-31408, 33-50396,</w:t>
      </w:r>
    </w:p>
    <w:p>
      <w:pPr>
        <w:spacing w:after="0" w:line="1" w:lineRule="exact"/>
        <w:rPr>
          <w:sz w:val="20"/>
          <w:szCs w:val="20"/>
          <w:color w:val="auto"/>
        </w:rPr>
      </w:pPr>
    </w:p>
    <w:p>
      <w:pPr>
        <w:ind w:left="1320" w:right="3279"/>
        <w:spacing w:after="0" w:line="253" w:lineRule="auto"/>
        <w:rPr>
          <w:sz w:val="20"/>
          <w:szCs w:val="20"/>
          <w:color w:val="auto"/>
        </w:rPr>
      </w:pPr>
      <w:r>
        <w:rPr>
          <w:rFonts w:ascii="Courier New" w:cs="Courier New" w:eastAsia="Courier New" w:hAnsi="Courier New"/>
          <w:sz w:val="14"/>
          <w:szCs w:val="14"/>
          <w:color w:val="auto"/>
        </w:rPr>
        <w:t>33-64504 and 33-65321) pertaining to various stock option and incentive plans of Gentex Corporation of our report dated January 18, 2001, with respect to the consolidated financial statements of Gentex Corporation and subsidiaries included in the Annual Report on Form 10-K for the year ended December 31, 2000.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/s/ Ernst &amp; Young LLP</w:t>
      </w:r>
    </w:p>
    <w:p>
      <w:pPr>
        <w:spacing w:after="0" w:line="175" w:lineRule="exact"/>
        <w:rPr>
          <w:sz w:val="20"/>
          <w:szCs w:val="20"/>
          <w:color w:val="auto"/>
        </w:rPr>
      </w:pPr>
    </w:p>
    <w:p>
      <w:pPr>
        <w:jc w:val="center"/>
        <w:ind w:right="59"/>
        <w:spacing w:after="0"/>
        <w:tabs>
          <w:tab w:leader="none" w:pos="160" w:val="left"/>
        </w:tabs>
        <w:rPr>
          <w:sz w:val="20"/>
          <w:szCs w:val="20"/>
          <w:color w:val="auto"/>
        </w:rPr>
      </w:pPr>
      <w:r>
        <w:rPr>
          <w:rFonts w:ascii="Courier New" w:cs="Courier New" w:eastAsia="Courier New" w:hAnsi="Courier New"/>
          <w:sz w:val="14"/>
          <w:szCs w:val="14"/>
          <w:color w:val="auto"/>
        </w:rPr>
        <w:t>ERNST &amp; YOUNG</w:t>
        <w:tab/>
        <w:t>LLP</w:t>
      </w: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Grand Rapids, Michigan</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March 7,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9979"/>
          </w:cols>
          <w:pgMar w:left="480" w:top="14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309"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23(b)</w:t>
      </w:r>
    </w:p>
    <w:p>
      <w:pPr>
        <w:spacing w:after="0" w:line="200" w:lineRule="exact"/>
        <w:rPr>
          <w:sz w:val="20"/>
          <w:szCs w:val="20"/>
          <w:color w:val="auto"/>
        </w:rPr>
      </w:pPr>
    </w:p>
    <w:p>
      <w:pPr>
        <w:spacing w:after="0" w:line="309"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20" w:right="3459"/>
        <w:spacing w:after="0" w:line="254" w:lineRule="auto"/>
        <w:rPr>
          <w:sz w:val="20"/>
          <w:szCs w:val="20"/>
          <w:color w:val="auto"/>
        </w:rPr>
      </w:pPr>
      <w:r>
        <w:rPr>
          <w:rFonts w:ascii="Courier New" w:cs="Courier New" w:eastAsia="Courier New" w:hAnsi="Courier New"/>
          <w:sz w:val="14"/>
          <w:szCs w:val="14"/>
          <w:color w:val="auto"/>
        </w:rPr>
        <w:t>As independent public accountants, we hereby consent to the incorporation of our report included in this Form 10-K, into the Company's previously filed Registration Statement File Nos. 33-31408, 33-50396, 33-64504 and 33-65321.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/s/ Arthur Andersen LLP</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ARTHUR ANDERSEN LLP</w:t>
      </w: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Grand Rapids, Michigan</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March 6,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-35-</w:t>
      </w:r>
    </w:p>
    <w:sectPr>
      <w:pgSz w:w="11900" w:h="16838" w:orient="portrait"/>
      <w:cols w:equalWidth="0" w:num="1">
        <w:col w:w="9979"/>
      </w:cols>
      <w:pgMar w:left="48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lowerLetter"/>
      <w:start w:val="2"/>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lowerLetter"/>
      <w:start w:val="1"/>
    </w:lvl>
    <w:lvl w:ilvl="1">
      <w:lvlJc w:val="left"/>
      <w:lvlText w:val="%2."/>
      <w:numFmt w:val="decimal"/>
      <w:start w:val="2"/>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2"/>
    </w:lvl>
  </w:abstractNum>
  <w:abstractNum w:abstractNumId="21">
    <w:nsid w:val="B03E0C6"/>
    <w:multiLevelType w:val="hybridMultilevel"/>
    <w:lvl w:ilvl="0">
      <w:lvlJc w:val="left"/>
      <w:lvlText w:val="(%1)"/>
      <w:numFmt w:val="decimal"/>
      <w:start w:val="3"/>
    </w:lvl>
  </w:abstractNum>
  <w:abstractNum w:abstractNumId="22">
    <w:nsid w:val="189A769B"/>
    <w:multiLevelType w:val="hybridMultilevel"/>
    <w:lvl w:ilvl="0">
      <w:lvlJc w:val="left"/>
      <w:lvlText w:val="(%1)"/>
      <w:numFmt w:val="decimal"/>
      <w:start w:val="4"/>
    </w:lvl>
  </w:abstractNum>
  <w:abstractNum w:abstractNumId="23">
    <w:nsid w:val="54E49EB4"/>
    <w:multiLevelType w:val="hybridMultilevel"/>
    <w:lvl w:ilvl="0">
      <w:lvlJc w:val="left"/>
      <w:lvlText w:val="(%1)"/>
      <w:numFmt w:val="decimal"/>
      <w:start w:val="6"/>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6"/>
    </w:lvl>
  </w:abstractNum>
  <w:abstractNum w:abstractNumId="27">
    <w:nsid w:val="2901D82"/>
    <w:multiLevelType w:val="hybridMultilevel"/>
    <w:lvl w:ilvl="0">
      <w:lvlJc w:val="left"/>
      <w:lvlText w:val="(%1)"/>
      <w:numFmt w:val="decimal"/>
      <w:start w:val="6"/>
    </w:lvl>
  </w:abstractNum>
  <w:abstractNum w:abstractNumId="28">
    <w:nsid w:val="3A95F874"/>
    <w:multiLevelType w:val="hybridMultilevel"/>
    <w:lvl w:ilvl="0">
      <w:lvlJc w:val="left"/>
      <w:lvlText w:val="(%1)"/>
      <w:numFmt w:val="decimal"/>
      <w:start w:val="7"/>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2019-12-13T10:59:40Z</dcterms:created>
  <dcterms:modified xsi:type="dcterms:W3CDTF">2019-12-13T10:59:40Z</dcterms:modified>
</cp:coreProperties>
</file>