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4"/>
          <w:szCs w:val="14"/>
          <w:color w:val="auto"/>
        </w:rPr>
        <w:t>UNITED STATES</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49"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520" w:right="3459" w:hanging="511"/>
        <w:spacing w:after="0" w:line="378"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FISCAL YEAR ENDED DECEMBER 31, 2005.</w:t>
      </w:r>
    </w:p>
    <w:p>
      <w:pPr>
        <w:spacing w:after="0" w:line="1" w:lineRule="exact"/>
        <w:rPr>
          <w:sz w:val="24"/>
          <w:szCs w:val="24"/>
          <w:color w:val="auto"/>
        </w:rPr>
      </w:pPr>
    </w:p>
    <w:p>
      <w:pPr>
        <w:ind w:left="520" w:right="3899" w:hanging="511"/>
        <w:spacing w:after="0" w:line="378" w:lineRule="auto"/>
        <w:tabs>
          <w:tab w:leader="none" w:pos="17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For the transition period from _________________ to _________________.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 0-10235</w:t>
      </w:r>
    </w:p>
    <w:p>
      <w:pPr>
        <w:spacing w:after="0" w:line="175"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GENTEX CORPORATION</w:t>
      </w:r>
    </w:p>
    <w:p>
      <w:pPr>
        <w:spacing w:after="0" w:line="34"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ind w:left="1400"/>
              <w:spacing w:after="0"/>
              <w:rPr>
                <w:sz w:val="20"/>
                <w:szCs w:val="20"/>
                <w:color w:val="auto"/>
              </w:rPr>
            </w:pPr>
            <w:r>
              <w:rPr>
                <w:rFonts w:ascii="Courier New" w:cs="Courier New" w:eastAsia="Courier New" w:hAnsi="Courier New"/>
                <w:sz w:val="14"/>
                <w:szCs w:val="14"/>
                <w:color w:val="auto"/>
              </w:rPr>
              <w:t>MICHIGAN</w:t>
            </w: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38-2030505</w:t>
            </w:r>
          </w:p>
        </w:tc>
      </w:tr>
      <w:tr>
        <w:trPr>
          <w:trHeight w:val="167"/>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(State or other jurisdiction of</w:t>
            </w: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(I.R.S. Employer</w:t>
            </w:r>
          </w:p>
        </w:tc>
      </w:tr>
      <w:tr>
        <w:trPr>
          <w:trHeight w:val="244"/>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incorporation or organization)</w:t>
            </w:r>
          </w:p>
        </w:tc>
        <w:tc>
          <w:tcPr>
            <w:tcW w:w="20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Identification No.)</w:t>
            </w:r>
          </w:p>
        </w:tc>
      </w:tr>
      <w:tr>
        <w:trPr>
          <w:trHeight w:val="256"/>
        </w:trPr>
        <w:tc>
          <w:tcPr>
            <w:tcW w:w="4480" w:type="dxa"/>
            <w:vAlign w:val="bottom"/>
          </w:tcPr>
          <w:p>
            <w:pPr>
              <w:spacing w:after="0"/>
              <w:rPr>
                <w:sz w:val="20"/>
                <w:szCs w:val="20"/>
                <w:color w:val="auto"/>
              </w:rPr>
            </w:pPr>
            <w:r>
              <w:rPr>
                <w:rFonts w:ascii="Courier New" w:cs="Courier New" w:eastAsia="Courier New" w:hAnsi="Courier New"/>
                <w:sz w:val="14"/>
                <w:szCs w:val="14"/>
                <w:color w:val="auto"/>
              </w:rPr>
              <w:t>600 N. CENTENNIAL STREET, ZEELAND, MICHIGAN</w:t>
            </w:r>
          </w:p>
        </w:tc>
        <w:tc>
          <w:tcPr>
            <w:tcW w:w="2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49464</w:t>
            </w:r>
          </w:p>
        </w:tc>
      </w:tr>
      <w:tr>
        <w:trPr>
          <w:trHeight w:val="244"/>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(Address of principal executive offices)</w:t>
            </w: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(Zip Code)</w:t>
            </w:r>
          </w:p>
        </w:tc>
      </w:tr>
      <w:tr>
        <w:trPr>
          <w:trHeight w:val="282"/>
        </w:trPr>
        <w:tc>
          <w:tcPr>
            <w:tcW w:w="4480" w:type="dxa"/>
            <w:vAlign w:val="bottom"/>
          </w:tcPr>
          <w:p>
            <w:pPr>
              <w:ind w:left="2880"/>
              <w:spacing w:after="0"/>
              <w:rPr>
                <w:sz w:val="20"/>
                <w:szCs w:val="20"/>
                <w:color w:val="auto"/>
              </w:rPr>
            </w:pPr>
            <w:r>
              <w:rPr>
                <w:rFonts w:ascii="Courier New" w:cs="Courier New" w:eastAsia="Courier New" w:hAnsi="Courier New"/>
                <w:sz w:val="14"/>
                <w:szCs w:val="14"/>
                <w:color w:val="auto"/>
              </w:rPr>
              <w:t>(616) 772-1800</w:t>
            </w:r>
          </w:p>
        </w:tc>
        <w:tc>
          <w:tcPr>
            <w:tcW w:w="2040" w:type="dxa"/>
            <w:vAlign w:val="bottom"/>
          </w:tcPr>
          <w:p>
            <w:pPr>
              <w:spacing w:after="0"/>
              <w:rPr>
                <w:sz w:val="24"/>
                <w:szCs w:val="24"/>
                <w:color w:val="auto"/>
              </w:rPr>
            </w:pPr>
          </w:p>
        </w:tc>
      </w:tr>
    </w:tbl>
    <w:p>
      <w:pPr>
        <w:ind w:left="12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38" w:right="1440" w:bottom="555" w:gutter="0" w:footer="0" w:header="0"/>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each Class</w:t>
      </w:r>
    </w:p>
    <w:p>
      <w:pPr>
        <w:spacing w:after="0" w:line="34"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341" w:lineRule="exact"/>
        <w:rPr>
          <w:sz w:val="24"/>
          <w:szCs w:val="24"/>
          <w:color w:val="auto"/>
        </w:rPr>
      </w:pPr>
    </w:p>
    <w:p>
      <w:pPr>
        <w:sectPr>
          <w:pgSz w:w="11900" w:h="16838" w:orient="portrait"/>
          <w:cols w:equalWidth="0" w:num="2">
            <w:col w:w="2580" w:space="720"/>
            <w:col w:w="6939"/>
          </w:cols>
          <w:pgMar w:left="220" w:top="538" w:right="1440" w:bottom="55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 PAR VALUE $.06 PER SHARE</w:t>
      </w:r>
    </w:p>
    <w:p>
      <w:pPr>
        <w:spacing w:after="0" w:line="3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(Title of Class)</w:t>
      </w:r>
    </w:p>
    <w:p>
      <w:pPr>
        <w:spacing w:after="0" w:line="149" w:lineRule="exact"/>
        <w:rPr>
          <w:sz w:val="24"/>
          <w:szCs w:val="24"/>
          <w:color w:val="auto"/>
        </w:rPr>
      </w:pPr>
    </w:p>
    <w:p>
      <w:pPr>
        <w:ind w:right="3639"/>
        <w:spacing w:after="0" w:line="378" w:lineRule="auto"/>
        <w:rPr>
          <w:sz w:val="20"/>
          <w:szCs w:val="20"/>
          <w:color w:val="auto"/>
        </w:rPr>
      </w:pPr>
      <w:r>
        <w:rPr>
          <w:rFonts w:ascii="Courier New" w:cs="Courier New" w:eastAsia="Courier New" w:hAnsi="Courier New"/>
          <w:sz w:val="14"/>
          <w:szCs w:val="14"/>
          <w:color w:val="auto"/>
        </w:rPr>
        <w:t>Indicate by check mark if the registrant is a well-known seasoned issuer, as defined in Rule 405 of the Securities Act.</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Yes:[X] No:[ ]</w:t>
      </w:r>
    </w:p>
    <w:p>
      <w:pPr>
        <w:spacing w:after="0" w:line="175" w:lineRule="exact"/>
        <w:rPr>
          <w:sz w:val="24"/>
          <w:szCs w:val="24"/>
          <w:color w:val="auto"/>
        </w:rPr>
      </w:pPr>
    </w:p>
    <w:p>
      <w:pPr>
        <w:ind w:right="3979"/>
        <w:spacing w:after="0" w:line="378"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Section 15(d) of the Act.</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Yes:[ ] No:[X]</w:t>
      </w:r>
    </w:p>
    <w:p>
      <w:pPr>
        <w:spacing w:after="0" w:line="175" w:lineRule="exact"/>
        <w:rPr>
          <w:sz w:val="24"/>
          <w:szCs w:val="24"/>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Yes:[X] No:[ ]</w:t>
      </w:r>
    </w:p>
    <w:p>
      <w:pPr>
        <w:spacing w:after="0" w:line="175" w:lineRule="exact"/>
        <w:rPr>
          <w:sz w:val="24"/>
          <w:szCs w:val="24"/>
          <w:color w:val="auto"/>
        </w:rPr>
      </w:pPr>
    </w:p>
    <w:p>
      <w:pPr>
        <w:ind w:right="3379"/>
        <w:spacing w:after="0" w:line="285"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60" w:lineRule="exact"/>
        <w:rPr>
          <w:sz w:val="24"/>
          <w:szCs w:val="24"/>
          <w:color w:val="auto"/>
        </w:rPr>
      </w:pPr>
    </w:p>
    <w:p>
      <w:pPr>
        <w:ind w:right="3459"/>
        <w:spacing w:after="0" w:line="265"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in Rule 12b-2 of the Exchange Act.</w:t>
      </w:r>
    </w:p>
    <w:p>
      <w:pPr>
        <w:spacing w:after="0" w:line="1"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Large Accelerated Filer Yes:[X] Accelerated Filer Yes:[ ] Non-Accelerated</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Filer Yes:[ ]</w:t>
      </w:r>
    </w:p>
    <w:p>
      <w:pPr>
        <w:spacing w:after="0" w:line="149" w:lineRule="exact"/>
        <w:rPr>
          <w:sz w:val="24"/>
          <w:szCs w:val="24"/>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in Rule 12b-2.</w:t>
      </w:r>
    </w:p>
    <w:p>
      <w:pPr>
        <w:spacing w:after="0" w:line="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Yes:[ ] No:[X]</w:t>
      </w:r>
    </w:p>
    <w:p>
      <w:pPr>
        <w:spacing w:after="0" w:line="175" w:lineRule="exact"/>
        <w:rPr>
          <w:sz w:val="24"/>
          <w:szCs w:val="24"/>
          <w:color w:val="auto"/>
        </w:rPr>
      </w:pPr>
    </w:p>
    <w:p>
      <w:pPr>
        <w:ind w:right="3279"/>
        <w:spacing w:after="0" w:line="274" w:lineRule="auto"/>
        <w:rPr>
          <w:sz w:val="20"/>
          <w:szCs w:val="20"/>
          <w:color w:val="auto"/>
        </w:rPr>
      </w:pPr>
      <w:r>
        <w:rPr>
          <w:rFonts w:ascii="Courier New" w:cs="Courier New" w:eastAsia="Courier New" w:hAnsi="Courier New"/>
          <w:sz w:val="14"/>
          <w:szCs w:val="14"/>
          <w:color w:val="auto"/>
        </w:rPr>
        <w:t>As of June 30, 2005 (the last business day of the registrant's most recently completed second fiscal quarter), 156,469,171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$2,724,013,128 computed at the closing price on that date.</w:t>
      </w:r>
    </w:p>
    <w:p>
      <w:pPr>
        <w:spacing w:after="0" w:line="68" w:lineRule="exact"/>
        <w:rPr>
          <w:sz w:val="24"/>
          <w:szCs w:val="24"/>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As of February 9, 2006, 154,533,984 shares of the registrant's common stock, par value $.06 per share, were outstanding.</w:t>
      </w:r>
    </w:p>
    <w:p>
      <w:pPr>
        <w:spacing w:after="0" w:line="1" w:lineRule="exact"/>
        <w:rPr>
          <w:sz w:val="24"/>
          <w:szCs w:val="24"/>
          <w:color w:val="auto"/>
        </w:rPr>
      </w:pPr>
    </w:p>
    <w:p>
      <w:pPr>
        <w:ind w:right="3979"/>
        <w:spacing w:after="0" w:line="378" w:lineRule="auto"/>
        <w:rPr>
          <w:sz w:val="20"/>
          <w:szCs w:val="20"/>
          <w:color w:val="auto"/>
        </w:rPr>
      </w:pPr>
      <w:r>
        <w:rPr>
          <w:rFonts w:ascii="Courier New" w:cs="Courier New" w:eastAsia="Courier New" w:hAnsi="Courier New"/>
          <w:sz w:val="14"/>
          <w:szCs w:val="14"/>
          <w:color w:val="auto"/>
        </w:rPr>
        <w:t>Portions of the Company's Proxy Statement for its 2006 Annual Meeting of Shareholders are incorporated by reference into Part III.</w:t>
      </w:r>
    </w:p>
    <w:p>
      <w:pPr>
        <w:spacing w:after="0" w:line="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Index located at Page 39</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38" w:right="1440" w:bottom="555" w:gutter="0" w:footer="0" w:header="0"/>
          <w:type w:val="continuous"/>
        </w:sectPr>
      </w:pPr>
    </w:p>
    <w:bookmarkStart w:id="1" w:name="page2"/>
    <w:bookmarkEnd w:id="1"/>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GENERAL DEVELOPMENT OF BUSINESS</w:t>
      </w:r>
    </w:p>
    <w:p>
      <w:pPr>
        <w:spacing w:after="0" w:line="175" w:lineRule="exact"/>
        <w:rPr>
          <w:sz w:val="20"/>
          <w:szCs w:val="20"/>
          <w:color w:val="auto"/>
        </w:rPr>
      </w:pPr>
    </w:p>
    <w:p>
      <w:pPr>
        <w:ind w:right="3639" w:firstLine="521"/>
        <w:spacing w:after="0" w:line="317" w:lineRule="auto"/>
        <w:rPr>
          <w:sz w:val="20"/>
          <w:szCs w:val="20"/>
          <w:color w:val="auto"/>
        </w:rPr>
      </w:pPr>
      <w:r>
        <w:rPr>
          <w:rFonts w:ascii="Courier New" w:cs="Courier New" w:eastAsia="Courier New" w:hAnsi="Courier New"/>
          <w:sz w:val="14"/>
          <w:szCs w:val="14"/>
          <w:color w:val="auto"/>
        </w:rPr>
        <w:t>Gentex Corporation (the "Company") designs, develops, manufactures and markets proprietary products employing electro-optic technology: automatic-dimming rearview mirrors and fire protection products.</w:t>
      </w:r>
    </w:p>
    <w:p>
      <w:pPr>
        <w:spacing w:after="0" w:line="39" w:lineRule="exact"/>
        <w:rPr>
          <w:sz w:val="20"/>
          <w:szCs w:val="20"/>
          <w:color w:val="auto"/>
        </w:rPr>
      </w:pPr>
    </w:p>
    <w:p>
      <w:pPr>
        <w:ind w:right="3279" w:firstLine="521"/>
        <w:spacing w:after="0" w:line="262" w:lineRule="auto"/>
        <w:rPr>
          <w:sz w:val="20"/>
          <w:szCs w:val="20"/>
          <w:color w:val="auto"/>
        </w:rPr>
      </w:pPr>
      <w:r>
        <w:rPr>
          <w:rFonts w:ascii="Courier New" w:cs="Courier New" w:eastAsia="Courier New" w:hAnsi="Courier New"/>
          <w:sz w:val="14"/>
          <w:szCs w:val="14"/>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80" w:lineRule="exact"/>
        <w:rPr>
          <w:sz w:val="20"/>
          <w:szCs w:val="20"/>
          <w:color w:val="auto"/>
        </w:rPr>
      </w:pPr>
    </w:p>
    <w:p>
      <w:pPr>
        <w:ind w:right="3459" w:firstLine="521"/>
        <w:spacing w:after="0" w:line="285" w:lineRule="auto"/>
        <w:rPr>
          <w:sz w:val="20"/>
          <w:szCs w:val="20"/>
          <w:color w:val="auto"/>
        </w:rPr>
      </w:pPr>
      <w:r>
        <w:rPr>
          <w:rFonts w:ascii="Courier New" w:cs="Courier New" w:eastAsia="Courier New" w:hAnsi="Courier New"/>
          <w:sz w:val="14"/>
          <w:szCs w:val="14"/>
          <w:color w:val="auto"/>
        </w:rPr>
        <w:t>During 2004, the Company began shipping auto-dimming mirrors with SmartBeam, its proprietary intelligent high-beam headlamp control feature, for the Cadillac STS and Jeep Grand Cherokee. Also during 2004, the Company began making shipments of its auto-dimming mirrors to Peugeot, the Company's first automotive OEM customer in France.</w:t>
      </w:r>
    </w:p>
    <w:p>
      <w:pPr>
        <w:spacing w:after="0" w:line="60" w:lineRule="exact"/>
        <w:rPr>
          <w:sz w:val="20"/>
          <w:szCs w:val="20"/>
          <w:color w:val="auto"/>
        </w:rPr>
      </w:pPr>
    </w:p>
    <w:p>
      <w:pPr>
        <w:ind w:right="3459" w:firstLine="521"/>
        <w:spacing w:after="0" w:line="378" w:lineRule="auto"/>
        <w:rPr>
          <w:sz w:val="20"/>
          <w:szCs w:val="20"/>
          <w:color w:val="auto"/>
        </w:rPr>
      </w:pPr>
      <w:r>
        <w:rPr>
          <w:rFonts w:ascii="Courier New" w:cs="Courier New" w:eastAsia="Courier New" w:hAnsi="Courier New"/>
          <w:sz w:val="14"/>
          <w:szCs w:val="14"/>
          <w:color w:val="auto"/>
        </w:rPr>
        <w:t>During 2005, the Company began shipping auto-dimming mirrors with SmartBeam for the Cadillac DTS, the Jeep Commander, and BMW 5, 6 and 7 Series.</w:t>
      </w:r>
    </w:p>
    <w:p>
      <w:pPr>
        <w:spacing w:after="0" w:line="1"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In December 2005, the Company reached an agreement with PPG Aerospace to work together to provide the variably dimmable windows for the passenger compartment on the new Boeing 787 Dreamliner series of aircraft.</w:t>
      </w:r>
    </w:p>
    <w:p>
      <w:pPr>
        <w:spacing w:after="0" w:line="39" w:lineRule="exact"/>
        <w:rPr>
          <w:sz w:val="20"/>
          <w:szCs w:val="20"/>
          <w:color w:val="auto"/>
        </w:rPr>
      </w:pPr>
    </w:p>
    <w:p>
      <w:pPr>
        <w:ind w:right="3379" w:firstLine="521"/>
        <w:spacing w:after="0" w:line="278" w:lineRule="auto"/>
        <w:rPr>
          <w:sz w:val="20"/>
          <w:szCs w:val="20"/>
          <w:color w:val="auto"/>
        </w:rPr>
      </w:pPr>
      <w:r>
        <w:rPr>
          <w:rFonts w:ascii="Courier New" w:cs="Courier New" w:eastAsia="Courier New" w:hAnsi="Courier New"/>
          <w:sz w:val="14"/>
          <w:szCs w:val="14"/>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FINANCIAL INFORMATION ABOUT INDUSTRY SEGMENTS</w:t>
      </w:r>
    </w:p>
    <w:p>
      <w:pPr>
        <w:spacing w:after="0" w:line="175" w:lineRule="exact"/>
        <w:rPr>
          <w:sz w:val="20"/>
          <w:szCs w:val="20"/>
          <w:color w:val="auto"/>
        </w:rPr>
      </w:pPr>
    </w:p>
    <w:p>
      <w:pPr>
        <w:ind w:right="3899" w:firstLine="521"/>
        <w:spacing w:after="0" w:line="378" w:lineRule="auto"/>
        <w:rPr>
          <w:sz w:val="20"/>
          <w:szCs w:val="20"/>
          <w:color w:val="auto"/>
        </w:rPr>
      </w:pPr>
      <w:r>
        <w:rPr>
          <w:rFonts w:ascii="Courier New" w:cs="Courier New" w:eastAsia="Courier New" w:hAnsi="Courier New"/>
          <w:sz w:val="14"/>
          <w:szCs w:val="14"/>
          <w:color w:val="auto"/>
        </w:rPr>
        <w:t>See Note 9 to the Consolidated Financial Statements filed with this report.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NARRATIVE DESCRIPTION OF BUSINESS</w:t>
      </w:r>
    </w:p>
    <w:p>
      <w:pPr>
        <w:spacing w:after="0" w:line="175" w:lineRule="exact"/>
        <w:rPr>
          <w:sz w:val="20"/>
          <w:szCs w:val="20"/>
          <w:color w:val="auto"/>
        </w:rPr>
      </w:pPr>
    </w:p>
    <w:p>
      <w:pPr>
        <w:ind w:right="3799" w:firstLine="521"/>
        <w:spacing w:after="0" w:line="317" w:lineRule="auto"/>
        <w:rPr>
          <w:sz w:val="20"/>
          <w:szCs w:val="20"/>
          <w:color w:val="auto"/>
        </w:rPr>
      </w:pPr>
      <w:r>
        <w:rPr>
          <w:rFonts w:ascii="Courier New" w:cs="Courier New" w:eastAsia="Courier New" w:hAnsi="Courier New"/>
          <w:sz w:val="14"/>
          <w:szCs w:val="14"/>
          <w:color w:val="auto"/>
        </w:rPr>
        <w:t>The Company currently manufactures electro-optic products, including automatic-dimming rearview mirrors for the automotive industry and fire protection products primarily for the commercial building industry.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AUTOMATIC-DIMMING REARVIEW MIRRORS</w:t>
      </w:r>
    </w:p>
    <w:p>
      <w:pPr>
        <w:spacing w:after="0" w:line="175" w:lineRule="exact"/>
        <w:rPr>
          <w:sz w:val="20"/>
          <w:szCs w:val="20"/>
          <w:color w:val="auto"/>
        </w:rPr>
      </w:pPr>
    </w:p>
    <w:p>
      <w:pPr>
        <w:ind w:right="3279" w:firstLine="521"/>
        <w:spacing w:after="0" w:line="261" w:lineRule="auto"/>
        <w:rPr>
          <w:sz w:val="20"/>
          <w:szCs w:val="20"/>
          <w:color w:val="auto"/>
        </w:rPr>
      </w:pPr>
      <w:r>
        <w:rPr>
          <w:rFonts w:ascii="Courier New" w:cs="Courier New" w:eastAsia="Courier New" w:hAnsi="Courier New"/>
          <w:sz w:val="14"/>
          <w:szCs w:val="14"/>
          <w:color w:val="auto"/>
        </w:rPr>
        <w:t>Interior Auto-Dimming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83"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During 1991, the Company began shipping the first advanced-feature interior auto-dimming mirror, the auto-dimming headlamp control mirror, an automatic-dimming mirror that automatically turns car head- and taillamps "on" and "off" at dusk and dawn</w:t>
      </w:r>
    </w:p>
    <w:p>
      <w:pPr>
        <w:spacing w:after="0" w:line="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4" w:right="1440" w:bottom="1440" w:gutter="0" w:footer="0" w:header="0"/>
        </w:sectPr>
      </w:pPr>
    </w:p>
    <w:bookmarkStart w:id="2" w:name="page3"/>
    <w:bookmarkEnd w:id="2"/>
    <w:p>
      <w:pPr>
        <w:ind w:right="3279"/>
        <w:spacing w:after="0" w:line="262" w:lineRule="auto"/>
        <w:rPr>
          <w:sz w:val="20"/>
          <w:szCs w:val="20"/>
          <w:color w:val="auto"/>
        </w:rPr>
      </w:pPr>
      <w:r>
        <w:rPr>
          <w:rFonts w:ascii="Courier New" w:cs="Courier New" w:eastAsia="Courier New" w:hAnsi="Courier New"/>
          <w:sz w:val="14"/>
          <w:szCs w:val="14"/>
          <w:color w:val="auto"/>
        </w:rPr>
        <w:t>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its proprietary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OnStar(R) System, an in-vehicle safety, security and information service using Global Positioning System (GPS) satellite technology. OnStar is a registered trademark of OnStar Corporation.</w:t>
      </w:r>
    </w:p>
    <w:p>
      <w:pPr>
        <w:spacing w:after="0" w:line="253" w:lineRule="exact"/>
        <w:rPr>
          <w:sz w:val="20"/>
          <w:szCs w:val="20"/>
          <w:color w:val="auto"/>
        </w:rPr>
      </w:pPr>
    </w:p>
    <w:p>
      <w:pPr>
        <w:ind w:right="3459" w:firstLine="521"/>
        <w:spacing w:after="0" w:line="280" w:lineRule="auto"/>
        <w:rPr>
          <w:sz w:val="20"/>
          <w:szCs w:val="20"/>
          <w:color w:val="auto"/>
        </w:rPr>
      </w:pPr>
      <w:r>
        <w:rPr>
          <w:rFonts w:ascii="Courier New" w:cs="Courier New" w:eastAsia="Courier New" w:hAnsi="Courier New"/>
          <w:sz w:val="14"/>
          <w:szCs w:val="14"/>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243"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During 2003, the Company began making shipments of its auto-dimming mirrors to two new automotive OEM customers, Honda and Volvo, and began volume shipments of its microphone as part of DaimlerChrysler's "U-Connect(R)" telematics system.</w:t>
      </w:r>
    </w:p>
    <w:p>
      <w:pPr>
        <w:spacing w:after="0" w:line="55" w:lineRule="exact"/>
        <w:rPr>
          <w:sz w:val="20"/>
          <w:szCs w:val="20"/>
          <w:color w:val="auto"/>
        </w:rPr>
      </w:pPr>
    </w:p>
    <w:p>
      <w:pPr>
        <w:ind w:right="3459" w:firstLine="521"/>
        <w:spacing w:after="0" w:line="285" w:lineRule="auto"/>
        <w:rPr>
          <w:sz w:val="20"/>
          <w:szCs w:val="20"/>
          <w:color w:val="auto"/>
        </w:rPr>
      </w:pPr>
      <w:r>
        <w:rPr>
          <w:rFonts w:ascii="Courier New" w:cs="Courier New" w:eastAsia="Courier New" w:hAnsi="Courier New"/>
          <w:sz w:val="14"/>
          <w:szCs w:val="14"/>
          <w:color w:val="auto"/>
        </w:rPr>
        <w:t>During 2004, the Company began shipping auto-dimming mirrors with SmartBeam, its proprietary intelligent high-beam headlamp control feature, for the Cadillac STS and Jeep Grand Cherokee. During 2005, the Company began shipping auto-dimming mirrors with SmartBeam for the Cadillac DTS, the Jeep Commander, and BMW 5, 6 and 7 Series models.</w:t>
      </w:r>
    </w:p>
    <w:p>
      <w:pPr>
        <w:spacing w:after="0" w:line="60" w:lineRule="exact"/>
        <w:rPr>
          <w:sz w:val="20"/>
          <w:szCs w:val="20"/>
          <w:color w:val="auto"/>
        </w:rPr>
      </w:pPr>
    </w:p>
    <w:p>
      <w:pPr>
        <w:ind w:right="3379" w:firstLine="521"/>
        <w:spacing w:after="0" w:line="378" w:lineRule="auto"/>
        <w:rPr>
          <w:sz w:val="20"/>
          <w:szCs w:val="20"/>
          <w:color w:val="auto"/>
        </w:rPr>
      </w:pPr>
      <w:r>
        <w:rPr>
          <w:rFonts w:ascii="Courier New" w:cs="Courier New" w:eastAsia="Courier New" w:hAnsi="Courier New"/>
          <w:sz w:val="14"/>
          <w:szCs w:val="14"/>
          <w:color w:val="auto"/>
        </w:rPr>
        <w:t>The Company shipped approximately 7,132,000 interior auto-dimming mirrors in 2003, approximately 8,363,000 in 2004, and 8,924,000 in 2005.</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4" w:right="1440" w:bottom="1440" w:gutter="0" w:footer="0" w:header="0"/>
        </w:sectPr>
      </w:pPr>
    </w:p>
    <w:bookmarkStart w:id="3" w:name="page4"/>
    <w:bookmarkEnd w:id="3"/>
    <w:p>
      <w:pPr>
        <w:ind w:right="3459" w:firstLine="521"/>
        <w:spacing w:after="0" w:line="285" w:lineRule="auto"/>
        <w:rPr>
          <w:sz w:val="20"/>
          <w:szCs w:val="20"/>
          <w:color w:val="auto"/>
        </w:rPr>
      </w:pPr>
      <w:r>
        <w:rPr>
          <w:rFonts w:ascii="Courier New" w:cs="Courier New" w:eastAsia="Courier New" w:hAnsi="Courier New"/>
          <w:sz w:val="14"/>
          <w:szCs w:val="14"/>
          <w:color w:val="auto"/>
        </w:rPr>
        <w:t>During 2005, the growth in interior total mirror unit shipments resulted from increased penetration of light vehicles manufactured worldwide, including Europe and Asian transplants in North America. The Company's interior auto-dimming mirrors are standard equipment or factory-installed options on certain trim levels of the following 2006 vehicle models:</w:t>
      </w:r>
    </w:p>
    <w:p>
      <w:pPr>
        <w:spacing w:after="0" w:line="60" w:lineRule="exact"/>
        <w:rPr>
          <w:sz w:val="20"/>
          <w:szCs w:val="20"/>
          <w:color w:val="auto"/>
        </w:rPr>
      </w:pPr>
    </w:p>
    <w:p>
      <w:pPr>
        <w:ind w:right="3899"/>
        <w:spacing w:after="0" w:line="382" w:lineRule="auto"/>
        <w:rPr>
          <w:sz w:val="20"/>
          <w:szCs w:val="20"/>
          <w:color w:val="auto"/>
        </w:rPr>
      </w:pPr>
      <w:r>
        <w:rPr>
          <w:rFonts w:ascii="Courier New" w:cs="Courier New" w:eastAsia="Courier New" w:hAnsi="Courier New"/>
          <w:sz w:val="14"/>
          <w:szCs w:val="14"/>
          <w:color w:val="auto"/>
        </w:rPr>
        <w:t>TABLE 1. INTERIOR AUTO-DIMMING MIRROR AVAILABILITY BY VEHICLE LINE (NORTH AMERICAN MANUFACTURERS)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DTS</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DaimlerChrysler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STS</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 Chrysler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Pacifica</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CTS</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PT Cruiser</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Escalade</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Sebring</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GM/Buick</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SRX</w:t>
            </w:r>
          </w:p>
        </w:tc>
        <w:tc>
          <w:tcPr>
            <w:tcW w:w="23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DaimlerChrysler /</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Town &amp; Country</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LaCrosse</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Caravan</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Lucerne</w:t>
            </w:r>
          </w:p>
        </w:tc>
        <w:tc>
          <w:tcPr>
            <w:tcW w:w="236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Dodge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Charger</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GM/Hummer</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Rainier</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Dakota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H2</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Durango</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GM/Pontiac</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H3</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Magnum</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Torrent</w:t>
            </w:r>
          </w:p>
        </w:tc>
        <w:tc>
          <w:tcPr>
            <w:tcW w:w="2360" w:type="dxa"/>
            <w:vAlign w:val="bottom"/>
            <w:vMerge w:val="restart"/>
          </w:tcPr>
          <w:p>
            <w:pPr>
              <w:ind w:left="620"/>
              <w:spacing w:after="0"/>
              <w:rPr>
                <w:sz w:val="20"/>
                <w:szCs w:val="20"/>
                <w:color w:val="auto"/>
              </w:rPr>
            </w:pPr>
            <w:r>
              <w:rPr>
                <w:rFonts w:ascii="Courier New" w:cs="Courier New" w:eastAsia="Courier New" w:hAnsi="Courier New"/>
                <w:sz w:val="14"/>
                <w:szCs w:val="14"/>
                <w:color w:val="auto"/>
              </w:rPr>
              <w:t>DaimlerChrysler /</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Ram Pickup</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GM/Chevrolet</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Avalanche</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Commander</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Express</w:t>
            </w:r>
          </w:p>
        </w:tc>
        <w:tc>
          <w:tcPr>
            <w:tcW w:w="236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Jeep</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Grand Cherokee</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Equinox</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Liberty</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Malibu</w:t>
            </w:r>
          </w:p>
        </w:tc>
        <w:tc>
          <w:tcPr>
            <w:tcW w:w="23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DaimlerChrysler/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Wrangler</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Silverado</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GL Class</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SSR</w:t>
            </w:r>
          </w:p>
        </w:tc>
        <w:tc>
          <w:tcPr>
            <w:tcW w:w="2360" w:type="dxa"/>
            <w:vAlign w:val="bottom"/>
          </w:tcPr>
          <w:p>
            <w:pPr>
              <w:ind w:left="780"/>
              <w:spacing w:after="0"/>
              <w:rPr>
                <w:sz w:val="20"/>
                <w:szCs w:val="20"/>
                <w:color w:val="auto"/>
              </w:rPr>
            </w:pPr>
            <w:r>
              <w:rPr>
                <w:rFonts w:ascii="Courier New" w:cs="Courier New" w:eastAsia="Courier New" w:hAnsi="Courier New"/>
                <w:sz w:val="14"/>
                <w:szCs w:val="14"/>
                <w:color w:val="auto"/>
              </w:rPr>
              <w:t>Mercedes-Benz</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 Class</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Suburban</w:t>
            </w:r>
          </w:p>
        </w:tc>
        <w:tc>
          <w:tcPr>
            <w:tcW w:w="23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BMW</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 Class</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Tahoe</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X5</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GM/GMC</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Trailblazer</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Hyundai</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Sonata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Envoy</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Mazda</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Savana</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Mitsubishi</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Raider</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Sierra</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Nissan</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Altima</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GM/Saturn</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Yukon</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Armada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ION</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Frontier</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Ford</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Vue</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Maxima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Crown Victoria</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Pathfinder</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Expedition</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Quest</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Five Hundred</w:t>
            </w:r>
          </w:p>
        </w:tc>
        <w:tc>
          <w:tcPr>
            <w:tcW w:w="23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Nissan / Infiniti</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Titan</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Freestar</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QX56</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Freestyle</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Toyota</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Avalon</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Fusion</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Camry</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F Series</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Camry Solara</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Ford/Lincoln</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Taurus</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Sequoia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LS</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Sienna</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Mark LT</w:t>
            </w:r>
          </w:p>
        </w:tc>
        <w:tc>
          <w:tcPr>
            <w:tcW w:w="23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Toyota/Lexus</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Tacoma</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Navigator</w:t>
            </w:r>
          </w:p>
        </w:tc>
        <w:tc>
          <w:tcPr>
            <w:tcW w:w="2360" w:type="dxa"/>
            <w:vAlign w:val="bottom"/>
            <w:vMerge w:val="continue"/>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RX330</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Town Car</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Volkswagen</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Beetle</w:t>
            </w:r>
          </w:p>
        </w:tc>
        <w:tc>
          <w:tcPr>
            <w:tcW w:w="0" w:type="dxa"/>
            <w:vAlign w:val="bottom"/>
          </w:tcPr>
          <w:p>
            <w:pPr>
              <w:spacing w:after="0"/>
              <w:rPr>
                <w:sz w:val="1"/>
                <w:szCs w:val="1"/>
                <w:color w:val="auto"/>
              </w:rPr>
            </w:pPr>
          </w:p>
        </w:tc>
      </w:tr>
      <w:tr>
        <w:trPr>
          <w:trHeight w:val="167"/>
        </w:trPr>
        <w:tc>
          <w:tcPr>
            <w:tcW w:w="1320" w:type="dxa"/>
            <w:vAlign w:val="bottom"/>
            <w:vMerge w:val="restart"/>
          </w:tcPr>
          <w:p>
            <w:pPr>
              <w:spacing w:after="0"/>
              <w:rPr>
                <w:sz w:val="20"/>
                <w:szCs w:val="20"/>
                <w:color w:val="auto"/>
              </w:rPr>
            </w:pPr>
            <w:r>
              <w:rPr>
                <w:rFonts w:ascii="Courier New" w:cs="Courier New" w:eastAsia="Courier New" w:hAnsi="Courier New"/>
                <w:sz w:val="14"/>
                <w:szCs w:val="14"/>
                <w:color w:val="auto"/>
              </w:rPr>
              <w:t>Ford/Mercury</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Zephyr</w:t>
            </w:r>
          </w:p>
        </w:tc>
        <w:tc>
          <w:tcPr>
            <w:tcW w:w="23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Jetta</w:t>
            </w:r>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Grand Marquis</w:t>
            </w: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Milan</w:t>
            </w: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Montego</w:t>
            </w:r>
          </w:p>
        </w:tc>
        <w:tc>
          <w:tcPr>
            <w:tcW w:w="2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20" w:type="dxa"/>
            <w:vAlign w:val="bottom"/>
          </w:tcPr>
          <w:p>
            <w:pPr>
              <w:spacing w:after="0"/>
              <w:rPr>
                <w:sz w:val="21"/>
                <w:szCs w:val="21"/>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Monterey</w:t>
            </w:r>
          </w:p>
        </w:tc>
        <w:tc>
          <w:tcPr>
            <w:tcW w:w="2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4" w:right="1440" w:bottom="1440" w:gutter="0" w:footer="0" w:header="0"/>
        </w:sectPr>
      </w:pPr>
    </w:p>
    <w:bookmarkStart w:id="4" w:name="page5"/>
    <w:bookmarkEnd w:id="4"/>
    <w:p>
      <w:pPr>
        <w:ind w:right="3459"/>
        <w:spacing w:after="0" w:line="382" w:lineRule="auto"/>
        <w:rPr>
          <w:sz w:val="20"/>
          <w:szCs w:val="20"/>
          <w:color w:val="auto"/>
        </w:rPr>
      </w:pPr>
      <w:r>
        <w:rPr>
          <w:rFonts w:ascii="Courier New" w:cs="Courier New" w:eastAsia="Courier New" w:hAnsi="Courier New"/>
          <w:sz w:val="14"/>
          <w:szCs w:val="14"/>
          <w:color w:val="auto"/>
        </w:rPr>
        <w:t>TABLE 1. INTERIOR AUTO-DIMMING MIRROR AVAILABILITY BY VEHICLE LINE - CONTINUED (MANUFACTURERS OUTSIDE OF NORTH AMERICA)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Bentley</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Arnage</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Maserati</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Quattroporte</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BMW</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Continental</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Mazda</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RX-8</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7 Series</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DaimlerChrysler/</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 Class</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5 Series</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Mercedes-Benz</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CL Class</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6 Series</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CLK</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3 Series</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CLS</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Daewoo/Ssangyong</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X3</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E Class</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Chairman</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 Wagen</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Korando</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 Class</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Kyron</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SL Class</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Musso</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Mitsubishi</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SLK</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Rexton</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380</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DaimlerChrysler / Chrysler</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Rodius</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Nissan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NQZ Outlander</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300</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350Z</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DaimlerChrysler / Jeep</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Voyager</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Cima</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Grand Cherokee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Murano</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Fiat</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Idea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Navara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Marea</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Nissan / Infiniti</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Pathfinder</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Palio</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FX35 / FX45</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Fiat / Alfa Romeo</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Stilo</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G35</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147</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M45</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156</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PSA/Citroen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Q45</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Fiat / Lancia</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166</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C6</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Lybra</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PSA/Peugeot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407</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Ford</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Thesis</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Porsche</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Cayenne</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Falcon</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Toyota / Lexus</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ES330</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Focus</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GX470</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Mondeo</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LS430</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Ford / Jaguar</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Territory</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LX470</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S-Type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RX330</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XK</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SC300</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Ford / Land Rover</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XJ</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Toyota</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SC430</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LR3</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Avensis</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Ford / Volvo</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Range Rover</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Camry</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C70</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Corolla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S40</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Celsior</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GM / Opel</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V50</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Century</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Astra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Cygnus</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Corsa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Highlander</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Meriva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Land Cruiser</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Signum</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Mark X</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Vectra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Prius</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GM/Saab</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Zafira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RAV4</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9-7X</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Windom</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Honda / Acura</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TSX</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Volkswagen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4-Runner</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Honda</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Accord</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Bora</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Hyundai</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Inspire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Golf</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Avante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Jetta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Azera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Passat</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Equus</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Phaeton</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Grandeur</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Polo</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Sonata</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Touareg</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Santa Fe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Touran</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Starex</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Volkswagen / Audi</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Transporter</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Tuscani</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A3</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Terracan</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A4</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Trajet</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A6</w:t>
            </w:r>
          </w:p>
        </w:tc>
        <w:tc>
          <w:tcPr>
            <w:tcW w:w="0" w:type="dxa"/>
            <w:vAlign w:val="bottom"/>
          </w:tcPr>
          <w:p>
            <w:pPr>
              <w:spacing w:after="0"/>
              <w:rPr>
                <w:sz w:val="1"/>
                <w:szCs w:val="1"/>
                <w:color w:val="auto"/>
              </w:rPr>
            </w:pPr>
          </w:p>
        </w:tc>
      </w:tr>
      <w:tr>
        <w:trPr>
          <w:trHeight w:val="167"/>
        </w:trPr>
        <w:tc>
          <w:tcPr>
            <w:tcW w:w="2400" w:type="dxa"/>
            <w:vAlign w:val="bottom"/>
            <w:vMerge w:val="restart"/>
          </w:tcPr>
          <w:p>
            <w:pPr>
              <w:spacing w:after="0"/>
              <w:rPr>
                <w:sz w:val="20"/>
                <w:szCs w:val="20"/>
                <w:color w:val="auto"/>
              </w:rPr>
            </w:pPr>
            <w:r>
              <w:rPr>
                <w:rFonts w:ascii="Courier New" w:cs="Courier New" w:eastAsia="Courier New" w:hAnsi="Courier New"/>
                <w:sz w:val="14"/>
                <w:szCs w:val="14"/>
                <w:color w:val="auto"/>
              </w:rPr>
              <w:t>Hyundai / Kia Motors</w:t>
            </w: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Tucson</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A8</w:t>
            </w:r>
          </w:p>
        </w:tc>
        <w:tc>
          <w:tcPr>
            <w:tcW w:w="0" w:type="dxa"/>
            <w:vAlign w:val="bottom"/>
          </w:tcPr>
          <w:p>
            <w:pPr>
              <w:spacing w:after="0"/>
              <w:rPr>
                <w:sz w:val="1"/>
                <w:szCs w:val="1"/>
                <w:color w:val="auto"/>
              </w:rPr>
            </w:pPr>
          </w:p>
        </w:tc>
      </w:tr>
      <w:tr>
        <w:trPr>
          <w:trHeight w:val="167"/>
        </w:trPr>
        <w:tc>
          <w:tcPr>
            <w:tcW w:w="2400" w:type="dxa"/>
            <w:vAlign w:val="bottom"/>
            <w:vMerge w:val="continue"/>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Amanti</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Volkswagen / SEAT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Cabrio Q7</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Carnival</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Altea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Carens</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Cordoba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Cerato</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Ibiza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Lotze</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Leon</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Opirus</w:t>
            </w:r>
          </w:p>
        </w:tc>
        <w:tc>
          <w:tcPr>
            <w:tcW w:w="17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Volkswagen / Skoda</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Toledo</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Sedona</w:t>
            </w:r>
          </w:p>
        </w:tc>
        <w:tc>
          <w:tcPr>
            <w:tcW w:w="1780" w:type="dxa"/>
            <w:vAlign w:val="bottom"/>
            <w:vMerge w:val="continue"/>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Octavia</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Sorento</w:t>
            </w:r>
          </w:p>
        </w:tc>
        <w:tc>
          <w:tcPr>
            <w:tcW w:w="1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Superb</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Spectra</w:t>
            </w: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Courier New" w:cs="Courier New" w:eastAsia="Courier New" w:hAnsi="Courier New"/>
                <w:sz w:val="14"/>
                <w:szCs w:val="14"/>
                <w:color w:val="auto"/>
              </w:rPr>
              <w:t>Sportage</w:t>
            </w: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2400" w:type="dxa"/>
            <w:vAlign w:val="bottom"/>
          </w:tcPr>
          <w:p>
            <w:pPr>
              <w:spacing w:after="0"/>
              <w:rPr>
                <w:sz w:val="24"/>
                <w:szCs w:val="24"/>
                <w:color w:val="auto"/>
              </w:rPr>
            </w:pPr>
          </w:p>
        </w:tc>
        <w:tc>
          <w:tcPr>
            <w:tcW w:w="1480" w:type="dxa"/>
            <w:vAlign w:val="bottom"/>
          </w:tcPr>
          <w:p>
            <w:pPr>
              <w:ind w:left="900"/>
              <w:spacing w:after="0"/>
              <w:rPr>
                <w:sz w:val="20"/>
                <w:szCs w:val="20"/>
                <w:color w:val="auto"/>
              </w:rPr>
            </w:pPr>
            <w:r>
              <w:rPr>
                <w:rFonts w:ascii="Courier New" w:cs="Courier New" w:eastAsia="Courier New" w:hAnsi="Courier New"/>
                <w:sz w:val="14"/>
                <w:szCs w:val="14"/>
                <w:color w:val="auto"/>
              </w:rPr>
              <w:t>-5-</w:t>
            </w: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4" w:right="1440" w:bottom="1440" w:gutter="0" w:footer="0" w:header="0"/>
        </w:sectPr>
      </w:pPr>
    </w:p>
    <w:bookmarkStart w:id="5" w:name="page6"/>
    <w:bookmarkEnd w:id="5"/>
    <w:p>
      <w:pPr>
        <w:ind w:right="3279" w:firstLine="521"/>
        <w:spacing w:after="0" w:line="260" w:lineRule="auto"/>
        <w:rPr>
          <w:sz w:val="20"/>
          <w:szCs w:val="20"/>
          <w:color w:val="auto"/>
        </w:rPr>
      </w:pPr>
      <w:r>
        <w:rPr>
          <w:rFonts w:ascii="Courier New" w:cs="Courier New" w:eastAsia="Courier New" w:hAnsi="Courier New"/>
          <w:sz w:val="14"/>
          <w:szCs w:val="14"/>
          <w:color w:val="auto"/>
        </w:rPr>
        <w:t>Exterior Auto-Dimming Mirror Sub-Assemblies. The Company has devoted substantial research and development 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auto-dimming mirror to BMW. During 1997, the Company began making volume shipments of additional new exterior mirror products - - thin glass flat and aspheric. During 2001 and 2002, the Company began making shipments of the world's first exterior automatic-dimming mirrors with built-in turn-signal indicators to Southeast Toyota and General Motors. The Company currently sells its exterior auto-dimming mirror sub-assemblies to exterior mirror suppliers of the automakers who assemble the exterior auto-dimming mirror sub-assemblies into full mirror units for subsequent resale to the automakers.</w:t>
      </w:r>
    </w:p>
    <w:p>
      <w:pPr>
        <w:spacing w:after="0" w:line="84" w:lineRule="exact"/>
        <w:rPr>
          <w:sz w:val="20"/>
          <w:szCs w:val="20"/>
          <w:color w:val="auto"/>
        </w:rPr>
      </w:pPr>
    </w:p>
    <w:p>
      <w:pPr>
        <w:ind w:right="3279" w:firstLine="521"/>
        <w:spacing w:after="0" w:line="295" w:lineRule="auto"/>
        <w:rPr>
          <w:sz w:val="20"/>
          <w:szCs w:val="20"/>
          <w:color w:val="auto"/>
        </w:rPr>
      </w:pPr>
      <w:r>
        <w:rPr>
          <w:rFonts w:ascii="Courier New" w:cs="Courier New" w:eastAsia="Courier New" w:hAnsi="Courier New"/>
          <w:sz w:val="14"/>
          <w:szCs w:val="14"/>
          <w:color w:val="auto"/>
        </w:rPr>
        <w:t>The Company shipped approximately 3,128,000 exterior auto-dimming mirror sub-assemblies during 2003, approximately 3,277,000 in 2004, and approximately 3,646,000 in 2005. During 2005, unit shipment growth primarily resulted from the increased penetration of light vehicles in Europe.</w:t>
      </w:r>
    </w:p>
    <w:p>
      <w:pPr>
        <w:spacing w:after="0" w:line="55" w:lineRule="exact"/>
        <w:rPr>
          <w:sz w:val="20"/>
          <w:szCs w:val="20"/>
          <w:color w:val="auto"/>
        </w:rPr>
      </w:pPr>
    </w:p>
    <w:p>
      <w:pPr>
        <w:ind w:right="3539" w:firstLine="521"/>
        <w:spacing w:after="0" w:line="343" w:lineRule="auto"/>
        <w:rPr>
          <w:sz w:val="20"/>
          <w:szCs w:val="20"/>
          <w:color w:val="auto"/>
        </w:rPr>
      </w:pPr>
      <w:r>
        <w:rPr>
          <w:rFonts w:ascii="Courier New" w:cs="Courier New" w:eastAsia="Courier New" w:hAnsi="Courier New"/>
          <w:sz w:val="14"/>
          <w:szCs w:val="14"/>
          <w:color w:val="auto"/>
        </w:rPr>
        <w:t>The exterior auto-dimming mirror is standard equipment or a factory-installed option on certain trim levels of the following 2006 vehicle models: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2. EXTERIOR AUTO-DIMMING MIRROR AVAILABILITY BY VEHICLE LINE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DTS</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DaimlerChrysler /</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GL Class</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Escalade</w:t>
            </w:r>
          </w:p>
        </w:tc>
        <w:tc>
          <w:tcPr>
            <w:tcW w:w="1960" w:type="dxa"/>
            <w:vAlign w:val="bottom"/>
          </w:tcPr>
          <w:p>
            <w:pPr>
              <w:ind w:left="400"/>
              <w:spacing w:after="0"/>
              <w:rPr>
                <w:sz w:val="20"/>
                <w:szCs w:val="20"/>
                <w:color w:val="auto"/>
              </w:rPr>
            </w:pPr>
            <w:r>
              <w:rPr>
                <w:rFonts w:ascii="Courier New" w:cs="Courier New" w:eastAsia="Courier New" w:hAnsi="Courier New"/>
                <w:sz w:val="14"/>
                <w:szCs w:val="14"/>
                <w:color w:val="auto"/>
              </w:rPr>
              <w:t>Mercedes- Benz</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 Class</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GM / Buick</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XLR</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 Class</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Lucerne</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 Class</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GM / Chevrolet</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Avalanche</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SL Class</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Silverado</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Ford / Jaguar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SLK</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SSR</w:t>
            </w:r>
          </w:p>
        </w:tc>
        <w:tc>
          <w:tcPr>
            <w:tcW w:w="1960" w:type="dxa"/>
            <w:vAlign w:val="bottom"/>
            <w:vMerge w:val="continue"/>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S-Type</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Suburban</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XJ</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GM / GMC</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Tahoe</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Ford / Land Rover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XK</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Sierra</w:t>
            </w:r>
          </w:p>
        </w:tc>
        <w:tc>
          <w:tcPr>
            <w:tcW w:w="1960" w:type="dxa"/>
            <w:vAlign w:val="bottom"/>
            <w:vMerge w:val="continue"/>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Range Rover</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GM / Hummer</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Yukon</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GM / Opel</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Vectra</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H2</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Maserati</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Quattroporte</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Ford/Lincoln</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Town Car</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PSA/Citroen</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C6</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DaimlerChrysler/</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Zephyr</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Skoda</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Octavia</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300</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Volkswagen</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Cabrio</w:t>
            </w:r>
          </w:p>
        </w:tc>
        <w:tc>
          <w:tcPr>
            <w:tcW w:w="0" w:type="dxa"/>
            <w:vAlign w:val="bottom"/>
          </w:tcPr>
          <w:p>
            <w:pPr>
              <w:spacing w:after="0"/>
              <w:rPr>
                <w:sz w:val="1"/>
                <w:szCs w:val="1"/>
                <w:color w:val="auto"/>
              </w:rPr>
            </w:pP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Chrysler</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Pacifica</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Golf</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DaimlerChrysler/Dodge</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Town &amp; Country</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Jetta</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Caravan</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Passat</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DaimlerChrysler/Jeep</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Durango</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Sharan</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Commander</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Honda/Acura</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Touareg</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Volkswagen / Audi</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Grand Cherokee</w:t>
            </w:r>
          </w:p>
        </w:tc>
        <w:tc>
          <w:tcPr>
            <w:tcW w:w="1960" w:type="dxa"/>
            <w:vAlign w:val="bottom"/>
            <w:vMerge w:val="continue"/>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RL</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A4</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Hyundai</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Grandeur</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A6</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Hyundai/Kia</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Opirus</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A8</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Nissan / Infiniti</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Q45</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BMW</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Cabrio Q7</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Toyota / Lexus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QX56</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7 Series</w:t>
            </w:r>
          </w:p>
        </w:tc>
        <w:tc>
          <w:tcPr>
            <w:tcW w:w="1960" w:type="dxa"/>
            <w:vAlign w:val="bottom"/>
            <w:vMerge w:val="continue"/>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RX330</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6 Series</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Nissan</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Armada</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5 Series</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Cima</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3 Series</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Maxima</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X3</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Rolls Royce</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Titan</w:t>
            </w: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Courier New" w:cs="Courier New" w:eastAsia="Courier New" w:hAnsi="Courier New"/>
                <w:sz w:val="14"/>
                <w:szCs w:val="14"/>
                <w:color w:val="auto"/>
              </w:rPr>
              <w:t>Bentley</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X5</w:t>
            </w:r>
          </w:p>
        </w:tc>
        <w:tc>
          <w:tcPr>
            <w:tcW w:w="1960" w:type="dxa"/>
            <w:vAlign w:val="bottom"/>
            <w:vMerge w:val="continue"/>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Phantom</w:t>
            </w:r>
          </w:p>
        </w:tc>
        <w:tc>
          <w:tcPr>
            <w:tcW w:w="0" w:type="dxa"/>
            <w:vAlign w:val="bottom"/>
          </w:tcPr>
          <w:p>
            <w:pPr>
              <w:spacing w:after="0"/>
              <w:rPr>
                <w:sz w:val="1"/>
                <w:szCs w:val="1"/>
                <w:color w:val="auto"/>
              </w:rPr>
            </w:pPr>
          </w:p>
        </w:tc>
      </w:tr>
      <w:tr>
        <w:trPr>
          <w:trHeight w:val="167"/>
        </w:trPr>
        <w:tc>
          <w:tcPr>
            <w:tcW w:w="2000" w:type="dxa"/>
            <w:vAlign w:val="bottom"/>
            <w:vMerge w:val="continue"/>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Continental</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Daewoo / Ssangyong</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Chairman</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DaimlerChrysler /</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 Class</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Toyota</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Avalon</w:t>
            </w:r>
          </w:p>
        </w:tc>
        <w:tc>
          <w:tcPr>
            <w:tcW w:w="0" w:type="dxa"/>
            <w:vAlign w:val="bottom"/>
          </w:tcPr>
          <w:p>
            <w:pPr>
              <w:spacing w:after="0"/>
              <w:rPr>
                <w:sz w:val="1"/>
                <w:szCs w:val="1"/>
                <w:color w:val="auto"/>
              </w:rPr>
            </w:pP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Mercedes- Benz</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CL Class</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Camry Solara</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CLK</w:t>
            </w:r>
          </w:p>
        </w:tc>
        <w:tc>
          <w:tcPr>
            <w:tcW w:w="196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Sienna</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CLS</w:t>
            </w: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  Class</w:t>
            </w: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00" w:type="dxa"/>
            <w:vAlign w:val="bottom"/>
          </w:tcPr>
          <w:p>
            <w:pPr>
              <w:spacing w:after="0"/>
              <w:rPr>
                <w:sz w:val="21"/>
                <w:szCs w:val="21"/>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G Wagen</w:t>
            </w:r>
          </w:p>
        </w:tc>
        <w:tc>
          <w:tcPr>
            <w:tcW w:w="1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2000" w:type="dxa"/>
            <w:vAlign w:val="bottom"/>
          </w:tcPr>
          <w:p>
            <w:pPr>
              <w:spacing w:after="0"/>
              <w:rPr>
                <w:sz w:val="24"/>
                <w:szCs w:val="24"/>
                <w:color w:val="auto"/>
              </w:rPr>
            </w:pPr>
          </w:p>
        </w:tc>
        <w:tc>
          <w:tcPr>
            <w:tcW w:w="1780" w:type="dxa"/>
            <w:vAlign w:val="bottom"/>
          </w:tcPr>
          <w:p>
            <w:pPr>
              <w:ind w:left="1300"/>
              <w:spacing w:after="0"/>
              <w:rPr>
                <w:sz w:val="20"/>
                <w:szCs w:val="20"/>
                <w:color w:val="auto"/>
              </w:rPr>
            </w:pPr>
            <w:r>
              <w:rPr>
                <w:rFonts w:ascii="Courier New" w:cs="Courier New" w:eastAsia="Courier New" w:hAnsi="Courier New"/>
                <w:sz w:val="14"/>
                <w:szCs w:val="14"/>
                <w:color w:val="auto"/>
              </w:rPr>
              <w:t>-6-</w:t>
            </w: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4" w:right="1440" w:bottom="1440" w:gutter="0" w:footer="0" w:header="0"/>
        </w:sectPr>
      </w:pPr>
    </w:p>
    <w:bookmarkStart w:id="6" w:name="page7"/>
    <w:bookmarkEnd w:id="6"/>
    <w:p>
      <w:pPr>
        <w:ind w:right="3279" w:firstLine="781"/>
        <w:spacing w:after="0" w:line="260" w:lineRule="auto"/>
        <w:rPr>
          <w:sz w:val="20"/>
          <w:szCs w:val="20"/>
          <w:color w:val="auto"/>
        </w:rPr>
      </w:pPr>
      <w:r>
        <w:rPr>
          <w:rFonts w:ascii="Courier New" w:cs="Courier New" w:eastAsia="Courier New" w:hAnsi="Courier New"/>
          <w:sz w:val="14"/>
          <w:szCs w:val="14"/>
          <w:color w:val="auto"/>
        </w:rPr>
        <w:t>Product Development. The Company plans to continue introducing additional advanced-feature 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HomeLink(R) mirror. During 2001, the Company announced a revolutionary new proprietary technology, called SmartBeam(((TM))),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 its proprietary intelligent high-beam headlamp control feature, on the Cadillac STS and Jeep Grand Cherokee. During 2005, the Company began shipping auto-dimming mirrors with SmartBeam on the Cadillac DTS, the Jeep Commander, and BMW 5, 6 and 7 Series models.</w:t>
      </w:r>
    </w:p>
    <w:p>
      <w:pPr>
        <w:spacing w:after="0" w:line="255" w:lineRule="exact"/>
        <w:rPr>
          <w:sz w:val="20"/>
          <w:szCs w:val="20"/>
          <w:color w:val="auto"/>
        </w:rPr>
      </w:pPr>
    </w:p>
    <w:p>
      <w:pPr>
        <w:ind w:right="3279" w:firstLine="521"/>
        <w:spacing w:after="0" w:line="295" w:lineRule="auto"/>
        <w:rPr>
          <w:sz w:val="20"/>
          <w:szCs w:val="20"/>
          <w:color w:val="auto"/>
        </w:rPr>
      </w:pPr>
      <w:r>
        <w:rPr>
          <w:rFonts w:ascii="Courier New" w:cs="Courier New" w:eastAsia="Courier New" w:hAnsi="Courier New"/>
          <w:sz w:val="14"/>
          <w:szCs w:val="14"/>
          <w:color w:val="auto"/>
        </w:rPr>
        <w:t>The Company has also developed a new ALS (Active Light Sensor) technology as a cost-effective, improved-performance, intelligent CMOS light sensor to control the dimming of its rearview mirrors, and the Company began making volume shipments of mirrors incorporating ALS in 2002.</w:t>
      </w:r>
    </w:p>
    <w:p>
      <w:pPr>
        <w:spacing w:after="0" w:line="55" w:lineRule="exact"/>
        <w:rPr>
          <w:sz w:val="20"/>
          <w:szCs w:val="20"/>
          <w:color w:val="auto"/>
        </w:rPr>
      </w:pPr>
    </w:p>
    <w:p>
      <w:pPr>
        <w:ind w:right="3379" w:firstLine="521"/>
        <w:spacing w:after="0" w:line="295" w:lineRule="auto"/>
        <w:rPr>
          <w:sz w:val="20"/>
          <w:szCs w:val="20"/>
          <w:color w:val="auto"/>
        </w:rPr>
      </w:pPr>
      <w:r>
        <w:rPr>
          <w:rFonts w:ascii="Courier New" w:cs="Courier New" w:eastAsia="Courier New" w:hAnsi="Courier New"/>
          <w:sz w:val="14"/>
          <w:szCs w:val="14"/>
          <w:color w:val="auto"/>
        </w:rPr>
        <w:t>Also during 2001, the Company developed a new microphone designed specifically for use in the automotive environment for telematics applications. The first volume Gentex microphone application was part of DaimlerChrysler's "U-Connect(R)" telematics system, beginning in 2003.</w:t>
      </w:r>
    </w:p>
    <w:p>
      <w:pPr>
        <w:spacing w:after="0" w:line="55" w:lineRule="exact"/>
        <w:rPr>
          <w:sz w:val="20"/>
          <w:szCs w:val="20"/>
          <w:color w:val="auto"/>
        </w:rPr>
      </w:pPr>
    </w:p>
    <w:p>
      <w:pPr>
        <w:ind w:right="3459" w:firstLine="521"/>
        <w:spacing w:after="0" w:line="285" w:lineRule="auto"/>
        <w:rPr>
          <w:sz w:val="20"/>
          <w:szCs w:val="20"/>
          <w:color w:val="auto"/>
        </w:rPr>
      </w:pPr>
      <w:r>
        <w:rPr>
          <w:rFonts w:ascii="Courier New" w:cs="Courier New" w:eastAsia="Courier New" w:hAnsi="Courier New"/>
          <w:sz w:val="14"/>
          <w:szCs w:val="14"/>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w:t>
      </w:r>
    </w:p>
    <w:p>
      <w:pPr>
        <w:spacing w:after="0" w:line="60" w:lineRule="exact"/>
        <w:rPr>
          <w:sz w:val="20"/>
          <w:szCs w:val="20"/>
          <w:color w:val="auto"/>
        </w:rPr>
      </w:pPr>
    </w:p>
    <w:p>
      <w:pPr>
        <w:ind w:right="3279" w:firstLine="521"/>
        <w:spacing w:after="0" w:line="259" w:lineRule="auto"/>
        <w:rPr>
          <w:sz w:val="20"/>
          <w:szCs w:val="20"/>
          <w:color w:val="auto"/>
        </w:rPr>
      </w:pPr>
      <w:r>
        <w:rPr>
          <w:rFonts w:ascii="Courier New" w:cs="Courier New" w:eastAsia="Courier New" w:hAnsi="Courier New"/>
          <w:sz w:val="14"/>
          <w:szCs w:val="14"/>
          <w:color w:val="auto"/>
        </w:rPr>
        <w:t>The Company's success with electrochromic technology provides an opportunity for other potential commercial applications, which the Company expects to explore in the future when and as the Company feels it is in its best interests to do so. Examples of possible applications of electrochromic technology include windows for both the automotive, architectural and aerospace markets, sunroofs and sunglasses. Progress in adapting electrochromic technology to the specialized requirements of the window market continued in 2005. In December 2005, the Company reached an agreement with PPG Aerospace to work together to provide the variably dimmable windows for the passenger compartment on the new Boeing 787 Dreamliner series of aircraft. Gentex will ship about 100 windows for the passenger compartment of each 787. The Company believes that the commercially variable market is currently limited to aerospace. Based on Boeing's production schedule, the value of this initial contract is worth approximately $50 million over the first five years once volume production begins, with the majority of that revenue attributable to Gentex under the Company's agreement with PPG Aerospace. The Company began shipping prototypes early in 2006, and volume production is expected to begin during the second half of 2007. However, we believe that a commercial architectural window product will require several years of additional engineering and intellectual property development work.</w:t>
      </w:r>
    </w:p>
    <w:p>
      <w:pPr>
        <w:spacing w:after="0" w:line="253" w:lineRule="exact"/>
        <w:rPr>
          <w:sz w:val="20"/>
          <w:szCs w:val="20"/>
          <w:color w:val="auto"/>
        </w:rPr>
      </w:pPr>
    </w:p>
    <w:p>
      <w:pPr>
        <w:ind w:right="3279" w:firstLine="521"/>
        <w:spacing w:after="0" w:line="259" w:lineRule="auto"/>
        <w:rPr>
          <w:sz w:val="20"/>
          <w:szCs w:val="20"/>
          <w:color w:val="auto"/>
        </w:rPr>
      </w:pPr>
      <w:r>
        <w:rPr>
          <w:rFonts w:ascii="Courier New" w:cs="Courier New" w:eastAsia="Courier New" w:hAnsi="Courier New"/>
          <w:sz w:val="14"/>
          <w:szCs w:val="14"/>
          <w:color w:val="auto"/>
        </w:rPr>
        <w:t>Markets and Marketing. In North America, the Company markets its products primarily through a direct sales force. The Company generally supplies auto-dimming mirrors to its customers worldwide under annual blanket purchase orders. The Company currently supplies auto-dimming mirrors to General Motors Corporation and DaimlerChrysler AG under long-term agreements. During 2005, the Company negotiated an extension to its long-term agreement for inside mirrors with General Motors in the ordinary course of the Company's business. Under the extension, Gentex will be sourced virtually all of the interior auto-dimming rearview mirror programs for GM and its worldwide affiliates through August 2009, except for two low-volume models that had previously been awarded to a Gentex competitor under a lifetime contract. The new business includes the GMT360 program (which is the mid-size truck/SUV platform that previously did not offer auto-dimming mirrors). All but the two previously mentioned GM programs will be transferred to Gentex expeditiously but no later than the 2007 model year. At the time of the agreement, this new business was estimated to represent incremental auto-dimming mirror units in the range of 500,000 on an annualized basis.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25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4" w:right="1440" w:bottom="1440" w:gutter="0" w:footer="0" w:header="0"/>
        </w:sectPr>
      </w:pPr>
    </w:p>
    <w:bookmarkStart w:id="7" w:name="page8"/>
    <w:bookmarkEnd w:id="7"/>
    <w:p>
      <w:pPr>
        <w:ind w:right="3279" w:firstLine="521"/>
        <w:spacing w:after="0" w:line="278" w:lineRule="auto"/>
        <w:rPr>
          <w:sz w:val="20"/>
          <w:szCs w:val="20"/>
          <w:color w:val="auto"/>
        </w:rPr>
      </w:pPr>
      <w:r>
        <w:rPr>
          <w:rFonts w:ascii="Courier New" w:cs="Courier New" w:eastAsia="Courier New" w:hAnsi="Courier New"/>
          <w:sz w:val="14"/>
          <w:szCs w:val="14"/>
          <w:color w:val="auto"/>
        </w:rPr>
        <w:t>Also during 2005, the Company negotiated a three-year extension to its long-term agreement with DaimlerChrysler AG in the ordinary course of the Company's business. Under the extension, the Company will be sourced virtually all interior and exterior auto-dimming mirror business at Mercedes and Chrysler through December 2009. The Company's exterior auto-dimming mirror sub-assemblies are supplied by means of sales to exterior mirror suppliers.</w:t>
      </w:r>
    </w:p>
    <w:p>
      <w:pPr>
        <w:spacing w:after="0" w:line="66" w:lineRule="exact"/>
        <w:rPr>
          <w:sz w:val="20"/>
          <w:szCs w:val="20"/>
          <w:color w:val="auto"/>
        </w:rPr>
      </w:pPr>
    </w:p>
    <w:p>
      <w:pPr>
        <w:ind w:right="3279" w:firstLine="521"/>
        <w:spacing w:after="0" w:line="262"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and during 2005, the Company established a satellite office in Sweden. The Company's marketing efforts in Europe are conducted through Gentex GmbH, Gentex Mirrors, Ltd., and Gentex France SAS, with limited assistance from independent manufacturers' representatives. The Company is currently supplying mirrors for Audi, Bavarian Motor Works, A.G. (BMW), Bentley, Citroen, Fiat, Jaguar, Land Rover, MG Rover, Mercedes-Benz, Opel, Peugeot, Rolls Royce, SEAT, Skoda, Volkswagen and Volvo in Europe.</w:t>
      </w:r>
    </w:p>
    <w:p>
      <w:pPr>
        <w:spacing w:after="0" w:line="80" w:lineRule="exact"/>
        <w:rPr>
          <w:sz w:val="20"/>
          <w:szCs w:val="20"/>
          <w:color w:val="auto"/>
        </w:rPr>
      </w:pPr>
    </w:p>
    <w:p>
      <w:pPr>
        <w:ind w:right="3279" w:firstLine="521"/>
        <w:spacing w:after="0" w:line="271" w:lineRule="auto"/>
        <w:rPr>
          <w:sz w:val="20"/>
          <w:szCs w:val="20"/>
          <w:color w:val="auto"/>
        </w:rPr>
      </w:pPr>
      <w:r>
        <w:rPr>
          <w:rFonts w:ascii="Courier New" w:cs="Courier New" w:eastAsia="Courier New" w:hAnsi="Courier New"/>
          <w:sz w:val="14"/>
          <w:szCs w:val="14"/>
          <w:color w:val="auto"/>
        </w:rPr>
        <w:t>In 1991, the Company began shipping electrochromic mirror assemblies for Nissan Motor Co., Ltd. under a reciprocal distribution agreement with Ichikoh Industries, Ltd. (Ichikoh), a major Japanese supplier of automotive products. Under this agreement, Ichikoh marketed the Company's automatic mirrors to certain Japanese automakers and their subsidiaries with manufacturing facilities in Asia. The arrangement involved very limited technology transfer by the Company and did not include the Company's proprietary electrochromic gel formulation. The agreement was terminated by mutual agreement in 2001.</w:t>
      </w:r>
    </w:p>
    <w:p>
      <w:pPr>
        <w:spacing w:after="0" w:line="70" w:lineRule="exact"/>
        <w:rPr>
          <w:sz w:val="20"/>
          <w:szCs w:val="20"/>
          <w:color w:val="auto"/>
        </w:rPr>
      </w:pPr>
    </w:p>
    <w:p>
      <w:pPr>
        <w:ind w:right="3279" w:firstLine="521"/>
        <w:spacing w:after="0" w:line="263" w:lineRule="auto"/>
        <w:rPr>
          <w:sz w:val="20"/>
          <w:szCs w:val="20"/>
          <w:color w:val="auto"/>
        </w:rPr>
      </w:pPr>
      <w:r>
        <w:rPr>
          <w:rFonts w:ascii="Courier New" w:cs="Courier New" w:eastAsia="Courier New" w:hAnsi="Courier New"/>
          <w:sz w:val="14"/>
          <w:szCs w:val="14"/>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2002, the Company established Gentex Technologies Korea Co., Ltd. as a sales and engineering office in Seoul, Korea. During 2004, the Company established a satellite office in Yokohama, Japan. During 2005, the Company began opening a sales and engineering office near Shanghai, China. The Company is currently supplying mirrors for Daewoo/Ssangyong, Ford, GM, Honda, Hyundai, Infiniti, Kia Motors, Lexus, Mazda, Mitsubishi, Nissan, Samsung and Toyota in Asia.</w:t>
      </w:r>
    </w:p>
    <w:p>
      <w:pPr>
        <w:spacing w:after="0" w:line="77" w:lineRule="exact"/>
        <w:rPr>
          <w:sz w:val="20"/>
          <w:szCs w:val="20"/>
          <w:color w:val="auto"/>
        </w:rPr>
      </w:pPr>
    </w:p>
    <w:p>
      <w:pPr>
        <w:ind w:right="3279" w:firstLine="521"/>
        <w:spacing w:after="0" w:line="265"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becomes more well-known and acceptance grows.</w:t>
      </w:r>
    </w:p>
    <w:p>
      <w:pPr>
        <w:spacing w:after="0" w:line="77" w:lineRule="exact"/>
        <w:rPr>
          <w:sz w:val="20"/>
          <w:szCs w:val="20"/>
          <w:color w:val="auto"/>
        </w:rPr>
      </w:pPr>
    </w:p>
    <w:p>
      <w:pPr>
        <w:ind w:right="3279" w:firstLine="521"/>
        <w:spacing w:after="0" w:line="278" w:lineRule="auto"/>
        <w:rPr>
          <w:sz w:val="20"/>
          <w:szCs w:val="20"/>
          <w:color w:val="auto"/>
        </w:rPr>
      </w:pPr>
      <w:r>
        <w:rPr>
          <w:rFonts w:ascii="Courier New" w:cs="Courier New" w:eastAsia="Courier New" w:hAnsi="Courier New"/>
          <w:sz w:val="14"/>
          <w:szCs w:val="14"/>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It is management's belief that these sales have limited potential until the Company achieves a significantly higher penetration of the original equipment manufacturing market.</w:t>
      </w:r>
    </w:p>
    <w:p>
      <w:pPr>
        <w:spacing w:after="0" w:line="66" w:lineRule="exact"/>
        <w:rPr>
          <w:sz w:val="20"/>
          <w:szCs w:val="20"/>
          <w:color w:val="auto"/>
        </w:rPr>
      </w:pPr>
    </w:p>
    <w:p>
      <w:pPr>
        <w:ind w:right="3379" w:firstLine="521"/>
        <w:spacing w:after="0" w:line="267" w:lineRule="auto"/>
        <w:rPr>
          <w:sz w:val="20"/>
          <w:szCs w:val="20"/>
          <w:color w:val="auto"/>
        </w:rPr>
      </w:pPr>
      <w:r>
        <w:rPr>
          <w:rFonts w:ascii="Courier New" w:cs="Courier New" w:eastAsia="Courier New" w:hAnsi="Courier New"/>
          <w:sz w:val="14"/>
          <w:szCs w:val="14"/>
          <w:color w:val="auto"/>
        </w:rPr>
        <w:t>Competition. Gentex is the leading producer of auto-dimming rearview mirrors in the world and currently is the dominant supplier to the automotive industry with an approximate 80% market share worldwide in 2005, as compared to an approximately 78% in 2004. While the Company believes it will retain a dominant position, one other U.S. manufacturer (Magna Donnelly Mirror Systems)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4" w:right="1440" w:bottom="1440" w:gutter="0" w:footer="0" w:header="0"/>
        </w:sectPr>
      </w:pPr>
    </w:p>
    <w:bookmarkStart w:id="8" w:name="page9"/>
    <w:bookmarkEnd w:id="8"/>
    <w:p>
      <w:pPr>
        <w:ind w:right="3279" w:firstLine="521"/>
        <w:spacing w:after="0" w:line="285" w:lineRule="auto"/>
        <w:rPr>
          <w:sz w:val="20"/>
          <w:szCs w:val="20"/>
          <w:color w:val="auto"/>
        </w:rPr>
      </w:pPr>
      <w:r>
        <w:rPr>
          <w:rFonts w:ascii="Courier New" w:cs="Courier New" w:eastAsia="Courier New" w:hAnsi="Courier New"/>
          <w:sz w:val="14"/>
          <w:szCs w:val="14"/>
          <w:color w:val="auto"/>
        </w:rPr>
        <w:t>On October 1, 2002, Magna International acquired Donnelly Corporation, which was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60" w:lineRule="exact"/>
        <w:rPr>
          <w:sz w:val="20"/>
          <w:szCs w:val="20"/>
          <w:color w:val="auto"/>
        </w:rPr>
      </w:pPr>
    </w:p>
    <w:p>
      <w:pPr>
        <w:ind w:right="3459" w:firstLine="521"/>
        <w:spacing w:after="0" w:line="274" w:lineRule="auto"/>
        <w:rPr>
          <w:sz w:val="20"/>
          <w:szCs w:val="20"/>
          <w:color w:val="auto"/>
        </w:rPr>
      </w:pPr>
      <w:r>
        <w:rPr>
          <w:rFonts w:ascii="Courier New" w:cs="Courier New" w:eastAsia="Courier New" w:hAnsi="Courier New"/>
          <w:sz w:val="14"/>
          <w:szCs w:val="14"/>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has not yet been determined.</w:t>
      </w:r>
    </w:p>
    <w:p>
      <w:pPr>
        <w:spacing w:after="0" w:line="68" w:lineRule="exact"/>
        <w:rPr>
          <w:sz w:val="20"/>
          <w:szCs w:val="20"/>
          <w:color w:val="auto"/>
        </w:rPr>
      </w:pPr>
    </w:p>
    <w:p>
      <w:pPr>
        <w:ind w:right="3379" w:firstLine="521"/>
        <w:spacing w:after="0" w:line="274" w:lineRule="auto"/>
        <w:rPr>
          <w:sz w:val="20"/>
          <w:szCs w:val="20"/>
          <w:color w:val="auto"/>
        </w:rPr>
      </w:pPr>
      <w:r>
        <w:rPr>
          <w:rFonts w:ascii="Courier New" w:cs="Courier New" w:eastAsia="Courier New" w:hAnsi="Courier New"/>
          <w:sz w:val="14"/>
          <w:szCs w:val="14"/>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PROTECTION PRODUCTS</w:t>
      </w:r>
    </w:p>
    <w:p>
      <w:pPr>
        <w:spacing w:after="0" w:line="175" w:lineRule="exact"/>
        <w:rPr>
          <w:sz w:val="20"/>
          <w:szCs w:val="20"/>
          <w:color w:val="auto"/>
        </w:rPr>
      </w:pPr>
    </w:p>
    <w:p>
      <w:pPr>
        <w:ind w:right="3279" w:firstLine="521"/>
        <w:spacing w:after="0" w:line="260" w:lineRule="auto"/>
        <w:rPr>
          <w:sz w:val="20"/>
          <w:szCs w:val="20"/>
          <w:color w:val="auto"/>
        </w:rPr>
      </w:pPr>
      <w:r>
        <w:rPr>
          <w:rFonts w:ascii="Courier New" w:cs="Courier New" w:eastAsia="Courier New" w:hAnsi="Courier New"/>
          <w:sz w:val="14"/>
          <w:szCs w:val="14"/>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255" w:lineRule="exact"/>
        <w:rPr>
          <w:sz w:val="20"/>
          <w:szCs w:val="20"/>
          <w:color w:val="auto"/>
        </w:rPr>
      </w:pPr>
    </w:p>
    <w:p>
      <w:pPr>
        <w:ind w:right="3279" w:firstLine="521"/>
        <w:spacing w:after="0" w:line="267"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72"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In 2005, the Company received Underwriters Laboratory (UL) listing on a new series of commercial residential smoke alarms. The Company feels this new product will fit well into new markets and customers. The new series of smoke alarms consists of four models and will be electrically powered or electrically powered with battery back-up.</w:t>
      </w:r>
    </w:p>
    <w:p>
      <w:pPr>
        <w:spacing w:after="0" w:line="60" w:lineRule="exact"/>
        <w:rPr>
          <w:sz w:val="20"/>
          <w:szCs w:val="20"/>
          <w:color w:val="auto"/>
        </w:rPr>
      </w:pPr>
    </w:p>
    <w:p>
      <w:pPr>
        <w:ind w:right="3539" w:firstLine="521"/>
        <w:spacing w:after="0" w:line="317" w:lineRule="auto"/>
        <w:rPr>
          <w:sz w:val="20"/>
          <w:szCs w:val="20"/>
          <w:color w:val="auto"/>
        </w:rPr>
      </w:pPr>
      <w:r>
        <w:rPr>
          <w:rFonts w:ascii="Courier New" w:cs="Courier New" w:eastAsia="Courier New" w:hAnsi="Courier New"/>
          <w:sz w:val="14"/>
          <w:szCs w:val="14"/>
          <w:color w:val="auto"/>
        </w:rPr>
        <w:t>Also in 2005, the Company received UL listing for a new line of speaker strobes for commercial occupancies. The new speaker series will meet the requirements found on the national codes.</w:t>
      </w:r>
    </w:p>
    <w:p>
      <w:pPr>
        <w:spacing w:after="0" w:line="39" w:lineRule="exact"/>
        <w:rPr>
          <w:sz w:val="20"/>
          <w:szCs w:val="20"/>
          <w:color w:val="auto"/>
        </w:rPr>
      </w:pPr>
    </w:p>
    <w:p>
      <w:pPr>
        <w:ind w:right="3279" w:firstLine="521"/>
        <w:spacing w:after="0" w:line="271"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fire protection and security industries have experienced a significant number of mergers and consolidations during the past few years. The Company markets its fire protection products throughout the United States through regional sales managers and manufacturer representative organizations.</w:t>
      </w:r>
    </w:p>
    <w:p>
      <w:pPr>
        <w:spacing w:after="0" w:line="70"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appliance markets. The Company estimates that it competes principally with eleven manufacturers of smoke detection products for</w:t>
      </w:r>
    </w:p>
    <w:p>
      <w:pPr>
        <w:spacing w:after="0" w:line="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4" w:right="1440" w:bottom="1440" w:gutter="0" w:footer="0" w:header="0"/>
        </w:sectPr>
      </w:pPr>
    </w:p>
    <w:bookmarkStart w:id="9" w:name="page10"/>
    <w:bookmarkEnd w:id="9"/>
    <w:p>
      <w:pPr>
        <w:ind w:right="3459"/>
        <w:spacing w:after="0" w:line="271" w:lineRule="auto"/>
        <w:rPr>
          <w:sz w:val="20"/>
          <w:szCs w:val="20"/>
          <w:color w:val="auto"/>
        </w:rPr>
      </w:pPr>
      <w:r>
        <w:rPr>
          <w:rFonts w:ascii="Courier New" w:cs="Courier New" w:eastAsia="Courier New" w:hAnsi="Courier New"/>
          <w:sz w:val="14"/>
          <w:szCs w:val="14"/>
          <w:color w:val="auto"/>
        </w:rPr>
        <w:t>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5" w:lineRule="exact"/>
        <w:rPr>
          <w:sz w:val="20"/>
          <w:szCs w:val="20"/>
          <w:color w:val="auto"/>
        </w:rPr>
      </w:pPr>
    </w:p>
    <w:p>
      <w:pPr>
        <w:ind w:right="3459" w:firstLine="521"/>
        <w:spacing w:after="0" w:line="278" w:lineRule="auto"/>
        <w:rPr>
          <w:sz w:val="20"/>
          <w:szCs w:val="20"/>
          <w:color w:val="auto"/>
        </w:rPr>
      </w:pPr>
      <w:r>
        <w:rPr>
          <w:rFonts w:ascii="Courier New" w:cs="Courier New" w:eastAsia="Courier New" w:hAnsi="Courier New"/>
          <w:sz w:val="14"/>
          <w:szCs w:val="14"/>
          <w:color w:val="auto"/>
        </w:rPr>
        <w:t>The Company owns 11 U.S. trademarks and 250 U.S. patents, 241 of which relate to electrochromic technology, automotive rearview mirrors and/or sensor/LED technology. These patents expire between 2007 and 2024. The Company believes that these patents provide the Company a significant competitive advantage in the automotive rearview mirror market; however, none of these patents individually is required for the success of the Company's products.</w:t>
      </w:r>
    </w:p>
    <w:p>
      <w:pPr>
        <w:spacing w:after="0" w:line="66"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The Company also owns 13 foreign trademarks and 69 foreign patents, 68 of which relate to automotive rearview mirrors. These patents expire at various times between 2007 and 2021. The Company believes that the competitive advantage derived in the relevant foreign markets for these patents is comparable to that experienced in the U.S. market.</w:t>
      </w:r>
    </w:p>
    <w:p>
      <w:pPr>
        <w:spacing w:after="0" w:line="60" w:lineRule="exact"/>
        <w:rPr>
          <w:sz w:val="20"/>
          <w:szCs w:val="20"/>
          <w:color w:val="auto"/>
        </w:rPr>
      </w:pPr>
    </w:p>
    <w:p>
      <w:pPr>
        <w:ind w:right="3379" w:firstLine="521"/>
        <w:spacing w:after="0" w:line="317" w:lineRule="auto"/>
        <w:rPr>
          <w:sz w:val="20"/>
          <w:szCs w:val="20"/>
          <w:color w:val="auto"/>
        </w:rPr>
      </w:pPr>
      <w:r>
        <w:rPr>
          <w:rFonts w:ascii="Courier New" w:cs="Courier New" w:eastAsia="Courier New" w:hAnsi="Courier New"/>
          <w:sz w:val="14"/>
          <w:szCs w:val="14"/>
          <w:color w:val="auto"/>
        </w:rPr>
        <w:t>The Company's remaining 9 U.S. patents and 1 foreign patent relate to the Company's fire protection products, and the Company believes that the competitive advantage provided by these patents is relatively small.</w:t>
      </w:r>
    </w:p>
    <w:p>
      <w:pPr>
        <w:spacing w:after="0" w:line="39"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The Company also has in process 132 U.S. patent applications, 310 foreign patent applications, and 19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firstLine="521"/>
        <w:spacing w:after="0" w:line="268" w:lineRule="auto"/>
        <w:rPr>
          <w:sz w:val="20"/>
          <w:szCs w:val="20"/>
          <w:color w:val="auto"/>
        </w:rPr>
      </w:pPr>
      <w:r>
        <w:rPr>
          <w:rFonts w:ascii="Courier New" w:cs="Courier New" w:eastAsia="Courier New" w:hAnsi="Courier New"/>
          <w:sz w:val="14"/>
          <w:szCs w:val="14"/>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four of which each account for 10% or more of the Company's annual sales: General Motors Corporation, Toyota Motor Corporation, DaimlerChrysler AG, and BMW. The loss of any of these customers could have a material adverse effect on the Company. The Company's backlog of unshipped orders was $151,334,000 and $132,966,000 at February 1, 2006, and 2005, respectively.</w:t>
      </w:r>
    </w:p>
    <w:p>
      <w:pPr>
        <w:spacing w:after="0" w:line="75" w:lineRule="exact"/>
        <w:rPr>
          <w:sz w:val="20"/>
          <w:szCs w:val="20"/>
          <w:color w:val="auto"/>
        </w:rPr>
      </w:pPr>
    </w:p>
    <w:p>
      <w:pPr>
        <w:ind w:right="3539" w:firstLine="521"/>
        <w:spacing w:after="0" w:line="295" w:lineRule="auto"/>
        <w:rPr>
          <w:sz w:val="20"/>
          <w:szCs w:val="20"/>
          <w:color w:val="auto"/>
        </w:rPr>
      </w:pPr>
      <w:r>
        <w:rPr>
          <w:rFonts w:ascii="Courier New" w:cs="Courier New" w:eastAsia="Courier New" w:hAnsi="Courier New"/>
          <w:sz w:val="14"/>
          <w:szCs w:val="14"/>
          <w:color w:val="auto"/>
        </w:rPr>
        <w:t>At February 1, 2006, the Company had 2,264 full-time employees. None of the Company's employees are represented by a labor union or other collective bargaining representative. The Company believes that its relations with its employees are good.</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 RISK FACTORS</w:t>
      </w:r>
    </w:p>
    <w:p>
      <w:pPr>
        <w:spacing w:after="0" w:line="175" w:lineRule="exact"/>
        <w:rPr>
          <w:sz w:val="20"/>
          <w:szCs w:val="20"/>
          <w:color w:val="auto"/>
        </w:rPr>
      </w:pPr>
    </w:p>
    <w:p>
      <w:pPr>
        <w:ind w:right="3279" w:firstLine="521"/>
        <w:spacing w:after="0" w:line="258" w:lineRule="auto"/>
        <w:rPr>
          <w:sz w:val="20"/>
          <w:szCs w:val="20"/>
          <w:color w:val="auto"/>
        </w:rPr>
      </w:pPr>
      <w:r>
        <w:rPr>
          <w:rFonts w:ascii="Courier New" w:cs="Courier New" w:eastAsia="Courier New" w:hAnsi="Courier New"/>
          <w:sz w:val="14"/>
          <w:szCs w:val="14"/>
          <w:color w:val="auto"/>
        </w:rPr>
        <w:t>Safe Harbor for Forward-Looking Statements. This Annual Report on Form 10-K contains forward-looking statements within the meaning of Section 27A of the Securities Act of 1933, as amended, and Section 21E of the Securities Exchange Act, as amended, that are based on management's belief, assumptions, current expectations, estimates and projections about the global automotive industry, the economy and the Company itself. Words like "anticipates," "believes," "confident," "estimates," "expects," "forecast," "likely," "plans," "projects," and "should," and variations of such words and similar expressions identify forward-looking statements (e.g. unit shipment growth estimates and maintenance of the Company's market share). These statements do not guarantee future performance and involve certain risks, uncertainties, and assumptions that are difficult to predict with regard to timing, expense, likelihood and degree of occurrence. These risks include, without limitation, employment and general economic conditions, the pace of economic recovery in the U.S. and in international markets, the pace of automotive production worldwide, the types of products purchased by customers, competitive pricing pressures, currency fluctuations, the financial strength of the Company's customers, the mix of products purchased by customers, the ability to continue to make product innovations, the success of certain products, and other risks and uncertainties described herein. Therefore actual results and outcomes may materially differ from what is expressed or forecasted. Furthermore, the Company undertakes no obligation to update, amend, or clarify forward-looking statements, whether as a result of new information, future events, or otherwise.</w:t>
      </w:r>
    </w:p>
    <w:p>
      <w:pPr>
        <w:spacing w:after="0" w:line="2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4" w:right="1440" w:bottom="1440" w:gutter="0" w:footer="0" w:header="0"/>
        </w:sectPr>
      </w:pPr>
    </w:p>
    <w:bookmarkStart w:id="10" w:name="page11"/>
    <w:bookmarkEnd w:id="10"/>
    <w:p>
      <w:pPr>
        <w:ind w:right="3459" w:firstLine="521"/>
        <w:spacing w:after="0" w:line="378" w:lineRule="auto"/>
        <w:rPr>
          <w:sz w:val="20"/>
          <w:szCs w:val="20"/>
          <w:color w:val="auto"/>
        </w:rPr>
      </w:pPr>
      <w:r>
        <w:rPr>
          <w:rFonts w:ascii="Courier New" w:cs="Courier New" w:eastAsia="Courier New" w:hAnsi="Courier New"/>
          <w:sz w:val="14"/>
          <w:szCs w:val="14"/>
          <w:color w:val="auto"/>
        </w:rPr>
        <w:t>The following risk factors, together with all other information provided in this Annual Report on Form 10-K, should be carefully considered.</w:t>
      </w:r>
    </w:p>
    <w:p>
      <w:pPr>
        <w:spacing w:after="0" w:line="1" w:lineRule="exact"/>
        <w:rPr>
          <w:sz w:val="20"/>
          <w:szCs w:val="20"/>
          <w:color w:val="auto"/>
        </w:rPr>
      </w:pPr>
    </w:p>
    <w:p>
      <w:pPr>
        <w:ind w:right="3279" w:firstLine="521"/>
        <w:spacing w:after="0" w:line="265" w:lineRule="auto"/>
        <w:rPr>
          <w:sz w:val="20"/>
          <w:szCs w:val="20"/>
          <w:color w:val="auto"/>
        </w:rPr>
      </w:pPr>
      <w:r>
        <w:rPr>
          <w:rFonts w:ascii="Courier New" w:cs="Courier New" w:eastAsia="Courier New" w:hAnsi="Courier New"/>
          <w:sz w:val="14"/>
          <w:szCs w:val="14"/>
          <w:color w:val="auto"/>
        </w:rPr>
        <w:t>Automotive Industry. 96% of our net sales are to customers within the automotive industry. Supplying products to the automotive industry involves increasing financial and production stresses due to continuing pricing pressures, lower domestic production levels, overcapacity, supplier bankruptcies, and commodity material cost increases. Automakers are experiencing increased volatility and uncertainty in executing planned new programs which have, in some cases, resulted in cancellation or delays of new vehicle platforms, package reconfigurations and inaccurate volume forecasts. This increased volatility and uncertainty has made it more difficult for us to forecast future sales and effectively utilize capital, engineering, research and development, and human resource investments.</w:t>
      </w:r>
    </w:p>
    <w:p>
      <w:pPr>
        <w:spacing w:after="0" w:line="77" w:lineRule="exact"/>
        <w:rPr>
          <w:sz w:val="20"/>
          <w:szCs w:val="20"/>
          <w:color w:val="auto"/>
        </w:rPr>
      </w:pPr>
    </w:p>
    <w:p>
      <w:pPr>
        <w:ind w:right="3279" w:firstLine="521"/>
        <w:spacing w:after="0" w:line="267" w:lineRule="auto"/>
        <w:rPr>
          <w:sz w:val="20"/>
          <w:szCs w:val="20"/>
          <w:color w:val="auto"/>
        </w:rPr>
      </w:pPr>
      <w:r>
        <w:rPr>
          <w:rFonts w:ascii="Courier New" w:cs="Courier New" w:eastAsia="Courier New" w:hAnsi="Courier New"/>
          <w:sz w:val="14"/>
          <w:szCs w:val="14"/>
          <w:color w:val="auto"/>
        </w:rPr>
        <w:t>Key Customers. We have a few large customers, including four customers which each account for 10% or more of our annual net sales - General Motors Corporation, Toyota Motor Corporation, DaimlerChrysler AG and BMW. The loss of all or a substantial portion of the sales to any of these customers would have a material adverse effect on our sales, margins, profitability and, as a result, our share price. Effective October 1, 2003, General Motors Corporation, our largest customer, began including a 30-day escape clause into its contracts in the event its suppliers are not competitive on pricing. Effective January 1, 2004, Ford Motor Company began imposing new contract terms, including the right to terminate a supplier contract for any or no reason, etc.</w:t>
      </w:r>
    </w:p>
    <w:p>
      <w:pPr>
        <w:spacing w:after="0" w:line="72" w:lineRule="exact"/>
        <w:rPr>
          <w:sz w:val="20"/>
          <w:szCs w:val="20"/>
          <w:color w:val="auto"/>
        </w:rPr>
      </w:pPr>
    </w:p>
    <w:p>
      <w:pPr>
        <w:ind w:right="3279" w:firstLine="521"/>
        <w:spacing w:after="0" w:line="265" w:lineRule="auto"/>
        <w:rPr>
          <w:sz w:val="20"/>
          <w:szCs w:val="20"/>
          <w:color w:val="auto"/>
        </w:rPr>
      </w:pPr>
      <w:r>
        <w:rPr>
          <w:rFonts w:ascii="Courier New" w:cs="Courier New" w:eastAsia="Courier New" w:hAnsi="Courier New"/>
          <w:sz w:val="14"/>
          <w:szCs w:val="14"/>
          <w:color w:val="auto"/>
        </w:rPr>
        <w:t>Pricing Pressures. In addition to price reductions over the life of its long-term agreements, we continue to experience pricing pressures from our automotive customers and competitors, which have affected, and which will continue to affect our margins to the extent that we are unable to offset the price reductions with productivity and manufacturing yield improvements, engineering and purchasing cost reductions, and increases in sales volume. In addition, profit pressures at certain automakers are resulting in increased cost reduction efforts by them, including requests for additional price reductions, decontenting certain features from vehicles, and warranty cost-sharing programs, any of which could adversely impact our sales growth, margins, profitability and , as a result, our share price.</w:t>
      </w:r>
    </w:p>
    <w:p>
      <w:pPr>
        <w:spacing w:after="0" w:line="77"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Credit Risk. In light of the financial stresses within the worldwide automotive industry, certain automakers and tier one mirror customers have already declared bankruptcy or may be considering bankruptcy. Should one or more of our larger customers declare bankruptcy, it could adversely impact the collectibility of our accounts receivable, bad debt expense and net income.</w:t>
      </w:r>
    </w:p>
    <w:p>
      <w:pPr>
        <w:spacing w:after="0" w:line="60"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Supply Chain Disruptions. Due to the just-in-time supply chains within the automotive industry, a disruption in a supply chain caused by an unrelated supplier due to bankruptcy, work stoppages, strikes, etc. could disrupt our shipments to one or more automaker customers, which could adversely affect our sales, margins, profitability and, as a result, our share price.</w:t>
      </w:r>
    </w:p>
    <w:p>
      <w:pPr>
        <w:spacing w:after="0" w:line="60"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Competition. We recognize that Magna Donnelly, our main competitor and wholly-owned subsidiary of Magna International, is considerably larger than the Company and may present a more formidable competitive threat in the future. Our future growth and success will depend on the ability to compete in our highly competitive markets.</w:t>
      </w:r>
    </w:p>
    <w:p>
      <w:pPr>
        <w:spacing w:after="0" w:line="60" w:lineRule="exact"/>
        <w:rPr>
          <w:sz w:val="20"/>
          <w:szCs w:val="20"/>
          <w:color w:val="auto"/>
        </w:rPr>
      </w:pPr>
    </w:p>
    <w:p>
      <w:pPr>
        <w:ind w:right="3279" w:firstLine="521"/>
        <w:spacing w:after="0" w:line="295" w:lineRule="auto"/>
        <w:rPr>
          <w:sz w:val="20"/>
          <w:szCs w:val="20"/>
          <w:color w:val="auto"/>
        </w:rPr>
      </w:pPr>
      <w:r>
        <w:rPr>
          <w:rFonts w:ascii="Courier New" w:cs="Courier New" w:eastAsia="Courier New" w:hAnsi="Courier New"/>
          <w:sz w:val="14"/>
          <w:szCs w:val="14"/>
          <w:color w:val="auto"/>
        </w:rPr>
        <w:t>New Technology and Product Development. We continue to invest a significant portion of our annual sales in engineering, research and development projects. Should these efforts ultimately prove unsuccessful, our sales, net income and, as a result, our share price will be adversely affected.</w:t>
      </w:r>
    </w:p>
    <w:p>
      <w:pPr>
        <w:spacing w:after="0" w:line="55" w:lineRule="exact"/>
        <w:rPr>
          <w:sz w:val="20"/>
          <w:szCs w:val="20"/>
          <w:color w:val="auto"/>
        </w:rPr>
      </w:pPr>
    </w:p>
    <w:p>
      <w:pPr>
        <w:ind w:right="3279" w:firstLine="521"/>
        <w:spacing w:after="0" w:line="288" w:lineRule="auto"/>
        <w:rPr>
          <w:sz w:val="20"/>
          <w:szCs w:val="20"/>
          <w:color w:val="auto"/>
        </w:rPr>
      </w:pPr>
      <w:r>
        <w:rPr>
          <w:rFonts w:ascii="Courier New" w:cs="Courier New" w:eastAsia="Courier New" w:hAnsi="Courier New"/>
          <w:sz w:val="14"/>
          <w:szCs w:val="14"/>
          <w:color w:val="auto"/>
        </w:rPr>
        <w:t>Intellectual Property. We believe that our patents and trade secrets provide us with a significant competitive advantage in automotive rearview mirrors. The loss of any significant combination of patents and trade secrets could adversely affect our sales, margins, profitability and, as a result, share price.</w:t>
      </w:r>
    </w:p>
    <w:p>
      <w:pPr>
        <w:spacing w:after="0" w:line="240" w:lineRule="exact"/>
        <w:rPr>
          <w:sz w:val="20"/>
          <w:szCs w:val="20"/>
          <w:color w:val="auto"/>
        </w:rPr>
      </w:pPr>
    </w:p>
    <w:p>
      <w:pPr>
        <w:ind w:right="3639" w:firstLine="521"/>
        <w:spacing w:after="0" w:line="378" w:lineRule="auto"/>
        <w:rPr>
          <w:sz w:val="20"/>
          <w:szCs w:val="20"/>
          <w:color w:val="auto"/>
        </w:rPr>
      </w:pPr>
      <w:r>
        <w:rPr>
          <w:rFonts w:ascii="Courier New" w:cs="Courier New" w:eastAsia="Courier New" w:hAnsi="Courier New"/>
          <w:sz w:val="14"/>
          <w:szCs w:val="14"/>
          <w:color w:val="auto"/>
        </w:rPr>
        <w:t>Other. Other issues and uncertainties which could adversely impact our sales, margins, profitability and, as a result, our share price include:</w:t>
      </w:r>
    </w:p>
    <w:p>
      <w:pPr>
        <w:spacing w:after="0" w:line="1" w:lineRule="exact"/>
        <w:rPr>
          <w:sz w:val="20"/>
          <w:szCs w:val="20"/>
          <w:color w:val="auto"/>
        </w:rPr>
      </w:pPr>
    </w:p>
    <w:p>
      <w:pPr>
        <w:jc w:val="both"/>
        <w:ind w:left="800" w:right="3379" w:hanging="531"/>
        <w:spacing w:after="0" w:line="317"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worldwide economic conditions, currency exchange rates, war or significant terrorist acts, which could affect worldwide automotive sales and production levels.</w:t>
      </w:r>
    </w:p>
    <w:p>
      <w:pPr>
        <w:spacing w:after="0" w:line="39" w:lineRule="exact"/>
        <w:rPr>
          <w:rFonts w:ascii="Courier New" w:cs="Courier New" w:eastAsia="Courier New" w:hAnsi="Courier New"/>
          <w:sz w:val="14"/>
          <w:szCs w:val="14"/>
          <w:color w:val="auto"/>
        </w:rPr>
      </w:pPr>
    </w:p>
    <w:p>
      <w:pPr>
        <w:ind w:left="800" w:right="3379" w:hanging="531"/>
        <w:spacing w:after="0" w:line="317"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commodity prices of the materials used in our products. We continue to experience some pressure for select raw material cost increases.</w:t>
      </w:r>
    </w:p>
    <w:p>
      <w:pPr>
        <w:spacing w:after="0" w:line="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4" w:right="1440" w:bottom="1440" w:gutter="0" w:footer="0" w:header="0"/>
        </w:sectPr>
      </w:pPr>
    </w:p>
    <w:bookmarkStart w:id="11" w:name="page12"/>
    <w:bookmarkEnd w:id="11"/>
    <w:p>
      <w:pPr>
        <w:ind w:left="800" w:right="3379" w:hanging="531"/>
        <w:spacing w:after="0" w:line="285"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attract or retain key employees to operate our manufacturing facilities and corporate office. We are dependent on the services of our management team. Losing one or more key members of our management team could adversely affect our operations. We do not maintain key man life insurance on any of our officers or directors.</w:t>
      </w:r>
    </w:p>
    <w:p>
      <w:pPr>
        <w:spacing w:after="0" w:line="59" w:lineRule="exact"/>
        <w:rPr>
          <w:rFonts w:ascii="Courier New" w:cs="Courier New" w:eastAsia="Courier New" w:hAnsi="Courier New"/>
          <w:sz w:val="14"/>
          <w:szCs w:val="14"/>
          <w:color w:val="auto"/>
        </w:rPr>
      </w:pPr>
    </w:p>
    <w:p>
      <w:pPr>
        <w:ind w:left="800" w:right="3719" w:hanging="531"/>
        <w:spacing w:after="0" w:line="378"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 of the Company's strategic and operating plans to properly direct the Company, including continuing to obtain new business.</w:t>
      </w:r>
    </w:p>
    <w:p>
      <w:pPr>
        <w:spacing w:after="0" w:line="1" w:lineRule="exact"/>
        <w:rPr>
          <w:sz w:val="20"/>
          <w:szCs w:val="20"/>
          <w:color w:val="auto"/>
        </w:rPr>
      </w:pPr>
    </w:p>
    <w:p>
      <w:pPr>
        <w:ind w:right="3279" w:firstLine="521"/>
        <w:spacing w:after="0" w:line="263" w:lineRule="auto"/>
        <w:rPr>
          <w:sz w:val="20"/>
          <w:szCs w:val="20"/>
          <w:color w:val="auto"/>
        </w:rPr>
      </w:pPr>
      <w:r>
        <w:rPr>
          <w:rFonts w:ascii="Courier New" w:cs="Courier New" w:eastAsia="Courier New" w:hAnsi="Courier New"/>
          <w:sz w:val="14"/>
          <w:szCs w:val="14"/>
          <w:color w:val="auto"/>
        </w:rPr>
        <w:t>Antitakeover Provisions. Our articles of incorporation and bylaws, the laws of Michigan, and our Shareholder Protection Rights Plan include provisions which are designed to provide our board of directors with time to consider whether a hostile takeover offer is in our best interest and the best interests of our shareholders. These provisions, however, could discourage potential acquisition proposals and could delay or prevent a change in control. The provisions also could diminish the opportunities for a holder of our common stock to participate in tender offers, including tender offers at a price above the then current price for our common stock. These provisions could also prevent transactions in which our shareholders might otherwise receive a premium for their shares over then current market prices, and may limit the ability of our shareholders to approve transactions that they may deem to be in their best interests.</w:t>
      </w:r>
    </w:p>
    <w:p>
      <w:pPr>
        <w:spacing w:after="0" w:line="251"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All of these provisions may have the effect of delaying or preventing a change in control at the company level without action by our shareholders, and therefore, could adversely affect the price of our common stock.</w:t>
      </w:r>
    </w:p>
    <w:p>
      <w:pPr>
        <w:spacing w:after="0" w:line="39"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Fluctuations in Market Price. The market price for our common stock has fluctuated, ranging between $15.38 and $20.32 for 2005. The overall market and the price of our common stock may continue to fluctuate. There may be a significant impact on the market price for our common stock due to, among other things:</w:t>
      </w:r>
    </w:p>
    <w:p>
      <w:pPr>
        <w:spacing w:after="0" w:line="60" w:lineRule="exact"/>
        <w:rPr>
          <w:sz w:val="20"/>
          <w:szCs w:val="20"/>
          <w:color w:val="auto"/>
        </w:rPr>
      </w:pPr>
    </w:p>
    <w:p>
      <w:pPr>
        <w:ind w:left="800" w:right="3899" w:hanging="531"/>
        <w:spacing w:after="0" w:line="37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anticipated or actual operating results or the results of our competitors;</w:t>
      </w:r>
    </w:p>
    <w:p>
      <w:pPr>
        <w:spacing w:after="0" w:line="1" w:lineRule="exact"/>
        <w:rPr>
          <w:rFonts w:ascii="Courier New" w:cs="Courier New" w:eastAsia="Courier New" w:hAnsi="Courier New"/>
          <w:sz w:val="14"/>
          <w:szCs w:val="14"/>
          <w:color w:val="auto"/>
        </w:rPr>
      </w:pPr>
    </w:p>
    <w:p>
      <w:pPr>
        <w:ind w:left="800" w:right="3979" w:hanging="531"/>
        <w:spacing w:after="0" w:line="37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investors' or analysts' perceptions of the risks and conditions of our business;</w:t>
      </w:r>
    </w:p>
    <w:p>
      <w:pPr>
        <w:spacing w:after="0" w:line="1"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of the public float of our common stock;</w:t>
      </w:r>
    </w:p>
    <w:p>
      <w:pPr>
        <w:spacing w:after="0" w:line="175"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and</w:t>
      </w:r>
    </w:p>
    <w:p>
      <w:pPr>
        <w:spacing w:after="0" w:line="175"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1B. UNRESOLVED STAFF COMMENTS.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379" w:firstLine="521"/>
        <w:spacing w:after="0" w:line="265" w:lineRule="auto"/>
        <w:rPr>
          <w:sz w:val="20"/>
          <w:szCs w:val="20"/>
          <w:color w:val="auto"/>
        </w:rPr>
      </w:pPr>
      <w:r>
        <w:rPr>
          <w:rFonts w:ascii="Courier New" w:cs="Courier New" w:eastAsia="Courier New" w:hAnsi="Courier New"/>
          <w:sz w:val="14"/>
          <w:szCs w:val="14"/>
          <w:color w:val="auto"/>
        </w:rPr>
        <w:t>The Company operates out of four office/manufacturing facilities in Zeeland, Michigan, approximately 25 miles southwest of Grand Rapids. The office and production facility for the Fire Protection Products Group is a</w:t>
      </w:r>
    </w:p>
    <w:p>
      <w:pPr>
        <w:spacing w:after="0" w:line="1" w:lineRule="exact"/>
        <w:rPr>
          <w:sz w:val="20"/>
          <w:szCs w:val="20"/>
          <w:color w:val="auto"/>
        </w:rPr>
      </w:pPr>
    </w:p>
    <w:p>
      <w:pPr>
        <w:ind w:right="3639"/>
        <w:spacing w:after="0" w:line="343" w:lineRule="auto"/>
        <w:rPr>
          <w:sz w:val="20"/>
          <w:szCs w:val="20"/>
          <w:color w:val="auto"/>
        </w:rPr>
      </w:pPr>
      <w:r>
        <w:rPr>
          <w:rFonts w:ascii="Courier New" w:cs="Courier New" w:eastAsia="Courier New" w:hAnsi="Courier New"/>
          <w:sz w:val="14"/>
          <w:szCs w:val="14"/>
          <w:color w:val="auto"/>
        </w:rPr>
        <w:t>25,000-square-foot, one-story building leased by the Company since 1978 from related parties (see Part III, Item 13, of this report).</w:t>
      </w:r>
    </w:p>
    <w:p>
      <w:pPr>
        <w:spacing w:after="0" w:line="21" w:lineRule="exact"/>
        <w:rPr>
          <w:sz w:val="20"/>
          <w:szCs w:val="20"/>
          <w:color w:val="auto"/>
        </w:rPr>
      </w:pPr>
    </w:p>
    <w:p>
      <w:pPr>
        <w:ind w:right="3279" w:firstLine="521"/>
        <w:spacing w:after="0" w:line="274"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68" w:lineRule="exact"/>
        <w:rPr>
          <w:sz w:val="20"/>
          <w:szCs w:val="20"/>
          <w:color w:val="auto"/>
        </w:rPr>
      </w:pPr>
    </w:p>
    <w:p>
      <w:pPr>
        <w:ind w:right="3379" w:firstLine="521"/>
        <w:spacing w:after="0" w:line="272" w:lineRule="auto"/>
        <w:rPr>
          <w:sz w:val="20"/>
          <w:szCs w:val="20"/>
          <w:color w:val="auto"/>
        </w:rPr>
      </w:pPr>
      <w:r>
        <w:rPr>
          <w:rFonts w:ascii="Courier New" w:cs="Courier New" w:eastAsia="Courier New" w:hAnsi="Courier New"/>
          <w:sz w:val="14"/>
          <w:szCs w:val="14"/>
          <w:color w:val="auto"/>
        </w:rPr>
        <w:t>In November 2002, the Company announced plans to expand its manufacturing operations in Zeeland, Michigan, with the construction of a fourth</w:t>
      </w:r>
    </w:p>
    <w:p>
      <w:pPr>
        <w:ind w:right="3379"/>
        <w:spacing w:after="0" w:line="268" w:lineRule="auto"/>
        <w:rPr>
          <w:sz w:val="20"/>
          <w:szCs w:val="20"/>
          <w:color w:val="auto"/>
        </w:rPr>
      </w:pPr>
      <w:r>
        <w:rPr>
          <w:rFonts w:ascii="Courier New" w:cs="Courier New" w:eastAsia="Courier New" w:hAnsi="Courier New"/>
          <w:sz w:val="14"/>
          <w:szCs w:val="14"/>
          <w:color w:val="auto"/>
        </w:rPr>
        <w:t>120,000-square foot automotive mirror manufacturing facility which is currently scheduled to be completed in spring 2006. During 2003, the Company also announced plans for a new 200,000-square foot technical office facility linking the fourth manufacturing facility with its existing corporate office and production facility. The Company plans to invest approximately $35 - 40 million for the new facilities, primarily during 2005 and 2006, financed from existing cash revenues.</w:t>
      </w:r>
    </w:p>
    <w:p>
      <w:pPr>
        <w:spacing w:after="0" w:line="247" w:lineRule="exact"/>
        <w:rPr>
          <w:sz w:val="20"/>
          <w:szCs w:val="20"/>
          <w:color w:val="auto"/>
        </w:rPr>
      </w:pPr>
    </w:p>
    <w:p>
      <w:pPr>
        <w:ind w:right="3279" w:firstLine="521"/>
        <w:spacing w:after="0" w:line="317" w:lineRule="auto"/>
        <w:rPr>
          <w:sz w:val="20"/>
          <w:szCs w:val="20"/>
          <w:color w:val="auto"/>
        </w:rPr>
      </w:pPr>
      <w:r>
        <w:rPr>
          <w:rFonts w:ascii="Courier New" w:cs="Courier New" w:eastAsia="Courier New" w:hAnsi="Courier New"/>
          <w:sz w:val="14"/>
          <w:szCs w:val="14"/>
          <w:color w:val="auto"/>
        </w:rPr>
        <w:t>The Company also constructed a 40,000 square-foot office, distribution and light manufacturing facility in Erlenbach, Germany, at a cost of approximately $5 million, which was completed at the end of 2003.</w:t>
      </w:r>
    </w:p>
    <w:p>
      <w:pPr>
        <w:spacing w:after="0" w:line="39"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The Company's three automotive mirror manufacturing facilities currently have an estimated building capacity to manufacture approximately 14-16 million mirror units annually, based on the current product mix. The Company's fourth automotive mirror</w:t>
      </w:r>
    </w:p>
    <w:p>
      <w:pPr>
        <w:spacing w:after="0" w:line="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4" w:right="1440" w:bottom="1440" w:gutter="0" w:footer="0" w:header="0"/>
        </w:sectPr>
      </w:pPr>
    </w:p>
    <w:bookmarkStart w:id="12" w:name="page13"/>
    <w:bookmarkEnd w:id="12"/>
    <w:p>
      <w:pPr>
        <w:ind w:right="3539"/>
        <w:spacing w:after="0" w:line="378" w:lineRule="auto"/>
        <w:rPr>
          <w:sz w:val="20"/>
          <w:szCs w:val="20"/>
          <w:color w:val="auto"/>
        </w:rPr>
      </w:pPr>
      <w:r>
        <w:rPr>
          <w:rFonts w:ascii="Courier New" w:cs="Courier New" w:eastAsia="Courier New" w:hAnsi="Courier New"/>
          <w:sz w:val="14"/>
          <w:szCs w:val="14"/>
          <w:color w:val="auto"/>
        </w:rPr>
        <w:t>manufacturing facility under construction will have the potential to increase building manufacturing capacity by 8-10 million mirror units annually.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379" w:firstLine="521"/>
        <w:spacing w:after="0" w:line="378" w:lineRule="auto"/>
        <w:rPr>
          <w:sz w:val="20"/>
          <w:szCs w:val="20"/>
          <w:color w:val="auto"/>
        </w:rPr>
      </w:pPr>
      <w:r>
        <w:rPr>
          <w:rFonts w:ascii="Courier New" w:cs="Courier New" w:eastAsia="Courier New" w:hAnsi="Courier New"/>
          <w:sz w:val="14"/>
          <w:szCs w:val="14"/>
          <w:color w:val="auto"/>
        </w:rPr>
        <w:t>None that are material (other than ordinary routine litigation incidental to the business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following table lists the names, ages, and positions of all of the Company's executive officers. Officers are elected at the first meeting of the Board of Directors following the annual meeting of shareholders.</w:t>
      </w:r>
    </w:p>
    <w:p>
      <w:pPr>
        <w:spacing w:after="0" w:line="373" w:lineRule="exact"/>
        <w:rPr>
          <w:sz w:val="20"/>
          <w:szCs w:val="20"/>
          <w:color w:val="auto"/>
        </w:rPr>
      </w:pPr>
    </w:p>
    <w:p>
      <w:pPr>
        <w:spacing w:after="0"/>
        <w:tabs>
          <w:tab w:leader="none" w:pos="1720" w:val="left"/>
          <w:tab w:leader="none" w:pos="3900" w:val="left"/>
          <w:tab w:leader="none" w:pos="72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 w:type="dxa"/>
            <w:vAlign w:val="bottom"/>
          </w:tcPr>
          <w:p>
            <w:pPr>
              <w:spacing w:after="0"/>
              <w:rPr>
                <w:sz w:val="20"/>
                <w:szCs w:val="20"/>
                <w:color w:val="auto"/>
              </w:rPr>
            </w:pPr>
            <w:r>
              <w:rPr>
                <w:rFonts w:ascii="Courier New" w:cs="Courier New" w:eastAsia="Courier New" w:hAnsi="Courier New"/>
                <w:sz w:val="14"/>
                <w:szCs w:val="14"/>
                <w:color w:val="auto"/>
              </w:rPr>
              <w:t>Fred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Bauer</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May 1986</w:t>
            </w: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Garth Deur</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September 2002</w:t>
            </w:r>
          </w:p>
        </w:tc>
      </w:tr>
      <w:tr>
        <w:trPr>
          <w:trHeight w:val="334"/>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Dennis Alexejun</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North American Automotive Marketing</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September 1998</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John</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Carter</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Mechanical Engineering</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June 1997</w:t>
            </w:r>
          </w:p>
        </w:tc>
      </w:tr>
      <w:tr>
        <w:trPr>
          <w:trHeight w:val="28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Enoch Jen</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Finance</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February 1991</w:t>
            </w: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ind w:right="3899" w:firstLine="521"/>
        <w:spacing w:after="0" w:line="378" w:lineRule="auto"/>
        <w:rPr>
          <w:sz w:val="20"/>
          <w:szCs w:val="20"/>
          <w:color w:val="auto"/>
        </w:rPr>
      </w:pPr>
      <w:r>
        <w:rPr>
          <w:rFonts w:ascii="Courier New" w:cs="Courier New" w:eastAsia="Courier New" w:hAnsi="Courier New"/>
          <w:sz w:val="14"/>
          <w:szCs w:val="14"/>
          <w:color w:val="auto"/>
        </w:rPr>
        <w:t>There are no fa mily relationships among the officers listed in the preceding table.</w:t>
      </w:r>
    </w:p>
    <w:p>
      <w:pPr>
        <w:spacing w:after="0" w:line="1" w:lineRule="exact"/>
        <w:rPr>
          <w:sz w:val="20"/>
          <w:szCs w:val="20"/>
          <w:color w:val="auto"/>
        </w:rPr>
      </w:pPr>
    </w:p>
    <w:p>
      <w:pPr>
        <w:ind w:right="3539" w:firstLine="521"/>
        <w:spacing w:after="0" w:line="317" w:lineRule="auto"/>
        <w:rPr>
          <w:sz w:val="20"/>
          <w:szCs w:val="20"/>
          <w:color w:val="auto"/>
        </w:rPr>
      </w:pPr>
      <w:r>
        <w:rPr>
          <w:rFonts w:ascii="Courier New" w:cs="Courier New" w:eastAsia="Courier New" w:hAnsi="Courier New"/>
          <w:sz w:val="14"/>
          <w:szCs w:val="14"/>
          <w:color w:val="auto"/>
        </w:rPr>
        <w:t>Except for the executive officer listed below, all other executive officers have held their current position with the Company for more than five years.</w:t>
      </w:r>
    </w:p>
    <w:p>
      <w:pPr>
        <w:spacing w:after="0" w:line="39" w:lineRule="exact"/>
        <w:rPr>
          <w:sz w:val="20"/>
          <w:szCs w:val="20"/>
          <w:color w:val="auto"/>
        </w:rPr>
      </w:pPr>
    </w:p>
    <w:p>
      <w:pPr>
        <w:ind w:right="3279" w:firstLine="521"/>
        <w:spacing w:after="0" w:line="268" w:lineRule="auto"/>
        <w:rPr>
          <w:sz w:val="20"/>
          <w:szCs w:val="20"/>
          <w:color w:val="auto"/>
        </w:rPr>
      </w:pPr>
      <w:r>
        <w:rPr>
          <w:rFonts w:ascii="Courier New" w:cs="Courier New" w:eastAsia="Courier New" w:hAnsi="Courier New"/>
          <w:sz w:val="14"/>
          <w:szCs w:val="14"/>
          <w:color w:val="auto"/>
        </w:rPr>
        <w:t>Garth Deur has served as Executive Vice President of the Company since September 2002, as Senior Vice President of the Company since May 2001, and joined the Company as Vice President - Business Development and Planning in November 2000. Prior to joining the Company, Mr. Deur served as a Principal of Landmark Group, an investment management company, from March 1999 through November 2000. Prior to that time, Mr. Deur served as Vice President, Chrysler Business Operations, from March 1995 through March 1999, at the Automotive Interiors division of Johnson Controls, Inc. (formerly Prince Corporation, which was acquired by Johnson Controls in 1996).</w:t>
      </w:r>
    </w:p>
    <w:p>
      <w:pPr>
        <w:spacing w:after="0" w:line="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4" w:right="1440" w:bottom="1440" w:gutter="0" w:footer="0" w:header="0"/>
        </w:sectPr>
      </w:pPr>
    </w:p>
    <w:bookmarkStart w:id="13" w:name="page14"/>
    <w:bookmarkEnd w:id="13"/>
    <w:p>
      <w:pPr>
        <w:jc w:val="center"/>
        <w:ind w:right="319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right="3459"/>
        <w:spacing w:after="0" w:line="378" w:lineRule="auto"/>
        <w:rPr>
          <w:sz w:val="20"/>
          <w:szCs w:val="20"/>
          <w:color w:val="auto"/>
        </w:rPr>
      </w:pPr>
      <w:r>
        <w:rPr>
          <w:rFonts w:ascii="Courier New" w:cs="Courier New" w:eastAsia="Courier New" w:hAnsi="Courier New"/>
          <w:sz w:val="14"/>
          <w:szCs w:val="14"/>
          <w:color w:val="auto"/>
        </w:rPr>
        <w:t>ITEM 5. MARKET FOR THE REGISTRANT'S COMMON EQUITY, RELATED STOCKHOLDER MATTERS AND ISSUER PURCHASES OF EQUITY SECURITIES.</w:t>
      </w:r>
    </w:p>
    <w:p>
      <w:pPr>
        <w:spacing w:after="0" w:line="1"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The Company's common stock trades on The Nasdaq Stock Market(R). As of February 1, 2006, there were 2,522 record-holders of the Company's common stock. Ranges of high and low sale prices (adjusted for 2-for-1 stock split in May 2005) of the Company's common stock reported through The Nasdaq Stock Market for the past two fiscal years appear in the following table.</w:t>
      </w:r>
    </w:p>
    <w:p>
      <w:pPr>
        <w:spacing w:after="0" w:line="394" w:lineRule="exact"/>
        <w:rPr>
          <w:sz w:val="20"/>
          <w:szCs w:val="20"/>
          <w:color w:val="auto"/>
        </w:rPr>
      </w:pPr>
    </w:p>
    <w:p>
      <w:pPr>
        <w:ind w:left="180"/>
        <w:spacing w:after="0"/>
        <w:tabs>
          <w:tab w:leader="none" w:pos="1300" w:val="left"/>
          <w:tab w:leader="none" w:pos="2600" w:val="left"/>
          <w:tab w:leader="none" w:pos="39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First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23.54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19.68</w:t>
            </w:r>
          </w:p>
        </w:tc>
      </w:tr>
      <w:tr>
        <w:trPr>
          <w:trHeight w:val="167"/>
        </w:trPr>
        <w:tc>
          <w:tcPr>
            <w:tcW w:w="84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Second</w:t>
            </w:r>
          </w:p>
        </w:tc>
        <w:tc>
          <w:tcPr>
            <w:tcW w:w="4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23.46</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17.17</w:t>
            </w:r>
          </w:p>
        </w:tc>
      </w:tr>
      <w:tr>
        <w:trPr>
          <w:trHeight w:val="167"/>
        </w:trPr>
        <w:tc>
          <w:tcPr>
            <w:tcW w:w="84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Third</w:t>
            </w:r>
          </w:p>
        </w:tc>
        <w:tc>
          <w:tcPr>
            <w:tcW w:w="4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244"/>
        </w:trPr>
        <w:tc>
          <w:tcPr>
            <w:tcW w:w="840" w:type="dxa"/>
            <w:vAlign w:val="bottom"/>
          </w:tcPr>
          <w:p>
            <w:pPr>
              <w:spacing w:after="0"/>
              <w:rPr>
                <w:sz w:val="21"/>
                <w:szCs w:val="21"/>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Fourth</w:t>
            </w:r>
          </w:p>
        </w:tc>
        <w:tc>
          <w:tcPr>
            <w:tcW w:w="420" w:type="dxa"/>
            <w:vAlign w:val="bottom"/>
          </w:tcPr>
          <w:p>
            <w:pPr>
              <w:spacing w:after="0"/>
              <w:rPr>
                <w:sz w:val="21"/>
                <w:szCs w:val="21"/>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18.93</w:t>
            </w: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15.10</w:t>
            </w:r>
          </w:p>
        </w:tc>
      </w:tr>
      <w:tr>
        <w:trPr>
          <w:trHeight w:val="256"/>
        </w:trPr>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First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15.73</w:t>
            </w:r>
          </w:p>
        </w:tc>
      </w:tr>
      <w:tr>
        <w:trPr>
          <w:trHeight w:val="167"/>
        </w:trPr>
        <w:tc>
          <w:tcPr>
            <w:tcW w:w="84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Second</w:t>
            </w:r>
          </w:p>
        </w:tc>
        <w:tc>
          <w:tcPr>
            <w:tcW w:w="4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19.45</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15.53</w:t>
            </w:r>
          </w:p>
        </w:tc>
      </w:tr>
      <w:tr>
        <w:trPr>
          <w:trHeight w:val="167"/>
        </w:trPr>
        <w:tc>
          <w:tcPr>
            <w:tcW w:w="84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Third</w:t>
            </w:r>
          </w:p>
        </w:tc>
        <w:tc>
          <w:tcPr>
            <w:tcW w:w="4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20.32</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16.23</w:t>
            </w:r>
          </w:p>
        </w:tc>
      </w:tr>
      <w:tr>
        <w:trPr>
          <w:trHeight w:val="193"/>
        </w:trPr>
        <w:tc>
          <w:tcPr>
            <w:tcW w:w="840" w:type="dxa"/>
            <w:vAlign w:val="bottom"/>
          </w:tcPr>
          <w:p>
            <w:pPr>
              <w:spacing w:after="0"/>
              <w:rPr>
                <w:sz w:val="16"/>
                <w:szCs w:val="16"/>
                <w:color w:val="auto"/>
              </w:rPr>
            </w:pP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Fourth</w:t>
            </w:r>
          </w:p>
        </w:tc>
        <w:tc>
          <w:tcPr>
            <w:tcW w:w="42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15.38</w:t>
            </w: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ind w:right="3379" w:firstLine="521"/>
        <w:spacing w:after="0" w:line="267" w:lineRule="auto"/>
        <w:rPr>
          <w:sz w:val="20"/>
          <w:szCs w:val="20"/>
          <w:color w:val="auto"/>
        </w:rPr>
      </w:pPr>
      <w:r>
        <w:rPr>
          <w:rFonts w:ascii="Courier New" w:cs="Courier New" w:eastAsia="Courier New" w:hAnsi="Courier New"/>
          <w:sz w:val="14"/>
          <w:szCs w:val="14"/>
          <w:color w:val="auto"/>
        </w:rPr>
        <w:t>In August 2003, the Company announced a change in the Company's cash dividend policy and declared an initial quarterly cash dividend of $0.075 per share payable in October 2003. In August 2004, the Company's Board of Directors approved an increase on the quarterly dividend rate of $0.08. In August 2005, the Company's Board of Directors approved a continuing resolution to pay a quarterly dividend of $0.09 per share until the Board takes other action with respect to the payment of dividends. Based on current U.S. income tax laws, the Company intends to continue to pay a quarterly cash dividend at its current level and will consider future dividend increases based on the Company's profitability, cash flow and other business factors.</w:t>
      </w:r>
    </w:p>
    <w:p>
      <w:pPr>
        <w:spacing w:after="0" w:line="72" w:lineRule="exact"/>
        <w:rPr>
          <w:sz w:val="20"/>
          <w:szCs w:val="20"/>
          <w:color w:val="auto"/>
        </w:rPr>
      </w:pPr>
    </w:p>
    <w:p>
      <w:pPr>
        <w:ind w:right="3279" w:firstLine="521"/>
        <w:spacing w:after="0" w:line="280" w:lineRule="auto"/>
        <w:rPr>
          <w:sz w:val="20"/>
          <w:szCs w:val="20"/>
          <w:color w:val="auto"/>
        </w:rPr>
      </w:pPr>
      <w:r>
        <w:rPr>
          <w:rFonts w:ascii="Courier New" w:cs="Courier New" w:eastAsia="Courier New" w:hAnsi="Courier New"/>
          <w:sz w:val="14"/>
          <w:szCs w:val="14"/>
          <w:color w:val="auto"/>
        </w:rPr>
        <w:t>On April 1, 2005, the Company's Board of Directors declared a two-for-one stock split effected in the form of a 100% common stock dividend to shareholders of record on May 6, 2005. The stock split increased the number of shares of common stock then outstanding from 78,020,342 to 156,040,684. Earnings per share and all share data have been restated in all prior periods to reflect these stock splits.</w:t>
      </w:r>
    </w:p>
    <w:p>
      <w:pPr>
        <w:spacing w:after="0" w:line="243" w:lineRule="exact"/>
        <w:rPr>
          <w:sz w:val="20"/>
          <w:szCs w:val="20"/>
          <w:color w:val="auto"/>
        </w:rPr>
      </w:pPr>
    </w:p>
    <w:p>
      <w:pPr>
        <w:ind w:right="3379" w:firstLine="521"/>
        <w:spacing w:after="0" w:line="268" w:lineRule="auto"/>
        <w:rPr>
          <w:sz w:val="20"/>
          <w:szCs w:val="20"/>
          <w:color w:val="auto"/>
        </w:rPr>
      </w:pPr>
      <w:r>
        <w:rPr>
          <w:rFonts w:ascii="Courier New" w:cs="Courier New" w:eastAsia="Courier New" w:hAnsi="Courier New"/>
          <w:sz w:val="14"/>
          <w:szCs w:val="14"/>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 other factors that the Company deems appropriate. This share repurchase plan does not have an expiration date. During the quarter ended March 31, 2003, the Company repurchased 830,000 shares (post-split) at a cost of approximately $10,247,000. On July 20, 2005, the Company announced that it had raised the price at which the Company may repurchase shares under the existing plan.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share repurchase activity during 2005:</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160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Total Number</w:t>
            </w:r>
          </w:p>
        </w:tc>
        <w:tc>
          <w:tcPr>
            <w:tcW w:w="152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Average Price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 of</w:t>
            </w:r>
          </w:p>
        </w:tc>
        <w:tc>
          <w:tcPr>
            <w:tcW w:w="21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Maximum Number</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Shares Purchased As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of Shares That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May Yet</w:t>
            </w:r>
          </w:p>
        </w:tc>
        <w:tc>
          <w:tcPr>
            <w:tcW w:w="0" w:type="dxa"/>
            <w:vAlign w:val="bottom"/>
          </w:tcPr>
          <w:p>
            <w:pPr>
              <w:spacing w:after="0"/>
              <w:rPr>
                <w:sz w:val="1"/>
                <w:szCs w:val="1"/>
                <w:color w:val="auto"/>
              </w:rPr>
            </w:pPr>
          </w:p>
        </w:tc>
      </w:tr>
      <w:tr>
        <w:trPr>
          <w:trHeight w:val="167"/>
        </w:trPr>
        <w:tc>
          <w:tcPr>
            <w:tcW w:w="880" w:type="dxa"/>
            <w:vAlign w:val="bottom"/>
            <w:vMerge w:val="restart"/>
          </w:tcPr>
          <w:p>
            <w:pPr>
              <w:spacing w:after="0"/>
              <w:rPr>
                <w:sz w:val="20"/>
                <w:szCs w:val="20"/>
                <w:color w:val="auto"/>
              </w:rPr>
            </w:pPr>
            <w:r>
              <w:rPr>
                <w:rFonts w:ascii="Courier New" w:cs="Courier New" w:eastAsia="Courier New" w:hAnsi="Courier New"/>
                <w:sz w:val="14"/>
                <w:szCs w:val="14"/>
                <w:color w:val="auto"/>
              </w:rPr>
              <w:t>Period</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Of Shares</w:t>
            </w: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Paid Per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Part of</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 Publicly</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Be Purchased</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Under</w:t>
            </w:r>
          </w:p>
        </w:tc>
        <w:tc>
          <w:tcPr>
            <w:tcW w:w="0" w:type="dxa"/>
            <w:vAlign w:val="bottom"/>
          </w:tcPr>
          <w:p>
            <w:pPr>
              <w:spacing w:after="0"/>
              <w:rPr>
                <w:sz w:val="1"/>
                <w:szCs w:val="1"/>
                <w:color w:val="auto"/>
              </w:rPr>
            </w:pPr>
          </w:p>
        </w:tc>
      </w:tr>
      <w:tr>
        <w:trPr>
          <w:trHeight w:val="193"/>
        </w:trPr>
        <w:tc>
          <w:tcPr>
            <w:tcW w:w="880" w:type="dxa"/>
            <w:vAlign w:val="bottom"/>
            <w:vMerge w:val="continue"/>
          </w:tcPr>
          <w:p>
            <w:pPr>
              <w:spacing w:after="0"/>
              <w:rPr>
                <w:sz w:val="16"/>
                <w:szCs w:val="16"/>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Purchased</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Share</w:t>
            </w:r>
          </w:p>
        </w:tc>
        <w:tc>
          <w:tcPr>
            <w:tcW w:w="2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Announced Plan*</w:t>
            </w:r>
          </w:p>
        </w:tc>
        <w:tc>
          <w:tcPr>
            <w:tcW w:w="21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the Plan*</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August 2005</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123,768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$17.02</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123,768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7,046,232</w:t>
            </w:r>
          </w:p>
        </w:tc>
        <w:tc>
          <w:tcPr>
            <w:tcW w:w="0" w:type="dxa"/>
            <w:vAlign w:val="bottom"/>
          </w:tcPr>
          <w:p>
            <w:pPr>
              <w:spacing w:after="0"/>
              <w:rPr>
                <w:sz w:val="1"/>
                <w:szCs w:val="1"/>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September 2005</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1,372,291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$16.84</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1,372,291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5,673,941</w:t>
            </w:r>
          </w:p>
        </w:tc>
        <w:tc>
          <w:tcPr>
            <w:tcW w:w="0" w:type="dxa"/>
            <w:vAlign w:val="bottom"/>
          </w:tcPr>
          <w:p>
            <w:pPr>
              <w:spacing w:after="0"/>
              <w:rPr>
                <w:sz w:val="1"/>
                <w:szCs w:val="1"/>
                <w:color w:val="auto"/>
              </w:rPr>
            </w:pPr>
          </w:p>
        </w:tc>
      </w:tr>
      <w:tr>
        <w:trPr>
          <w:trHeight w:val="167"/>
        </w:trPr>
        <w:tc>
          <w:tcPr>
            <w:tcW w:w="148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Total</w:t>
            </w:r>
          </w:p>
        </w:tc>
        <w:tc>
          <w:tcPr>
            <w:tcW w:w="1480" w:type="dxa"/>
            <w:vAlign w:val="bottom"/>
            <w:vMerge w:val="restart"/>
          </w:tcPr>
          <w:p>
            <w:pPr>
              <w:jc w:val="right"/>
              <w:ind w:right="371"/>
              <w:spacing w:after="0"/>
              <w:rPr>
                <w:sz w:val="20"/>
                <w:szCs w:val="20"/>
                <w:color w:val="auto"/>
              </w:rPr>
            </w:pPr>
            <w:r>
              <w:rPr>
                <w:rFonts w:ascii="Courier New" w:cs="Courier New" w:eastAsia="Courier New" w:hAnsi="Courier New"/>
                <w:sz w:val="12"/>
                <w:szCs w:val="12"/>
                <w:color w:val="auto"/>
                <w:w w:val="70"/>
              </w:rPr>
              <w:t>1,496,059</w:t>
            </w:r>
            <w:r>
              <w:rPr>
                <w:rFonts w:ascii="Courier New" w:cs="Courier New" w:eastAsia="Courier New" w:hAnsi="Courier New"/>
                <w:sz w:val="22"/>
                <w:szCs w:val="22"/>
                <w:color w:val="auto"/>
                <w:w w:val="70"/>
                <w:vertAlign w:val="superscript"/>
              </w:rPr>
              <w:t>---------</w:t>
            </w:r>
          </w:p>
        </w:tc>
        <w:tc>
          <w:tcPr>
            <w:tcW w:w="1480" w:type="dxa"/>
            <w:vAlign w:val="bottom"/>
          </w:tcPr>
          <w:p>
            <w:pPr>
              <w:spacing w:after="0"/>
              <w:rPr>
                <w:sz w:val="14"/>
                <w:szCs w:val="14"/>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48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480" w:type="dxa"/>
            <w:vAlign w:val="bottom"/>
          </w:tcPr>
          <w:p>
            <w:pPr>
              <w:spacing w:after="0"/>
              <w:rPr>
                <w:sz w:val="22"/>
                <w:szCs w:val="22"/>
                <w:color w:val="auto"/>
              </w:rPr>
            </w:pP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1,496,059</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3379" w:firstLine="9"/>
        <w:spacing w:after="0" w:line="317" w:lineRule="auto"/>
        <w:tabs>
          <w:tab w:leader="none" w:pos="17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above paragraph for data on which plan was announced, the total number of shares approved for repurchase under the plan, and the expiration date (if any) of the plan.</w:t>
      </w:r>
    </w:p>
    <w:p>
      <w:pPr>
        <w:spacing w:after="0" w:line="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520"/>
        <w:spacing w:after="0"/>
        <w:tabs>
          <w:tab w:leader="none" w:pos="3640" w:val="left"/>
          <w:tab w:leader="none" w:pos="4760" w:val="left"/>
          <w:tab w:leader="none" w:pos="5980" w:val="left"/>
          <w:tab w:leader="none" w:pos="70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$ 536,484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$ 505,666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$ 469,019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395,258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$ 310,305</w:t>
            </w:r>
          </w:p>
        </w:tc>
      </w:tr>
      <w:tr>
        <w:trPr>
          <w:trHeight w:val="193"/>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109,528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112,657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106,761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85,771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65,217</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line="149" w:lineRule="exact"/>
              <w:rPr>
                <w:sz w:val="20"/>
                <w:szCs w:val="20"/>
                <w:color w:val="auto"/>
              </w:rPr>
            </w:pPr>
            <w:r>
              <w:rPr>
                <w:rFonts w:ascii="Courier New" w:cs="Courier New" w:eastAsia="Courier New" w:hAnsi="Courier New"/>
                <w:sz w:val="14"/>
                <w:szCs w:val="14"/>
                <w:color w:val="auto"/>
              </w:rPr>
              <w:t>Earnings  Per Share*</w:t>
            </w:r>
          </w:p>
        </w:tc>
        <w:tc>
          <w:tcPr>
            <w:tcW w:w="4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0.70</w:t>
            </w:r>
          </w:p>
        </w:tc>
        <w:tc>
          <w:tcPr>
            <w:tcW w:w="4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0.72</w:t>
            </w:r>
          </w:p>
        </w:tc>
        <w:tc>
          <w:tcPr>
            <w:tcW w:w="42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8"/>
              <w:spacing w:after="0" w:line="149" w:lineRule="exact"/>
              <w:rPr>
                <w:sz w:val="20"/>
                <w:szCs w:val="20"/>
                <w:color w:val="auto"/>
              </w:rPr>
            </w:pPr>
            <w:r>
              <w:rPr>
                <w:rFonts w:ascii="Courier New" w:cs="Courier New" w:eastAsia="Courier New" w:hAnsi="Courier New"/>
                <w:sz w:val="14"/>
                <w:szCs w:val="14"/>
                <w:color w:val="auto"/>
              </w:rPr>
              <w:t>0.69</w:t>
            </w:r>
          </w:p>
        </w:tc>
        <w:tc>
          <w:tcPr>
            <w:tcW w:w="480" w:type="dxa"/>
            <w:vAlign w:val="bottom"/>
          </w:tcPr>
          <w:p>
            <w:pPr>
              <w:jc w:val="right"/>
              <w:ind w:right="148"/>
              <w:spacing w:after="0" w:line="149" w:lineRule="exact"/>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0.56</w:t>
            </w:r>
          </w:p>
        </w:tc>
        <w:tc>
          <w:tcPr>
            <w:tcW w:w="440" w:type="dxa"/>
            <w:vAlign w:val="bottom"/>
          </w:tcPr>
          <w:p>
            <w:pPr>
              <w:jc w:val="right"/>
              <w:ind w:right="108"/>
              <w:spacing w:after="0" w:line="149" w:lineRule="exact"/>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0.43</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Cash Dividends Declared</w:t>
            </w:r>
          </w:p>
        </w:tc>
        <w:tc>
          <w:tcPr>
            <w:tcW w:w="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0.35</w:t>
            </w:r>
          </w:p>
        </w:tc>
        <w:tc>
          <w:tcPr>
            <w:tcW w:w="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0.32</w:t>
            </w:r>
          </w:p>
        </w:tc>
        <w:tc>
          <w:tcPr>
            <w:tcW w:w="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0.15</w:t>
            </w:r>
          </w:p>
        </w:tc>
        <w:tc>
          <w:tcPr>
            <w:tcW w:w="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per Common Share*</w:t>
            </w:r>
          </w:p>
        </w:tc>
        <w:tc>
          <w:tcPr>
            <w:tcW w:w="4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$ 922,646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$ 856,859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$ 762,530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609,173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$ 506,823</w:t>
            </w:r>
          </w:p>
        </w:tc>
      </w:tr>
    </w:tbl>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883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Outstanding at</w:t>
      </w:r>
    </w:p>
    <w:p>
      <w:pPr>
        <w:spacing w:after="0" w:line="1" w:lineRule="exact"/>
        <w:rPr>
          <w:sz w:val="20"/>
          <w:szCs w:val="20"/>
          <w:color w:val="auto"/>
        </w:rPr>
      </w:pPr>
    </w:p>
    <w:p>
      <w:pPr>
        <w:ind w:left="180"/>
        <w:spacing w:after="0"/>
        <w:tabs>
          <w:tab w:leader="none" w:pos="2340" w:val="left"/>
          <w:tab w:leader="none" w:pos="3020" w:val="left"/>
          <w:tab w:leader="none" w:pos="3460" w:val="left"/>
          <w:tab w:leader="none" w:pos="4160" w:val="left"/>
          <w:tab w:leader="none" w:pos="4580" w:val="left"/>
          <w:tab w:leader="none" w:pos="5280" w:val="left"/>
          <w:tab w:leader="none" w:pos="5720" w:val="left"/>
          <w:tab w:leader="none" w:pos="6500" w:val="left"/>
          <w:tab w:leader="none" w:pos="6940" w:val="left"/>
          <w:tab w:leader="none" w:pos="7620" w:val="left"/>
        </w:tabs>
        <w:rPr>
          <w:sz w:val="20"/>
          <w:szCs w:val="20"/>
          <w:color w:val="auto"/>
        </w:rPr>
      </w:pPr>
      <w:r>
        <w:rPr>
          <w:rFonts w:ascii="Courier New" w:cs="Courier New" w:eastAsia="Courier New" w:hAnsi="Courier New"/>
          <w:sz w:val="14"/>
          <w:szCs w:val="14"/>
          <w:color w:val="auto"/>
        </w:rPr>
        <w:t>Year End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for 2-for-1 stock split in May 2005.</w:t>
      </w:r>
    </w:p>
    <w:p>
      <w:pPr>
        <w:spacing w:after="0" w:line="175" w:lineRule="exact"/>
        <w:rPr>
          <w:sz w:val="20"/>
          <w:szCs w:val="20"/>
          <w:color w:val="auto"/>
        </w:rPr>
      </w:pPr>
    </w:p>
    <w:p>
      <w:pPr>
        <w:ind w:right="3899"/>
        <w:spacing w:after="0" w:line="378" w:lineRule="auto"/>
        <w:rPr>
          <w:sz w:val="20"/>
          <w:szCs w:val="20"/>
          <w:color w:val="auto"/>
        </w:rPr>
      </w:pPr>
      <w:r>
        <w:rPr>
          <w:rFonts w:ascii="Courier New" w:cs="Courier New" w:eastAsia="Courier New" w:hAnsi="Courier New"/>
          <w:sz w:val="14"/>
          <w:szCs w:val="14"/>
          <w:color w:val="auto"/>
        </w:rPr>
        <w:t>ITEM 7. MANAGEMENT'S DISCUSSION AND ANALYSIS OF RESULTS OF OPERATIONS AND FINANCIAL CONDITION. RESULTS OF OPERATIONS.</w:t>
      </w:r>
    </w:p>
    <w:p>
      <w:pPr>
        <w:spacing w:after="0" w:line="1"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32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Percentage of Net Sales</w:t>
            </w: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Percentage Change</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2"/>
              </w:rPr>
              <w:t>-------------------------------</w:t>
            </w:r>
          </w:p>
        </w:tc>
        <w:tc>
          <w:tcPr>
            <w:tcW w:w="114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3260" w:type="dxa"/>
            <w:vAlign w:val="bottom"/>
            <w:gridSpan w:val="3"/>
            <w:vMerge w:val="restart"/>
          </w:tcPr>
          <w:p>
            <w:pPr>
              <w:jc w:val="right"/>
              <w:ind w:right="708"/>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32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58.9</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67"/>
        </w:trPr>
        <w:tc>
          <w:tcPr>
            <w:tcW w:w="3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Gross Profit</w:t>
            </w:r>
          </w:p>
        </w:tc>
        <w:tc>
          <w:tcPr>
            <w:tcW w:w="12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5"/>
              </w:rPr>
              <w:t>------</w:t>
            </w:r>
            <w:r>
              <w:rPr>
                <w:rFonts w:ascii="Courier New" w:cs="Courier New" w:eastAsia="Courier New" w:hAnsi="Courier New"/>
                <w:sz w:val="28"/>
                <w:szCs w:val="28"/>
                <w:color w:val="auto"/>
                <w:w w:val="75"/>
                <w:vertAlign w:val="subscript"/>
              </w:rPr>
              <w:t>37.0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11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13.7</w:t>
            </w:r>
          </w:p>
        </w:tc>
        <w:tc>
          <w:tcPr>
            <w:tcW w:w="8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0" w:type="dxa"/>
            <w:vAlign w:val="bottom"/>
          </w:tcPr>
          <w:p>
            <w:pPr>
              <w:spacing w:after="0"/>
              <w:rPr>
                <w:sz w:val="1"/>
                <w:szCs w:val="1"/>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Engineering, Research and Development</w:t>
            </w:r>
          </w:p>
        </w:tc>
        <w:tc>
          <w:tcPr>
            <w:tcW w:w="1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0" w:type="dxa"/>
            <w:vAlign w:val="bottom"/>
          </w:tcPr>
          <w:p>
            <w:pPr>
              <w:spacing w:after="0"/>
              <w:rPr>
                <w:sz w:val="1"/>
                <w:szCs w:val="1"/>
                <w:color w:val="auto"/>
              </w:rPr>
            </w:pPr>
          </w:p>
        </w:tc>
      </w:tr>
      <w:tr>
        <w:trPr>
          <w:trHeight w:val="167"/>
        </w:trPr>
        <w:tc>
          <w:tcPr>
            <w:tcW w:w="396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Total Operating Expenses</w:t>
            </w:r>
          </w:p>
        </w:tc>
        <w:tc>
          <w:tcPr>
            <w:tcW w:w="12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5"/>
              </w:rPr>
              <w:t>------</w:t>
            </w:r>
            <w:r>
              <w:rPr>
                <w:rFonts w:ascii="Courier New" w:cs="Courier New" w:eastAsia="Courier New" w:hAnsi="Courier New"/>
                <w:sz w:val="28"/>
                <w:szCs w:val="28"/>
                <w:color w:val="auto"/>
                <w:w w:val="75"/>
                <w:vertAlign w:val="subscript"/>
              </w:rPr>
              <w:t>11.6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w:t>
            </w:r>
          </w:p>
        </w:tc>
        <w:tc>
          <w:tcPr>
            <w:tcW w:w="0" w:type="dxa"/>
            <w:vAlign w:val="bottom"/>
          </w:tcPr>
          <w:p>
            <w:pPr>
              <w:spacing w:after="0"/>
              <w:rPr>
                <w:sz w:val="1"/>
                <w:szCs w:val="1"/>
                <w:color w:val="auto"/>
              </w:rPr>
            </w:pPr>
          </w:p>
        </w:tc>
      </w:tr>
      <w:tr>
        <w:trPr>
          <w:trHeight w:val="167"/>
        </w:trPr>
        <w:tc>
          <w:tcPr>
            <w:tcW w:w="3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2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5"/>
              </w:rPr>
              <w:t>------</w:t>
            </w:r>
            <w:r>
              <w:rPr>
                <w:rFonts w:ascii="Courier New" w:cs="Courier New" w:eastAsia="Courier New" w:hAnsi="Courier New"/>
                <w:sz w:val="28"/>
                <w:szCs w:val="28"/>
                <w:color w:val="auto"/>
                <w:w w:val="75"/>
                <w:vertAlign w:val="subscript"/>
              </w:rPr>
              <w:t>25.4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29.7</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c>
          <w:tcPr>
            <w:tcW w:w="0" w:type="dxa"/>
            <w:vAlign w:val="bottom"/>
          </w:tcPr>
          <w:p>
            <w:pPr>
              <w:spacing w:after="0"/>
              <w:rPr>
                <w:sz w:val="1"/>
                <w:szCs w:val="1"/>
                <w:color w:val="auto"/>
              </w:rPr>
            </w:pPr>
          </w:p>
        </w:tc>
      </w:tr>
      <w:tr>
        <w:trPr>
          <w:trHeight w:val="167"/>
        </w:trPr>
        <w:tc>
          <w:tcPr>
            <w:tcW w:w="3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Income Before Provision for  Income Taxes</w:t>
            </w:r>
          </w:p>
        </w:tc>
        <w:tc>
          <w:tcPr>
            <w:tcW w:w="12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5"/>
              </w:rPr>
              <w:t>------</w:t>
            </w:r>
            <w:r>
              <w:rPr>
                <w:rFonts w:ascii="Courier New" w:cs="Courier New" w:eastAsia="Courier New" w:hAnsi="Courier New"/>
                <w:sz w:val="28"/>
                <w:szCs w:val="28"/>
                <w:color w:val="auto"/>
                <w:w w:val="75"/>
                <w:vertAlign w:val="subscript"/>
              </w:rPr>
              <w:t>29.8</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0" w:type="dxa"/>
            <w:vAlign w:val="bottom"/>
          </w:tcPr>
          <w:p>
            <w:pPr>
              <w:spacing w:after="0"/>
              <w:rPr>
                <w:sz w:val="1"/>
                <w:szCs w:val="1"/>
                <w:color w:val="auto"/>
              </w:rPr>
            </w:pPr>
          </w:p>
        </w:tc>
      </w:tr>
      <w:tr>
        <w:trPr>
          <w:trHeight w:val="167"/>
        </w:trPr>
        <w:tc>
          <w:tcPr>
            <w:tcW w:w="39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95"/>
              </w:rPr>
              <w:t>------</w:t>
            </w:r>
            <w:r>
              <w:rPr>
                <w:rFonts w:ascii="Courier New" w:cs="Courier New" w:eastAsia="Courier New" w:hAnsi="Courier New"/>
                <w:sz w:val="28"/>
                <w:szCs w:val="28"/>
                <w:color w:val="auto"/>
                <w:w w:val="95"/>
                <w:vertAlign w:val="subscript"/>
              </w:rPr>
              <w:t>20.4%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RESULTS OF OPERATIONS:</w:t>
        <w:tab/>
        <w:t>2005 TO 2004</w:t>
      </w:r>
    </w:p>
    <w:p>
      <w:pPr>
        <w:spacing w:after="0" w:line="175" w:lineRule="exact"/>
        <w:rPr>
          <w:sz w:val="20"/>
          <w:szCs w:val="20"/>
          <w:color w:val="auto"/>
        </w:rPr>
      </w:pPr>
    </w:p>
    <w:p>
      <w:pPr>
        <w:ind w:right="3379" w:firstLine="521"/>
        <w:spacing w:after="0" w:line="268" w:lineRule="auto"/>
        <w:rPr>
          <w:sz w:val="20"/>
          <w:szCs w:val="20"/>
          <w:color w:val="auto"/>
        </w:rPr>
      </w:pPr>
      <w:r>
        <w:rPr>
          <w:rFonts w:ascii="Courier New" w:cs="Courier New" w:eastAsia="Courier New" w:hAnsi="Courier New"/>
          <w:sz w:val="14"/>
          <w:szCs w:val="14"/>
          <w:color w:val="auto"/>
        </w:rPr>
        <w:t>Net Sales. Automotive net sales increased by 6% on an 8% increase in mirror shipments, from 11,640,000 to 12,570,000 units, primarily reflecting increased penetration of interior and exterior auto-dimming mirrors on European vehicles. North American mirror unit shipments increased by 4%, as growth in Asian transplant vehicle penetration was partially offset by reduced shipments to domestic automakers due to their lower production volumes, while overseas unit shipments increased by 12% during 2005. Net sales of the Company's fire protection products increased 5%, primarily due to stronger sales of certain fire alarm and signal products.</w:t>
      </w:r>
    </w:p>
    <w:p>
      <w:pPr>
        <w:spacing w:after="0" w:line="75" w:lineRule="exact"/>
        <w:rPr>
          <w:sz w:val="20"/>
          <w:szCs w:val="20"/>
          <w:color w:val="auto"/>
        </w:rPr>
      </w:pPr>
    </w:p>
    <w:p>
      <w:pPr>
        <w:ind w:right="3459" w:firstLine="521"/>
        <w:spacing w:after="0" w:line="278"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59% to 63% primarily reflecting annual and other automotive customer price reductions, product mix, higher fixed overhead expenses, and yield issues on certain new exterior mirror production lines and in the microelectronics manufacturing area. Each factor is estimated to have impacted cost of goods sold by approximately 1-2%.</w:t>
      </w:r>
    </w:p>
    <w:p>
      <w:pPr>
        <w:spacing w:after="0" w:line="66" w:lineRule="exact"/>
        <w:rPr>
          <w:sz w:val="20"/>
          <w:szCs w:val="20"/>
          <w:color w:val="auto"/>
        </w:rPr>
      </w:pPr>
    </w:p>
    <w:p>
      <w:pPr>
        <w:ind w:right="3539" w:firstLine="521"/>
        <w:spacing w:after="0" w:line="295" w:lineRule="auto"/>
        <w:rPr>
          <w:sz w:val="20"/>
          <w:szCs w:val="20"/>
          <w:color w:val="auto"/>
        </w:rPr>
      </w:pPr>
      <w:r>
        <w:rPr>
          <w:rFonts w:ascii="Courier New" w:cs="Courier New" w:eastAsia="Courier New" w:hAnsi="Courier New"/>
          <w:sz w:val="14"/>
          <w:szCs w:val="14"/>
          <w:color w:val="auto"/>
        </w:rPr>
        <w:t>Operating Expenses. Engineering, research and development expenses increased approximately $4,226,000, and increased from 6% to 7% of net sales, primarily due to additional staffing for new electronic product development, including SmartBeam and telematics, and new</w:t>
      </w:r>
    </w:p>
    <w:p>
      <w:pPr>
        <w:spacing w:after="0" w:line="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4" w:right="1440" w:bottom="833" w:gutter="0" w:footer="0" w:header="0"/>
        </w:sectPr>
      </w:pPr>
    </w:p>
    <w:bookmarkStart w:id="15" w:name="page16"/>
    <w:bookmarkEnd w:id="15"/>
    <w:p>
      <w:pPr>
        <w:ind w:right="3459"/>
        <w:spacing w:after="0" w:line="285" w:lineRule="auto"/>
        <w:rPr>
          <w:sz w:val="20"/>
          <w:szCs w:val="20"/>
          <w:color w:val="auto"/>
        </w:rPr>
      </w:pPr>
      <w:r>
        <w:rPr>
          <w:rFonts w:ascii="Courier New" w:cs="Courier New" w:eastAsia="Courier New" w:hAnsi="Courier New"/>
          <w:sz w:val="14"/>
          <w:szCs w:val="14"/>
          <w:color w:val="auto"/>
        </w:rPr>
        <w:t>vehicle programs. Selling, general and administrative expenses increased approximately $441,000, but remained at 5% of net sales, primarily reflecting the continued expansion of the Company's overseas sales offices to support the Company's current and future overseas sales growth, partially offset by a reduction in state taxes.</w:t>
      </w:r>
    </w:p>
    <w:p>
      <w:pPr>
        <w:spacing w:after="0" w:line="60" w:lineRule="exact"/>
        <w:rPr>
          <w:sz w:val="20"/>
          <w:szCs w:val="20"/>
          <w:color w:val="auto"/>
        </w:rPr>
      </w:pPr>
    </w:p>
    <w:p>
      <w:pPr>
        <w:ind w:right="3459" w:firstLine="521"/>
        <w:spacing w:after="0" w:line="285" w:lineRule="auto"/>
        <w:rPr>
          <w:sz w:val="20"/>
          <w:szCs w:val="20"/>
          <w:color w:val="auto"/>
        </w:rPr>
      </w:pPr>
      <w:r>
        <w:rPr>
          <w:rFonts w:ascii="Courier New" w:cs="Courier New" w:eastAsia="Courier New" w:hAnsi="Courier New"/>
          <w:sz w:val="14"/>
          <w:szCs w:val="14"/>
          <w:color w:val="auto"/>
        </w:rPr>
        <w:t>Other Income - Net. Investment income increased $9,648,000 in 2005, primarily due to increased year-end mutual fund distribution income and increased interest income due to higher interest rates. Other income decreased $1,714,000 in 2005, primarily due to decreased realized gains on the sale of equity investments.</w:t>
      </w:r>
    </w:p>
    <w:p>
      <w:pPr>
        <w:spacing w:after="0" w:line="60" w:lineRule="exact"/>
        <w:rPr>
          <w:sz w:val="20"/>
          <w:szCs w:val="20"/>
          <w:color w:val="auto"/>
        </w:rPr>
      </w:pPr>
    </w:p>
    <w:p>
      <w:pPr>
        <w:jc w:val="both"/>
        <w:ind w:right="3539" w:firstLine="521"/>
        <w:spacing w:after="0" w:line="317"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 in 2005 primarily due to Extra Territorial Income Exclusion Act exempted taxable income from increased foreign sales.</w:t>
      </w:r>
    </w:p>
    <w:p>
      <w:pPr>
        <w:spacing w:after="0" w:line="39" w:lineRule="exact"/>
        <w:rPr>
          <w:sz w:val="20"/>
          <w:szCs w:val="20"/>
          <w:color w:val="auto"/>
        </w:rPr>
      </w:pPr>
    </w:p>
    <w:p>
      <w:pPr>
        <w:ind w:right="3279" w:firstLine="521"/>
        <w:spacing w:after="0" w:line="378" w:lineRule="auto"/>
        <w:rPr>
          <w:sz w:val="20"/>
          <w:szCs w:val="20"/>
          <w:color w:val="auto"/>
        </w:rPr>
      </w:pPr>
      <w:r>
        <w:rPr>
          <w:rFonts w:ascii="Courier New" w:cs="Courier New" w:eastAsia="Courier New" w:hAnsi="Courier New"/>
          <w:sz w:val="14"/>
          <w:szCs w:val="14"/>
          <w:color w:val="auto"/>
        </w:rPr>
        <w:t>Net Income. Net income decreased by 3%, primarily reflecting the decreased gross margin partially offset by increased other income in 2005.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2004 TO 2003</w:t>
      </w:r>
    </w:p>
    <w:p>
      <w:pPr>
        <w:spacing w:after="0" w:line="175" w:lineRule="exact"/>
        <w:rPr>
          <w:sz w:val="20"/>
          <w:szCs w:val="20"/>
          <w:color w:val="auto"/>
        </w:rPr>
      </w:pPr>
    </w:p>
    <w:p>
      <w:pPr>
        <w:ind w:right="3279" w:firstLine="521"/>
        <w:spacing w:after="0" w:line="264" w:lineRule="auto"/>
        <w:rPr>
          <w:sz w:val="20"/>
          <w:szCs w:val="20"/>
          <w:color w:val="auto"/>
        </w:rPr>
      </w:pPr>
      <w:r>
        <w:rPr>
          <w:rFonts w:ascii="Courier New" w:cs="Courier New" w:eastAsia="Courier New" w:hAnsi="Courier New"/>
          <w:sz w:val="14"/>
          <w:szCs w:val="14"/>
          <w:color w:val="auto"/>
        </w:rPr>
        <w:t>Net Sales. Automotive net sales increased by 8% on a 13% increase in mirror shipments, from 10,260,000 to 11,640,000 units, primarily reflecting increased penetration on European vehicles for base interior auto-dimming mirrors. North American unit shipments increased by 3%, as growth in Asian transplant vehicle penetration was mostly offset by reduced shipments to General Motors, the Company's largest customer, as North American light vehicle production declined by 1% in 2004 compared to 2003. Overseas unit shipments increased by 26% during 2004 due to increased penetration, despite a 1% decline in Western Europe light vehicle production. During 2004, approximately 10% of the Company's net sales were invoiced and paid in European euros. Net sales of the Company's fire protection products decreased 1%, primarily due to the continuing weak commercial construction market in the United States.</w:t>
      </w:r>
    </w:p>
    <w:p>
      <w:pPr>
        <w:spacing w:after="0" w:line="76" w:lineRule="exact"/>
        <w:rPr>
          <w:sz w:val="20"/>
          <w:szCs w:val="20"/>
          <w:color w:val="auto"/>
        </w:rPr>
      </w:pPr>
    </w:p>
    <w:p>
      <w:pPr>
        <w:ind w:right="3279" w:firstLine="521"/>
        <w:spacing w:after="0" w:line="295"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58% to 59%, primarily reflecting annual automotive customer price reductions and product mix, partially offset by improved productivity. Each factor is estimated to have impacted cost of goods sold by approximately 1-2%.</w:t>
      </w:r>
    </w:p>
    <w:p>
      <w:pPr>
        <w:spacing w:after="0" w:line="55" w:lineRule="exact"/>
        <w:rPr>
          <w:sz w:val="20"/>
          <w:szCs w:val="20"/>
          <w:color w:val="auto"/>
        </w:rPr>
      </w:pPr>
    </w:p>
    <w:p>
      <w:pPr>
        <w:ind w:right="3279" w:firstLine="521"/>
        <w:spacing w:after="0" w:line="271" w:lineRule="auto"/>
        <w:rPr>
          <w:sz w:val="20"/>
          <w:szCs w:val="20"/>
          <w:color w:val="auto"/>
        </w:rPr>
      </w:pPr>
      <w:r>
        <w:rPr>
          <w:rFonts w:ascii="Courier New" w:cs="Courier New" w:eastAsia="Courier New" w:hAnsi="Courier New"/>
          <w:sz w:val="14"/>
          <w:szCs w:val="14"/>
          <w:color w:val="auto"/>
        </w:rPr>
        <w:t>Operating Expenses. Engineering, research and development expenses increased approximately $4,220,000, but remained at 6% of net sales, primarily due to additional staffing for new electronic product development, including SmartBeam and telematics. Selling, general and administrative expenses increased approximately $3,534,000, but remained at 5% of net sales, primarily reflecting the continued expansion of the Company's overseas sales offices to support the Company's current and future overseas sales growth, as well as the stronger euro exchange rate.</w:t>
      </w:r>
    </w:p>
    <w:p>
      <w:pPr>
        <w:spacing w:after="0" w:line="70"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Other Income - Net. Investment income increased $401,000 in 2004, primarily due to increased mutual fund distribution income, partially offset by lower interest rates due to shorter average maturities. Other income increased $3,677,000 in 2004, primarily due to realized gains on the sale of equity investments.</w:t>
      </w:r>
    </w:p>
    <w:p>
      <w:pPr>
        <w:spacing w:after="0" w:line="60"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 in 2004 primarily due to Extra Territorial Income (ETI) Exclusion Act exempted taxable income from increased foreign sales. The effective income tax rate decreased from 32.5% in the first half of 2004 to 31.5% in the second half of 2004, primarily due to the ETI tax benefit from increased foreign sales.</w:t>
      </w:r>
    </w:p>
    <w:p>
      <w:pPr>
        <w:spacing w:after="0" w:line="60" w:lineRule="exact"/>
        <w:rPr>
          <w:sz w:val="20"/>
          <w:szCs w:val="20"/>
          <w:color w:val="auto"/>
        </w:rPr>
      </w:pPr>
    </w:p>
    <w:p>
      <w:pPr>
        <w:ind w:right="3279" w:firstLine="521"/>
        <w:spacing w:after="0" w:line="343" w:lineRule="auto"/>
        <w:rPr>
          <w:sz w:val="20"/>
          <w:szCs w:val="20"/>
          <w:color w:val="auto"/>
        </w:rPr>
      </w:pPr>
      <w:r>
        <w:rPr>
          <w:rFonts w:ascii="Courier New" w:cs="Courier New" w:eastAsia="Courier New" w:hAnsi="Courier New"/>
          <w:sz w:val="14"/>
          <w:szCs w:val="14"/>
          <w:color w:val="auto"/>
        </w:rPr>
        <w:t>Net Income. Net income increased by 6%, primarily reflecting the increased gross margin due to higher sales as well as the increase in other income in 2004.</w:t>
      </w:r>
    </w:p>
    <w:p>
      <w:pPr>
        <w:spacing w:after="0" w:line="21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639" w:firstLine="521"/>
        <w:spacing w:after="0" w:line="378" w:lineRule="auto"/>
        <w:rPr>
          <w:sz w:val="20"/>
          <w:szCs w:val="20"/>
          <w:color w:val="auto"/>
        </w:rPr>
      </w:pPr>
      <w:r>
        <w:rPr>
          <w:rFonts w:ascii="Courier New" w:cs="Courier New" w:eastAsia="Courier New" w:hAnsi="Courier New"/>
          <w:sz w:val="14"/>
          <w:szCs w:val="14"/>
          <w:color w:val="auto"/>
        </w:rPr>
        <w:t>The Company's financial condition throughout the periods presented has remained very strong.</w:t>
      </w:r>
    </w:p>
    <w:p>
      <w:pPr>
        <w:spacing w:after="0" w:line="1"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Company's current ratio decreased from 11.7 as of December 31, 2004, to 10.7 as of December 31, 2005, primarily as a result of the increase in accounts payable, primarily due to construction of its new facility.</w:t>
      </w:r>
    </w:p>
    <w:p>
      <w:pPr>
        <w:spacing w:after="0" w:line="3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flow from operating activities for the year ended December 31, 2005,</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decreased $5,124,000 to $126,244,000, compared to $131,368,000 for the same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last year, primarily due to decreased net income. Capital expenditures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 2005, increased to $53,533,000, compared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$30,535,000 for the same period last year, primarily due to construction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facilities. The Company currently anticipates capital expenditures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$40-45 million for new facilities and equipment during 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financed from existing cash reserves.</w:t>
      </w:r>
    </w:p>
    <w:p>
      <w:pPr>
        <w:spacing w:after="0" w:line="149" w:lineRule="exact"/>
        <w:rPr>
          <w:sz w:val="20"/>
          <w:szCs w:val="20"/>
          <w:color w:val="auto"/>
        </w:rPr>
      </w:pPr>
    </w:p>
    <w:p>
      <w:pPr>
        <w:ind w:right="3279" w:firstLine="521"/>
        <w:spacing w:after="0" w:line="317" w:lineRule="auto"/>
        <w:rPr>
          <w:sz w:val="20"/>
          <w:szCs w:val="20"/>
          <w:color w:val="auto"/>
        </w:rPr>
      </w:pPr>
      <w:r>
        <w:rPr>
          <w:rFonts w:ascii="Courier New" w:cs="Courier New" w:eastAsia="Courier New" w:hAnsi="Courier New"/>
          <w:sz w:val="14"/>
          <w:szCs w:val="14"/>
          <w:color w:val="auto"/>
        </w:rPr>
        <w:t>Cash and cash equivalents as of December 31, 2005, increased approximately $44,143,000 compared to December 31, 2004, primarily due to maturities of short-term investments.</w:t>
      </w:r>
    </w:p>
    <w:p>
      <w:pPr>
        <w:spacing w:after="0" w:line="39" w:lineRule="exact"/>
        <w:rPr>
          <w:sz w:val="20"/>
          <w:szCs w:val="20"/>
          <w:color w:val="auto"/>
        </w:rPr>
      </w:pPr>
    </w:p>
    <w:p>
      <w:pPr>
        <w:ind w:right="3539" w:firstLine="521"/>
        <w:spacing w:after="0" w:line="295" w:lineRule="auto"/>
        <w:rPr>
          <w:sz w:val="20"/>
          <w:szCs w:val="20"/>
          <w:color w:val="auto"/>
        </w:rPr>
      </w:pPr>
      <w:r>
        <w:rPr>
          <w:rFonts w:ascii="Courier New" w:cs="Courier New" w:eastAsia="Courier New" w:hAnsi="Courier New"/>
          <w:sz w:val="14"/>
          <w:szCs w:val="14"/>
          <w:color w:val="auto"/>
        </w:rPr>
        <w:t>Inventories as of December 31, 2005, increased approximately $9,236,000 compared to December 31, 2004. The increase was primarily due to higher sales and production levels, increased purchases of overseas glass and electronic parts, and increased shipments through its distribution facility in Germany.</w:t>
      </w:r>
    </w:p>
    <w:p>
      <w:pPr>
        <w:spacing w:after="0" w:line="5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increase in plant and equipment as of December 31, 2005, compared to December 31, 2004, is primarily due to the construction of the new facilities and new manufacturing equipment.</w:t>
      </w:r>
    </w:p>
    <w:p>
      <w:pPr>
        <w:spacing w:after="0" w:line="3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Management considers the Company's working capital of approximately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$560,899,000 and long-term investments of approximately $132,525,000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2005, together with internally generated cash flow and an unsecured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line of credit from a bank, to be sufficient to cover anticipated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needs for the next year and for the foreseeable future.</w:t>
      </w:r>
    </w:p>
    <w:p>
      <w:pPr>
        <w:spacing w:after="0" w:line="149" w:lineRule="exact"/>
        <w:rPr>
          <w:sz w:val="20"/>
          <w:szCs w:val="20"/>
          <w:color w:val="auto"/>
        </w:rPr>
      </w:pPr>
    </w:p>
    <w:p>
      <w:pPr>
        <w:ind w:right="3279" w:firstLine="521"/>
        <w:spacing w:after="0" w:line="265" w:lineRule="auto"/>
        <w:rPr>
          <w:sz w:val="20"/>
          <w:szCs w:val="20"/>
          <w:color w:val="auto"/>
        </w:rPr>
      </w:pPr>
      <w:r>
        <w:rPr>
          <w:rFonts w:ascii="Courier New" w:cs="Courier New" w:eastAsia="Courier New" w:hAnsi="Courier New"/>
          <w:sz w:val="14"/>
          <w:szCs w:val="14"/>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 other factors that the Company deems appropriate. On July 20, 2005, the Company announced that it had raised the price at which the Company may repurchase shares under the existing plan. During the quarter ended March 31, 2003, the Company repurchased 830,000 shares (post-split) at a cost of approximately $10,247,000. During the quarter ended September 30, 2005, the Company repurchased approximately 1,496,000 shares at a cost of approximately $25,215,000. Approximately 5,674,000 shares remain authorized to be repurchased under the plan.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CHANGING PRICES AND OTHER</w:t>
      </w:r>
    </w:p>
    <w:p>
      <w:pPr>
        <w:spacing w:after="0" w:line="175" w:lineRule="exact"/>
        <w:rPr>
          <w:sz w:val="20"/>
          <w:szCs w:val="20"/>
          <w:color w:val="auto"/>
        </w:rPr>
      </w:pPr>
    </w:p>
    <w:p>
      <w:pPr>
        <w:ind w:right="3279" w:firstLine="521"/>
        <w:spacing w:after="0" w:line="261" w:lineRule="auto"/>
        <w:rPr>
          <w:sz w:val="20"/>
          <w:szCs w:val="20"/>
          <w:color w:val="auto"/>
        </w:rPr>
      </w:pPr>
      <w:r>
        <w:rPr>
          <w:rFonts w:ascii="Courier New" w:cs="Courier New" w:eastAsia="Courier New" w:hAnsi="Courier New"/>
          <w:sz w:val="14"/>
          <w:szCs w:val="14"/>
          <w:color w:val="auto"/>
        </w:rPr>
        <w:t>The Company generally supplies auto-dimming mirrors to its customers worldwide under annual blanket purchase orders. During 2005, the Company negotiated an extension to its long-term agreement with General Motors (GM) in the ordinary course of the Company's business. Under the extension, the Company will be sourced virtually all the interior auto-dimming rearview mirrors programs for GM and its worldwide affiliates through August 2009, except for two low-volume models that had previously been awarded to a competitor under a lifetime contract. The new business also includes the GMT360 program, which is the mid-size truck/SUV platform that previously did not offer auto-dimming mirrors. The GM programs will be transferred to the Company by no later than the 2007 model year. We currently estimate that this new business represents incremental auto-dimming mirror units in the range of 500,000 on an annualized basis.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250" w:lineRule="exact"/>
        <w:rPr>
          <w:sz w:val="20"/>
          <w:szCs w:val="20"/>
          <w:color w:val="auto"/>
        </w:rPr>
      </w:pPr>
    </w:p>
    <w:p>
      <w:pPr>
        <w:ind w:right="3279" w:firstLine="521"/>
        <w:spacing w:after="0" w:line="278" w:lineRule="auto"/>
        <w:rPr>
          <w:sz w:val="20"/>
          <w:szCs w:val="20"/>
          <w:color w:val="auto"/>
        </w:rPr>
      </w:pPr>
      <w:r>
        <w:rPr>
          <w:rFonts w:ascii="Courier New" w:cs="Courier New" w:eastAsia="Courier New" w:hAnsi="Courier New"/>
          <w:sz w:val="14"/>
          <w:szCs w:val="14"/>
          <w:color w:val="auto"/>
        </w:rPr>
        <w:t>During 2005, the Company negotiated an extension to its long-term agreement with DaimlerChrysler in the ordinary course of the Company's business. Under the extension, the Company will be sourced virtually all Mercedes and Chrysler interior and exterior auto-dimming rearview mirrors through December 2009. The Company's exterior auto-dimming mirror sub-assemblies are supplied by means of sales to exterior mirror suppliers.</w:t>
      </w:r>
    </w:p>
    <w:p>
      <w:pPr>
        <w:spacing w:after="0" w:line="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4" w:right="1440" w:bottom="1440" w:gutter="0" w:footer="0" w:header="0"/>
        </w:sectPr>
      </w:pPr>
    </w:p>
    <w:bookmarkStart w:id="17" w:name="page18"/>
    <w:bookmarkEnd w:id="17"/>
    <w:p>
      <w:pPr>
        <w:ind w:right="3279" w:firstLine="521"/>
        <w:spacing w:after="0" w:line="285" w:lineRule="auto"/>
        <w:rPr>
          <w:sz w:val="20"/>
          <w:szCs w:val="20"/>
          <w:color w:val="auto"/>
        </w:rPr>
      </w:pPr>
      <w:r>
        <w:rPr>
          <w:rFonts w:ascii="Courier New" w:cs="Courier New" w:eastAsia="Courier New" w:hAnsi="Courier New"/>
          <w:sz w:val="14"/>
          <w:szCs w:val="14"/>
          <w:color w:val="auto"/>
        </w:rPr>
        <w:t>The Company currently expects that auto-dimming mirror unit shipments will be approximately 10% percent higher in calendar 2006 compared with calendar 2005. These estimates are based on light vehicle production forecasts in the regions to which the Company ships product, as well as the estimated option rates for its mirrors on prospective vehicle models.</w:t>
      </w:r>
    </w:p>
    <w:p>
      <w:pPr>
        <w:spacing w:after="0" w:line="60" w:lineRule="exact"/>
        <w:rPr>
          <w:sz w:val="20"/>
          <w:szCs w:val="20"/>
          <w:color w:val="auto"/>
        </w:rPr>
      </w:pPr>
    </w:p>
    <w:p>
      <w:pPr>
        <w:ind w:right="3379" w:firstLine="521"/>
        <w:spacing w:after="0" w:line="295" w:lineRule="auto"/>
        <w:rPr>
          <w:sz w:val="20"/>
          <w:szCs w:val="20"/>
          <w:color w:val="auto"/>
        </w:rPr>
      </w:pPr>
      <w:r>
        <w:rPr>
          <w:rFonts w:ascii="Courier New" w:cs="Courier New" w:eastAsia="Courier New" w:hAnsi="Courier New"/>
          <w:sz w:val="14"/>
          <w:szCs w:val="14"/>
          <w:color w:val="auto"/>
        </w:rPr>
        <w:t>The Company utilizes the light vehicle production forecasting services of CSM Worldwide, and CSM's current forecasts for light vehicle production for calendar 2006 are approximately 15.7 million units for North America, 20.2 million for Europe and 14.1 million for Japan and Korea.</w:t>
      </w:r>
    </w:p>
    <w:p>
      <w:pPr>
        <w:spacing w:after="0" w:line="5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Company does not have any significant off-balance sheet arrangements or commitments that have not been recorded in its consolidated financial statements.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 DISCLOSURE</w:t>
      </w:r>
    </w:p>
    <w:p>
      <w:pPr>
        <w:spacing w:after="0" w:line="17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Company is subject to market risk exposures of varying correlations and volatilities, including foreign exchange rate risk, interest rate risk and equity price risk.</w:t>
      </w:r>
    </w:p>
    <w:p>
      <w:pPr>
        <w:spacing w:after="0" w:line="39"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60"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Most of the Company's non-U.S. sales are invoiced and paid in U.S. dollars; during 2005, approximately 9% of the Company's net sales were invoiced and paid in European euros. The Company currently expects that approximately 12% of the Company's net sales in 2006 will be invoiced and paid in European euros. The Company does not currently engage in hedging activities.</w:t>
      </w:r>
    </w:p>
    <w:p>
      <w:pPr>
        <w:spacing w:after="0" w:line="60" w:lineRule="exact"/>
        <w:rPr>
          <w:sz w:val="20"/>
          <w:szCs w:val="20"/>
          <w:color w:val="auto"/>
        </w:rPr>
      </w:pPr>
    </w:p>
    <w:p>
      <w:pPr>
        <w:ind w:right="3459" w:firstLine="521"/>
        <w:spacing w:after="0" w:line="295" w:lineRule="auto"/>
        <w:rPr>
          <w:sz w:val="20"/>
          <w:szCs w:val="20"/>
          <w:color w:val="auto"/>
        </w:rPr>
      </w:pPr>
      <w:r>
        <w:rPr>
          <w:rFonts w:ascii="Courier New" w:cs="Courier New" w:eastAsia="Courier New" w:hAnsi="Courier New"/>
          <w:sz w:val="14"/>
          <w:szCs w:val="14"/>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2009-</w:t>
            </w:r>
          </w:p>
        </w:tc>
        <w:tc>
          <w:tcPr>
            <w:tcW w:w="2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Total Balance</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7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2007</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2008</w:t>
            </w:r>
          </w:p>
        </w:tc>
        <w:tc>
          <w:tcPr>
            <w:tcW w:w="820" w:type="dxa"/>
            <w:vAlign w:val="bottom"/>
            <w:vMerge w:val="continue"/>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as of December 31,</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2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6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7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3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65.2</w:t>
            </w: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w:t>
            </w: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Municipal</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w:t>
            </w: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7"/>
        </w:trPr>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Certificates of Deposit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7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3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32.0</w:t>
            </w: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w:t>
            </w: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3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16.9</w:t>
            </w:r>
          </w:p>
        </w:tc>
        <w:tc>
          <w:tcPr>
            <w:tcW w:w="7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$ 0.3</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3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w:t>
            </w: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74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0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380" w:type="dxa"/>
            <w:vAlign w:val="bottom"/>
            <w:vMerge w:val="restart"/>
          </w:tcPr>
          <w:p>
            <w:pPr>
              <w:spacing w:after="0"/>
              <w:rPr>
                <w:sz w:val="20"/>
                <w:szCs w:val="20"/>
                <w:color w:val="auto"/>
              </w:rPr>
            </w:pPr>
            <w:r>
              <w:rPr>
                <w:rFonts w:ascii="Courier New" w:cs="Courier New" w:eastAsia="Courier New" w:hAnsi="Courier New"/>
                <w:sz w:val="14"/>
                <w:szCs w:val="14"/>
                <w:color w:val="auto"/>
              </w:rPr>
              <w:t>Interest Rate</w:t>
            </w:r>
          </w:p>
        </w:tc>
        <w:tc>
          <w:tcPr>
            <w:tcW w:w="3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244"/>
        </w:trPr>
        <w:tc>
          <w:tcPr>
            <w:tcW w:w="880" w:type="dxa"/>
            <w:vAlign w:val="bottom"/>
          </w:tcPr>
          <w:p>
            <w:pPr>
              <w:spacing w:after="0"/>
              <w:rPr>
                <w:sz w:val="20"/>
                <w:szCs w:val="20"/>
                <w:color w:val="auto"/>
              </w:rPr>
            </w:pPr>
            <w:r>
              <w:rPr>
                <w:rFonts w:ascii="Courier New" w:cs="Courier New" w:eastAsia="Courier New" w:hAnsi="Courier New"/>
                <w:sz w:val="14"/>
                <w:szCs w:val="14"/>
                <w:color w:val="auto"/>
              </w:rPr>
              <w:t>*After-tax</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3899" w:firstLine="521"/>
        <w:spacing w:after="0" w:line="317" w:lineRule="auto"/>
        <w:rPr>
          <w:sz w:val="20"/>
          <w:szCs w:val="20"/>
          <w:color w:val="auto"/>
        </w:rPr>
      </w:pPr>
      <w:r>
        <w:rPr>
          <w:rFonts w:ascii="Courier New" w:cs="Courier New" w:eastAsia="Courier New" w:hAnsi="Courier New"/>
          <w:sz w:val="14"/>
          <w:szCs w:val="14"/>
          <w:color w:val="auto"/>
        </w:rPr>
        <w:t>Most of the Company's equity investments are managed by a number of outside equity fund managers who invest primarily in large capitalization companies trading on the U.S. stock markets.</w:t>
      </w:r>
    </w:p>
    <w:p>
      <w:pPr>
        <w:spacing w:after="0" w:line="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CONTRACTUAL OBLIGATIONS AND OTHER COMMITMENTS</w:t>
      </w:r>
    </w:p>
    <w:p>
      <w:pPr>
        <w:spacing w:after="0" w:line="175" w:lineRule="exact"/>
        <w:rPr>
          <w:sz w:val="20"/>
          <w:szCs w:val="20"/>
          <w:color w:val="auto"/>
        </w:rPr>
      </w:pPr>
    </w:p>
    <w:p>
      <w:pPr>
        <w:ind w:right="4239" w:firstLine="521"/>
        <w:spacing w:after="0" w:line="382" w:lineRule="auto"/>
        <w:rPr>
          <w:sz w:val="20"/>
          <w:szCs w:val="20"/>
          <w:color w:val="auto"/>
        </w:rPr>
      </w:pPr>
      <w:r>
        <w:rPr>
          <w:rFonts w:ascii="Courier New" w:cs="Courier New" w:eastAsia="Courier New" w:hAnsi="Courier New"/>
          <w:sz w:val="14"/>
          <w:szCs w:val="14"/>
          <w:color w:val="auto"/>
        </w:rPr>
        <w:t>The Company has the following contractual obligations and other commitments (000,000) as of December 31, 2005: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Less than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After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 Years</w:t>
            </w:r>
          </w:p>
        </w:tc>
      </w:tr>
      <w:tr>
        <w:trPr>
          <w:trHeight w:val="244"/>
        </w:trPr>
        <w:tc>
          <w:tcPr>
            <w:tcW w:w="2140" w:type="dxa"/>
            <w:vAlign w:val="bottom"/>
          </w:tcPr>
          <w:p>
            <w:pPr>
              <w:spacing w:after="0"/>
              <w:rPr>
                <w:sz w:val="21"/>
                <w:szCs w:val="21"/>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21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2"/>
                <w:szCs w:val="22"/>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42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0.6</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w:t>
            </w:r>
          </w:p>
        </w:tc>
        <w:tc>
          <w:tcPr>
            <w:tcW w:w="780" w:type="dxa"/>
            <w:vAlign w:val="bottom"/>
          </w:tcPr>
          <w:p>
            <w:pPr>
              <w:spacing w:after="0"/>
              <w:rPr>
                <w:sz w:val="14"/>
                <w:szCs w:val="14"/>
                <w:color w:val="auto"/>
              </w:rPr>
            </w:pP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Purchase obligations*</w:t>
            </w:r>
          </w:p>
        </w:tc>
        <w:tc>
          <w:tcPr>
            <w:tcW w:w="42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43.5</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Dividends payable</w:t>
            </w:r>
          </w:p>
        </w:tc>
        <w:tc>
          <w:tcPr>
            <w:tcW w:w="42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14.0</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4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$ 58.6</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$ 58.1</w:t>
            </w:r>
          </w:p>
        </w:tc>
        <w:tc>
          <w:tcPr>
            <w:tcW w:w="700" w:type="dxa"/>
            <w:vAlign w:val="bottom"/>
          </w:tcPr>
          <w:p>
            <w:pPr>
              <w:spacing w:after="0"/>
              <w:rPr>
                <w:sz w:val="14"/>
                <w:szCs w:val="14"/>
                <w:color w:val="auto"/>
              </w:rPr>
            </w:pPr>
          </w:p>
        </w:tc>
        <w:tc>
          <w:tcPr>
            <w:tcW w:w="6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r>
      <w:tr>
        <w:trPr>
          <w:trHeight w:val="244"/>
        </w:trPr>
        <w:tc>
          <w:tcPr>
            <w:tcW w:w="2140" w:type="dxa"/>
            <w:vAlign w:val="bottom"/>
          </w:tcPr>
          <w:p>
            <w:pPr>
              <w:spacing w:after="0"/>
              <w:rPr>
                <w:sz w:val="21"/>
                <w:szCs w:val="21"/>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*Primarily for inventory parts, capital equipment and new facilities.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5" w:lineRule="exact"/>
        <w:rPr>
          <w:sz w:val="20"/>
          <w:szCs w:val="20"/>
          <w:color w:val="auto"/>
        </w:rPr>
      </w:pPr>
    </w:p>
    <w:p>
      <w:pPr>
        <w:ind w:right="3459" w:firstLine="521"/>
        <w:spacing w:after="0" w:line="285" w:lineRule="auto"/>
        <w:rPr>
          <w:sz w:val="20"/>
          <w:szCs w:val="20"/>
          <w:color w:val="auto"/>
        </w:rPr>
      </w:pPr>
      <w:r>
        <w:rPr>
          <w:rFonts w:ascii="Courier New" w:cs="Courier New" w:eastAsia="Courier New" w:hAnsi="Courier New"/>
          <w:sz w:val="14"/>
          <w:szCs w:val="14"/>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60" w:lineRule="exact"/>
        <w:rPr>
          <w:sz w:val="20"/>
          <w:szCs w:val="20"/>
          <w:color w:val="auto"/>
        </w:rPr>
      </w:pPr>
    </w:p>
    <w:p>
      <w:pPr>
        <w:ind w:right="3279" w:firstLine="521"/>
        <w:spacing w:after="0" w:line="274" w:lineRule="auto"/>
        <w:rPr>
          <w:sz w:val="20"/>
          <w:szCs w:val="20"/>
          <w:color w:val="auto"/>
        </w:rPr>
      </w:pPr>
      <w:r>
        <w:rPr>
          <w:rFonts w:ascii="Courier New" w:cs="Courier New" w:eastAsia="Courier New" w:hAnsi="Courier New"/>
          <w:sz w:val="14"/>
          <w:szCs w:val="14"/>
          <w:color w:val="auto"/>
        </w:rPr>
        <w:t>Revenue Recognition. The Company recognizes revenue in accordance with SEC Staff Accounting Bulletin No. 104,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68" w:lineRule="exact"/>
        <w:rPr>
          <w:sz w:val="20"/>
          <w:szCs w:val="20"/>
          <w:color w:val="auto"/>
        </w:rPr>
      </w:pPr>
    </w:p>
    <w:p>
      <w:pPr>
        <w:ind w:right="3379" w:firstLine="521"/>
        <w:spacing w:after="0" w:line="285" w:lineRule="auto"/>
        <w:rPr>
          <w:sz w:val="20"/>
          <w:szCs w:val="20"/>
          <w:color w:val="auto"/>
        </w:rPr>
      </w:pPr>
      <w:r>
        <w:rPr>
          <w:rFonts w:ascii="Courier New" w:cs="Courier New" w:eastAsia="Courier New" w:hAnsi="Courier New"/>
          <w:sz w:val="14"/>
          <w:szCs w:val="14"/>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60" w:lineRule="exact"/>
        <w:rPr>
          <w:sz w:val="20"/>
          <w:szCs w:val="20"/>
          <w:color w:val="auto"/>
        </w:rPr>
      </w:pPr>
    </w:p>
    <w:p>
      <w:pPr>
        <w:ind w:right="3279" w:firstLine="521"/>
        <w:spacing w:after="0" w:line="271" w:lineRule="auto"/>
        <w:rPr>
          <w:sz w:val="20"/>
          <w:szCs w:val="20"/>
          <w:color w:val="auto"/>
        </w:rPr>
      </w:pPr>
      <w:r>
        <w:rPr>
          <w:rFonts w:ascii="Courier New" w:cs="Courier New" w:eastAsia="Courier New" w:hAnsi="Courier New"/>
          <w:sz w:val="14"/>
          <w:szCs w:val="14"/>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2005, to be temporary in nature.</w:t>
      </w:r>
    </w:p>
    <w:p>
      <w:pPr>
        <w:spacing w:after="0" w:line="70" w:lineRule="exact"/>
        <w:rPr>
          <w:sz w:val="20"/>
          <w:szCs w:val="20"/>
          <w:color w:val="auto"/>
        </w:rPr>
      </w:pPr>
    </w:p>
    <w:p>
      <w:pPr>
        <w:ind w:right="3459" w:firstLine="521"/>
        <w:spacing w:after="0" w:line="274" w:lineRule="auto"/>
        <w:rPr>
          <w:sz w:val="20"/>
          <w:szCs w:val="20"/>
          <w:color w:val="auto"/>
        </w:rPr>
      </w:pPr>
      <w:r>
        <w:rPr>
          <w:rFonts w:ascii="Courier New" w:cs="Courier New" w:eastAsia="Courier New" w:hAnsi="Courier New"/>
          <w:sz w:val="14"/>
          <w:szCs w:val="14"/>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A. QUANTITATIVE AND QUALITATIVE DISCLOSURES ABOUT MARKET RISK.</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See "Market Risk Disclosure" in Management's Discussion and Analysis (Item</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p>
      <w:pPr>
        <w:ind w:right="3459" w:firstLine="521"/>
        <w:spacing w:after="0" w:line="317" w:lineRule="auto"/>
        <w:rPr>
          <w:sz w:val="20"/>
          <w:szCs w:val="20"/>
          <w:color w:val="auto"/>
        </w:rPr>
      </w:pPr>
      <w:r>
        <w:rPr>
          <w:rFonts w:ascii="Courier New" w:cs="Courier New" w:eastAsia="Courier New" w:hAnsi="Courier New"/>
          <w:sz w:val="14"/>
          <w:szCs w:val="14"/>
          <w:color w:val="auto"/>
        </w:rPr>
        <w:t>The following financial statements and reports of independent registered public accounting firm are filed with this report as pages 24 through 38 following the signature page:</w:t>
      </w:r>
    </w:p>
    <w:p>
      <w:pPr>
        <w:spacing w:after="0" w:line="3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right="3899" w:firstLine="521"/>
        <w:spacing w:after="0" w:line="378" w:lineRule="auto"/>
        <w:rPr>
          <w:sz w:val="20"/>
          <w:szCs w:val="20"/>
          <w:color w:val="auto"/>
        </w:rPr>
      </w:pPr>
      <w:r>
        <w:rPr>
          <w:rFonts w:ascii="Courier New" w:cs="Courier New" w:eastAsia="Courier New" w:hAnsi="Courier New"/>
          <w:sz w:val="14"/>
          <w:szCs w:val="14"/>
          <w:color w:val="auto"/>
        </w:rPr>
        <w:t>Report of Independent Registered Public Accounting Firm on Internal Control Over Financial Reporting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Balance Sheets as of December 31, 2005 and 2004</w:t>
      </w:r>
    </w:p>
    <w:p>
      <w:pPr>
        <w:spacing w:after="0" w:line="175" w:lineRule="exact"/>
        <w:rPr>
          <w:sz w:val="20"/>
          <w:szCs w:val="20"/>
          <w:color w:val="auto"/>
        </w:rPr>
      </w:pPr>
    </w:p>
    <w:p>
      <w:pPr>
        <w:ind w:right="3459" w:firstLine="521"/>
        <w:spacing w:after="0" w:line="378" w:lineRule="auto"/>
        <w:rPr>
          <w:sz w:val="20"/>
          <w:szCs w:val="20"/>
          <w:color w:val="auto"/>
        </w:rPr>
      </w:pPr>
      <w:r>
        <w:rPr>
          <w:rFonts w:ascii="Courier New" w:cs="Courier New" w:eastAsia="Courier New" w:hAnsi="Courier New"/>
          <w:sz w:val="14"/>
          <w:szCs w:val="14"/>
          <w:color w:val="auto"/>
        </w:rPr>
        <w:t>Consolidated Statements of Income for the years ended December 31, 2005, 2004 and 2003</w:t>
      </w:r>
    </w:p>
    <w:p>
      <w:pPr>
        <w:spacing w:after="0" w:line="1" w:lineRule="exact"/>
        <w:rPr>
          <w:sz w:val="20"/>
          <w:szCs w:val="20"/>
          <w:color w:val="auto"/>
        </w:rPr>
      </w:pPr>
    </w:p>
    <w:p>
      <w:pPr>
        <w:ind w:right="3539" w:firstLine="521"/>
        <w:spacing w:after="0" w:line="378" w:lineRule="auto"/>
        <w:rPr>
          <w:sz w:val="20"/>
          <w:szCs w:val="20"/>
          <w:color w:val="auto"/>
        </w:rPr>
      </w:pPr>
      <w:r>
        <w:rPr>
          <w:rFonts w:ascii="Courier New" w:cs="Courier New" w:eastAsia="Courier New" w:hAnsi="Courier New"/>
          <w:sz w:val="14"/>
          <w:szCs w:val="14"/>
          <w:color w:val="auto"/>
        </w:rPr>
        <w:t>Consolidated Statements of Shareholders' Investment for the years ended December 31, 2005, 2004 and 2003</w:t>
      </w:r>
    </w:p>
    <w:p>
      <w:pPr>
        <w:spacing w:after="0" w:line="1" w:lineRule="exact"/>
        <w:rPr>
          <w:sz w:val="20"/>
          <w:szCs w:val="20"/>
          <w:color w:val="auto"/>
        </w:rPr>
      </w:pPr>
    </w:p>
    <w:p>
      <w:pPr>
        <w:ind w:right="3639" w:firstLine="521"/>
        <w:spacing w:after="0" w:line="378" w:lineRule="auto"/>
        <w:rPr>
          <w:sz w:val="20"/>
          <w:szCs w:val="20"/>
          <w:color w:val="auto"/>
        </w:rPr>
      </w:pPr>
      <w:r>
        <w:rPr>
          <w:rFonts w:ascii="Courier New" w:cs="Courier New" w:eastAsia="Courier New" w:hAnsi="Courier New"/>
          <w:sz w:val="14"/>
          <w:szCs w:val="14"/>
          <w:color w:val="auto"/>
        </w:rPr>
        <w:t>Consolidated Statements of Cash Flows for the years ended December 31, 2005, 2004 and 2003</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4" w:right="1440" w:bottom="666" w:gutter="0" w:footer="0" w:header="0"/>
        </w:sectPr>
      </w:pPr>
    </w:p>
    <w:bookmarkStart w:id="19" w:name="page20"/>
    <w:bookmarkEnd w:id="19"/>
    <w:p>
      <w:pPr>
        <w:ind w:right="4080"/>
        <w:spacing w:after="0" w:line="382" w:lineRule="auto"/>
        <w:rPr>
          <w:sz w:val="20"/>
          <w:szCs w:val="20"/>
          <w:color w:val="auto"/>
        </w:rPr>
      </w:pPr>
      <w:r>
        <w:rPr>
          <w:rFonts w:ascii="Courier New" w:cs="Courier New" w:eastAsia="Courier New" w:hAnsi="Courier New"/>
          <w:sz w:val="14"/>
          <w:szCs w:val="14"/>
          <w:color w:val="auto"/>
        </w:rPr>
        <w:t>Selected quarterly financial data for the past two years appears in the following table:</w:t>
      </w:r>
    </w:p>
    <w:p>
      <w:pPr>
        <w:spacing w:after="0" w:line="330" w:lineRule="exact"/>
        <w:rPr>
          <w:sz w:val="20"/>
          <w:szCs w:val="20"/>
          <w:color w:val="auto"/>
        </w:rPr>
      </w:pPr>
    </w:p>
    <w:p>
      <w:pPr>
        <w:jc w:val="center"/>
        <w:ind w:right="-799"/>
        <w:spacing w:after="0"/>
        <w:rPr>
          <w:sz w:val="20"/>
          <w:szCs w:val="20"/>
          <w:color w:val="auto"/>
        </w:rPr>
      </w:pPr>
      <w:r>
        <w:rPr>
          <w:rFonts w:ascii="Courier New" w:cs="Courier New" w:eastAsia="Courier New" w:hAnsi="Courier New"/>
          <w:sz w:val="14"/>
          <w:szCs w:val="14"/>
          <w:color w:val="auto"/>
        </w:rPr>
        <w:t>Quarterly Results of Operations</w:t>
      </w:r>
    </w:p>
    <w:p>
      <w:pPr>
        <w:spacing w:after="0" w:line="34"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2260" w:type="dxa"/>
        <w:tblCellMar>
          <w:top w:w="0" w:type="dxa"/>
          <w:left w:w="0" w:type="dxa"/>
          <w:bottom w:w="0" w:type="dxa"/>
          <w:right w:w="0" w:type="dxa"/>
        </w:tblCellMar>
      </w:tblPr>
      <w:tr>
        <w:trPr>
          <w:trHeight w:val="149"/>
        </w:trPr>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2005</w:t>
            </w:r>
          </w:p>
        </w:tc>
        <w:tc>
          <w:tcPr>
            <w:tcW w:w="1260" w:type="dxa"/>
            <w:vAlign w:val="bottom"/>
          </w:tcPr>
          <w:p>
            <w:pPr>
              <w:jc w:val="right"/>
              <w:ind w:right="708"/>
              <w:spacing w:after="0" w:line="149" w:lineRule="exact"/>
              <w:rPr>
                <w:sz w:val="20"/>
                <w:szCs w:val="20"/>
                <w:color w:val="auto"/>
              </w:rPr>
            </w:pPr>
            <w:r>
              <w:rPr>
                <w:rFonts w:ascii="Courier New" w:cs="Courier New" w:eastAsia="Courier New" w:hAnsi="Courier New"/>
                <w:sz w:val="14"/>
                <w:szCs w:val="14"/>
                <w:color w:val="auto"/>
              </w:rPr>
              <w:t>First</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ind w:right="668"/>
              <w:spacing w:after="0" w:line="149" w:lineRule="exact"/>
              <w:rPr>
                <w:sz w:val="20"/>
                <w:szCs w:val="20"/>
                <w:color w:val="auto"/>
              </w:rPr>
            </w:pPr>
            <w:r>
              <w:rPr>
                <w:rFonts w:ascii="Courier New" w:cs="Courier New" w:eastAsia="Courier New" w:hAnsi="Courier New"/>
                <w:sz w:val="14"/>
                <w:szCs w:val="14"/>
                <w:color w:val="auto"/>
              </w:rPr>
              <w:t>Second</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jc w:val="right"/>
              <w:ind w:right="788"/>
              <w:spacing w:after="0" w:line="149" w:lineRule="exact"/>
              <w:rPr>
                <w:sz w:val="20"/>
                <w:szCs w:val="20"/>
                <w:color w:val="auto"/>
              </w:rPr>
            </w:pPr>
            <w:r>
              <w:rPr>
                <w:rFonts w:ascii="Courier New" w:cs="Courier New" w:eastAsia="Courier New" w:hAnsi="Courier New"/>
                <w:sz w:val="14"/>
                <w:szCs w:val="14"/>
                <w:color w:val="auto"/>
              </w:rPr>
              <w:t>Third</w:t>
            </w:r>
          </w:p>
        </w:tc>
        <w:tc>
          <w:tcPr>
            <w:tcW w:w="8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ind w:right="268"/>
              <w:spacing w:after="0" w:line="149" w:lineRule="exact"/>
              <w:rPr>
                <w:sz w:val="20"/>
                <w:szCs w:val="20"/>
                <w:color w:val="auto"/>
              </w:rPr>
            </w:pPr>
            <w:r>
              <w:rPr>
                <w:rFonts w:ascii="Courier New" w:cs="Courier New" w:eastAsia="Courier New" w:hAnsi="Courier New"/>
                <w:sz w:val="14"/>
                <w:szCs w:val="14"/>
                <w:color w:val="auto"/>
              </w:rPr>
              <w:t>Fourth</w:t>
            </w:r>
          </w:p>
        </w:tc>
        <w:tc>
          <w:tcPr>
            <w:tcW w:w="0" w:type="dxa"/>
            <w:vAlign w:val="bottom"/>
          </w:tcPr>
          <w:p>
            <w:pPr>
              <w:spacing w:after="0"/>
              <w:rPr>
                <w:sz w:val="1"/>
                <w:szCs w:val="1"/>
                <w:color w:val="auto"/>
              </w:rPr>
            </w:pPr>
          </w:p>
        </w:tc>
      </w:tr>
      <w:tr>
        <w:trPr>
          <w:trHeight w:val="193"/>
        </w:trPr>
        <w:tc>
          <w:tcPr>
            <w:tcW w:w="400" w:type="dxa"/>
            <w:vAlign w:val="bottom"/>
            <w:vMerge w:val="continue"/>
          </w:tcPr>
          <w:p>
            <w:pPr>
              <w:spacing w:after="0"/>
              <w:rPr>
                <w:sz w:val="16"/>
                <w:szCs w:val="16"/>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2004</w:t>
            </w:r>
          </w:p>
        </w:tc>
        <w:tc>
          <w:tcPr>
            <w:tcW w:w="780" w:type="dxa"/>
            <w:vAlign w:val="bottom"/>
            <w:vMerge w:val="continue"/>
          </w:tcPr>
          <w:p>
            <w:pPr>
              <w:spacing w:after="0"/>
              <w:rPr>
                <w:sz w:val="16"/>
                <w:szCs w:val="16"/>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740" w:type="dxa"/>
            <w:vAlign w:val="bottom"/>
            <w:vMerge w:val="continue"/>
          </w:tcPr>
          <w:p>
            <w:pPr>
              <w:spacing w:after="0"/>
              <w:rPr>
                <w:sz w:val="16"/>
                <w:szCs w:val="16"/>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84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127,642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129,328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132,384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129,646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138,115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120,457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138,343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126,236</w:t>
            </w: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48,053</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54,884</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49,566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54,455</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47,702</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49,826</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50,704</w:t>
            </w: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33,236</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40,696</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33,756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40,029</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35,293</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33,393</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34,009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35,948</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25,933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29,815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26,041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28,985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27,936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25,225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29,618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28,631</w:t>
            </w:r>
          </w:p>
        </w:tc>
        <w:tc>
          <w:tcPr>
            <w:tcW w:w="0" w:type="dxa"/>
            <w:vAlign w:val="bottom"/>
          </w:tcPr>
          <w:p>
            <w:pPr>
              <w:spacing w:after="0"/>
              <w:rPr>
                <w:sz w:val="1"/>
                <w:szCs w:val="1"/>
                <w:color w:val="auto"/>
              </w:rPr>
            </w:pPr>
          </w:p>
        </w:tc>
      </w:tr>
      <w:tr>
        <w:trPr>
          <w:trHeight w:val="19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300" w:type="dxa"/>
            <w:vAlign w:val="bottom"/>
            <w:vMerge w:val="continue"/>
          </w:tcPr>
          <w:p>
            <w:pPr>
              <w:spacing w:after="0"/>
              <w:rPr>
                <w:sz w:val="16"/>
                <w:szCs w:val="16"/>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260" w:type="dxa"/>
            <w:vAlign w:val="bottom"/>
            <w:vMerge w:val="continue"/>
          </w:tcPr>
          <w:p>
            <w:pPr>
              <w:spacing w:after="0"/>
              <w:rPr>
                <w:sz w:val="16"/>
                <w:szCs w:val="16"/>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260" w:type="dxa"/>
            <w:vAlign w:val="bottom"/>
            <w:vMerge w:val="continue"/>
          </w:tcPr>
          <w:p>
            <w:pPr>
              <w:spacing w:after="0"/>
              <w:rPr>
                <w:sz w:val="16"/>
                <w:szCs w:val="16"/>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260" w:type="dxa"/>
            <w:vAlign w:val="bottom"/>
            <w:vMerge w:val="continue"/>
          </w:tcPr>
          <w:p>
            <w:pPr>
              <w:spacing w:after="0"/>
              <w:rPr>
                <w:sz w:val="16"/>
                <w:szCs w:val="16"/>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260" w:type="dxa"/>
            <w:vAlign w:val="bottom"/>
            <w:vMerge w:val="continue"/>
          </w:tcPr>
          <w:p>
            <w:pPr>
              <w:spacing w:after="0"/>
              <w:rPr>
                <w:sz w:val="16"/>
                <w:szCs w:val="16"/>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260" w:type="dxa"/>
            <w:vAlign w:val="bottom"/>
            <w:vMerge w:val="continue"/>
          </w:tcPr>
          <w:p>
            <w:pPr>
              <w:spacing w:after="0"/>
              <w:rPr>
                <w:sz w:val="16"/>
                <w:szCs w:val="16"/>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260" w:type="dxa"/>
            <w:vAlign w:val="bottom"/>
            <w:vMerge w:val="continue"/>
          </w:tcPr>
          <w:p>
            <w:pPr>
              <w:spacing w:after="0"/>
              <w:rPr>
                <w:sz w:val="16"/>
                <w:szCs w:val="16"/>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260" w:type="dxa"/>
            <w:vAlign w:val="bottom"/>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adjusted for 2-for-1 stock split in May 2005.</w:t>
      </w:r>
    </w:p>
    <w:p>
      <w:pPr>
        <w:spacing w:after="0" w:line="175" w:lineRule="exact"/>
        <w:rPr>
          <w:sz w:val="20"/>
          <w:szCs w:val="20"/>
          <w:color w:val="auto"/>
        </w:rPr>
      </w:pPr>
    </w:p>
    <w:p>
      <w:pPr>
        <w:ind w:right="3480"/>
        <w:spacing w:after="0" w:line="378" w:lineRule="auto"/>
        <w:rPr>
          <w:sz w:val="20"/>
          <w:szCs w:val="20"/>
          <w:color w:val="auto"/>
        </w:rPr>
      </w:pPr>
      <w:r>
        <w:rPr>
          <w:rFonts w:ascii="Courier New" w:cs="Courier New" w:eastAsia="Courier New" w:hAnsi="Courier New"/>
          <w:sz w:val="14"/>
          <w:szCs w:val="14"/>
          <w:color w:val="auto"/>
        </w:rPr>
        <w:t>ITEM 9. CHANGES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9A. CONTROLS AND PROCEDURES.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CONTROLS AND PROCEDURES.</w:t>
      </w:r>
    </w:p>
    <w:p>
      <w:pPr>
        <w:spacing w:after="0" w:line="149" w:lineRule="exact"/>
        <w:rPr>
          <w:sz w:val="20"/>
          <w:szCs w:val="20"/>
          <w:color w:val="auto"/>
        </w:rPr>
      </w:pPr>
    </w:p>
    <w:p>
      <w:pPr>
        <w:ind w:right="3300" w:firstLine="521"/>
        <w:spacing w:after="0" w:line="256" w:lineRule="auto"/>
        <w:rPr>
          <w:sz w:val="20"/>
          <w:szCs w:val="20"/>
          <w:color w:val="auto"/>
        </w:rPr>
      </w:pPr>
      <w:r>
        <w:rPr>
          <w:rFonts w:ascii="Courier New" w:cs="Courier New" w:eastAsia="Courier New" w:hAnsi="Courier New"/>
          <w:sz w:val="14"/>
          <w:szCs w:val="14"/>
          <w:color w:val="auto"/>
        </w:rPr>
        <w:t>As of December 31, 2005,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2005, to ensure that material information relating to the Company would be made known to them by others within the Company, particularly during the period in which this Form</w:t>
      </w:r>
    </w:p>
    <w:p>
      <w:pPr>
        <w:spacing w:after="0" w:line="6" w:lineRule="exact"/>
        <w:rPr>
          <w:sz w:val="20"/>
          <w:szCs w:val="20"/>
          <w:color w:val="auto"/>
        </w:rPr>
      </w:pPr>
    </w:p>
    <w:p>
      <w:pPr>
        <w:ind w:right="3300"/>
        <w:spacing w:after="0" w:line="270" w:lineRule="auto"/>
        <w:rPr>
          <w:sz w:val="20"/>
          <w:szCs w:val="20"/>
          <w:color w:val="auto"/>
        </w:rPr>
      </w:pPr>
      <w:r>
        <w:rPr>
          <w:rFonts w:ascii="Courier New" w:cs="Courier New" w:eastAsia="Courier New" w:hAnsi="Courier New"/>
          <w:sz w:val="14"/>
          <w:szCs w:val="14"/>
          <w:color w:val="auto"/>
        </w:rPr>
        <w:t>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2005.</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REPORT ON INTERNAL CONTROL OVER FINANCIAL REPORTING.</w:t>
      </w:r>
    </w:p>
    <w:p>
      <w:pPr>
        <w:spacing w:after="0" w:line="175" w:lineRule="exact"/>
        <w:rPr>
          <w:sz w:val="20"/>
          <w:szCs w:val="20"/>
          <w:color w:val="auto"/>
        </w:rPr>
      </w:pPr>
    </w:p>
    <w:p>
      <w:pPr>
        <w:ind w:right="3300" w:firstLine="521"/>
        <w:spacing w:after="0" w:line="261" w:lineRule="auto"/>
        <w:rPr>
          <w:sz w:val="20"/>
          <w:szCs w:val="20"/>
          <w:color w:val="auto"/>
        </w:rPr>
      </w:pPr>
      <w:r>
        <w:rPr>
          <w:rFonts w:ascii="Courier New" w:cs="Courier New" w:eastAsia="Courier New" w:hAnsi="Courier New"/>
          <w:sz w:val="14"/>
          <w:szCs w:val="14"/>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2005. Our management's assessment of the effectiveness of our internal control over financial reporting as of December 31, 2005, has been audited by Ernst &amp; Young LLP, an independent registered public accounting firm, as stated in its attestation report on management's assessment, which is included on page 25 hereof.</w:t>
      </w:r>
    </w:p>
    <w:p>
      <w:pPr>
        <w:spacing w:after="0" w:line="256" w:lineRule="exact"/>
        <w:rPr>
          <w:sz w:val="20"/>
          <w:szCs w:val="20"/>
          <w:color w:val="auto"/>
        </w:rPr>
      </w:pPr>
    </w:p>
    <w:p>
      <w:pPr>
        <w:jc w:val="center"/>
        <w:ind w:right="7900"/>
        <w:spacing w:after="0"/>
        <w:rPr>
          <w:sz w:val="20"/>
          <w:szCs w:val="20"/>
          <w:color w:val="auto"/>
        </w:rPr>
      </w:pPr>
      <w:r>
        <w:rPr>
          <w:rFonts w:ascii="Courier New" w:cs="Courier New" w:eastAsia="Courier New" w:hAnsi="Courier New"/>
          <w:sz w:val="14"/>
          <w:szCs w:val="14"/>
          <w:color w:val="auto"/>
        </w:rPr>
        <w:t>ITEM 9B. OTHER INFORMATION.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60"/>
          </w:cols>
          <w:pgMar w:left="220" w:top="594" w:right="1419" w:bottom="1440" w:gutter="0" w:footer="0" w:header="0"/>
        </w:sectPr>
      </w:pPr>
    </w:p>
    <w:bookmarkStart w:id="20" w:name="page21"/>
    <w:bookmarkEnd w:id="20"/>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279" w:firstLine="521"/>
        <w:spacing w:after="0" w:line="261" w:lineRule="auto"/>
        <w:rPr>
          <w:sz w:val="20"/>
          <w:szCs w:val="20"/>
          <w:color w:val="auto"/>
        </w:rPr>
      </w:pPr>
      <w:r>
        <w:rPr>
          <w:rFonts w:ascii="Courier New" w:cs="Courier New" w:eastAsia="Courier New" w:hAnsi="Courier New"/>
          <w:sz w:val="14"/>
          <w:szCs w:val="14"/>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2006 Annual Meeting of Shareholders and filed with the Commission within 120 days after the Company's fiscal year end, December 31, 2005 (the "Proxy Statement"), is hereby incorporated herein by reference.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Board of Directors determinations concerning whether at least one member of the Audit Committee is an "audit committee financial expert" as that term is defined under Item 401 (h) of Regulation S-K appearing under the caption "Corporate Governance - Audit Committee" in the definitive Proxy Statement is hereby incorporated by reference.</w:t>
      </w:r>
    </w:p>
    <w:p>
      <w:pPr>
        <w:spacing w:after="0" w:line="83" w:lineRule="exact"/>
        <w:rPr>
          <w:sz w:val="20"/>
          <w:szCs w:val="20"/>
          <w:color w:val="auto"/>
        </w:rPr>
      </w:pPr>
    </w:p>
    <w:p>
      <w:pPr>
        <w:ind w:right="3379" w:firstLine="521"/>
        <w:spacing w:after="0" w:line="267" w:lineRule="auto"/>
        <w:rPr>
          <w:sz w:val="20"/>
          <w:szCs w:val="20"/>
          <w:color w:val="auto"/>
        </w:rPr>
      </w:pPr>
      <w:r>
        <w:rPr>
          <w:rFonts w:ascii="Courier New" w:cs="Courier New" w:eastAsia="Courier New" w:hAnsi="Courier New"/>
          <w:sz w:val="14"/>
          <w:szCs w:val="14"/>
          <w:color w:val="auto"/>
        </w:rPr>
        <w:t>The Company has adopted a code of ethics that applies to its principal executive officer and senior financial officers. A copy of the Code of Ethics for Certain Senior Officers is available without charge, upon written request, from the Corporate Secretary of the Company, 600 N. Centennial Street, Zeeland, Michigan 49464.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The information contained under the caption "Executive Compensation" contained in the definitive Proxy Statement is hereby incorporated herein by reference. Such incorporation by reference shall not be deemed to specifically incorporate by reference information referred to in Item 402(a)(8) of Regulation S-K.</w:t>
      </w:r>
    </w:p>
    <w:p>
      <w:pPr>
        <w:spacing w:after="0" w:line="60" w:lineRule="exact"/>
        <w:rPr>
          <w:sz w:val="20"/>
          <w:szCs w:val="20"/>
          <w:color w:val="auto"/>
        </w:rPr>
      </w:pPr>
    </w:p>
    <w:p>
      <w:pPr>
        <w:ind w:right="4159"/>
        <w:spacing w:after="0" w:line="378" w:lineRule="auto"/>
        <w:rPr>
          <w:sz w:val="20"/>
          <w:szCs w:val="20"/>
          <w:color w:val="auto"/>
        </w:rPr>
      </w:pPr>
      <w:r>
        <w:rPr>
          <w:rFonts w:ascii="Courier New" w:cs="Courier New" w:eastAsia="Courier New" w:hAnsi="Courier New"/>
          <w:sz w:val="14"/>
          <w:szCs w:val="14"/>
          <w:color w:val="auto"/>
        </w:rPr>
        <w:t>ITEM 12. SECURITY OWNERSHIP OF MANAGEMENT AND EQUITY COMPENSATION PLAN INFORMATION.</w:t>
      </w:r>
    </w:p>
    <w:p>
      <w:pPr>
        <w:spacing w:after="0" w:line="1" w:lineRule="exact"/>
        <w:rPr>
          <w:sz w:val="20"/>
          <w:szCs w:val="20"/>
          <w:color w:val="auto"/>
        </w:rPr>
      </w:pPr>
    </w:p>
    <w:p>
      <w:pPr>
        <w:ind w:right="3719" w:firstLine="521"/>
        <w:spacing w:after="0" w:line="317" w:lineRule="auto"/>
        <w:rPr>
          <w:sz w:val="20"/>
          <w:szCs w:val="20"/>
          <w:color w:val="auto"/>
        </w:rPr>
      </w:pPr>
      <w:r>
        <w:rPr>
          <w:rFonts w:ascii="Courier New" w:cs="Courier New" w:eastAsia="Courier New" w:hAnsi="Courier New"/>
          <w:sz w:val="14"/>
          <w:szCs w:val="14"/>
          <w:color w:val="auto"/>
        </w:rPr>
        <w:t>The information contained under the captions "Securities Ownership of Management" and "Equity Compensation Plan Information" contained in the definitive Proxy Statement is hereby incorporated herein by reference.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639" w:firstLine="521"/>
        <w:spacing w:after="0" w:line="317" w:lineRule="auto"/>
        <w:rPr>
          <w:sz w:val="20"/>
          <w:szCs w:val="20"/>
          <w:color w:val="auto"/>
        </w:rPr>
      </w:pPr>
      <w:r>
        <w:rPr>
          <w:rFonts w:ascii="Courier New" w:cs="Courier New" w:eastAsia="Courier New" w:hAnsi="Courier New"/>
          <w:sz w:val="14"/>
          <w:szCs w:val="14"/>
          <w:color w:val="auto"/>
        </w:rPr>
        <w:t>The information contained under the caption "Certain Transactions" contained in the definitive Proxy Statement is hereby incorporated herein by reference.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PRINCIPAL ACCOUNTING FEES AND SERVICES.</w:t>
      </w:r>
    </w:p>
    <w:p>
      <w:pPr>
        <w:spacing w:after="0" w:line="175" w:lineRule="exact"/>
        <w:rPr>
          <w:sz w:val="20"/>
          <w:szCs w:val="20"/>
          <w:color w:val="auto"/>
        </w:rPr>
      </w:pPr>
    </w:p>
    <w:p>
      <w:pPr>
        <w:ind w:right="3279" w:firstLine="521"/>
        <w:spacing w:after="0" w:line="271" w:lineRule="auto"/>
        <w:rPr>
          <w:sz w:val="20"/>
          <w:szCs w:val="20"/>
          <w:color w:val="auto"/>
        </w:rPr>
      </w:pPr>
      <w:r>
        <w:rPr>
          <w:rFonts w:ascii="Courier New" w:cs="Courier New" w:eastAsia="Courier New" w:hAnsi="Courier New"/>
          <w:sz w:val="14"/>
          <w:szCs w:val="14"/>
          <w:color w:val="auto"/>
        </w:rPr>
        <w:t>Information regarding principal accounting fees and services is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7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ITEM 15. EXHIBITS, FINANCIAL STATEMENT SCHEDULES AND REPORTS ON FORM 8-K.</w:t>
      </w:r>
    </w:p>
    <w:p>
      <w:pPr>
        <w:spacing w:after="0" w:line="175" w:lineRule="exact"/>
        <w:rPr>
          <w:sz w:val="20"/>
          <w:szCs w:val="20"/>
          <w:color w:val="auto"/>
        </w:rPr>
      </w:pPr>
    </w:p>
    <w:p>
      <w:pPr>
        <w:ind w:left="800" w:hanging="531"/>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 See Item 8.</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 None required or not applicable.</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Exhibit Index located on page 38.</w:t>
      </w:r>
    </w:p>
    <w:p>
      <w:pPr>
        <w:spacing w:after="0" w:line="175"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 above.</w:t>
      </w:r>
    </w:p>
    <w:p>
      <w:pPr>
        <w:spacing w:after="0" w:line="175" w:lineRule="exact"/>
        <w:rPr>
          <w:rFonts w:ascii="Courier New" w:cs="Courier New" w:eastAsia="Courier New" w:hAnsi="Courier New"/>
          <w:sz w:val="14"/>
          <w:szCs w:val="14"/>
          <w:color w:val="auto"/>
        </w:rPr>
      </w:pPr>
    </w:p>
    <w:p>
      <w:pPr>
        <w:ind w:left="800" w:hanging="531"/>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 above.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4" w:right="1440" w:bottom="1440" w:gutter="0" w:footer="0" w:header="0"/>
        </w:sectPr>
      </w:pPr>
    </w:p>
    <w:bookmarkStart w:id="22" w:name="page23"/>
    <w:bookmarkEnd w:id="22"/>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521"/>
        <w:spacing w:after="0" w:line="317" w:lineRule="auto"/>
        <w:rPr>
          <w:sz w:val="20"/>
          <w:szCs w:val="20"/>
          <w:color w:val="auto"/>
        </w:rPr>
      </w:pPr>
      <w:r>
        <w:rPr>
          <w:rFonts w:ascii="Courier New" w:cs="Courier New" w:eastAsia="Courier New" w:hAnsi="Courier New"/>
          <w:sz w:val="14"/>
          <w:szCs w:val="14"/>
          <w:color w:val="auto"/>
        </w:rPr>
        <w:t>Pursuant to the requirements of Section 13 of 15(d) of the Securities Exchange Act of 1934, the registrant has duly caused this report to be signed on its behalf by the undersigned, thereunto duly authorized.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560" w:type="dxa"/>
            <w:vAlign w:val="bottom"/>
          </w:tcPr>
          <w:p>
            <w:pPr>
              <w:spacing w:after="0"/>
              <w:rPr>
                <w:sz w:val="20"/>
                <w:szCs w:val="20"/>
                <w:color w:val="auto"/>
              </w:rPr>
            </w:pPr>
            <w:r>
              <w:rPr>
                <w:rFonts w:ascii="Courier New" w:cs="Courier New" w:eastAsia="Courier New" w:hAnsi="Courier New"/>
                <w:sz w:val="14"/>
                <w:szCs w:val="14"/>
                <w:color w:val="auto"/>
              </w:rPr>
              <w:t>Dated: February 16, 2006</w:t>
            </w:r>
          </w:p>
        </w:tc>
        <w:tc>
          <w:tcPr>
            <w:tcW w:w="1060" w:type="dxa"/>
            <w:vAlign w:val="bottom"/>
          </w:tcPr>
          <w:p>
            <w:pPr>
              <w:ind w:left="480"/>
              <w:spacing w:after="0"/>
              <w:rPr>
                <w:sz w:val="20"/>
                <w:szCs w:val="20"/>
                <w:color w:val="auto"/>
              </w:rPr>
            </w:pPr>
            <w:r>
              <w:rPr>
                <w:rFonts w:ascii="Courier New" w:cs="Courier New" w:eastAsia="Courier New" w:hAnsi="Courier New"/>
                <w:sz w:val="14"/>
                <w:szCs w:val="14"/>
                <w:color w:val="auto"/>
              </w:rPr>
              <w:t>GENTEX</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0" w:type="dxa"/>
            <w:vAlign w:val="bottom"/>
          </w:tcPr>
          <w:p>
            <w:pPr>
              <w:spacing w:after="0"/>
              <w:rPr>
                <w:sz w:val="1"/>
                <w:szCs w:val="1"/>
                <w:color w:val="auto"/>
              </w:rPr>
            </w:pPr>
          </w:p>
        </w:tc>
      </w:tr>
      <w:tr>
        <w:trPr>
          <w:trHeight w:val="256"/>
        </w:trPr>
        <w:tc>
          <w:tcPr>
            <w:tcW w:w="2560" w:type="dxa"/>
            <w:vAlign w:val="bottom"/>
          </w:tcPr>
          <w:p>
            <w:pPr>
              <w:spacing w:after="0"/>
              <w:rPr>
                <w:sz w:val="22"/>
                <w:szCs w:val="22"/>
                <w:color w:val="auto"/>
              </w:rPr>
            </w:pPr>
          </w:p>
        </w:tc>
        <w:tc>
          <w:tcPr>
            <w:tcW w:w="1060" w:type="dxa"/>
            <w:vAlign w:val="bottom"/>
          </w:tcPr>
          <w:p>
            <w:pPr>
              <w:ind w:left="480"/>
              <w:spacing w:after="0"/>
              <w:rPr>
                <w:sz w:val="20"/>
                <w:szCs w:val="20"/>
                <w:color w:val="auto"/>
              </w:rPr>
            </w:pPr>
            <w:r>
              <w:rPr>
                <w:rFonts w:ascii="Courier New" w:cs="Courier New" w:eastAsia="Courier New" w:hAnsi="Courier New"/>
                <w:sz w:val="14"/>
                <w:szCs w:val="14"/>
                <w:color w:val="auto"/>
              </w:rPr>
              <w:t>By:</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/s/ Fred Bauer</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Fred Bauer, Chairman and Principal</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w:t>
            </w:r>
          </w:p>
        </w:tc>
        <w:tc>
          <w:tcPr>
            <w:tcW w:w="0" w:type="dxa"/>
            <w:vAlign w:val="bottom"/>
          </w:tcPr>
          <w:p>
            <w:pPr>
              <w:spacing w:after="0"/>
              <w:rPr>
                <w:sz w:val="1"/>
                <w:szCs w:val="1"/>
                <w:color w:val="auto"/>
              </w:rPr>
            </w:pPr>
          </w:p>
        </w:tc>
      </w:tr>
      <w:tr>
        <w:trPr>
          <w:trHeight w:val="334"/>
        </w:trPr>
        <w:tc>
          <w:tcPr>
            <w:tcW w:w="256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Courier New" w:cs="Courier New" w:eastAsia="Courier New" w:hAnsi="Courier New"/>
                <w:sz w:val="14"/>
                <w:szCs w:val="14"/>
                <w:color w:val="auto"/>
              </w:rPr>
              <w:t>and</w:t>
            </w:r>
          </w:p>
        </w:tc>
        <w:tc>
          <w:tcPr>
            <w:tcW w:w="33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 Enoch Jen</w:t>
            </w:r>
          </w:p>
        </w:tc>
        <w:tc>
          <w:tcPr>
            <w:tcW w:w="0" w:type="dxa"/>
            <w:vAlign w:val="bottom"/>
          </w:tcPr>
          <w:p>
            <w:pPr>
              <w:spacing w:after="0"/>
              <w:rPr>
                <w:sz w:val="1"/>
                <w:szCs w:val="1"/>
                <w:color w:val="auto"/>
              </w:rPr>
            </w:pPr>
          </w:p>
        </w:tc>
      </w:tr>
      <w:tr>
        <w:trPr>
          <w:trHeight w:val="89"/>
        </w:trPr>
        <w:tc>
          <w:tcPr>
            <w:tcW w:w="25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Enoch Jen, Vice President-Finance and</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Principal Financial and Accounting</w:t>
            </w:r>
          </w:p>
        </w:tc>
        <w:tc>
          <w:tcPr>
            <w:tcW w:w="0" w:type="dxa"/>
            <w:vAlign w:val="bottom"/>
          </w:tcPr>
          <w:p>
            <w:pPr>
              <w:spacing w:after="0"/>
              <w:rPr>
                <w:sz w:val="1"/>
                <w:szCs w:val="1"/>
                <w:color w:val="auto"/>
              </w:rPr>
            </w:pPr>
          </w:p>
        </w:tc>
      </w:tr>
      <w:tr>
        <w:trPr>
          <w:trHeight w:val="244"/>
        </w:trPr>
        <w:tc>
          <w:tcPr>
            <w:tcW w:w="2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379" w:firstLine="521"/>
        <w:spacing w:after="0" w:line="31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16th day of February, 2006, by the following persons on behalf of the registrant and in the capacities indicated.</w:t>
      </w:r>
    </w:p>
    <w:p>
      <w:pPr>
        <w:spacing w:after="0" w:line="39" w:lineRule="exact"/>
        <w:rPr>
          <w:sz w:val="20"/>
          <w:szCs w:val="20"/>
          <w:color w:val="auto"/>
        </w:rPr>
      </w:pPr>
    </w:p>
    <w:p>
      <w:pPr>
        <w:ind w:right="3279" w:firstLine="521"/>
        <w:spacing w:after="0" w:line="285" w:lineRule="auto"/>
        <w:rPr>
          <w:sz w:val="20"/>
          <w:szCs w:val="20"/>
          <w:color w:val="auto"/>
        </w:rPr>
      </w:pPr>
      <w:r>
        <w:rPr>
          <w:rFonts w:ascii="Courier New" w:cs="Courier New" w:eastAsia="Courier New" w:hAnsi="Courier New"/>
          <w:sz w:val="14"/>
          <w:szCs w:val="14"/>
          <w:color w:val="auto"/>
        </w:rPr>
        <w:t>Each Director of the registrant whose signature appears below hereby appoints Enoch Jen and Garth Deur, each of them individually, as his attorney-in-fact to sign in his name and on his behalf, and to file with the Commission any and all amendments to this report on Form 10-K to the same extent and with the same effect as if done personally.</w:t>
      </w:r>
    </w:p>
    <w:p>
      <w:pPr>
        <w:spacing w:after="0" w:line="60"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Bauer</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Gary Goode</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Gary Goode</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Kenneth La Grand</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Arlyn Lanting</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Mulder</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Rande Somma</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Rande Somma</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Fred Sotok</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Sotok</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Wallace Tsuha</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Wallace Tsuha</w:t>
      </w:r>
    </w:p>
    <w:p>
      <w:pPr>
        <w:spacing w:after="0" w:line="149"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34"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Leo Weber</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4" w:right="1440" w:bottom="1440" w:gutter="0" w:footer="0" w:header="0"/>
        </w:sectPr>
      </w:pPr>
    </w:p>
    <w:bookmarkStart w:id="23" w:name="page24"/>
    <w:bookmarkEnd w:id="23"/>
    <w:p>
      <w:pPr>
        <w:ind w:left="114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 of Gentex Corporation:</w:t>
      </w:r>
    </w:p>
    <w:p>
      <w:pPr>
        <w:spacing w:after="0" w:line="175"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We have audited the accompanying consolidated balance sheets of Gentex Corporation and subsidiaries as of December 31, 2005 and 2004, and the related consolidated statements of income, shareholders' investment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68"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5"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Gentex Corporation and subsidiaries at December 31, 2005 and 2004, and the consolidated results of their operations and their cash flows for each of the three years in the period ended December 31, 2005, in conformity with U.S. generally accepted accounting principles.</w:t>
      </w:r>
    </w:p>
    <w:p>
      <w:pPr>
        <w:spacing w:after="0" w:line="66" w:lineRule="exact"/>
        <w:rPr>
          <w:sz w:val="20"/>
          <w:szCs w:val="20"/>
          <w:color w:val="auto"/>
        </w:rPr>
      </w:pPr>
    </w:p>
    <w:p>
      <w:pPr>
        <w:ind w:right="3279"/>
        <w:spacing w:after="0" w:line="278" w:lineRule="auto"/>
        <w:rPr>
          <w:sz w:val="20"/>
          <w:szCs w:val="20"/>
          <w:color w:val="auto"/>
        </w:rPr>
      </w:pPr>
      <w:r>
        <w:rPr>
          <w:rFonts w:ascii="Courier New" w:cs="Courier New" w:eastAsia="Courier New" w:hAnsi="Courier New"/>
          <w:sz w:val="14"/>
          <w:szCs w:val="14"/>
          <w:color w:val="auto"/>
        </w:rPr>
        <w:t>We also have audited, in accordance with the standards of the Public Company Accounting Oversight Board (United States), the effectiveness of Gentex Corporation's internal control over financial reporting as of December 31, 2005, based on criteria established in Internal Control -- Integrated Framework issued by the Committee of Sponsoring Organizations of the Treadway Commission and our report dated February 8, 2006 expressed an unqualified opinion thereon.</w:t>
      </w:r>
    </w:p>
    <w:p>
      <w:pPr>
        <w:spacing w:after="0" w:line="6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2006</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594" w:right="1440" w:bottom="1440" w:gutter="0" w:footer="0" w:header="0"/>
        </w:sectPr>
      </w:pPr>
    </w:p>
    <w:bookmarkStart w:id="24" w:name="page25"/>
    <w:bookmarkEnd w:id="24"/>
    <w:p>
      <w:pPr>
        <w:ind w:left="114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ON INTERNAL CONTROL OVER FINANCIAL REPORTING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 of Gentex Corporation:</w:t>
      </w:r>
    </w:p>
    <w:p>
      <w:pPr>
        <w:spacing w:after="0" w:line="175" w:lineRule="exact"/>
        <w:rPr>
          <w:sz w:val="20"/>
          <w:szCs w:val="20"/>
          <w:color w:val="auto"/>
        </w:rPr>
      </w:pPr>
    </w:p>
    <w:p>
      <w:pPr>
        <w:ind w:right="3279"/>
        <w:spacing w:after="0" w:line="265" w:lineRule="auto"/>
        <w:rPr>
          <w:sz w:val="20"/>
          <w:szCs w:val="20"/>
          <w:color w:val="auto"/>
        </w:rPr>
      </w:pPr>
      <w:r>
        <w:rPr>
          <w:rFonts w:ascii="Courier New" w:cs="Courier New" w:eastAsia="Courier New" w:hAnsi="Courier New"/>
          <w:sz w:val="14"/>
          <w:szCs w:val="14"/>
          <w:color w:val="auto"/>
        </w:rPr>
        <w:t>We have audited management's assessment, included in the accompanying Management's Report on Internal Control Over Financial Reporting, that Gentex Corporation maintained effective internal control over financial reporting as of December 31, 2005, based on criteria established in Internal Control -- 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7"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75" w:lineRule="exact"/>
        <w:rPr>
          <w:sz w:val="20"/>
          <w:szCs w:val="20"/>
          <w:color w:val="auto"/>
        </w:rPr>
      </w:pPr>
    </w:p>
    <w:p>
      <w:pPr>
        <w:ind w:right="3279"/>
        <w:spacing w:after="0" w:line="262"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ind w:right="3279"/>
        <w:spacing w:after="0" w:line="285"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ind w:right="3379"/>
        <w:spacing w:after="0" w:line="278" w:lineRule="auto"/>
        <w:rPr>
          <w:sz w:val="20"/>
          <w:szCs w:val="20"/>
          <w:color w:val="auto"/>
        </w:rPr>
      </w:pPr>
      <w:r>
        <w:rPr>
          <w:rFonts w:ascii="Courier New" w:cs="Courier New" w:eastAsia="Courier New" w:hAnsi="Courier New"/>
          <w:sz w:val="14"/>
          <w:szCs w:val="14"/>
          <w:color w:val="auto"/>
        </w:rPr>
        <w:t>In our opinion, management's assessment that Gentex Corporation maintained effective internal control over financial reporting as of December 31, 2005, is fairly stated, in all material respects, based on the COSO criteria. Also, in our opinion, Gentex Corporation maintained, in all material respects, effective internal control over financial reporting as of December 31, 2005, based on the COSO criteria.</w:t>
      </w:r>
    </w:p>
    <w:p>
      <w:pPr>
        <w:spacing w:after="0" w:line="66"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We also have audited, in accordance with the standards of the Public Company Accounting Oversight Board (United States), the 2005 consolidated financial statements of Gentex Corporation and subsidiaries and our report dated February 8, 2006 expressed an unqualified opinion thereon.</w:t>
      </w:r>
    </w:p>
    <w:p>
      <w:pPr>
        <w:spacing w:after="0" w:line="5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2006</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594" w:right="1440" w:bottom="1440" w:gutter="0" w:footer="0" w:header="0"/>
        </w:sectPr>
      </w:pPr>
    </w:p>
    <w:bookmarkStart w:id="25" w:name="page26"/>
    <w:bookmarkEnd w:id="25"/>
    <w:p>
      <w:pPr>
        <w:jc w:val="center"/>
        <w:ind w:right="319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CONSOLIDATED BALANCE SHEETS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AS OF DECEMBER 31, 2005 AND 2004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2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3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$ 439,681,693</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$ 395,538,719</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67,331,928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99,341,541</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60,924,437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56,092,330</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39,836,822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30,600,789</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11,212,647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11,035,715</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618,987,527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592,609,094</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Courier New" w:cs="Courier New" w:eastAsia="Courier New" w:hAnsi="Courier New"/>
                <w:sz w:val="14"/>
                <w:szCs w:val="14"/>
                <w:color w:val="auto"/>
              </w:rPr>
              <w:t>PLANT AND EQUIPMENT:</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57,544,173</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56,434,237</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Land, buildings and improvements</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Machinery and equipment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196,878,770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176,798,924</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Construction-in-process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40,858,633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14,485,664</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Less-Accumulated depreciation</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295,281,576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247,718,825</w:t>
            </w:r>
          </w:p>
        </w:tc>
        <w:tc>
          <w:tcPr>
            <w:tcW w:w="0" w:type="dxa"/>
            <w:vAlign w:val="bottom"/>
          </w:tcPr>
          <w:p>
            <w:pPr>
              <w:spacing w:after="0"/>
              <w:rPr>
                <w:sz w:val="1"/>
                <w:szCs w:val="1"/>
                <w:color w:val="auto"/>
              </w:rPr>
            </w:pPr>
          </w:p>
        </w:tc>
      </w:tr>
      <w:tr>
        <w:trPr>
          <w:trHeight w:val="89"/>
        </w:trPr>
        <w:tc>
          <w:tcPr>
            <w:tcW w:w="4000" w:type="dxa"/>
            <w:vAlign w:val="bottom"/>
            <w:vMerge w:val="continue"/>
          </w:tcPr>
          <w:p>
            <w:pPr>
              <w:spacing w:after="0"/>
              <w:rPr>
                <w:sz w:val="7"/>
                <w:szCs w:val="7"/>
                <w:color w:val="auto"/>
              </w:rPr>
            </w:pPr>
          </w:p>
        </w:tc>
        <w:tc>
          <w:tcPr>
            <w:tcW w:w="15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(131,251,235)</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(112,069,706)</w:t>
            </w: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OTHER ASSETS: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164,030,341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135,649,119</w:t>
            </w:r>
          </w:p>
        </w:tc>
        <w:tc>
          <w:tcPr>
            <w:tcW w:w="0" w:type="dxa"/>
            <w:vAlign w:val="bottom"/>
          </w:tcPr>
          <w:p>
            <w:pPr>
              <w:spacing w:after="0"/>
              <w:rPr>
                <w:sz w:val="1"/>
                <w:szCs w:val="1"/>
                <w:color w:val="auto"/>
              </w:rPr>
            </w:pPr>
          </w:p>
        </w:tc>
      </w:tr>
      <w:tr>
        <w:trPr>
          <w:trHeight w:val="89"/>
        </w:trPr>
        <w:tc>
          <w:tcPr>
            <w:tcW w:w="4000" w:type="dxa"/>
            <w:vAlign w:val="bottom"/>
            <w:vMerge w:val="continue"/>
          </w:tcPr>
          <w:p>
            <w:pPr>
              <w:spacing w:after="0"/>
              <w:rPr>
                <w:sz w:val="7"/>
                <w:szCs w:val="7"/>
                <w:color w:val="auto"/>
              </w:rPr>
            </w:pP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132,524,966</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122,174,030</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assets, net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7,102,968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6,427,185</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139,627,934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128,601,215</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$ 922,645,802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$ 856,859,428</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LIABILITIES AND SHAREHOLDERS' INVESTMENT</w:t>
            </w:r>
          </w:p>
        </w:tc>
        <w:tc>
          <w:tcPr>
            <w:tcW w:w="152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34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CURRENT LIABILITIES:</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23,607,927</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19,849,569</w:t>
            </w: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Accrued liabilities:</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3,798,648</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3,433,657</w:t>
            </w: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Salaries, wages and vacation</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Income taxes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2,739,364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548,579</w:t>
            </w: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Royalties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7,467,491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6,689,723</w:t>
            </w: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Dividends declared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14,043,959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13,237,348</w:t>
            </w: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6,430,870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7,097,382</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000" w:type="dxa"/>
            <w:vAlign w:val="bottom"/>
          </w:tcPr>
          <w:p>
            <w:pPr>
              <w:ind w:left="1140"/>
              <w:spacing w:after="0"/>
              <w:rPr>
                <w:sz w:val="20"/>
                <w:szCs w:val="20"/>
                <w:color w:val="auto"/>
              </w:rPr>
            </w:pPr>
            <w:r>
              <w:rPr>
                <w:rFonts w:ascii="Courier New" w:cs="Courier New" w:eastAsia="Courier New" w:hAnsi="Courier New"/>
                <w:sz w:val="14"/>
                <w:szCs w:val="14"/>
                <w:color w:val="auto"/>
              </w:rPr>
              <w:t>Total current liabilities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58,088,259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50,856,258</w:t>
            </w:r>
          </w:p>
        </w:tc>
        <w:tc>
          <w:tcPr>
            <w:tcW w:w="0" w:type="dxa"/>
            <w:vAlign w:val="bottom"/>
          </w:tcPr>
          <w:p>
            <w:pPr>
              <w:spacing w:after="0"/>
              <w:rPr>
                <w:sz w:val="1"/>
                <w:szCs w:val="1"/>
                <w:color w:val="auto"/>
              </w:rPr>
            </w:pPr>
          </w:p>
        </w:tc>
      </w:tr>
      <w:tr>
        <w:trPr>
          <w:trHeight w:val="334"/>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DEFERRED INCOME TAXES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22,962,168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22,723,198</w:t>
            </w:r>
          </w:p>
        </w:tc>
        <w:tc>
          <w:tcPr>
            <w:tcW w:w="0" w:type="dxa"/>
            <w:vAlign w:val="bottom"/>
          </w:tcPr>
          <w:p>
            <w:pPr>
              <w:spacing w:after="0"/>
              <w:rPr>
                <w:sz w:val="1"/>
                <w:szCs w:val="1"/>
                <w:color w:val="auto"/>
              </w:rPr>
            </w:pPr>
          </w:p>
        </w:tc>
      </w:tr>
      <w:tr>
        <w:trPr>
          <w:trHeight w:val="256"/>
        </w:trPr>
        <w:tc>
          <w:tcPr>
            <w:tcW w:w="4000" w:type="dxa"/>
            <w:vAlign w:val="bottom"/>
          </w:tcPr>
          <w:p>
            <w:pPr>
              <w:ind w:left="100"/>
              <w:spacing w:after="0"/>
              <w:rPr>
                <w:sz w:val="20"/>
                <w:szCs w:val="20"/>
                <w:color w:val="auto"/>
              </w:rPr>
            </w:pPr>
            <w:r>
              <w:rPr>
                <w:rFonts w:ascii="Courier New" w:cs="Courier New" w:eastAsia="Courier New" w:hAnsi="Courier New"/>
                <w:sz w:val="14"/>
                <w:szCs w:val="14"/>
                <w:color w:val="auto"/>
              </w:rPr>
              <w:t>SHAREHOLDERS' INVESTMENT:</w:t>
            </w: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no par value,</w:t>
            </w: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5,000,000 shares authorized; none</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800"/>
              <w:spacing w:after="0"/>
              <w:rPr>
                <w:sz w:val="20"/>
                <w:szCs w:val="20"/>
                <w:color w:val="auto"/>
              </w:rPr>
            </w:pPr>
            <w:r>
              <w:rPr>
                <w:rFonts w:ascii="Courier New" w:cs="Courier New" w:eastAsia="Courier New" w:hAnsi="Courier New"/>
                <w:sz w:val="14"/>
                <w:szCs w:val="14"/>
                <w:color w:val="auto"/>
              </w:rPr>
              <w:t>issued or outstanding</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Common stock, par value $.06 per share;</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9,362,639</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4,672,005</w:t>
            </w:r>
          </w:p>
        </w:tc>
        <w:tc>
          <w:tcPr>
            <w:tcW w:w="0" w:type="dxa"/>
            <w:vAlign w:val="bottom"/>
          </w:tcPr>
          <w:p>
            <w:pPr>
              <w:spacing w:after="0"/>
              <w:rPr>
                <w:sz w:val="1"/>
                <w:szCs w:val="1"/>
                <w:color w:val="auto"/>
              </w:rPr>
            </w:pPr>
          </w:p>
        </w:tc>
      </w:tr>
      <w:tr>
        <w:trPr>
          <w:trHeight w:val="167"/>
        </w:trPr>
        <w:tc>
          <w:tcPr>
            <w:tcW w:w="4000" w:type="dxa"/>
            <w:vAlign w:val="bottom"/>
          </w:tcPr>
          <w:p>
            <w:pPr>
              <w:ind w:left="880"/>
              <w:spacing w:after="0"/>
              <w:rPr>
                <w:sz w:val="20"/>
                <w:szCs w:val="20"/>
                <w:color w:val="auto"/>
              </w:rPr>
            </w:pPr>
            <w:r>
              <w:rPr>
                <w:rFonts w:ascii="Courier New" w:cs="Courier New" w:eastAsia="Courier New" w:hAnsi="Courier New"/>
                <w:sz w:val="14"/>
                <w:szCs w:val="14"/>
                <w:color w:val="auto"/>
              </w:rPr>
              <w:t>400,000,000 shares authorized</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194,476,306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175,266,114</w:t>
            </w: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623,301,775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591,546,326</w:t>
            </w: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Deferred compensation</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(4,847,659)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(5,407,851)</w:t>
            </w:r>
          </w:p>
        </w:tc>
        <w:tc>
          <w:tcPr>
            <w:tcW w:w="0" w:type="dxa"/>
            <w:vAlign w:val="bottom"/>
          </w:tcPr>
          <w:p>
            <w:pPr>
              <w:spacing w:after="0"/>
              <w:rPr>
                <w:sz w:val="1"/>
                <w:szCs w:val="1"/>
                <w:color w:val="auto"/>
              </w:rPr>
            </w:pP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Accumulated other comprehensive income:</w:t>
            </w:r>
          </w:p>
        </w:tc>
        <w:tc>
          <w:tcPr>
            <w:tcW w:w="15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18,795,360</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15,558,180</w:t>
            </w:r>
          </w:p>
        </w:tc>
        <w:tc>
          <w:tcPr>
            <w:tcW w:w="0" w:type="dxa"/>
            <w:vAlign w:val="bottom"/>
          </w:tcPr>
          <w:p>
            <w:pPr>
              <w:spacing w:after="0"/>
              <w:rPr>
                <w:sz w:val="1"/>
                <w:szCs w:val="1"/>
                <w:color w:val="auto"/>
              </w:rPr>
            </w:pPr>
          </w:p>
        </w:tc>
      </w:tr>
      <w:tr>
        <w:trPr>
          <w:trHeight w:val="167"/>
        </w:trPr>
        <w:tc>
          <w:tcPr>
            <w:tcW w:w="4000" w:type="dxa"/>
            <w:vAlign w:val="bottom"/>
          </w:tcPr>
          <w:p>
            <w:pPr>
              <w:ind w:left="880"/>
              <w:spacing w:after="0"/>
              <w:rPr>
                <w:sz w:val="20"/>
                <w:szCs w:val="20"/>
                <w:color w:val="auto"/>
              </w:rPr>
            </w:pPr>
            <w:r>
              <w:rPr>
                <w:rFonts w:ascii="Courier New" w:cs="Courier New" w:eastAsia="Courier New" w:hAnsi="Courier New"/>
                <w:sz w:val="14"/>
                <w:szCs w:val="14"/>
                <w:color w:val="auto"/>
              </w:rPr>
              <w:t>Unrealized gain on investments</w:t>
            </w:r>
          </w:p>
        </w:tc>
        <w:tc>
          <w:tcPr>
            <w:tcW w:w="15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880"/>
              <w:spacing w:after="0"/>
              <w:rPr>
                <w:sz w:val="20"/>
                <w:szCs w:val="20"/>
                <w:color w:val="auto"/>
              </w:rPr>
            </w:pPr>
            <w:r>
              <w:rPr>
                <w:rFonts w:ascii="Courier New" w:cs="Courier New" w:eastAsia="Courier New" w:hAnsi="Courier New"/>
                <w:sz w:val="14"/>
                <w:szCs w:val="14"/>
                <w:color w:val="auto"/>
              </w:rPr>
              <w:t>Cumulative translation adjustment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506,954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1,645,198</w:t>
            </w:r>
          </w:p>
        </w:tc>
        <w:tc>
          <w:tcPr>
            <w:tcW w:w="0" w:type="dxa"/>
            <w:vAlign w:val="bottom"/>
          </w:tcPr>
          <w:p>
            <w:pPr>
              <w:spacing w:after="0"/>
              <w:rPr>
                <w:sz w:val="1"/>
                <w:szCs w:val="1"/>
                <w:color w:val="auto"/>
              </w:rPr>
            </w:pPr>
          </w:p>
        </w:tc>
      </w:tr>
      <w:tr>
        <w:trPr>
          <w:trHeight w:val="167"/>
        </w:trPr>
        <w:tc>
          <w:tcPr>
            <w:tcW w:w="4000" w:type="dxa"/>
            <w:vAlign w:val="bottom"/>
            <w:vMerge w:val="restart"/>
          </w:tcPr>
          <w:p>
            <w:pPr>
              <w:ind w:left="1140"/>
              <w:spacing w:after="0"/>
              <w:rPr>
                <w:sz w:val="20"/>
                <w:szCs w:val="20"/>
                <w:color w:val="auto"/>
              </w:rPr>
            </w:pPr>
            <w:r>
              <w:rPr>
                <w:rFonts w:ascii="Courier New" w:cs="Courier New" w:eastAsia="Courier New" w:hAnsi="Courier New"/>
                <w:sz w:val="14"/>
                <w:szCs w:val="14"/>
                <w:color w:val="auto"/>
              </w:rPr>
              <w:t>Total shareholders' investment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continue"/>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841,595,375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783,279,972</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$ 922,645,802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$ 856,859,428</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719"/>
        <w:spacing w:after="0" w:line="37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4" w:right="1440" w:bottom="1440" w:gutter="0" w:footer="0" w:header="0"/>
        </w:sectPr>
      </w:pPr>
    </w:p>
    <w:bookmarkStart w:id="26" w:name="page27"/>
    <w:bookmarkEnd w:id="26"/>
    <w:p>
      <w:pPr>
        <w:jc w:val="center"/>
        <w:ind w:right="319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$ 536,483,974</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$ 505,666,335</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$ 469,019,365</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337,843,632</w:t>
            </w:r>
          </w:p>
        </w:tc>
        <w:tc>
          <w:tcPr>
            <w:tcW w:w="30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297,920,747</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272,518,466</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198,640,342</w:t>
            </w:r>
          </w:p>
        </w:tc>
        <w:tc>
          <w:tcPr>
            <w:tcW w:w="30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207,745,588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196,500,899</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4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35,059,401</w:t>
            </w:r>
          </w:p>
        </w:tc>
        <w:tc>
          <w:tcPr>
            <w:tcW w:w="30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30,833,627</w:t>
            </w:r>
          </w:p>
        </w:tc>
        <w:tc>
          <w:tcPr>
            <w:tcW w:w="30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26,613,770</w:t>
            </w:r>
          </w:p>
        </w:tc>
        <w:tc>
          <w:tcPr>
            <w:tcW w:w="0" w:type="dxa"/>
            <w:vAlign w:val="bottom"/>
          </w:tcPr>
          <w:p>
            <w:pPr>
              <w:spacing w:after="0"/>
              <w:rPr>
                <w:sz w:val="1"/>
                <w:szCs w:val="1"/>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Engineering, research and development</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Selling, general and administrative</w:t>
            </w:r>
          </w:p>
        </w:tc>
        <w:tc>
          <w:tcPr>
            <w:tcW w:w="3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27,286,404</w:t>
            </w:r>
          </w:p>
        </w:tc>
        <w:tc>
          <w:tcPr>
            <w:tcW w:w="30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26,845,748</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23,311,853</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Total operating expenses</w:t>
            </w:r>
          </w:p>
        </w:tc>
        <w:tc>
          <w:tcPr>
            <w:tcW w:w="34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62,345,805</w:t>
            </w:r>
          </w:p>
        </w:tc>
        <w:tc>
          <w:tcPr>
            <w:tcW w:w="30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57,679,375</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49,925,623</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Income from operations</w:t>
            </w:r>
          </w:p>
        </w:tc>
        <w:tc>
          <w:tcPr>
            <w:tcW w:w="34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136,294,537</w:t>
            </w:r>
          </w:p>
        </w:tc>
        <w:tc>
          <w:tcPr>
            <w:tcW w:w="30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150,066,213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146,575,276</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4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20,289,908</w:t>
            </w:r>
          </w:p>
        </w:tc>
        <w:tc>
          <w:tcPr>
            <w:tcW w:w="30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10,642,129</w:t>
            </w:r>
          </w:p>
        </w:tc>
        <w:tc>
          <w:tcPr>
            <w:tcW w:w="30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10,241,276</w:t>
            </w:r>
          </w:p>
        </w:tc>
        <w:tc>
          <w:tcPr>
            <w:tcW w:w="0" w:type="dxa"/>
            <w:vAlign w:val="bottom"/>
          </w:tcPr>
          <w:p>
            <w:pPr>
              <w:spacing w:after="0"/>
              <w:rPr>
                <w:sz w:val="1"/>
                <w:szCs w:val="1"/>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Interest and dividend income</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3,310,066</w:t>
            </w:r>
          </w:p>
        </w:tc>
        <w:tc>
          <w:tcPr>
            <w:tcW w:w="30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5,024,176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1,347,643</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Total other income</w:t>
            </w:r>
          </w:p>
        </w:tc>
        <w:tc>
          <w:tcPr>
            <w:tcW w:w="34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23,599,974</w:t>
            </w:r>
          </w:p>
        </w:tc>
        <w:tc>
          <w:tcPr>
            <w:tcW w:w="30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15,666,305</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11,588,919</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Income before provision</w:t>
            </w:r>
          </w:p>
        </w:tc>
        <w:tc>
          <w:tcPr>
            <w:tcW w:w="34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159,894,511</w:t>
            </w:r>
          </w:p>
        </w:tc>
        <w:tc>
          <w:tcPr>
            <w:tcW w:w="300" w:type="dxa"/>
            <w:vAlign w:val="bottom"/>
          </w:tcPr>
          <w:p>
            <w:pPr>
              <w:spacing w:after="0"/>
              <w:rPr>
                <w:sz w:val="22"/>
                <w:szCs w:val="22"/>
                <w:color w:val="auto"/>
              </w:rPr>
            </w:pP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165,732,518</w:t>
            </w:r>
          </w:p>
        </w:tc>
        <w:tc>
          <w:tcPr>
            <w:tcW w:w="30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158,164,195</w:t>
            </w:r>
          </w:p>
        </w:tc>
        <w:tc>
          <w:tcPr>
            <w:tcW w:w="0" w:type="dxa"/>
            <w:vAlign w:val="bottom"/>
          </w:tcPr>
          <w:p>
            <w:pPr>
              <w:spacing w:after="0"/>
              <w:rPr>
                <w:sz w:val="1"/>
                <w:szCs w:val="1"/>
                <w:color w:val="auto"/>
              </w:rPr>
            </w:pPr>
          </w:p>
        </w:tc>
      </w:tr>
      <w:tr>
        <w:trPr>
          <w:trHeight w:val="244"/>
        </w:trPr>
        <w:tc>
          <w:tcPr>
            <w:tcW w:w="3960" w:type="dxa"/>
            <w:vAlign w:val="bottom"/>
          </w:tcPr>
          <w:p>
            <w:pPr>
              <w:ind w:left="700"/>
              <w:spacing w:after="0"/>
              <w:rPr>
                <w:sz w:val="20"/>
                <w:szCs w:val="20"/>
                <w:color w:val="auto"/>
              </w:rPr>
            </w:pPr>
            <w:r>
              <w:rPr>
                <w:rFonts w:ascii="Courier New" w:cs="Courier New" w:eastAsia="Courier New" w:hAnsi="Courier New"/>
                <w:sz w:val="14"/>
                <w:szCs w:val="14"/>
                <w:color w:val="auto"/>
              </w:rPr>
              <w:t>for income taxes</w:t>
            </w:r>
          </w:p>
        </w:tc>
        <w:tc>
          <w:tcPr>
            <w:tcW w:w="3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50,367,000</w:t>
            </w:r>
          </w:p>
        </w:tc>
        <w:tc>
          <w:tcPr>
            <w:tcW w:w="300" w:type="dxa"/>
            <w:vAlign w:val="bottom"/>
          </w:tcPr>
          <w:p>
            <w:pPr>
              <w:spacing w:after="0"/>
              <w:rPr>
                <w:sz w:val="22"/>
                <w:szCs w:val="22"/>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53,076,000</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51,403,000</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$ 109,527,511</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$ 112,656,518</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$ 106,761,195</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0.70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0.73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0.70</w:t>
            </w:r>
          </w:p>
        </w:tc>
        <w:tc>
          <w:tcPr>
            <w:tcW w:w="0" w:type="dxa"/>
            <w:vAlign w:val="bottom"/>
          </w:tcPr>
          <w:p>
            <w:pPr>
              <w:spacing w:after="0"/>
              <w:rPr>
                <w:sz w:val="1"/>
                <w:szCs w:val="1"/>
                <w:color w:val="auto"/>
              </w:rPr>
            </w:pPr>
          </w:p>
        </w:tc>
      </w:tr>
      <w:tr>
        <w:trPr>
          <w:trHeight w:val="167"/>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Basic</w:t>
            </w:r>
          </w:p>
        </w:tc>
        <w:tc>
          <w:tcPr>
            <w:tcW w:w="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Diluted</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1"/>
                <w:szCs w:val="21"/>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59" w:firstLine="521"/>
        <w:spacing w:after="0" w:line="37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594" w:right="1440" w:bottom="1440" w:gutter="0" w:footer="0" w:header="0"/>
        </w:sectPr>
      </w:pPr>
    </w:p>
    <w:bookmarkStart w:id="27" w:name="page28"/>
    <w:bookmarkEnd w:id="27"/>
    <w:p>
      <w:pPr>
        <w:spacing w:after="0" w:line="57"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34"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CONSOLIDATED STATEMENT OF SHAREHOLDERS INVESTMENT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20" w:type="dxa"/>
            <w:vAlign w:val="bottom"/>
            <w:gridSpan w:val="3"/>
          </w:tcPr>
          <w:p>
            <w:pPr>
              <w:ind w:left="1220"/>
              <w:spacing w:after="0"/>
              <w:rPr>
                <w:sz w:val="20"/>
                <w:szCs w:val="20"/>
                <w:color w:val="auto"/>
              </w:rPr>
            </w:pPr>
            <w:r>
              <w:rPr>
                <w:rFonts w:ascii="Courier New" w:cs="Courier New" w:eastAsia="Courier New" w:hAnsi="Courier New"/>
                <w:sz w:val="14"/>
                <w:szCs w:val="14"/>
                <w:color w:val="auto"/>
              </w:rPr>
              <w:t>FOR THE YEARS ENDED DECEMBER 31, 2005, 2004 AND 2003</w:t>
            </w:r>
          </w:p>
        </w:tc>
        <w:tc>
          <w:tcPr>
            <w:tcW w:w="1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4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18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Additional Paid-In</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Amount</w:t>
            </w:r>
          </w:p>
        </w:tc>
        <w:tc>
          <w:tcPr>
            <w:tcW w:w="32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Capital</w:t>
            </w:r>
          </w:p>
        </w:tc>
        <w:tc>
          <w:tcPr>
            <w:tcW w:w="0" w:type="dxa"/>
            <w:vAlign w:val="bottom"/>
          </w:tcPr>
          <w:p>
            <w:pPr>
              <w:spacing w:after="0"/>
              <w:rPr>
                <w:sz w:val="1"/>
                <w:szCs w:val="1"/>
                <w:color w:val="auto"/>
              </w:rPr>
            </w:pPr>
          </w:p>
        </w:tc>
      </w:tr>
      <w:tr>
        <w:trPr>
          <w:trHeight w:val="244"/>
        </w:trPr>
        <w:tc>
          <w:tcPr>
            <w:tcW w:w="5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 ---------------------------------------------------------------------------</w:t>
            </w:r>
          </w:p>
        </w:tc>
        <w:tc>
          <w:tcPr>
            <w:tcW w:w="1260" w:type="dxa"/>
            <w:vAlign w:val="bottom"/>
          </w:tcPr>
          <w:p>
            <w:pPr>
              <w:spacing w:after="0"/>
              <w:rPr>
                <w:sz w:val="21"/>
                <w:szCs w:val="21"/>
                <w:color w:val="auto"/>
              </w:rPr>
            </w:pPr>
          </w:p>
        </w:tc>
        <w:tc>
          <w:tcPr>
            <w:tcW w:w="472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2002</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76,221,370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$ 4,573,282</w:t>
            </w:r>
          </w:p>
        </w:tc>
        <w:tc>
          <w:tcPr>
            <w:tcW w:w="320" w:type="dxa"/>
            <w:vAlign w:val="bottom"/>
          </w:tcPr>
          <w:p>
            <w:pPr>
              <w:spacing w:after="0"/>
              <w:rPr>
                <w:sz w:val="24"/>
                <w:szCs w:val="2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$123,923,391</w:t>
            </w:r>
          </w:p>
        </w:tc>
        <w:tc>
          <w:tcPr>
            <w:tcW w:w="0" w:type="dxa"/>
            <w:vAlign w:val="bottom"/>
          </w:tcPr>
          <w:p>
            <w:pPr>
              <w:spacing w:after="0"/>
              <w:rPr>
                <w:sz w:val="1"/>
                <w:szCs w:val="1"/>
                <w:color w:val="auto"/>
              </w:rPr>
            </w:pPr>
          </w:p>
        </w:tc>
      </w:tr>
      <w:tr>
        <w:trPr>
          <w:trHeight w:val="25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Issuance of common stock and the tax benefit of stock plan transactions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1,234,446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74,067</w:t>
            </w:r>
          </w:p>
        </w:tc>
        <w:tc>
          <w:tcPr>
            <w:tcW w:w="320" w:type="dxa"/>
            <w:vAlign w:val="bottom"/>
          </w:tcPr>
          <w:p>
            <w:pPr>
              <w:spacing w:after="0"/>
              <w:rPr>
                <w:sz w:val="22"/>
                <w:szCs w:val="22"/>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29,631,534</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(415,000)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(24,900)</w:t>
            </w:r>
          </w:p>
        </w:tc>
        <w:tc>
          <w:tcPr>
            <w:tcW w:w="3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(680,600)</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Dividends declared ($.15 per share)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Unrealized gain on investments, net of tax of $9,559,401</w:t>
            </w: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2003</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72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77,040,816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4,622,449</w:t>
            </w:r>
          </w:p>
        </w:tc>
        <w:tc>
          <w:tcPr>
            <w:tcW w:w="320" w:type="dxa"/>
            <w:vAlign w:val="bottom"/>
          </w:tcPr>
          <w:p>
            <w:pPr>
              <w:spacing w:after="0"/>
              <w:rPr>
                <w:sz w:val="21"/>
                <w:szCs w:val="21"/>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152,874,325</w:t>
            </w:r>
          </w:p>
        </w:tc>
        <w:tc>
          <w:tcPr>
            <w:tcW w:w="0" w:type="dxa"/>
            <w:vAlign w:val="bottom"/>
          </w:tcPr>
          <w:p>
            <w:pPr>
              <w:spacing w:after="0"/>
              <w:rPr>
                <w:sz w:val="1"/>
                <w:szCs w:val="1"/>
                <w:color w:val="auto"/>
              </w:rPr>
            </w:pPr>
          </w:p>
        </w:tc>
      </w:tr>
      <w:tr>
        <w:trPr>
          <w:trHeight w:val="25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Issuance of common stock and the tax benefit of stock plan transactions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825,935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49,556</w:t>
            </w:r>
          </w:p>
        </w:tc>
        <w:tc>
          <w:tcPr>
            <w:tcW w:w="320" w:type="dxa"/>
            <w:vAlign w:val="bottom"/>
          </w:tcPr>
          <w:p>
            <w:pPr>
              <w:spacing w:after="0"/>
              <w:rPr>
                <w:sz w:val="22"/>
                <w:szCs w:val="22"/>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22,391,789</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Dividends declared ($.32 per share)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Unrealized gain on investments, net of tax of $2,098,093</w:t>
            </w: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2004</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72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vMerge w:val="continue"/>
          </w:tcPr>
          <w:p>
            <w:pPr>
              <w:spacing w:after="0"/>
              <w:rPr>
                <w:sz w:val="21"/>
                <w:szCs w:val="21"/>
                <w:color w:val="auto"/>
              </w:rPr>
            </w:pPr>
          </w:p>
        </w:tc>
        <w:tc>
          <w:tcPr>
            <w:tcW w:w="1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77,866,751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4,672,005</w:t>
            </w:r>
          </w:p>
        </w:tc>
        <w:tc>
          <w:tcPr>
            <w:tcW w:w="320" w:type="dxa"/>
            <w:vAlign w:val="bottom"/>
          </w:tcPr>
          <w:p>
            <w:pPr>
              <w:spacing w:after="0"/>
              <w:rPr>
                <w:sz w:val="21"/>
                <w:szCs w:val="21"/>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175,266,114</w:t>
            </w:r>
          </w:p>
        </w:tc>
        <w:tc>
          <w:tcPr>
            <w:tcW w:w="0" w:type="dxa"/>
            <w:vAlign w:val="bottom"/>
          </w:tcPr>
          <w:p>
            <w:pPr>
              <w:spacing w:after="0"/>
              <w:rPr>
                <w:sz w:val="1"/>
                <w:szCs w:val="1"/>
                <w:color w:val="auto"/>
              </w:rPr>
            </w:pPr>
          </w:p>
        </w:tc>
      </w:tr>
      <w:tr>
        <w:trPr>
          <w:trHeight w:val="25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Issuance of common stock and the tax benefit of stock plan transactions</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1,652,948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99,177</w:t>
            </w:r>
          </w:p>
        </w:tc>
        <w:tc>
          <w:tcPr>
            <w:tcW w:w="320" w:type="dxa"/>
            <w:vAlign w:val="bottom"/>
          </w:tcPr>
          <w:p>
            <w:pPr>
              <w:spacing w:after="0"/>
              <w:rPr>
                <w:sz w:val="22"/>
                <w:szCs w:val="22"/>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25,641,802</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2 for 1 Common Stock Split</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78,020,342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4,681,221</w:t>
            </w:r>
          </w:p>
        </w:tc>
        <w:tc>
          <w:tcPr>
            <w:tcW w:w="3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(4,681,221)</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(1,496,059)</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(89,764)</w:t>
            </w:r>
          </w:p>
        </w:tc>
        <w:tc>
          <w:tcPr>
            <w:tcW w:w="3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(1,750,389)</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Dividends declared ($.35 per share)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Unrealized gain on investments, net of tax of $1,743,097</w:t>
            </w: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2005</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72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156,043,982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$9,362,639</w:t>
            </w:r>
          </w:p>
        </w:tc>
        <w:tc>
          <w:tcPr>
            <w:tcW w:w="3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$194,476,306</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72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Comprehensive</w:t>
            </w:r>
          </w:p>
        </w:tc>
        <w:tc>
          <w:tcPr>
            <w:tcW w:w="12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Retained</w:t>
            </w:r>
          </w:p>
        </w:tc>
        <w:tc>
          <w:tcPr>
            <w:tcW w:w="14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Deferred</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Accumulated Other</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Comprehensive</w:t>
            </w:r>
          </w:p>
        </w:tc>
        <w:tc>
          <w:tcPr>
            <w:tcW w:w="32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Shareholders'</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Income (Loss)</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Earnings</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Income (Loss)</w:t>
            </w:r>
          </w:p>
        </w:tc>
        <w:tc>
          <w:tcPr>
            <w:tcW w:w="32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Investment</w:t>
            </w: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2002</w:t>
            </w:r>
          </w:p>
        </w:tc>
        <w:tc>
          <w:tcPr>
            <w:tcW w:w="156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$ 454,201,443</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($3,042,935)</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($6,014,819)</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$ 573,640,362</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w:t>
            </w:r>
          </w:p>
        </w:tc>
        <w:tc>
          <w:tcPr>
            <w:tcW w:w="1560" w:type="dxa"/>
            <w:vAlign w:val="bottom"/>
          </w:tcPr>
          <w:p>
            <w:pPr>
              <w:spacing w:after="0"/>
              <w:rPr>
                <w:sz w:val="22"/>
                <w:szCs w:val="22"/>
                <w:color w:val="auto"/>
              </w:rPr>
            </w:pP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(2,733,723)</w:t>
            </w:r>
          </w:p>
        </w:tc>
        <w:tc>
          <w:tcPr>
            <w:tcW w:w="1460" w:type="dxa"/>
            <w:vAlign w:val="bottom"/>
          </w:tcPr>
          <w:p>
            <w:pPr>
              <w:spacing w:after="0"/>
              <w:rPr>
                <w:sz w:val="22"/>
                <w:szCs w:val="22"/>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26,971,878</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benefit of stock plan transactions</w:t>
            </w:r>
          </w:p>
        </w:tc>
        <w:tc>
          <w:tcPr>
            <w:tcW w:w="15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1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(9,541,310)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(10,246,810)</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Dividends declared ($.15 per share)</w:t>
            </w:r>
          </w:p>
        </w:tc>
        <w:tc>
          <w:tcPr>
            <w:tcW w:w="1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(23,062,503)</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(23,062,503)</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1,118,208</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1,118,208</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$ 106,761,195</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106,761,195</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106,761,195</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707,827</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 on investments, net of</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17,753,174</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tax of $9,559,401</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bscript"/>
              </w:rPr>
              <w:t>18,461,001</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178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18,461,001</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18,461,001</w:t>
            </w:r>
          </w:p>
        </w:tc>
        <w:tc>
          <w:tcPr>
            <w:tcW w:w="0" w:type="dxa"/>
            <w:vAlign w:val="bottom"/>
          </w:tcPr>
          <w:p>
            <w:pPr>
              <w:spacing w:after="0"/>
              <w:rPr>
                <w:sz w:val="1"/>
                <w:szCs w:val="1"/>
                <w:color w:val="auto"/>
              </w:rPr>
            </w:pPr>
          </w:p>
        </w:tc>
      </w:tr>
      <w:tr>
        <w:trPr>
          <w:trHeight w:val="167"/>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2003</w:t>
            </w: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$ 125,222,196</w:t>
            </w: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00" w:type="dxa"/>
            <w:vAlign w:val="bottom"/>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528,358,825</w:t>
            </w:r>
          </w:p>
        </w:tc>
        <w:tc>
          <w:tcPr>
            <w:tcW w:w="1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(4,658,450)</w:t>
            </w:r>
          </w:p>
        </w:tc>
        <w:tc>
          <w:tcPr>
            <w:tcW w:w="178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12,446,182</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693,643,331</w:t>
            </w: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Issuance of common stock and the tax</w:t>
            </w:r>
          </w:p>
        </w:tc>
        <w:tc>
          <w:tcPr>
            <w:tcW w:w="15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00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benefit of stock plan transactions</w:t>
            </w:r>
          </w:p>
        </w:tc>
        <w:tc>
          <w:tcPr>
            <w:tcW w:w="156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(2,323,123)</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20,118,222</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($.32 per share)</w:t>
            </w:r>
          </w:p>
        </w:tc>
        <w:tc>
          <w:tcPr>
            <w:tcW w:w="15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(49,469,017)</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(49,469,017)</w:t>
            </w:r>
          </w:p>
        </w:tc>
        <w:tc>
          <w:tcPr>
            <w:tcW w:w="0" w:type="dxa"/>
            <w:vAlign w:val="bottom"/>
          </w:tcPr>
          <w:p>
            <w:pPr>
              <w:spacing w:after="0"/>
              <w:rPr>
                <w:sz w:val="1"/>
                <w:szCs w:val="1"/>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1,573,722</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1,573,722</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$ 112,656,518</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112,656,518</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112,656,518</w:t>
            </w: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 on investments, net</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4"/>
                <w:szCs w:val="14"/>
                <w:color w:val="auto"/>
              </w:rPr>
              <w:t>860,738</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of tax of $2,098,093</w:t>
            </w: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3,896,458</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00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60" w:type="dxa"/>
            <w:vAlign w:val="bottom"/>
            <w:vMerge w:val="restart"/>
          </w:tcPr>
          <w:p>
            <w:pPr>
              <w:jc w:val="right"/>
              <w:ind w:right="373"/>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4,757,196</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4,757,196</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4,757,196</w:t>
            </w:r>
          </w:p>
        </w:tc>
        <w:tc>
          <w:tcPr>
            <w:tcW w:w="0" w:type="dxa"/>
            <w:vAlign w:val="bottom"/>
          </w:tcPr>
          <w:p>
            <w:pPr>
              <w:spacing w:after="0"/>
              <w:rPr>
                <w:sz w:val="1"/>
                <w:szCs w:val="1"/>
                <w:color w:val="auto"/>
              </w:rPr>
            </w:pPr>
          </w:p>
        </w:tc>
      </w:tr>
      <w:tr>
        <w:trPr>
          <w:trHeight w:val="89"/>
        </w:trPr>
        <w:tc>
          <w:tcPr>
            <w:tcW w:w="40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2004</w:t>
            </w: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3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000" w:type="dxa"/>
            <w:vAlign w:val="bottom"/>
            <w:vMerge w:val="continue"/>
          </w:tcPr>
          <w:p>
            <w:pPr>
              <w:spacing w:after="0"/>
              <w:rPr>
                <w:sz w:val="14"/>
                <w:szCs w:val="14"/>
                <w:color w:val="auto"/>
              </w:rPr>
            </w:pPr>
          </w:p>
        </w:tc>
        <w:tc>
          <w:tcPr>
            <w:tcW w:w="15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$ 117,413,714</w:t>
            </w: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000" w:type="dxa"/>
            <w:vAlign w:val="bottom"/>
            <w:vMerge w:val="restart"/>
          </w:tcPr>
          <w:p>
            <w:pPr>
              <w:spacing w:after="0"/>
              <w:rPr>
                <w:sz w:val="20"/>
                <w:szCs w:val="20"/>
                <w:color w:val="auto"/>
              </w:rPr>
            </w:pPr>
            <w:r>
              <w:rPr>
                <w:rFonts w:ascii="Courier New" w:cs="Courier New" w:eastAsia="Courier New" w:hAnsi="Courier New"/>
                <w:sz w:val="14"/>
                <w:szCs w:val="14"/>
                <w:color w:val="auto"/>
              </w:rPr>
              <w:t>Issuance of common stock and the tax</w:t>
            </w:r>
          </w:p>
        </w:tc>
        <w:tc>
          <w:tcPr>
            <w:tcW w:w="754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400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benefit of stock plan transactions</w:t>
            </w:r>
          </w:p>
        </w:tc>
        <w:tc>
          <w:tcPr>
            <w:tcW w:w="156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591,546,326</w:t>
            </w:r>
          </w:p>
        </w:tc>
        <w:tc>
          <w:tcPr>
            <w:tcW w:w="1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(5,407,851)</w:t>
            </w:r>
          </w:p>
        </w:tc>
        <w:tc>
          <w:tcPr>
            <w:tcW w:w="1780" w:type="dxa"/>
            <w:vAlign w:val="bottom"/>
            <w:gridSpan w:val="2"/>
            <w:vMerge w:val="restart"/>
          </w:tcPr>
          <w:p>
            <w:pPr>
              <w:jc w:val="right"/>
              <w:ind w:right="68"/>
              <w:spacing w:after="0"/>
              <w:rPr>
                <w:sz w:val="20"/>
                <w:szCs w:val="20"/>
                <w:color w:val="auto"/>
              </w:rPr>
            </w:pPr>
            <w:r>
              <w:rPr>
                <w:rFonts w:ascii="Courier New" w:cs="Courier New" w:eastAsia="Courier New" w:hAnsi="Courier New"/>
                <w:sz w:val="14"/>
                <w:szCs w:val="14"/>
                <w:color w:val="auto"/>
              </w:rPr>
              <w:t>17,203,378</w:t>
            </w:r>
          </w:p>
        </w:tc>
        <w:tc>
          <w:tcPr>
            <w:tcW w:w="15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783,279,972</w:t>
            </w:r>
          </w:p>
        </w:tc>
        <w:tc>
          <w:tcPr>
            <w:tcW w:w="0" w:type="dxa"/>
            <w:vAlign w:val="bottom"/>
          </w:tcPr>
          <w:p>
            <w:pPr>
              <w:spacing w:after="0"/>
              <w:rPr>
                <w:sz w:val="1"/>
                <w:szCs w:val="1"/>
                <w:color w:val="auto"/>
              </w:rPr>
            </w:pPr>
          </w:p>
        </w:tc>
      </w:tr>
      <w:tr>
        <w:trPr>
          <w:trHeight w:val="244"/>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2 for 1 Common Stock Split</w:t>
            </w:r>
          </w:p>
        </w:tc>
        <w:tc>
          <w:tcPr>
            <w:tcW w:w="15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95" w:orient="portrait"/>
          <w:cols w:equalWidth="0" w:num="1">
            <w:col w:w="11540"/>
          </w:cols>
          <w:pgMar w:left="220" w:top="427" w:right="1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1520" w:type="dxa"/>
            <w:vAlign w:val="bottom"/>
          </w:tcPr>
          <w:p>
            <w:pPr>
              <w:spacing w:after="0"/>
              <w:rPr>
                <w:sz w:val="14"/>
                <w:szCs w:val="14"/>
                <w:color w:val="auto"/>
              </w:rPr>
            </w:pPr>
          </w:p>
        </w:tc>
        <w:tc>
          <w:tcPr>
            <w:tcW w:w="15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(1,069,507)</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24,671,472</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Dividends declared ($.35 per share)</w:t>
            </w:r>
          </w:p>
        </w:tc>
        <w:tc>
          <w:tcPr>
            <w:tcW w:w="1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520" w:type="dxa"/>
            <w:vAlign w:val="bottom"/>
          </w:tcPr>
          <w:p>
            <w:pPr>
              <w:spacing w:after="0"/>
              <w:rPr>
                <w:sz w:val="14"/>
                <w:szCs w:val="14"/>
                <w:color w:val="auto"/>
              </w:rPr>
            </w:pP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(23,374,420)</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(25,214,573)</w:t>
            </w:r>
          </w:p>
        </w:tc>
        <w:tc>
          <w:tcPr>
            <w:tcW w:w="0" w:type="dxa"/>
            <w:vAlign w:val="bottom"/>
          </w:tcPr>
          <w:p>
            <w:pPr>
              <w:spacing w:after="0"/>
              <w:rPr>
                <w:sz w:val="1"/>
                <w:szCs w:val="1"/>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(54,397,642)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(54,397,642)</w:t>
            </w:r>
          </w:p>
        </w:tc>
        <w:tc>
          <w:tcPr>
            <w:tcW w:w="0" w:type="dxa"/>
            <w:vAlign w:val="bottom"/>
          </w:tcPr>
          <w:p>
            <w:pPr>
              <w:spacing w:after="0"/>
              <w:rPr>
                <w:sz w:val="1"/>
                <w:szCs w:val="1"/>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(loss):</w:t>
            </w:r>
          </w:p>
        </w:tc>
        <w:tc>
          <w:tcPr>
            <w:tcW w:w="15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1,629,699</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1,629,699</w:t>
            </w:r>
          </w:p>
        </w:tc>
        <w:tc>
          <w:tcPr>
            <w:tcW w:w="0" w:type="dxa"/>
            <w:vAlign w:val="bottom"/>
          </w:tcPr>
          <w:p>
            <w:pPr>
              <w:spacing w:after="0"/>
              <w:rPr>
                <w:sz w:val="1"/>
                <w:szCs w:val="1"/>
                <w:color w:val="auto"/>
              </w:rPr>
            </w:pP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 on investments,</w:t>
            </w:r>
          </w:p>
        </w:tc>
        <w:tc>
          <w:tcPr>
            <w:tcW w:w="1520" w:type="dxa"/>
            <w:vAlign w:val="bottom"/>
            <w:vMerge w:val="restart"/>
          </w:tcPr>
          <w:p>
            <w:pPr>
              <w:jc w:val="right"/>
              <w:ind w:right="208"/>
              <w:spacing w:after="0"/>
              <w:rPr>
                <w:sz w:val="20"/>
                <w:szCs w:val="20"/>
                <w:color w:val="auto"/>
              </w:rPr>
            </w:pPr>
            <w:r>
              <w:rPr>
                <w:rFonts w:ascii="Courier New" w:cs="Courier New" w:eastAsia="Courier New" w:hAnsi="Courier New"/>
                <w:sz w:val="14"/>
                <w:szCs w:val="14"/>
                <w:color w:val="auto"/>
              </w:rPr>
              <w:t>$ 109,527,511</w:t>
            </w:r>
          </w:p>
        </w:tc>
        <w:tc>
          <w:tcPr>
            <w:tcW w:w="15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109,527,511</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109,527,511</w:t>
            </w:r>
          </w:p>
        </w:tc>
        <w:tc>
          <w:tcPr>
            <w:tcW w:w="0" w:type="dxa"/>
            <w:vAlign w:val="bottom"/>
          </w:tcPr>
          <w:p>
            <w:pPr>
              <w:spacing w:after="0"/>
              <w:rPr>
                <w:sz w:val="1"/>
                <w:szCs w:val="1"/>
                <w:color w:val="auto"/>
              </w:rPr>
            </w:pPr>
          </w:p>
        </w:tc>
      </w:tr>
      <w:tr>
        <w:trPr>
          <w:trHeight w:val="167"/>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net of tax of $1,743,097</w:t>
            </w:r>
          </w:p>
        </w:tc>
        <w:tc>
          <w:tcPr>
            <w:tcW w:w="15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Other comprehensive income</w:t>
            </w:r>
          </w:p>
        </w:tc>
        <w:tc>
          <w:tcPr>
            <w:tcW w:w="1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(1,138,244)</w:t>
            </w:r>
          </w:p>
        </w:tc>
        <w:tc>
          <w:tcPr>
            <w:tcW w:w="15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880" w:type="dxa"/>
            <w:vAlign w:val="bottom"/>
          </w:tcPr>
          <w:p>
            <w:pPr>
              <w:ind w:left="700"/>
              <w:spacing w:after="0"/>
              <w:rPr>
                <w:sz w:val="20"/>
                <w:szCs w:val="20"/>
                <w:color w:val="auto"/>
              </w:rPr>
            </w:pPr>
            <w:r>
              <w:rPr>
                <w:rFonts w:ascii="Courier New" w:cs="Courier New" w:eastAsia="Courier New" w:hAnsi="Courier New"/>
                <w:sz w:val="14"/>
                <w:szCs w:val="14"/>
                <w:color w:val="auto"/>
              </w:rPr>
              <w:t>Comprehensive income</w:t>
            </w:r>
          </w:p>
        </w:tc>
        <w:tc>
          <w:tcPr>
            <w:tcW w:w="15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3,237,180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880" w:type="dxa"/>
            <w:vAlign w:val="bottom"/>
            <w:vMerge w:val="restart"/>
          </w:tcPr>
          <w:p>
            <w:pPr>
              <w:spacing w:after="0"/>
              <w:rPr>
                <w:sz w:val="20"/>
                <w:szCs w:val="20"/>
                <w:color w:val="auto"/>
              </w:rPr>
            </w:pPr>
            <w:r>
              <w:rPr>
                <w:rFonts w:ascii="Courier New" w:cs="Courier New" w:eastAsia="Courier New" w:hAnsi="Courier New"/>
                <w:sz w:val="14"/>
                <w:szCs w:val="14"/>
                <w:color w:val="auto"/>
              </w:rPr>
              <w:t>BALANCE AS OF DECEMBER 31, 2005</w:t>
            </w: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2,098,936</w:t>
            </w:r>
          </w:p>
        </w:tc>
        <w:tc>
          <w:tcPr>
            <w:tcW w:w="1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2,098,936</w:t>
            </w:r>
          </w:p>
        </w:tc>
        <w:tc>
          <w:tcPr>
            <w:tcW w:w="0" w:type="dxa"/>
            <w:vAlign w:val="bottom"/>
          </w:tcPr>
          <w:p>
            <w:pPr>
              <w:spacing w:after="0"/>
              <w:rPr>
                <w:sz w:val="1"/>
                <w:szCs w:val="1"/>
                <w:color w:val="auto"/>
              </w:rPr>
            </w:pPr>
          </w:p>
        </w:tc>
      </w:tr>
      <w:tr>
        <w:trPr>
          <w:trHeight w:val="167"/>
        </w:trPr>
        <w:tc>
          <w:tcPr>
            <w:tcW w:w="3880" w:type="dxa"/>
            <w:vAlign w:val="bottom"/>
            <w:vMerge w:val="continue"/>
          </w:tcPr>
          <w:p>
            <w:pPr>
              <w:spacing w:after="0"/>
              <w:rPr>
                <w:sz w:val="14"/>
                <w:szCs w:val="14"/>
                <w:color w:val="auto"/>
              </w:rPr>
            </w:pP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2,098,936</w:t>
            </w: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$ 111,626,447</w:t>
            </w: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75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$ 623,301,775</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($4,847,659)</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$ 19,302,314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$ 841,595,375</w:t>
            </w:r>
          </w:p>
        </w:tc>
        <w:tc>
          <w:tcPr>
            <w:tcW w:w="0" w:type="dxa"/>
            <w:vAlign w:val="bottom"/>
          </w:tcPr>
          <w:p>
            <w:pPr>
              <w:spacing w:after="0"/>
              <w:rPr>
                <w:sz w:val="1"/>
                <w:szCs w:val="1"/>
                <w:color w:val="auto"/>
              </w:rPr>
            </w:pPr>
          </w:p>
        </w:tc>
      </w:tr>
      <w:tr>
        <w:trPr>
          <w:trHeight w:val="244"/>
        </w:trPr>
        <w:tc>
          <w:tcPr>
            <w:tcW w:w="38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4940"/>
        <w:spacing w:after="0" w:line="272"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460"/>
          </w:cols>
          <w:pgMar w:left="220" w:top="115" w:right="219" w:bottom="1440" w:gutter="0" w:footer="0" w:header="0"/>
        </w:sectPr>
      </w:pPr>
    </w:p>
    <w:bookmarkStart w:id="29" w:name="page30"/>
    <w:bookmarkEnd w:id="29"/>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1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$ 109,527,511</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$ 112,656,518</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$ 106,761,195</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cash provided by operating activities: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23,823,327</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21,740,832</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20,426,207</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Depreciation and amortization</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Loss on disposal of assets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420,522</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88,679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75,626</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Gain on sale of investments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(5,710,679)</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(5,655,756)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(5,181,804)</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Loss on sale of investments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2,511,060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2,351,347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6,228,566</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Deferred income taxes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(2,172,589)</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2,403,593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1,951,787</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Amortization of deferred compensation</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1,629,699</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1,573,722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1,118,208</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Tax benefit of stock plan transactions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3,180,230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3,511,622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5,511,458</w:t>
            </w:r>
          </w:p>
        </w:tc>
        <w:tc>
          <w:tcPr>
            <w:tcW w:w="0" w:type="dxa"/>
            <w:vAlign w:val="bottom"/>
          </w:tcPr>
          <w:p>
            <w:pPr>
              <w:spacing w:after="0"/>
              <w:rPr>
                <w:sz w:val="1"/>
                <w:szCs w:val="1"/>
                <w:color w:val="auto"/>
              </w:rPr>
            </w:pPr>
          </w:p>
        </w:tc>
      </w:tr>
      <w:tr>
        <w:trPr>
          <w:trHeight w:val="167"/>
        </w:trPr>
        <w:tc>
          <w:tcPr>
            <w:tcW w:w="5400" w:type="dxa"/>
            <w:vAlign w:val="bottom"/>
          </w:tcPr>
          <w:p>
            <w:pPr>
              <w:ind w:left="148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15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(4,832,107)</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2,863,493</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(23,065,443)</w:t>
            </w:r>
          </w:p>
        </w:tc>
        <w:tc>
          <w:tcPr>
            <w:tcW w:w="0" w:type="dxa"/>
            <w:vAlign w:val="bottom"/>
          </w:tcPr>
          <w:p>
            <w:pPr>
              <w:spacing w:after="0"/>
              <w:rPr>
                <w:sz w:val="1"/>
                <w:szCs w:val="1"/>
                <w:color w:val="auto"/>
              </w:rPr>
            </w:pPr>
          </w:p>
        </w:tc>
      </w:tr>
      <w:tr>
        <w:trPr>
          <w:trHeight w:val="167"/>
        </w:trPr>
        <w:tc>
          <w:tcPr>
            <w:tcW w:w="5400" w:type="dxa"/>
            <w:vAlign w:val="bottom"/>
          </w:tcPr>
          <w:p>
            <w:pPr>
              <w:ind w:left="1840"/>
              <w:spacing w:after="0"/>
              <w:rPr>
                <w:sz w:val="20"/>
                <w:szCs w:val="20"/>
                <w:color w:val="auto"/>
              </w:rPr>
            </w:pPr>
            <w:r>
              <w:rPr>
                <w:rFonts w:ascii="Courier New" w:cs="Courier New" w:eastAsia="Courier New" w:hAnsi="Courier New"/>
                <w:sz w:val="14"/>
                <w:szCs w:val="14"/>
                <w:color w:val="auto"/>
              </w:rPr>
              <w:t>Accounts receivable</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1840"/>
              <w:spacing w:after="0"/>
              <w:rPr>
                <w:sz w:val="20"/>
                <w:szCs w:val="20"/>
                <w:color w:val="auto"/>
              </w:rPr>
            </w:pPr>
            <w:r>
              <w:rPr>
                <w:rFonts w:ascii="Courier New" w:cs="Courier New" w:eastAsia="Courier New" w:hAnsi="Courier New"/>
                <w:sz w:val="14"/>
                <w:szCs w:val="14"/>
                <w:color w:val="auto"/>
              </w:rPr>
              <w:t>Inventories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(9,236,033)</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(9,662,093)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(3,196,687)</w:t>
            </w:r>
          </w:p>
        </w:tc>
        <w:tc>
          <w:tcPr>
            <w:tcW w:w="0" w:type="dxa"/>
            <w:vAlign w:val="bottom"/>
          </w:tcPr>
          <w:p>
            <w:pPr>
              <w:spacing w:after="0"/>
              <w:rPr>
                <w:sz w:val="1"/>
                <w:szCs w:val="1"/>
                <w:color w:val="auto"/>
              </w:rPr>
            </w:pPr>
          </w:p>
        </w:tc>
      </w:tr>
      <w:tr>
        <w:trPr>
          <w:trHeight w:val="167"/>
        </w:trPr>
        <w:tc>
          <w:tcPr>
            <w:tcW w:w="5400" w:type="dxa"/>
            <w:vAlign w:val="bottom"/>
          </w:tcPr>
          <w:p>
            <w:pPr>
              <w:ind w:left="1840"/>
              <w:spacing w:after="0"/>
              <w:rPr>
                <w:sz w:val="20"/>
                <w:szCs w:val="20"/>
                <w:color w:val="auto"/>
              </w:rPr>
            </w:pPr>
            <w:r>
              <w:rPr>
                <w:rFonts w:ascii="Courier New" w:cs="Courier New" w:eastAsia="Courier New" w:hAnsi="Courier New"/>
                <w:sz w:val="14"/>
                <w:szCs w:val="14"/>
                <w:color w:val="auto"/>
              </w:rPr>
              <w:t>Prepaid expenses and other</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491,532</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627,997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(3,910,441)</w:t>
            </w:r>
          </w:p>
        </w:tc>
        <w:tc>
          <w:tcPr>
            <w:tcW w:w="0" w:type="dxa"/>
            <w:vAlign w:val="bottom"/>
          </w:tcPr>
          <w:p>
            <w:pPr>
              <w:spacing w:after="0"/>
              <w:rPr>
                <w:sz w:val="1"/>
                <w:szCs w:val="1"/>
                <w:color w:val="auto"/>
              </w:rPr>
            </w:pPr>
          </w:p>
        </w:tc>
      </w:tr>
      <w:tr>
        <w:trPr>
          <w:trHeight w:val="167"/>
        </w:trPr>
        <w:tc>
          <w:tcPr>
            <w:tcW w:w="5400" w:type="dxa"/>
            <w:vAlign w:val="bottom"/>
          </w:tcPr>
          <w:p>
            <w:pPr>
              <w:ind w:left="1840"/>
              <w:spacing w:after="0"/>
              <w:rPr>
                <w:sz w:val="20"/>
                <w:szCs w:val="20"/>
                <w:color w:val="auto"/>
              </w:rPr>
            </w:pPr>
            <w:r>
              <w:rPr>
                <w:rFonts w:ascii="Courier New" w:cs="Courier New" w:eastAsia="Courier New" w:hAnsi="Courier New"/>
                <w:sz w:val="14"/>
                <w:szCs w:val="14"/>
                <w:color w:val="auto"/>
              </w:rPr>
              <w:t>Accounts payable</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3,758,358</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1,590,458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6,465,385</w:t>
            </w:r>
          </w:p>
        </w:tc>
        <w:tc>
          <w:tcPr>
            <w:tcW w:w="0" w:type="dxa"/>
            <w:vAlign w:val="bottom"/>
          </w:tcPr>
          <w:p>
            <w:pPr>
              <w:spacing w:after="0"/>
              <w:rPr>
                <w:sz w:val="1"/>
                <w:szCs w:val="1"/>
                <w:color w:val="auto"/>
              </w:rPr>
            </w:pPr>
          </w:p>
        </w:tc>
      </w:tr>
      <w:tr>
        <w:trPr>
          <w:trHeight w:val="167"/>
        </w:trPr>
        <w:tc>
          <w:tcPr>
            <w:tcW w:w="5400" w:type="dxa"/>
            <w:vAlign w:val="bottom"/>
          </w:tcPr>
          <w:p>
            <w:pPr>
              <w:ind w:left="1840"/>
              <w:spacing w:after="0"/>
              <w:rPr>
                <w:sz w:val="20"/>
                <w:szCs w:val="20"/>
                <w:color w:val="auto"/>
              </w:rPr>
            </w:pPr>
            <w:r>
              <w:rPr>
                <w:rFonts w:ascii="Courier New" w:cs="Courier New" w:eastAsia="Courier New" w:hAnsi="Courier New"/>
                <w:sz w:val="14"/>
                <w:szCs w:val="14"/>
                <w:color w:val="auto"/>
              </w:rPr>
              <w:t>Accrued liabilities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2,853,627</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(2,721,956)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3,398,938</w:t>
            </w:r>
          </w:p>
        </w:tc>
        <w:tc>
          <w:tcPr>
            <w:tcW w:w="0" w:type="dxa"/>
            <w:vAlign w:val="bottom"/>
          </w:tcPr>
          <w:p>
            <w:pPr>
              <w:spacing w:after="0"/>
              <w:rPr>
                <w:sz w:val="1"/>
                <w:szCs w:val="1"/>
                <w:color w:val="auto"/>
              </w:rPr>
            </w:pPr>
          </w:p>
        </w:tc>
      </w:tr>
      <w:tr>
        <w:trPr>
          <w:trHeight w:val="244"/>
        </w:trPr>
        <w:tc>
          <w:tcPr>
            <w:tcW w:w="5400" w:type="dxa"/>
            <w:vAlign w:val="bottom"/>
            <w:vMerge w:val="restart"/>
          </w:tcPr>
          <w:p>
            <w:pPr>
              <w:ind w:left="2440"/>
              <w:spacing w:after="0"/>
              <w:rPr>
                <w:sz w:val="20"/>
                <w:szCs w:val="20"/>
                <w:color w:val="auto"/>
              </w:rPr>
            </w:pPr>
            <w:r>
              <w:rPr>
                <w:rFonts w:ascii="Courier New" w:cs="Courier New" w:eastAsia="Courier New" w:hAnsi="Courier New"/>
                <w:sz w:val="14"/>
                <w:szCs w:val="14"/>
                <w:color w:val="auto"/>
              </w:rPr>
              <w:t>Net cash provided by</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400" w:type="dxa"/>
            <w:vAlign w:val="bottom"/>
            <w:vMerge w:val="continue"/>
          </w:tcPr>
          <w:p>
            <w:pPr>
              <w:spacing w:after="0"/>
              <w:rPr>
                <w:sz w:val="7"/>
                <w:szCs w:val="7"/>
                <w:color w:val="auto"/>
              </w:rPr>
            </w:pP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126,244,458</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131,368,456</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116,582,995</w:t>
            </w:r>
          </w:p>
        </w:tc>
        <w:tc>
          <w:tcPr>
            <w:tcW w:w="0" w:type="dxa"/>
            <w:vAlign w:val="bottom"/>
          </w:tcPr>
          <w:p>
            <w:pPr>
              <w:spacing w:after="0"/>
              <w:rPr>
                <w:sz w:val="1"/>
                <w:szCs w:val="1"/>
                <w:color w:val="auto"/>
              </w:rPr>
            </w:pPr>
          </w:p>
        </w:tc>
      </w:tr>
      <w:tr>
        <w:trPr>
          <w:trHeight w:val="167"/>
        </w:trPr>
        <w:tc>
          <w:tcPr>
            <w:tcW w:w="5400" w:type="dxa"/>
            <w:vAlign w:val="bottom"/>
          </w:tcPr>
          <w:p>
            <w:pPr>
              <w:ind w:left="2700"/>
              <w:spacing w:after="0"/>
              <w:rPr>
                <w:sz w:val="20"/>
                <w:szCs w:val="20"/>
                <w:color w:val="auto"/>
              </w:rPr>
            </w:pPr>
            <w:r>
              <w:rPr>
                <w:rFonts w:ascii="Courier New" w:cs="Courier New" w:eastAsia="Courier New" w:hAnsi="Courier New"/>
                <w:sz w:val="14"/>
                <w:szCs w:val="14"/>
                <w:color w:val="auto"/>
              </w:rPr>
              <w:t>operating activities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5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Activity in held-to-maturity securities: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Sales proceeds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Maturities and calls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57,571,539</w:t>
            </w: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Purchases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(122,262,019)</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Activity in available-for-sale securities: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30,057,962</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31,101,380</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120,578,082</w:t>
            </w: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Sales proceeds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Maturities and calls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101,159,061</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78,792,849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91,489,195</w:t>
            </w:r>
          </w:p>
        </w:tc>
        <w:tc>
          <w:tcPr>
            <w:tcW w:w="0" w:type="dxa"/>
            <w:vAlign w:val="bottom"/>
          </w:tcPr>
          <w:p>
            <w:pPr>
              <w:spacing w:after="0"/>
              <w:rPr>
                <w:sz w:val="1"/>
                <w:szCs w:val="1"/>
                <w:color w:val="auto"/>
              </w:rPr>
            </w:pPr>
          </w:p>
        </w:tc>
      </w:tr>
      <w:tr>
        <w:trPr>
          <w:trHeight w:val="167"/>
        </w:trPr>
        <w:tc>
          <w:tcPr>
            <w:tcW w:w="5400" w:type="dxa"/>
            <w:vAlign w:val="bottom"/>
          </w:tcPr>
          <w:p>
            <w:pPr>
              <w:ind w:left="880"/>
              <w:spacing w:after="0"/>
              <w:rPr>
                <w:sz w:val="20"/>
                <w:szCs w:val="20"/>
                <w:color w:val="auto"/>
              </w:rPr>
            </w:pPr>
            <w:r>
              <w:rPr>
                <w:rFonts w:ascii="Courier New" w:cs="Courier New" w:eastAsia="Courier New" w:hAnsi="Courier New"/>
                <w:sz w:val="14"/>
                <w:szCs w:val="14"/>
                <w:color w:val="auto"/>
              </w:rPr>
              <w:t>Purchases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(101,378,452)</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(105,551,220)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(87,494,979)</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additions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(53,533,235)</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(30,535,174)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(22,248,009)</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Proceeds from sale of plant and equipment</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1,141,013</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56,500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72,000</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Increase in other assets</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(2,046,876)</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(1,001,902)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(167,174)</w:t>
            </w:r>
          </w:p>
        </w:tc>
        <w:tc>
          <w:tcPr>
            <w:tcW w:w="0" w:type="dxa"/>
            <w:vAlign w:val="bottom"/>
          </w:tcPr>
          <w:p>
            <w:pPr>
              <w:spacing w:after="0"/>
              <w:rPr>
                <w:sz w:val="1"/>
                <w:szCs w:val="1"/>
                <w:color w:val="auto"/>
              </w:rPr>
            </w:pPr>
          </w:p>
        </w:tc>
      </w:tr>
      <w:tr>
        <w:trPr>
          <w:trHeight w:val="244"/>
        </w:trPr>
        <w:tc>
          <w:tcPr>
            <w:tcW w:w="5400" w:type="dxa"/>
            <w:vAlign w:val="bottom"/>
            <w:vMerge w:val="restart"/>
          </w:tcPr>
          <w:p>
            <w:pPr>
              <w:ind w:left="2440"/>
              <w:spacing w:after="0"/>
              <w:rPr>
                <w:sz w:val="20"/>
                <w:szCs w:val="20"/>
                <w:color w:val="auto"/>
              </w:rPr>
            </w:pPr>
            <w:r>
              <w:rPr>
                <w:rFonts w:ascii="Courier New" w:cs="Courier New" w:eastAsia="Courier New" w:hAnsi="Courier New"/>
                <w:sz w:val="14"/>
                <w:szCs w:val="14"/>
                <w:color w:val="auto"/>
              </w:rPr>
              <w:t>Net cash provided by (used for)</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400" w:type="dxa"/>
            <w:vAlign w:val="bottom"/>
            <w:vMerge w:val="continue"/>
          </w:tcPr>
          <w:p>
            <w:pPr>
              <w:spacing w:after="0"/>
              <w:rPr>
                <w:sz w:val="7"/>
                <w:szCs w:val="7"/>
                <w:color w:val="auto"/>
              </w:rPr>
            </w:pP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(24,600,527)</w:t>
            </w:r>
          </w:p>
        </w:tc>
        <w:tc>
          <w:tcPr>
            <w:tcW w:w="1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(27,137,567)</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37,538,635</w:t>
            </w:r>
          </w:p>
        </w:tc>
        <w:tc>
          <w:tcPr>
            <w:tcW w:w="0" w:type="dxa"/>
            <w:vAlign w:val="bottom"/>
          </w:tcPr>
          <w:p>
            <w:pPr>
              <w:spacing w:after="0"/>
              <w:rPr>
                <w:sz w:val="1"/>
                <w:szCs w:val="1"/>
                <w:color w:val="auto"/>
              </w:rPr>
            </w:pPr>
          </w:p>
        </w:tc>
      </w:tr>
      <w:tr>
        <w:trPr>
          <w:trHeight w:val="167"/>
        </w:trPr>
        <w:tc>
          <w:tcPr>
            <w:tcW w:w="540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investing activities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21,491,243</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16,606,601</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21,460,422</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Issuance of common stock from stock plan transactions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Cash dividends paid</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(53,777,627)</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(47,961,742)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(11,506,382)</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Repurchases of common stock</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(25,214,573)</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(10,246,810)</w:t>
            </w:r>
          </w:p>
        </w:tc>
        <w:tc>
          <w:tcPr>
            <w:tcW w:w="0" w:type="dxa"/>
            <w:vAlign w:val="bottom"/>
          </w:tcPr>
          <w:p>
            <w:pPr>
              <w:spacing w:after="0"/>
              <w:rPr>
                <w:sz w:val="1"/>
                <w:szCs w:val="1"/>
                <w:color w:val="auto"/>
              </w:rPr>
            </w:pPr>
          </w:p>
        </w:tc>
      </w:tr>
      <w:tr>
        <w:trPr>
          <w:trHeight w:val="244"/>
        </w:trPr>
        <w:tc>
          <w:tcPr>
            <w:tcW w:w="5400" w:type="dxa"/>
            <w:vAlign w:val="bottom"/>
            <w:vMerge w:val="restart"/>
          </w:tcPr>
          <w:p>
            <w:pPr>
              <w:ind w:left="2440"/>
              <w:spacing w:after="0"/>
              <w:rPr>
                <w:sz w:val="20"/>
                <w:szCs w:val="20"/>
                <w:color w:val="auto"/>
              </w:rPr>
            </w:pPr>
            <w:r>
              <w:rPr>
                <w:rFonts w:ascii="Courier New" w:cs="Courier New" w:eastAsia="Courier New" w:hAnsi="Courier New"/>
                <w:sz w:val="14"/>
                <w:szCs w:val="14"/>
                <w:color w:val="auto"/>
              </w:rPr>
              <w:t>Net cash provided by (used for)</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5400" w:type="dxa"/>
            <w:vAlign w:val="bottom"/>
            <w:vMerge w:val="continue"/>
          </w:tcPr>
          <w:p>
            <w:pPr>
              <w:spacing w:after="0"/>
              <w:rPr>
                <w:sz w:val="7"/>
                <w:szCs w:val="7"/>
                <w:color w:val="auto"/>
              </w:rPr>
            </w:pPr>
          </w:p>
        </w:tc>
        <w:tc>
          <w:tcPr>
            <w:tcW w:w="15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(57,500,957)</w:t>
            </w:r>
          </w:p>
        </w:tc>
        <w:tc>
          <w:tcPr>
            <w:tcW w:w="14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(31,355,141)</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(292,770)</w:t>
            </w:r>
          </w:p>
        </w:tc>
        <w:tc>
          <w:tcPr>
            <w:tcW w:w="0" w:type="dxa"/>
            <w:vAlign w:val="bottom"/>
          </w:tcPr>
          <w:p>
            <w:pPr>
              <w:spacing w:after="0"/>
              <w:rPr>
                <w:sz w:val="1"/>
                <w:szCs w:val="1"/>
                <w:color w:val="auto"/>
              </w:rPr>
            </w:pPr>
          </w:p>
        </w:tc>
      </w:tr>
      <w:tr>
        <w:trPr>
          <w:trHeight w:val="167"/>
        </w:trPr>
        <w:tc>
          <w:tcPr>
            <w:tcW w:w="5400" w:type="dxa"/>
            <w:vAlign w:val="bottom"/>
          </w:tcPr>
          <w:p>
            <w:pPr>
              <w:ind w:left="2700"/>
              <w:spacing w:after="0"/>
              <w:rPr>
                <w:sz w:val="20"/>
                <w:szCs w:val="20"/>
                <w:color w:val="auto"/>
              </w:rPr>
            </w:pPr>
            <w:r>
              <w:rPr>
                <w:rFonts w:ascii="Courier New" w:cs="Courier New" w:eastAsia="Courier New" w:hAnsi="Courier New"/>
                <w:sz w:val="14"/>
                <w:szCs w:val="14"/>
                <w:color w:val="auto"/>
              </w:rPr>
              <w:t>financing activities</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INCREASE IN CASH AND CASH EQUIVALENTS</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44,142,974</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72,875,748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153,828,860</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395,538,719</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322,662,971</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168,834,111</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$ 439,681,693</w:t>
            </w:r>
          </w:p>
        </w:tc>
        <w:tc>
          <w:tcPr>
            <w:tcW w:w="14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$ 395,538,719</w:t>
            </w:r>
          </w:p>
        </w:tc>
        <w:tc>
          <w:tcPr>
            <w:tcW w:w="1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$ 322,662,971</w:t>
            </w:r>
          </w:p>
        </w:tc>
        <w:tc>
          <w:tcPr>
            <w:tcW w:w="0" w:type="dxa"/>
            <w:vAlign w:val="bottom"/>
          </w:tcPr>
          <w:p>
            <w:pPr>
              <w:spacing w:after="0"/>
              <w:rPr>
                <w:sz w:val="1"/>
                <w:szCs w:val="1"/>
                <w:color w:val="auto"/>
              </w:rPr>
            </w:pPr>
          </w:p>
        </w:tc>
      </w:tr>
      <w:tr>
        <w:trPr>
          <w:trHeight w:val="167"/>
        </w:trPr>
        <w:tc>
          <w:tcPr>
            <w:tcW w:w="540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w:t>
      </w:r>
    </w:p>
    <w:p>
      <w:pPr>
        <w:spacing w:after="0" w:line="3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financial statements.</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4" w:right="1440" w:bottom="1440" w:gutter="0" w:footer="0" w:header="0"/>
        </w:sectPr>
      </w:pPr>
    </w:p>
    <w:bookmarkStart w:id="30" w:name="page31"/>
    <w:bookmarkEnd w:id="30"/>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3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49" w:lineRule="exact"/>
        <w:rPr>
          <w:sz w:val="20"/>
          <w:szCs w:val="20"/>
          <w:color w:val="auto"/>
        </w:rPr>
      </w:pPr>
    </w:p>
    <w:p>
      <w:pPr>
        <w:ind w:left="520" w:right="5019" w:hanging="511"/>
        <w:spacing w:after="0" w:line="505" w:lineRule="auto"/>
        <w:tabs>
          <w:tab w:leader="none" w:pos="34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The Company</w:t>
      </w:r>
    </w:p>
    <w:p>
      <w:pPr>
        <w:jc w:val="center"/>
        <w:ind w:right="3279"/>
        <w:spacing w:after="0"/>
        <w:rPr>
          <w:sz w:val="20"/>
          <w:szCs w:val="20"/>
          <w:color w:val="auto"/>
        </w:rPr>
      </w:pPr>
      <w:r>
        <w:rPr>
          <w:rFonts w:ascii="Courier New" w:cs="Courier New" w:eastAsia="Courier New" w:hAnsi="Courier New"/>
          <w:sz w:val="14"/>
          <w:szCs w:val="14"/>
          <w:color w:val="auto"/>
        </w:rPr>
        <w:t>Gentex Corporation designs, develops, manufactures and markets proprietary</w:t>
      </w:r>
    </w:p>
    <w:p>
      <w:pPr>
        <w:spacing w:after="0" w:line="34" w:lineRule="exact"/>
        <w:rPr>
          <w:sz w:val="20"/>
          <w:szCs w:val="20"/>
          <w:color w:val="auto"/>
        </w:rPr>
      </w:pPr>
    </w:p>
    <w:p>
      <w:pPr>
        <w:ind w:left="520" w:right="3279"/>
        <w:spacing w:after="0" w:line="264" w:lineRule="auto"/>
        <w:rPr>
          <w:sz w:val="20"/>
          <w:szCs w:val="20"/>
          <w:color w:val="auto"/>
        </w:rPr>
      </w:pPr>
      <w:r>
        <w:rPr>
          <w:rFonts w:ascii="Courier New" w:cs="Courier New" w:eastAsia="Courier New" w:hAnsi="Courier New"/>
          <w:sz w:val="14"/>
          <w:szCs w:val="14"/>
          <w:color w:val="auto"/>
        </w:rPr>
        <w:t>electro-optical products: automatic-dimming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247" w:lineRule="exact"/>
        <w:rPr>
          <w:sz w:val="20"/>
          <w:szCs w:val="20"/>
          <w:color w:val="auto"/>
        </w:rPr>
      </w:pPr>
    </w:p>
    <w:p>
      <w:pPr>
        <w:ind w:left="520" w:right="3279" w:hanging="259"/>
        <w:spacing w:after="0" w:line="378" w:lineRule="auto"/>
        <w:rPr>
          <w:sz w:val="20"/>
          <w:szCs w:val="20"/>
          <w:color w:val="auto"/>
        </w:rPr>
      </w:pPr>
      <w:r>
        <w:rPr>
          <w:rFonts w:ascii="Courier New" w:cs="Courier New" w:eastAsia="Courier New" w:hAnsi="Courier New"/>
          <w:sz w:val="14"/>
          <w:szCs w:val="14"/>
          <w:color w:val="auto"/>
        </w:rPr>
        <w:t>Significant accounting policies of the Company not described elsewhere are as follows: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Consolidation</w:t>
      </w:r>
    </w:p>
    <w:p>
      <w:pPr>
        <w:spacing w:after="0" w:line="175" w:lineRule="exact"/>
        <w:rPr>
          <w:sz w:val="20"/>
          <w:szCs w:val="20"/>
          <w:color w:val="auto"/>
        </w:rPr>
      </w:pPr>
    </w:p>
    <w:p>
      <w:pPr>
        <w:ind w:left="520" w:right="3539" w:hanging="259"/>
        <w:spacing w:after="0" w:line="295" w:lineRule="auto"/>
        <w:rPr>
          <w:sz w:val="20"/>
          <w:szCs w:val="20"/>
          <w:color w:val="auto"/>
        </w:rPr>
      </w:pPr>
      <w:r>
        <w:rPr>
          <w:rFonts w:ascii="Courier New" w:cs="Courier New" w:eastAsia="Courier New" w:hAnsi="Courier New"/>
          <w:sz w:val="14"/>
          <w:szCs w:val="14"/>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Cash Equivalents</w:t>
      </w:r>
    </w:p>
    <w:p>
      <w:pPr>
        <w:spacing w:after="0" w:line="175" w:lineRule="exact"/>
        <w:rPr>
          <w:sz w:val="20"/>
          <w:szCs w:val="20"/>
          <w:color w:val="auto"/>
        </w:rPr>
      </w:pPr>
    </w:p>
    <w:p>
      <w:pPr>
        <w:ind w:left="520" w:right="3459" w:hanging="259"/>
        <w:spacing w:after="0" w:line="378" w:lineRule="auto"/>
        <w:rPr>
          <w:sz w:val="20"/>
          <w:szCs w:val="20"/>
          <w:color w:val="auto"/>
        </w:rPr>
      </w:pPr>
      <w:r>
        <w:rPr>
          <w:rFonts w:ascii="Courier New" w:cs="Courier New" w:eastAsia="Courier New" w:hAnsi="Courier New"/>
          <w:sz w:val="14"/>
          <w:szCs w:val="14"/>
          <w:color w:val="auto"/>
        </w:rPr>
        <w:t>Cash equivalents consist of funds invested in bank accounts that have daily liquidity.</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left="520" w:right="3459" w:hanging="259"/>
        <w:spacing w:after="0" w:line="285" w:lineRule="auto"/>
        <w:tabs>
          <w:tab w:leader="none" w:pos="500" w:val="left"/>
        </w:tabs>
        <w:rPr>
          <w:sz w:val="20"/>
          <w:szCs w:val="20"/>
          <w:color w:val="auto"/>
        </w:rPr>
      </w:pPr>
      <w:r>
        <w:rPr>
          <w:rFonts w:ascii="Courier New" w:cs="Courier New" w:eastAsia="Courier New" w:hAnsi="Courier New"/>
          <w:sz w:val="14"/>
          <w:szCs w:val="14"/>
          <w:color w:val="auto"/>
        </w:rPr>
        <w:t>At</w:t>
        <w:tab/>
        <w:t>December 31, 2005, investment securities are available for sale and are stated at fair value based on quoted market prices. Adjustments to the fair value of investments are recorded as increases or decreases, net of income taxes, within accumulated other comprehensive income (loss) in shareholders' investment.</w:t>
      </w:r>
    </w:p>
    <w:p>
      <w:pPr>
        <w:spacing w:after="0" w:line="60" w:lineRule="exact"/>
        <w:rPr>
          <w:sz w:val="20"/>
          <w:szCs w:val="20"/>
          <w:color w:val="auto"/>
        </w:rPr>
      </w:pPr>
    </w:p>
    <w:p>
      <w:pPr>
        <w:jc w:val="right"/>
        <w:ind w:left="260" w:right="4059"/>
        <w:spacing w:after="0" w:line="382" w:lineRule="auto"/>
        <w:rPr>
          <w:sz w:val="20"/>
          <w:szCs w:val="20"/>
          <w:color w:val="auto"/>
        </w:rPr>
      </w:pPr>
      <w:r>
        <w:rPr>
          <w:rFonts w:ascii="Courier New" w:cs="Courier New" w:eastAsia="Courier New" w:hAnsi="Courier New"/>
          <w:sz w:val="14"/>
          <w:szCs w:val="14"/>
          <w:color w:val="auto"/>
        </w:rPr>
        <w:t>The amortized cost, unrealized gains and losses, and market value of investment securities are shown as of December 31, 2005 and 2004:</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Unrealized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20" w:type="dxa"/>
            <w:vAlign w:val="bottom"/>
            <w:vMerge w:val="restart"/>
          </w:tcPr>
          <w:p>
            <w:pPr>
              <w:jc w:val="right"/>
              <w:ind w:right="1088"/>
              <w:spacing w:after="0"/>
              <w:rPr>
                <w:sz w:val="20"/>
                <w:szCs w:val="20"/>
                <w:color w:val="auto"/>
              </w:rPr>
            </w:pPr>
            <w:r>
              <w:rPr>
                <w:rFonts w:ascii="Courier New" w:cs="Courier New" w:eastAsia="Courier New" w:hAnsi="Courier New"/>
                <w:sz w:val="14"/>
                <w:szCs w:val="14"/>
                <w:color w:val="auto"/>
              </w:rPr>
              <w:t>2005</w:t>
            </w:r>
          </w:p>
        </w:tc>
        <w:tc>
          <w:tcPr>
            <w:tcW w:w="1960" w:type="dxa"/>
            <w:vAlign w:val="bottom"/>
            <w:vMerge w:val="restart"/>
          </w:tcPr>
          <w:p>
            <w:pPr>
              <w:ind w:left="1180"/>
              <w:spacing w:after="0"/>
              <w:rPr>
                <w:sz w:val="20"/>
                <w:szCs w:val="20"/>
                <w:color w:val="auto"/>
              </w:rPr>
            </w:pPr>
            <w:r>
              <w:rPr>
                <w:rFonts w:ascii="Courier New" w:cs="Courier New" w:eastAsia="Courier New" w:hAnsi="Courier New"/>
                <w:sz w:val="14"/>
                <w:szCs w:val="14"/>
                <w:color w:val="auto"/>
              </w:rPr>
              <w:t>Cost</w:t>
            </w:r>
          </w:p>
        </w:tc>
        <w:tc>
          <w:tcPr>
            <w:tcW w:w="3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Market Value</w:t>
            </w:r>
          </w:p>
        </w:tc>
        <w:tc>
          <w:tcPr>
            <w:tcW w:w="0" w:type="dxa"/>
            <w:vAlign w:val="bottom"/>
          </w:tcPr>
          <w:p>
            <w:pPr>
              <w:spacing w:after="0"/>
              <w:rPr>
                <w:sz w:val="1"/>
                <w:szCs w:val="1"/>
                <w:color w:val="auto"/>
              </w:rPr>
            </w:pPr>
          </w:p>
        </w:tc>
      </w:tr>
      <w:tr>
        <w:trPr>
          <w:trHeight w:val="193"/>
        </w:trPr>
        <w:tc>
          <w:tcPr>
            <w:tcW w:w="15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Gains</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Losses</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U.S. Government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23,024,332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(33,462)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22,990,870</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26,200,000</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26,200,000</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Corporate Bonds</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17,288,250</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(93,899)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17,194,351</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 Fixed Income</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1,215,708</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1,215,708</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103,212,665</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30,802,826</w:t>
            </w:r>
          </w:p>
        </w:tc>
        <w:tc>
          <w:tcPr>
            <w:tcW w:w="34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(1,759,526)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132,255,965</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1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170,940,955</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$ 30,802,826</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(1,886,887)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$ 199,856,894</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783"/>
        </w:trPr>
        <w:tc>
          <w:tcPr>
            <w:tcW w:w="21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spacing w:after="0"/>
              <w:rPr>
                <w:sz w:val="24"/>
                <w:szCs w:val="24"/>
                <w:color w:val="auto"/>
              </w:rPr>
            </w:pP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w:t>
            </w:r>
          </w:p>
        </w:tc>
        <w:tc>
          <w:tcPr>
            <w:tcW w:w="340" w:type="dxa"/>
            <w:vAlign w:val="bottom"/>
          </w:tcPr>
          <w:p>
            <w:pPr>
              <w:spacing w:after="0"/>
              <w:rPr>
                <w:sz w:val="24"/>
                <w:szCs w:val="24"/>
                <w:color w:val="auto"/>
              </w:rPr>
            </w:pP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Gains</w:t>
            </w:r>
          </w:p>
        </w:tc>
        <w:tc>
          <w:tcPr>
            <w:tcW w:w="340" w:type="dxa"/>
            <w:vAlign w:val="bottom"/>
          </w:tcPr>
          <w:p>
            <w:pPr>
              <w:spacing w:after="0"/>
              <w:rPr>
                <w:sz w:val="24"/>
                <w:szCs w:val="2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Losses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Market 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U.S. Government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65,426,060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(188,580)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65,237,480</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Municipal Bonds</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4,039,922</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4,038,324</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32,034,061</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32,034,061</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Corporate Bonds</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3,403,497</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80,466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3,483,963</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 Fixed Income</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1,054,716</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1,054,716</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91,621,653</w:t>
            </w:r>
          </w:p>
        </w:tc>
        <w:tc>
          <w:tcPr>
            <w:tcW w:w="34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24,934,095</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(888,721)</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115,667,027</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340" w:type="dxa"/>
            <w:vAlign w:val="bottom"/>
            <w:vMerge w:val="restart"/>
          </w:tcPr>
          <w:p>
            <w:pPr>
              <w:ind w:left="18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1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197,579,909</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$ 25,014,626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(1,078,964)</w:t>
            </w:r>
          </w:p>
        </w:tc>
        <w:tc>
          <w:tcPr>
            <w:tcW w:w="26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221,515,571</w:t>
            </w: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Unrealized losses on investments as of December 31, 2005,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2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Aggregate Unrealized Losses</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Aggregate Fair Value</w:t>
            </w:r>
          </w:p>
        </w:tc>
      </w:tr>
      <w:tr>
        <w:trPr>
          <w:trHeight w:val="244"/>
        </w:trPr>
        <w:tc>
          <w:tcPr>
            <w:tcW w:w="2140" w:type="dxa"/>
            <w:vAlign w:val="bottom"/>
          </w:tcPr>
          <w:p>
            <w:pPr>
              <w:spacing w:after="0"/>
              <w:rPr>
                <w:sz w:val="21"/>
                <w:szCs w:val="21"/>
                <w:color w:val="auto"/>
              </w:rPr>
            </w:pPr>
          </w:p>
        </w:tc>
        <w:tc>
          <w:tcPr>
            <w:tcW w:w="2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6"/>
        </w:trPr>
        <w:tc>
          <w:tcPr>
            <w:tcW w:w="2140" w:type="dxa"/>
            <w:vAlign w:val="bottom"/>
          </w:tcPr>
          <w:p>
            <w:pPr>
              <w:spacing w:after="0"/>
              <w:rPr>
                <w:sz w:val="20"/>
                <w:szCs w:val="20"/>
                <w:color w:val="auto"/>
              </w:rPr>
            </w:pPr>
            <w:r>
              <w:rPr>
                <w:rFonts w:ascii="Courier New" w:cs="Courier New" w:eastAsia="Courier New" w:hAnsi="Courier New"/>
                <w:sz w:val="14"/>
                <w:szCs w:val="14"/>
                <w:color w:val="auto"/>
              </w:rPr>
              <w:t>Less than one year</w:t>
            </w:r>
          </w:p>
        </w:tc>
        <w:tc>
          <w:tcPr>
            <w:tcW w:w="29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$ 1,271,885</w:t>
            </w:r>
          </w:p>
        </w:tc>
        <w:tc>
          <w:tcPr>
            <w:tcW w:w="2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$ 50,872,689</w:t>
            </w:r>
          </w:p>
        </w:tc>
      </w:tr>
      <w:tr>
        <w:trPr>
          <w:trHeight w:val="244"/>
        </w:trPr>
        <w:tc>
          <w:tcPr>
            <w:tcW w:w="2140" w:type="dxa"/>
            <w:vAlign w:val="bottom"/>
          </w:tcPr>
          <w:p>
            <w:pPr>
              <w:spacing w:after="0"/>
              <w:rPr>
                <w:sz w:val="20"/>
                <w:szCs w:val="20"/>
                <w:color w:val="auto"/>
              </w:rPr>
            </w:pPr>
            <w:r>
              <w:rPr>
                <w:rFonts w:ascii="Courier New" w:cs="Courier New" w:eastAsia="Courier New" w:hAnsi="Courier New"/>
                <w:sz w:val="14"/>
                <w:szCs w:val="14"/>
                <w:color w:val="auto"/>
              </w:rPr>
              <w:t>Greater than one year</w:t>
            </w:r>
          </w:p>
        </w:tc>
        <w:tc>
          <w:tcPr>
            <w:tcW w:w="29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615,002</w:t>
            </w:r>
          </w:p>
        </w:tc>
        <w:tc>
          <w:tcPr>
            <w:tcW w:w="2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1,967,136</w:t>
            </w:r>
          </w:p>
        </w:tc>
      </w:tr>
      <w:tr>
        <w:trPr>
          <w:trHeight w:val="501"/>
        </w:trPr>
        <w:tc>
          <w:tcPr>
            <w:tcW w:w="2140" w:type="dxa"/>
            <w:vAlign w:val="bottom"/>
          </w:tcPr>
          <w:p>
            <w:pPr>
              <w:spacing w:after="0"/>
              <w:rPr>
                <w:sz w:val="24"/>
                <w:szCs w:val="24"/>
                <w:color w:val="auto"/>
              </w:rPr>
            </w:pPr>
          </w:p>
        </w:tc>
        <w:tc>
          <w:tcPr>
            <w:tcW w:w="29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-30-</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594" w:right="1440" w:bottom="580" w:gutter="0" w:footer="0" w:header="0"/>
        </w:sectPr>
      </w:pPr>
    </w:p>
    <w:bookmarkStart w:id="31" w:name="page32"/>
    <w:bookmarkEnd w:id="31"/>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AND REPORTING POLICIES, continued</w:t>
      </w:r>
    </w:p>
    <w:p>
      <w:pPr>
        <w:spacing w:after="0" w:line="175" w:lineRule="exact"/>
        <w:rPr>
          <w:sz w:val="20"/>
          <w:szCs w:val="20"/>
          <w:color w:val="auto"/>
        </w:rPr>
      </w:pPr>
    </w:p>
    <w:p>
      <w:pPr>
        <w:ind w:left="520" w:right="3379" w:hanging="259"/>
        <w:spacing w:after="0" w:line="295" w:lineRule="auto"/>
        <w:rPr>
          <w:sz w:val="20"/>
          <w:szCs w:val="20"/>
          <w:color w:val="auto"/>
        </w:rPr>
      </w:pPr>
      <w:r>
        <w:rPr>
          <w:rFonts w:ascii="Courier New" w:cs="Courier New" w:eastAsia="Courier New" w:hAnsi="Courier New"/>
          <w:sz w:val="14"/>
          <w:szCs w:val="14"/>
          <w:color w:val="auto"/>
        </w:rPr>
        <w:t>Management has reviewed the unrealized losses in the Company's fixed-income and equity securities as of December 31, 2005, and has determined that they are temporary in nature; accordingly, no losses have been recognized in income as of December 31, 2005.</w:t>
      </w:r>
    </w:p>
    <w:p>
      <w:pPr>
        <w:spacing w:after="0" w:line="55" w:lineRule="exact"/>
        <w:rPr>
          <w:sz w:val="20"/>
          <w:szCs w:val="20"/>
          <w:color w:val="auto"/>
        </w:rPr>
      </w:pPr>
    </w:p>
    <w:p>
      <w:pPr>
        <w:ind w:left="520" w:right="3379" w:hanging="259"/>
        <w:spacing w:after="0" w:line="382" w:lineRule="auto"/>
        <w:rPr>
          <w:sz w:val="20"/>
          <w:szCs w:val="20"/>
          <w:color w:val="auto"/>
        </w:rPr>
      </w:pPr>
      <w:r>
        <w:rPr>
          <w:rFonts w:ascii="Courier New" w:cs="Courier New" w:eastAsia="Courier New" w:hAnsi="Courier New"/>
          <w:sz w:val="14"/>
          <w:szCs w:val="14"/>
          <w:color w:val="auto"/>
        </w:rPr>
        <w:t>Fixed income securities as of December 31, 2005, have contractual maturities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Due within one year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$ 67,432,022</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Due between one and five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296,268</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Due over five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$ 67,728,290</w:t>
            </w:r>
          </w:p>
        </w:tc>
      </w:tr>
      <w:tr>
        <w:trPr>
          <w:trHeight w:val="244"/>
        </w:trPr>
        <w:tc>
          <w:tcPr>
            <w:tcW w:w="29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left="520" w:right="3539" w:hanging="520"/>
        <w:spacing w:after="0" w:line="295" w:lineRule="auto"/>
        <w:rPr>
          <w:sz w:val="20"/>
          <w:szCs w:val="20"/>
          <w:color w:val="auto"/>
        </w:rPr>
      </w:pPr>
      <w:r>
        <w:rPr>
          <w:rFonts w:ascii="Courier New" w:cs="Courier New" w:eastAsia="Courier New" w:hAnsi="Courier New"/>
          <w:sz w:val="14"/>
          <w:szCs w:val="14"/>
          <w:color w:val="auto"/>
        </w:rPr>
        <w:t>The Company's financial instruments consist of cash and cash equivalents, investments, accounts receivable and accounts payable. The Company's estimate of the fair values of these financial instruments approximates their carrying amounts at December 31, 2005 and 2004.</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Inventories include material, direct labor and manufacturing overhead and are</w:t>
      </w:r>
    </w:p>
    <w:p>
      <w:pPr>
        <w:spacing w:after="0" w:line="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valued at the lower of first-in, first-out (FIFO) cost or market.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Inventories consisted of the following as of December 31, 2005 and 2004:</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24,628,200</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$ 18,102,873</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5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3,739,394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3,894,864</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5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11,469,228</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8,603,052</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560" w:type="dxa"/>
            <w:vAlign w:val="bottom"/>
            <w:vMerge w:val="restart"/>
          </w:tcPr>
          <w:p>
            <w:pPr>
              <w:ind w:left="30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2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99"/>
              </w:rPr>
              <w:t>39,836,822</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$ 30,600,789</w:t>
            </w: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17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3459" w:hanging="259"/>
        <w:spacing w:after="0" w:line="378" w:lineRule="auto"/>
        <w:rPr>
          <w:sz w:val="20"/>
          <w:szCs w:val="20"/>
          <w:color w:val="auto"/>
        </w:rPr>
      </w:pPr>
      <w:r>
        <w:rPr>
          <w:rFonts w:ascii="Courier New" w:cs="Courier New" w:eastAsia="Courier New" w:hAnsi="Courier New"/>
          <w:sz w:val="14"/>
          <w:szCs w:val="14"/>
          <w:color w:val="auto"/>
        </w:rPr>
        <w:t>Allowances for slow-moving and obsolete inventories were not significant as of December 31, 2005 and 2004.</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Plant and Equipment</w:t>
      </w:r>
    </w:p>
    <w:p>
      <w:pPr>
        <w:spacing w:after="0" w:line="175" w:lineRule="exact"/>
        <w:rPr>
          <w:sz w:val="20"/>
          <w:szCs w:val="20"/>
          <w:color w:val="auto"/>
        </w:rPr>
      </w:pPr>
    </w:p>
    <w:p>
      <w:pPr>
        <w:ind w:left="520" w:right="3379" w:hanging="259"/>
        <w:spacing w:after="0" w:line="295" w:lineRule="auto"/>
        <w:rPr>
          <w:sz w:val="20"/>
          <w:szCs w:val="20"/>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Impairment or Disposal of Long-Lived Assets</w:t>
      </w:r>
    </w:p>
    <w:p>
      <w:pPr>
        <w:spacing w:after="0" w:line="175" w:lineRule="exact"/>
        <w:rPr>
          <w:sz w:val="20"/>
          <w:szCs w:val="20"/>
          <w:color w:val="auto"/>
        </w:rPr>
      </w:pPr>
    </w:p>
    <w:p>
      <w:pPr>
        <w:ind w:left="520" w:right="3279" w:hanging="259"/>
        <w:spacing w:after="0" w:line="285" w:lineRule="auto"/>
        <w:rPr>
          <w:sz w:val="20"/>
          <w:szCs w:val="20"/>
          <w:color w:val="auto"/>
        </w:rPr>
      </w:pPr>
      <w:r>
        <w:rPr>
          <w:rFonts w:ascii="Courier New" w:cs="Courier New" w:eastAsia="Courier New" w:hAnsi="Courier New"/>
          <w:sz w:val="14"/>
          <w:szCs w:val="14"/>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Patents</w:t>
      </w:r>
    </w:p>
    <w:p>
      <w:pPr>
        <w:spacing w:after="0" w:line="175" w:lineRule="exact"/>
        <w:rPr>
          <w:sz w:val="20"/>
          <w:szCs w:val="20"/>
          <w:color w:val="auto"/>
        </w:rPr>
      </w:pPr>
    </w:p>
    <w:p>
      <w:pPr>
        <w:ind w:left="520" w:right="3279" w:hanging="259"/>
        <w:spacing w:after="0" w:line="268" w:lineRule="auto"/>
        <w:rPr>
          <w:sz w:val="20"/>
          <w:szCs w:val="20"/>
          <w:color w:val="auto"/>
        </w:rPr>
      </w:pPr>
      <w:r>
        <w:rPr>
          <w:rFonts w:ascii="Courier New" w:cs="Courier New" w:eastAsia="Courier New" w:hAnsi="Courier New"/>
          <w:sz w:val="14"/>
          <w:szCs w:val="14"/>
          <w:color w:val="auto"/>
        </w:rPr>
        <w:t>The Company's policy is to capitalize costs incurred to obtain patents. The cost of patents is amortized over their useful lives. The cost of patents in process is not amortized until issuance. Accumulated amortization was approximately $3,218,000 and $3,069,000 at December 31, 2005 and 2004, respectively. At December 31, 2005, patents had a weighted average amortization life of 13 years. Patent amortization expense was approximately $233,000, $193,000 and $150,000, in 2005, 2004 and 2003, respectively. For each of the next five years, patent amortization expense will approximate $238,000 annually.</w:t>
      </w:r>
    </w:p>
    <w:p>
      <w:pPr>
        <w:spacing w:after="0" w:line="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4" w:right="1440" w:bottom="1440" w:gutter="0" w:footer="0" w:header="0"/>
        </w:sectPr>
      </w:pPr>
    </w:p>
    <w:bookmarkStart w:id="32" w:name="page33"/>
    <w:bookmarkEnd w:id="32"/>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260" w:right="940" w:hanging="251"/>
        <w:spacing w:after="0" w:line="505" w:lineRule="auto"/>
        <w:tabs>
          <w:tab w:leader="none" w:pos="34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Revenue Recognition</w:t>
      </w:r>
    </w:p>
    <w:p>
      <w:pPr>
        <w:ind w:left="520" w:right="340" w:hanging="259"/>
        <w:spacing w:after="0" w:line="295" w:lineRule="auto"/>
        <w:rPr>
          <w:sz w:val="20"/>
          <w:szCs w:val="20"/>
          <w:color w:val="auto"/>
        </w:rPr>
      </w:pPr>
      <w:r>
        <w:rPr>
          <w:rFonts w:ascii="Courier New" w:cs="Courier New" w:eastAsia="Courier New" w:hAnsi="Courier New"/>
          <w:sz w:val="14"/>
          <w:szCs w:val="14"/>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Advertising and Promotional Materials</w:t>
      </w:r>
    </w:p>
    <w:p>
      <w:pPr>
        <w:spacing w:after="0" w:line="175" w:lineRule="exact"/>
        <w:rPr>
          <w:sz w:val="20"/>
          <w:szCs w:val="20"/>
          <w:color w:val="auto"/>
        </w:rPr>
      </w:pPr>
    </w:p>
    <w:p>
      <w:pPr>
        <w:ind w:left="520" w:right="340" w:hanging="259"/>
        <w:spacing w:after="0" w:line="317" w:lineRule="auto"/>
        <w:rPr>
          <w:sz w:val="20"/>
          <w:szCs w:val="20"/>
          <w:color w:val="auto"/>
        </w:rPr>
      </w:pPr>
      <w:r>
        <w:rPr>
          <w:rFonts w:ascii="Courier New" w:cs="Courier New" w:eastAsia="Courier New" w:hAnsi="Courier New"/>
          <w:sz w:val="14"/>
          <w:szCs w:val="14"/>
          <w:color w:val="auto"/>
        </w:rPr>
        <w:t>All advertising and promotional costs are expensed as incurred and amounted to approximately $1,458,000, $1,314,000 and $886,000, in 2005, 2004 and 2003, respectively.</w:t>
      </w:r>
    </w:p>
    <w:p>
      <w:pPr>
        <w:spacing w:after="0" w:line="3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Repairs and Maintenance</w:t>
      </w:r>
    </w:p>
    <w:p>
      <w:pPr>
        <w:spacing w:after="0" w:line="175" w:lineRule="exact"/>
        <w:rPr>
          <w:sz w:val="20"/>
          <w:szCs w:val="20"/>
          <w:color w:val="auto"/>
        </w:rPr>
      </w:pPr>
    </w:p>
    <w:p>
      <w:pPr>
        <w:ind w:left="520" w:right="160" w:hanging="259"/>
        <w:spacing w:after="0" w:line="285" w:lineRule="auto"/>
        <w:rPr>
          <w:sz w:val="20"/>
          <w:szCs w:val="20"/>
          <w:color w:val="auto"/>
        </w:rPr>
      </w:pPr>
      <w:r>
        <w:rPr>
          <w:rFonts w:ascii="Courier New" w:cs="Courier New" w:eastAsia="Courier New" w:hAnsi="Courier New"/>
          <w:sz w:val="14"/>
          <w:szCs w:val="14"/>
          <w:color w:val="auto"/>
        </w:rPr>
        <w:t>Major renewals and improvements of property and equipment are capitalized, and repairs and maintenance are expensed as incurred. The Company incurred expenses relating to the repair and maintenance of plant and equipment of approximately $5,770,000, $5,171,000 and $4,169,000, in 2005, 2004 and 2003, respectively.</w:t>
      </w:r>
    </w:p>
    <w:p>
      <w:pPr>
        <w:spacing w:after="0" w:line="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Self-Insurance</w:t>
      </w:r>
    </w:p>
    <w:p>
      <w:pPr>
        <w:spacing w:after="0" w:line="175" w:lineRule="exact"/>
        <w:rPr>
          <w:sz w:val="20"/>
          <w:szCs w:val="20"/>
          <w:color w:val="auto"/>
        </w:rPr>
      </w:pPr>
    </w:p>
    <w:p>
      <w:pPr>
        <w:ind w:left="520" w:right="160" w:hanging="259"/>
        <w:spacing w:after="0" w:line="285" w:lineRule="auto"/>
        <w:rPr>
          <w:sz w:val="20"/>
          <w:szCs w:val="20"/>
          <w:color w:val="auto"/>
        </w:rPr>
      </w:pPr>
      <w:r>
        <w:rPr>
          <w:rFonts w:ascii="Courier New" w:cs="Courier New" w:eastAsia="Courier New" w:hAnsi="Courier New"/>
          <w:sz w:val="14"/>
          <w:szCs w:val="14"/>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Product Warranty</w:t>
      </w:r>
    </w:p>
    <w:p>
      <w:pPr>
        <w:spacing w:after="0" w:line="175" w:lineRule="exact"/>
        <w:rPr>
          <w:sz w:val="20"/>
          <w:szCs w:val="20"/>
          <w:color w:val="auto"/>
        </w:rPr>
      </w:pPr>
    </w:p>
    <w:p>
      <w:pPr>
        <w:ind w:left="520" w:right="340" w:hanging="259"/>
        <w:spacing w:after="0" w:line="295" w:lineRule="auto"/>
        <w:rPr>
          <w:sz w:val="20"/>
          <w:szCs w:val="20"/>
          <w:color w:val="auto"/>
        </w:rPr>
      </w:pPr>
      <w:r>
        <w:rPr>
          <w:rFonts w:ascii="Courier New" w:cs="Courier New" w:eastAsia="Courier New" w:hAnsi="Courier New"/>
          <w:sz w:val="14"/>
          <w:szCs w:val="14"/>
          <w:color w:val="auto"/>
        </w:rPr>
        <w:t>The Company periodically incurs product warranty costs. Any liabilities associated with product warranty are estimated based on known facts and circumstances and are not significant at December 31, 2005 and 2004. The Company does not offer extended warranties on its products.</w:t>
      </w:r>
    </w:p>
    <w:p>
      <w:pPr>
        <w:spacing w:after="0" w:line="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left="520" w:right="160" w:hanging="259"/>
        <w:spacing w:after="0" w:line="317" w:lineRule="auto"/>
        <w:rPr>
          <w:sz w:val="20"/>
          <w:szCs w:val="20"/>
          <w:color w:val="auto"/>
        </w:rPr>
      </w:pPr>
      <w:r>
        <w:rPr>
          <w:rFonts w:ascii="Courier New" w:cs="Courier New" w:eastAsia="Courier New" w:hAnsi="Courier New"/>
          <w:sz w:val="14"/>
          <w:szCs w:val="14"/>
          <w:color w:val="auto"/>
        </w:rPr>
        <w:t>The following table reconciles the numerators and denominators used in the calculations of basic and diluted earnings per share (EPS) for each of the last three years: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Numerators:</w:t>
            </w:r>
          </w:p>
        </w:tc>
        <w:tc>
          <w:tcPr>
            <w:tcW w:w="4560" w:type="dxa"/>
            <w:vAlign w:val="bottom"/>
          </w:tcPr>
          <w:p>
            <w:pPr>
              <w:spacing w:after="0"/>
              <w:rPr>
                <w:sz w:val="22"/>
                <w:szCs w:val="22"/>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$ 109,527,511</w:t>
            </w:r>
          </w:p>
        </w:tc>
        <w:tc>
          <w:tcPr>
            <w:tcW w:w="0" w:type="dxa"/>
            <w:vAlign w:val="bottom"/>
          </w:tcPr>
          <w:p>
            <w:pPr>
              <w:spacing w:after="0"/>
              <w:rPr>
                <w:sz w:val="1"/>
                <w:szCs w:val="1"/>
                <w:color w:val="auto"/>
              </w:rPr>
            </w:pPr>
          </w:p>
        </w:tc>
      </w:tr>
      <w:tr>
        <w:trPr>
          <w:trHeight w:val="244"/>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Numerator for both basic and diluted EPS, net income</w:t>
            </w: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Denominators:</w:t>
            </w:r>
          </w:p>
        </w:tc>
        <w:tc>
          <w:tcPr>
            <w:tcW w:w="4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for basic EPS,</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Denominator</w:t>
            </w:r>
          </w:p>
        </w:tc>
        <w:tc>
          <w:tcPr>
            <w:tcW w:w="4560" w:type="dxa"/>
            <w:vAlign w:val="bottom"/>
            <w:vMerge w:val="continue"/>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155,438,834</w:t>
            </w:r>
          </w:p>
        </w:tc>
        <w:tc>
          <w:tcPr>
            <w:tcW w:w="0" w:type="dxa"/>
            <w:vAlign w:val="bottom"/>
          </w:tcPr>
          <w:p>
            <w:pPr>
              <w:spacing w:after="0"/>
              <w:rPr>
                <w:sz w:val="1"/>
                <w:szCs w:val="1"/>
                <w:color w:val="auto"/>
              </w:rPr>
            </w:pPr>
          </w:p>
        </w:tc>
      </w:tr>
      <w:tr>
        <w:trPr>
          <w:trHeight w:val="167"/>
        </w:trPr>
        <w:tc>
          <w:tcPr>
            <w:tcW w:w="5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weighted-average common shares outstanding</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Potentially</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dilutive shares resulting from stock option plans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1,591,790</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Denominator</w:t>
            </w:r>
          </w:p>
        </w:tc>
        <w:tc>
          <w:tcPr>
            <w:tcW w:w="4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for diluted EPS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180" w:type="dxa"/>
            <w:vAlign w:val="bottom"/>
            <w:vMerge w:val="continue"/>
          </w:tcPr>
          <w:p>
            <w:pPr>
              <w:spacing w:after="0"/>
              <w:rPr>
                <w:sz w:val="14"/>
                <w:szCs w:val="14"/>
                <w:color w:val="auto"/>
              </w:rPr>
            </w:pPr>
          </w:p>
        </w:tc>
        <w:tc>
          <w:tcPr>
            <w:tcW w:w="456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157,030,624</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160" w:hanging="259"/>
        <w:spacing w:after="0" w:line="295" w:lineRule="auto"/>
        <w:rPr>
          <w:sz w:val="20"/>
          <w:szCs w:val="20"/>
          <w:color w:val="auto"/>
        </w:rPr>
      </w:pPr>
      <w:r>
        <w:rPr>
          <w:rFonts w:ascii="Courier New" w:cs="Courier New" w:eastAsia="Courier New" w:hAnsi="Courier New"/>
          <w:sz w:val="14"/>
          <w:szCs w:val="14"/>
          <w:color w:val="auto"/>
        </w:rPr>
        <w:t>For the years ended December 31, 2005, 2004 and 2003, 3,517,373, 1,512,782 and 537,988 shares, respectively, related to stock option plans were not included in diluted average common shares outstanding because their effect would be antidilutive.</w:t>
      </w:r>
    </w:p>
    <w:p>
      <w:pPr>
        <w:spacing w:after="0" w:line="5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40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01"/>
        </w:trPr>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$ 112,656,518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$ 106,761,195</w:t>
            </w:r>
          </w:p>
        </w:tc>
        <w:tc>
          <w:tcPr>
            <w:tcW w:w="0" w:type="dxa"/>
            <w:vAlign w:val="bottom"/>
          </w:tcPr>
          <w:p>
            <w:pPr>
              <w:spacing w:after="0"/>
              <w:rPr>
                <w:sz w:val="1"/>
                <w:szCs w:val="1"/>
                <w:color w:val="auto"/>
              </w:rPr>
            </w:pPr>
          </w:p>
        </w:tc>
      </w:tr>
      <w:tr>
        <w:trPr>
          <w:trHeight w:val="590"/>
        </w:trPr>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154,321,342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153,169,752</w:t>
            </w:r>
          </w:p>
        </w:tc>
        <w:tc>
          <w:tcPr>
            <w:tcW w:w="0" w:type="dxa"/>
            <w:vAlign w:val="bottom"/>
          </w:tcPr>
          <w:p>
            <w:pPr>
              <w:spacing w:after="0"/>
              <w:rPr>
                <w:sz w:val="1"/>
                <w:szCs w:val="1"/>
                <w:color w:val="auto"/>
              </w:rPr>
            </w:pPr>
          </w:p>
        </w:tc>
      </w:tr>
      <w:tr>
        <w:trPr>
          <w:trHeight w:val="167"/>
        </w:trPr>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2,399,890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2,199,228</w:t>
            </w:r>
          </w:p>
        </w:tc>
        <w:tc>
          <w:tcPr>
            <w:tcW w:w="0" w:type="dxa"/>
            <w:vAlign w:val="bottom"/>
          </w:tcPr>
          <w:p>
            <w:pPr>
              <w:spacing w:after="0"/>
              <w:rPr>
                <w:sz w:val="1"/>
                <w:szCs w:val="1"/>
                <w:color w:val="auto"/>
              </w:rPr>
            </w:pPr>
          </w:p>
        </w:tc>
      </w:tr>
      <w:tr>
        <w:trPr>
          <w:trHeight w:val="167"/>
        </w:trPr>
        <w:tc>
          <w:tcPr>
            <w:tcW w:w="1400" w:type="dxa"/>
            <w:vAlign w:val="bottom"/>
            <w:vMerge w:val="restart"/>
          </w:tcPr>
          <w:p>
            <w:pPr>
              <w:jc w:val="right"/>
              <w:ind w:right="191"/>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156,721,232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1400" w:type="dxa"/>
            <w:vAlign w:val="bottom"/>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155,368,980</w:t>
            </w:r>
          </w:p>
        </w:tc>
        <w:tc>
          <w:tcPr>
            <w:tcW w:w="0" w:type="dxa"/>
            <w:vAlign w:val="bottom"/>
          </w:tcPr>
          <w:p>
            <w:pPr>
              <w:spacing w:after="0"/>
              <w:rPr>
                <w:sz w:val="1"/>
                <w:szCs w:val="1"/>
                <w:color w:val="auto"/>
              </w:rPr>
            </w:pPr>
          </w:p>
        </w:tc>
      </w:tr>
      <w:tr>
        <w:trPr>
          <w:trHeight w:val="244"/>
        </w:trPr>
        <w:tc>
          <w:tcPr>
            <w:tcW w:w="14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2">
            <w:col w:w="7120" w:space="520"/>
            <w:col w:w="2780"/>
          </w:cols>
          <w:pgMar w:left="220" w:top="594" w:right="1259" w:bottom="1440" w:gutter="0" w:footer="0" w:header="0"/>
        </w:sectPr>
      </w:pPr>
    </w:p>
    <w:bookmarkStart w:id="33" w:name="page34"/>
    <w:bookmarkEnd w:id="33"/>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ind w:right="4059" w:firstLine="9"/>
        <w:spacing w:after="0" w:line="505" w:lineRule="auto"/>
        <w:tabs>
          <w:tab w:leader="none" w:pos="34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Other Comprehensive Income (Loss)</w:t>
      </w:r>
    </w:p>
    <w:p>
      <w:pPr>
        <w:ind w:left="520" w:right="3279" w:hanging="520"/>
        <w:spacing w:after="0" w:line="285" w:lineRule="auto"/>
        <w:rPr>
          <w:sz w:val="20"/>
          <w:szCs w:val="20"/>
          <w:color w:val="auto"/>
        </w:rPr>
      </w:pPr>
      <w:r>
        <w:rPr>
          <w:rFonts w:ascii="Courier New" w:cs="Courier New" w:eastAsia="Courier New" w:hAnsi="Courier New"/>
          <w:sz w:val="14"/>
          <w:szCs w:val="14"/>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ind w:left="520" w:right="3459" w:hanging="520"/>
        <w:spacing w:after="0" w:line="268" w:lineRule="auto"/>
        <w:rPr>
          <w:sz w:val="20"/>
          <w:szCs w:val="20"/>
          <w:color w:val="auto"/>
        </w:rPr>
      </w:pPr>
      <w:r>
        <w:rPr>
          <w:rFonts w:ascii="Courier New" w:cs="Courier New" w:eastAsia="Courier New" w:hAnsi="Courier New"/>
          <w:sz w:val="14"/>
          <w:szCs w:val="14"/>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 Plans</w:t>
      </w:r>
    </w:p>
    <w:p>
      <w:pPr>
        <w:spacing w:after="0" w:line="175" w:lineRule="exact"/>
        <w:rPr>
          <w:sz w:val="20"/>
          <w:szCs w:val="20"/>
          <w:color w:val="auto"/>
        </w:rPr>
      </w:pPr>
    </w:p>
    <w:p>
      <w:pPr>
        <w:ind w:left="520" w:right="3279" w:hanging="520"/>
        <w:spacing w:after="0" w:line="264" w:lineRule="auto"/>
        <w:rPr>
          <w:sz w:val="20"/>
          <w:szCs w:val="20"/>
          <w:color w:val="auto"/>
        </w:rPr>
      </w:pPr>
      <w:r>
        <w:rPr>
          <w:rFonts w:ascii="Courier New" w:cs="Courier New" w:eastAsia="Courier New" w:hAnsi="Courier New"/>
          <w:sz w:val="14"/>
          <w:szCs w:val="14"/>
          <w:color w:val="auto"/>
        </w:rPr>
        <w:t>At December 31, 2005, the Company had two stock option plans and an employee stock purchase plan, which are described more fully in Note 6. The Company accounts for these plans under the recognition and measurement principles of APB Opinion No. 25, "Accounting for Stock Issued to Employees," and related interpretations. No stock-based employee compensation cost is reflected in net income for these plans, as all options granted under these plans have an exercise price equal to the market value of the underlying common stock on the date of grant. 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3140" w:type="dxa"/>
            <w:vAlign w:val="bottom"/>
          </w:tcPr>
          <w:p>
            <w:pPr>
              <w:spacing w:after="0"/>
              <w:rPr>
                <w:sz w:val="21"/>
                <w:szCs w:val="21"/>
                <w:color w:val="auto"/>
              </w:rPr>
            </w:pPr>
          </w:p>
        </w:tc>
        <w:tc>
          <w:tcPr>
            <w:tcW w:w="3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3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$ 109,527,511</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$ 112,656,518</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$ 106,761,195</w:t>
            </w:r>
          </w:p>
        </w:tc>
        <w:tc>
          <w:tcPr>
            <w:tcW w:w="0" w:type="dxa"/>
            <w:vAlign w:val="bottom"/>
          </w:tcPr>
          <w:p>
            <w:pPr>
              <w:spacing w:after="0"/>
              <w:rPr>
                <w:sz w:val="1"/>
                <w:szCs w:val="1"/>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w:t>
            </w: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compensation</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expense determined under fair value-based method for</w:t>
            </w:r>
          </w:p>
        </w:tc>
        <w:tc>
          <w:tcPr>
            <w:tcW w:w="12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(19,982,017)</w:t>
            </w:r>
          </w:p>
        </w:tc>
        <w:tc>
          <w:tcPr>
            <w:tcW w:w="300" w:type="dxa"/>
            <w:vAlign w:val="bottom"/>
          </w:tcPr>
          <w:p>
            <w:pPr>
              <w:spacing w:after="0"/>
              <w:rPr>
                <w:sz w:val="14"/>
                <w:szCs w:val="14"/>
                <w:color w:val="auto"/>
              </w:rPr>
            </w:pPr>
          </w:p>
        </w:tc>
        <w:tc>
          <w:tcPr>
            <w:tcW w:w="12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(14,541,115)</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(10,505,316)</w:t>
            </w:r>
          </w:p>
        </w:tc>
        <w:tc>
          <w:tcPr>
            <w:tcW w:w="0" w:type="dxa"/>
            <w:vAlign w:val="bottom"/>
          </w:tcPr>
          <w:p>
            <w:pPr>
              <w:spacing w:after="0"/>
              <w:rPr>
                <w:sz w:val="1"/>
                <w:szCs w:val="1"/>
                <w:color w:val="auto"/>
              </w:rPr>
            </w:pPr>
          </w:p>
        </w:tc>
      </w:tr>
      <w:tr>
        <w:trPr>
          <w:trHeight w:val="167"/>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all awards, net of tax effects</w:t>
            </w:r>
          </w:p>
        </w:tc>
        <w:tc>
          <w:tcPr>
            <w:tcW w:w="2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40" w:type="dxa"/>
            <w:vAlign w:val="bottom"/>
            <w:vMerge w:val="restart"/>
          </w:tcPr>
          <w:p>
            <w:pPr>
              <w:spacing w:after="0"/>
              <w:rPr>
                <w:sz w:val="20"/>
                <w:szCs w:val="20"/>
                <w:color w:val="auto"/>
              </w:rPr>
            </w:pPr>
            <w:r>
              <w:rPr>
                <w:rFonts w:ascii="Courier New" w:cs="Courier New" w:eastAsia="Courier New" w:hAnsi="Courier New"/>
                <w:sz w:val="14"/>
                <w:szCs w:val="14"/>
                <w:color w:val="auto"/>
              </w:rPr>
              <w:t>Pro forma net income</w:t>
            </w:r>
          </w:p>
        </w:tc>
        <w:tc>
          <w:tcPr>
            <w:tcW w:w="3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40" w:type="dxa"/>
            <w:vAlign w:val="bottom"/>
            <w:vMerge w:val="continue"/>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89,545,494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98,115,403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96,255,879</w:t>
            </w:r>
          </w:p>
        </w:tc>
        <w:tc>
          <w:tcPr>
            <w:tcW w:w="0" w:type="dxa"/>
            <w:vAlign w:val="bottom"/>
          </w:tcPr>
          <w:p>
            <w:pPr>
              <w:spacing w:after="0"/>
              <w:rPr>
                <w:sz w:val="1"/>
                <w:szCs w:val="1"/>
                <w:color w:val="auto"/>
              </w:rPr>
            </w:pPr>
          </w:p>
        </w:tc>
      </w:tr>
      <w:tr>
        <w:trPr>
          <w:trHeight w:val="244"/>
        </w:trPr>
        <w:tc>
          <w:tcPr>
            <w:tcW w:w="314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per share:</w:t>
            </w:r>
          </w:p>
        </w:tc>
        <w:tc>
          <w:tcPr>
            <w:tcW w:w="3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1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Basic - as reported</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0.70</w:t>
            </w:r>
          </w:p>
        </w:tc>
        <w:tc>
          <w:tcPr>
            <w:tcW w:w="0" w:type="dxa"/>
            <w:vAlign w:val="bottom"/>
          </w:tcPr>
          <w:p>
            <w:pPr>
              <w:spacing w:after="0"/>
              <w:rPr>
                <w:sz w:val="1"/>
                <w:szCs w:val="1"/>
                <w:color w:val="auto"/>
              </w:rPr>
            </w:pPr>
          </w:p>
        </w:tc>
      </w:tr>
      <w:tr>
        <w:trPr>
          <w:trHeight w:val="244"/>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Basic - pro forma</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0.63</w:t>
            </w:r>
          </w:p>
        </w:tc>
        <w:tc>
          <w:tcPr>
            <w:tcW w:w="0" w:type="dxa"/>
            <w:vAlign w:val="bottom"/>
          </w:tcPr>
          <w:p>
            <w:pPr>
              <w:spacing w:after="0"/>
              <w:rPr>
                <w:sz w:val="1"/>
                <w:szCs w:val="1"/>
                <w:color w:val="auto"/>
              </w:rPr>
            </w:pPr>
          </w:p>
        </w:tc>
      </w:tr>
      <w:tr>
        <w:trPr>
          <w:trHeight w:val="256"/>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Diluted - as reported</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0.69</w:t>
            </w:r>
          </w:p>
        </w:tc>
        <w:tc>
          <w:tcPr>
            <w:tcW w:w="0" w:type="dxa"/>
            <w:vAlign w:val="bottom"/>
          </w:tcPr>
          <w:p>
            <w:pPr>
              <w:spacing w:after="0"/>
              <w:rPr>
                <w:sz w:val="1"/>
                <w:szCs w:val="1"/>
                <w:color w:val="auto"/>
              </w:rPr>
            </w:pPr>
          </w:p>
        </w:tc>
      </w:tr>
      <w:tr>
        <w:trPr>
          <w:trHeight w:val="244"/>
        </w:trPr>
        <w:tc>
          <w:tcPr>
            <w:tcW w:w="3140" w:type="dxa"/>
            <w:vAlign w:val="bottom"/>
          </w:tcPr>
          <w:p>
            <w:pPr>
              <w:ind w:left="260"/>
              <w:spacing w:after="0"/>
              <w:rPr>
                <w:sz w:val="20"/>
                <w:szCs w:val="20"/>
                <w:color w:val="auto"/>
              </w:rPr>
            </w:pPr>
            <w:r>
              <w:rPr>
                <w:rFonts w:ascii="Courier New" w:cs="Courier New" w:eastAsia="Courier New" w:hAnsi="Courier New"/>
                <w:sz w:val="14"/>
                <w:szCs w:val="14"/>
                <w:color w:val="auto"/>
              </w:rPr>
              <w:t>Diluted - pro forma</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3279" w:hanging="520"/>
        <w:spacing w:after="0" w:line="272" w:lineRule="auto"/>
        <w:rPr>
          <w:sz w:val="20"/>
          <w:szCs w:val="20"/>
          <w:color w:val="auto"/>
        </w:rPr>
      </w:pPr>
      <w:r>
        <w:rPr>
          <w:rFonts w:ascii="Courier New" w:cs="Courier New" w:eastAsia="Courier New" w:hAnsi="Courier New"/>
          <w:sz w:val="14"/>
          <w:szCs w:val="14"/>
          <w:color w:val="auto"/>
        </w:rPr>
        <w:t>On March 30, 2005, in response to the required implementation of SFAS No. 123(R), the Company accelerated the vesting of current "under water" stock</w:t>
      </w:r>
    </w:p>
    <w:tbl>
      <w:tblPr>
        <w:tblLayout w:type="fixed"/>
        <w:tblInd w:w="520" w:type="dxa"/>
        <w:tblCellMar>
          <w:top w:w="0" w:type="dxa"/>
          <w:left w:w="0" w:type="dxa"/>
          <w:bottom w:w="0" w:type="dxa"/>
          <w:right w:w="0" w:type="dxa"/>
        </w:tblCellMar>
      </w:tblPr>
      <w:tr>
        <w:trPr>
          <w:trHeight w:val="141"/>
        </w:trPr>
        <w:tc>
          <w:tcPr>
            <w:tcW w:w="4300" w:type="dxa"/>
            <w:vAlign w:val="bottom"/>
            <w:gridSpan w:val="2"/>
          </w:tcPr>
          <w:p>
            <w:pPr>
              <w:spacing w:after="0" w:line="141" w:lineRule="exact"/>
              <w:rPr>
                <w:sz w:val="20"/>
                <w:szCs w:val="20"/>
                <w:color w:val="auto"/>
              </w:rPr>
            </w:pPr>
            <w:r>
              <w:rPr>
                <w:rFonts w:ascii="Courier New" w:cs="Courier New" w:eastAsia="Courier New" w:hAnsi="Courier New"/>
                <w:sz w:val="14"/>
                <w:szCs w:val="14"/>
                <w:color w:val="auto"/>
              </w:rPr>
              <w:t>options. As a result of the vesting acceleration,</w:t>
            </w:r>
          </w:p>
        </w:tc>
        <w:tc>
          <w:tcPr>
            <w:tcW w:w="1960" w:type="dxa"/>
            <w:vAlign w:val="bottom"/>
          </w:tcPr>
          <w:p>
            <w:pPr>
              <w:ind w:left="40"/>
              <w:spacing w:after="0" w:line="141" w:lineRule="exact"/>
              <w:rPr>
                <w:sz w:val="20"/>
                <w:szCs w:val="20"/>
                <w:color w:val="auto"/>
              </w:rPr>
            </w:pPr>
            <w:r>
              <w:rPr>
                <w:rFonts w:ascii="Courier New" w:cs="Courier New" w:eastAsia="Courier New" w:hAnsi="Courier New"/>
                <w:sz w:val="14"/>
                <w:szCs w:val="14"/>
                <w:color w:val="auto"/>
              </w:rPr>
              <w:t>approximately 2.3</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million shares became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immediately exercisable and</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an additional</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approximate $13.6 million of proforma stock-based</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employee compensation</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expense was recognized in the first quarter, that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otherwise would have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been recognized as follows: $6.1 million in 2005;</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$4.5 million in 2006;</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$2.2 million in 2007 and $0.8 million in 2008-09.</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The objective of this</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Company action was primarily to avoid recognizing</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compensation expense</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associated with these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options in future financial</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statements, upon the</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Company's adoption of</w:t>
            </w:r>
          </w:p>
        </w:tc>
        <w:tc>
          <w:tcPr>
            <w:tcW w:w="4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SFAS No. 123(R), effective January 1, 2006. In</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addition, the Company</w:t>
            </w:r>
          </w:p>
        </w:tc>
        <w:tc>
          <w:tcPr>
            <w:tcW w:w="4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also received shareholder approval of an amendment</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to its Employee Stock</w:t>
            </w:r>
          </w:p>
        </w:tc>
        <w:tc>
          <w:tcPr>
            <w:tcW w:w="4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Option Plan to allow the grant of non-qualified</w:t>
            </w:r>
          </w:p>
        </w:tc>
      </w:tr>
      <w:tr>
        <w:trPr>
          <w:trHeight w:val="244"/>
        </w:trPr>
        <w:tc>
          <w:tcPr>
            <w:tcW w:w="1880" w:type="dxa"/>
            <w:vAlign w:val="bottom"/>
          </w:tcPr>
          <w:p>
            <w:pPr>
              <w:spacing w:after="0"/>
              <w:rPr>
                <w:sz w:val="20"/>
                <w:szCs w:val="20"/>
                <w:color w:val="auto"/>
              </w:rPr>
            </w:pPr>
            <w:r>
              <w:rPr>
                <w:rFonts w:ascii="Courier New" w:cs="Courier New" w:eastAsia="Courier New" w:hAnsi="Courier New"/>
                <w:sz w:val="14"/>
                <w:szCs w:val="14"/>
                <w:color w:val="auto"/>
              </w:rPr>
              <w:t>stock options.</w:t>
            </w:r>
          </w:p>
        </w:tc>
        <w:tc>
          <w:tcPr>
            <w:tcW w:w="24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334"/>
        </w:trPr>
        <w:tc>
          <w:tcPr>
            <w:tcW w:w="188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Courier New" w:cs="Courier New" w:eastAsia="Courier New" w:hAnsi="Courier New"/>
                <w:sz w:val="14"/>
                <w:szCs w:val="14"/>
                <w:color w:val="auto"/>
              </w:rPr>
              <w:t>-33-</w:t>
            </w:r>
          </w:p>
        </w:tc>
        <w:tc>
          <w:tcPr>
            <w:tcW w:w="1960" w:type="dxa"/>
            <w:vAlign w:val="bottom"/>
          </w:tcPr>
          <w:p>
            <w:pPr>
              <w:spacing w:after="0"/>
              <w:rPr>
                <w:sz w:val="24"/>
                <w:szCs w:val="24"/>
                <w:color w:val="auto"/>
              </w:rPr>
            </w:pPr>
          </w:p>
        </w:tc>
      </w:tr>
    </w:tbl>
    <w:p>
      <w:pPr>
        <w:sectPr>
          <w:pgSz w:w="11900" w:h="16838" w:orient="portrait"/>
          <w:cols w:equalWidth="0" w:num="1">
            <w:col w:w="10239"/>
          </w:cols>
          <w:pgMar w:left="220" w:top="594" w:right="1440" w:bottom="1440" w:gutter="0" w:footer="0" w:header="0"/>
        </w:sectPr>
      </w:pPr>
    </w:p>
    <w:bookmarkStart w:id="34" w:name="page35"/>
    <w:bookmarkEnd w:id="34"/>
    <w:p>
      <w:pPr>
        <w:jc w:val="center"/>
        <w:ind w:right="317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3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ind w:right="4059" w:firstLine="9"/>
        <w:spacing w:after="0" w:line="505" w:lineRule="auto"/>
        <w:tabs>
          <w:tab w:leader="none" w:pos="34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Stock-Based Compensation Plans, continued</w:t>
      </w:r>
    </w:p>
    <w:p>
      <w:pPr>
        <w:ind w:left="520" w:right="3459" w:hanging="259"/>
        <w:spacing w:after="0" w:line="274" w:lineRule="auto"/>
        <w:rPr>
          <w:sz w:val="20"/>
          <w:szCs w:val="20"/>
          <w:color w:val="auto"/>
        </w:rPr>
      </w:pPr>
      <w:r>
        <w:rPr>
          <w:rFonts w:ascii="Courier New" w:cs="Courier New" w:eastAsia="Courier New" w:hAnsi="Courier New"/>
          <w:sz w:val="14"/>
          <w:szCs w:val="14"/>
          <w:color w:val="auto"/>
        </w:rPr>
        <w:t>The fair value of each option grant in the Employee Stock Option Plan was estimated on the date of grant using the Black-Scholes option pricing model with the following weighted-average assumptions used for grants in 2005, 2004 and 2003, respectively: risk-free interest rates of 4.1, 3.4 and 2.9 percent; expected dividend yields of 2.0,1.8 and 1.6 percent; expected lives of 4, 4 and 4 years; expected volatility of 36, 49 and 52 percent.</w:t>
      </w:r>
    </w:p>
    <w:p>
      <w:pPr>
        <w:spacing w:after="0" w:line="68" w:lineRule="exact"/>
        <w:rPr>
          <w:sz w:val="20"/>
          <w:szCs w:val="20"/>
          <w:color w:val="auto"/>
        </w:rPr>
      </w:pPr>
    </w:p>
    <w:p>
      <w:pPr>
        <w:ind w:left="520" w:right="3279" w:hanging="259"/>
        <w:spacing w:after="0" w:line="274" w:lineRule="auto"/>
        <w:rPr>
          <w:sz w:val="20"/>
          <w:szCs w:val="20"/>
          <w:color w:val="auto"/>
        </w:rPr>
      </w:pPr>
      <w:r>
        <w:rPr>
          <w:rFonts w:ascii="Courier New" w:cs="Courier New" w:eastAsia="Courier New" w:hAnsi="Courier New"/>
          <w:sz w:val="14"/>
          <w:szCs w:val="14"/>
          <w:color w:val="auto"/>
        </w:rPr>
        <w:t>The fair value of each option grant in the Nonemployee Director Stock Option Plans was estimated on the date of grant using the Black-Scholes option pricing model with the following weighted-average assumptions used for grants in 2005, 2004 and 2003, respectively: risk-free interest rates of 4.1, 4.9 and 4.0 percent; expected dividend yields of 1.9, 1.7 and 1.5 percent; expected lives of 9, 9 and 9 years; expected volatility of 42, 49 and 52 percent.</w:t>
      </w:r>
    </w:p>
    <w:p>
      <w:pPr>
        <w:spacing w:after="0" w:line="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Estimates</w:t>
      </w:r>
    </w:p>
    <w:p>
      <w:pPr>
        <w:spacing w:after="0" w:line="175" w:lineRule="exact"/>
        <w:rPr>
          <w:sz w:val="20"/>
          <w:szCs w:val="20"/>
          <w:color w:val="auto"/>
        </w:rPr>
      </w:pPr>
    </w:p>
    <w:p>
      <w:pPr>
        <w:ind w:left="520" w:right="3279" w:hanging="259"/>
        <w:spacing w:after="0" w:line="274"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New Accounting Standards</w:t>
      </w:r>
    </w:p>
    <w:p>
      <w:pPr>
        <w:spacing w:after="0" w:line="175" w:lineRule="exact"/>
        <w:rPr>
          <w:sz w:val="20"/>
          <w:szCs w:val="20"/>
          <w:color w:val="auto"/>
        </w:rPr>
      </w:pPr>
    </w:p>
    <w:p>
      <w:pPr>
        <w:ind w:left="520" w:right="3279" w:hanging="259"/>
        <w:spacing w:after="0" w:line="264" w:lineRule="auto"/>
        <w:tabs>
          <w:tab w:leader="none" w:pos="500" w:val="left"/>
        </w:tabs>
        <w:rPr>
          <w:sz w:val="20"/>
          <w:szCs w:val="20"/>
          <w:color w:val="auto"/>
        </w:rPr>
      </w:pPr>
      <w:r>
        <w:rPr>
          <w:rFonts w:ascii="Courier New" w:cs="Courier New" w:eastAsia="Courier New" w:hAnsi="Courier New"/>
          <w:sz w:val="14"/>
          <w:szCs w:val="14"/>
          <w:color w:val="auto"/>
        </w:rPr>
        <w:t>On</w:t>
        <w:tab/>
        <w:t>December 16, 2004, the Financial Accounting Standards Board (FASB) issued SFAS Statement No. 123(R), "Share-Based Payment," which required all share-based payments to employees, including grants of employee stock options, to be recognized in the income statement based on their fair values, and was effective for public companies for interim or annual periods beginning after June 15, 2005. On April 14, 2005, the U.S. Securities and Exchange Commission announced that companies will be allowed to implement SFAS No. 123(R) at the beginning of their next fiscal year after June 15, 2005. The Company adopted a fair-value based method of accounting for stock-based employee compensation effective January 1, 2006. Proforma quarterly earnings and certain Company actions taken in response to SFAS No. 123(R) are disclosed in Note 1.</w:t>
      </w:r>
    </w:p>
    <w:p>
      <w:pPr>
        <w:spacing w:after="0" w:line="76" w:lineRule="exact"/>
        <w:rPr>
          <w:sz w:val="20"/>
          <w:szCs w:val="20"/>
          <w:color w:val="auto"/>
        </w:rPr>
      </w:pPr>
    </w:p>
    <w:p>
      <w:pPr>
        <w:ind w:left="520" w:right="3379" w:hanging="259"/>
        <w:spacing w:after="0" w:line="268" w:lineRule="auto"/>
        <w:rPr>
          <w:sz w:val="20"/>
          <w:szCs w:val="20"/>
          <w:color w:val="auto"/>
        </w:rPr>
      </w:pPr>
      <w:r>
        <w:rPr>
          <w:rFonts w:ascii="Courier New" w:cs="Courier New" w:eastAsia="Courier New" w:hAnsi="Courier New"/>
          <w:sz w:val="14"/>
          <w:szCs w:val="14"/>
          <w:color w:val="auto"/>
        </w:rPr>
        <w:t>The impact of adoption of Statement 123(R) cannot be predicted at this time because it will depend on levels of share-based payments granted in the future. However, had we adopted Statement 123(R) in prior periods, the impact of that standard would have approximated the pro forma impact of Statement 123 as previously disclosed with the exception of the accelerated vesting of certain stock options. Statement 123(R) also requires the benefits of tax deductions in excess of recognized compensation cost to be reported as a financing cash flow, rather than as an operating cash flow as required under current literature.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LINE OF CREDIT</w:t>
      </w:r>
    </w:p>
    <w:p>
      <w:pPr>
        <w:spacing w:after="0" w:line="175" w:lineRule="exact"/>
        <w:rPr>
          <w:sz w:val="20"/>
          <w:szCs w:val="20"/>
          <w:color w:val="auto"/>
        </w:rPr>
      </w:pPr>
    </w:p>
    <w:p>
      <w:pPr>
        <w:ind w:left="520" w:right="3379" w:hanging="259"/>
        <w:spacing w:after="0" w:line="295" w:lineRule="auto"/>
        <w:rPr>
          <w:sz w:val="20"/>
          <w:szCs w:val="20"/>
          <w:color w:val="auto"/>
        </w:rPr>
      </w:pPr>
      <w:r>
        <w:rPr>
          <w:rFonts w:ascii="Courier New" w:cs="Courier New" w:eastAsia="Courier New" w:hAnsi="Courier New"/>
          <w:sz w:val="14"/>
          <w:szCs w:val="14"/>
          <w:color w:val="auto"/>
        </w:rPr>
        <w:t>The Company has available an unsecured $5,000,000 line of credit from a bank at an interest rate equal to the lower of the bank's prime rate or 1.5% above the LIBOR rate. No borrowings were outstanding under this line in 2005 or 2004. No compensating balances are required under this line.</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INCOME TAXES</w:t>
      </w:r>
    </w:p>
    <w:p>
      <w:pPr>
        <w:spacing w:after="0" w:line="175" w:lineRule="exact"/>
        <w:rPr>
          <w:sz w:val="20"/>
          <w:szCs w:val="20"/>
          <w:color w:val="auto"/>
        </w:rPr>
      </w:pPr>
    </w:p>
    <w:p>
      <w:pPr>
        <w:ind w:left="520" w:right="3539" w:hanging="259"/>
        <w:spacing w:after="0" w:line="267" w:lineRule="auto"/>
        <w:rPr>
          <w:sz w:val="20"/>
          <w:szCs w:val="20"/>
          <w:color w:val="auto"/>
        </w:rPr>
      </w:pPr>
      <w:r>
        <w:rPr>
          <w:rFonts w:ascii="Courier New" w:cs="Courier New" w:eastAsia="Courier New" w:hAnsi="Courier New"/>
          <w:sz w:val="14"/>
          <w:szCs w:val="14"/>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7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4" w:right="1440" w:bottom="1440" w:gutter="0" w:footer="0" w:header="0"/>
        </w:sectPr>
      </w:pPr>
    </w:p>
    <w:bookmarkStart w:id="35" w:name="page36"/>
    <w:bookmarkEnd w:id="35"/>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INCOME TAXES, continued</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2004</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2480" w:type="dxa"/>
            <w:vAlign w:val="bottom"/>
          </w:tcPr>
          <w:p>
            <w:pPr>
              <w:spacing w:after="0"/>
              <w:rPr>
                <w:sz w:val="21"/>
                <w:szCs w:val="21"/>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48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4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52,375,000</w:t>
            </w:r>
          </w:p>
        </w:tc>
        <w:tc>
          <w:tcPr>
            <w:tcW w:w="1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$ 50,497,000</w:t>
            </w:r>
          </w:p>
        </w:tc>
        <w:tc>
          <w:tcPr>
            <w:tcW w:w="3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48,976,000</w:t>
            </w:r>
          </w:p>
        </w:tc>
        <w:tc>
          <w:tcPr>
            <w:tcW w:w="0" w:type="dxa"/>
            <w:vAlign w:val="bottom"/>
          </w:tcPr>
          <w:p>
            <w:pPr>
              <w:spacing w:after="0"/>
              <w:rPr>
                <w:sz w:val="1"/>
                <w:szCs w:val="1"/>
                <w:color w:val="auto"/>
              </w:rPr>
            </w:pPr>
          </w:p>
        </w:tc>
      </w:tr>
      <w:tr>
        <w:trPr>
          <w:trHeight w:val="167"/>
        </w:trPr>
        <w:tc>
          <w:tcPr>
            <w:tcW w:w="248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4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4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167,000</w:t>
            </w:r>
          </w:p>
        </w:tc>
        <w:tc>
          <w:tcPr>
            <w:tcW w:w="3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501,000</w:t>
            </w:r>
          </w:p>
        </w:tc>
        <w:tc>
          <w:tcPr>
            <w:tcW w:w="0" w:type="dxa"/>
            <w:vAlign w:val="bottom"/>
          </w:tcPr>
          <w:p>
            <w:pPr>
              <w:spacing w:after="0"/>
              <w:rPr>
                <w:sz w:val="1"/>
                <w:szCs w:val="1"/>
                <w:color w:val="auto"/>
              </w:rPr>
            </w:pPr>
          </w:p>
        </w:tc>
      </w:tr>
      <w:tr>
        <w:trPr>
          <w:trHeight w:val="167"/>
        </w:trPr>
        <w:tc>
          <w:tcPr>
            <w:tcW w:w="24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4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w:t>
            </w: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(26,000)</w:t>
            </w:r>
          </w:p>
        </w:tc>
        <w:tc>
          <w:tcPr>
            <w:tcW w:w="0" w:type="dxa"/>
            <w:vAlign w:val="bottom"/>
          </w:tcPr>
          <w:p>
            <w:pPr>
              <w:spacing w:after="0"/>
              <w:rPr>
                <w:sz w:val="1"/>
                <w:szCs w:val="1"/>
                <w:color w:val="auto"/>
              </w:rPr>
            </w:pPr>
          </w:p>
        </w:tc>
      </w:tr>
      <w:tr>
        <w:trPr>
          <w:trHeight w:val="167"/>
        </w:trPr>
        <w:tc>
          <w:tcPr>
            <w:tcW w:w="24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52,540,000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50,672,000</w:t>
            </w:r>
          </w:p>
        </w:tc>
        <w:tc>
          <w:tcPr>
            <w:tcW w:w="3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49,451,000</w:t>
            </w:r>
          </w:p>
        </w:tc>
        <w:tc>
          <w:tcPr>
            <w:tcW w:w="0" w:type="dxa"/>
            <w:vAlign w:val="bottom"/>
          </w:tcPr>
          <w:p>
            <w:pPr>
              <w:spacing w:after="0"/>
              <w:rPr>
                <w:sz w:val="1"/>
                <w:szCs w:val="1"/>
                <w:color w:val="auto"/>
              </w:rPr>
            </w:pPr>
          </w:p>
        </w:tc>
      </w:tr>
      <w:tr>
        <w:trPr>
          <w:trHeight w:val="244"/>
        </w:trPr>
        <w:tc>
          <w:tcPr>
            <w:tcW w:w="2480" w:type="dxa"/>
            <w:vAlign w:val="bottom"/>
            <w:vMerge w:val="restart"/>
          </w:tcPr>
          <w:p>
            <w:pPr>
              <w:spacing w:after="0"/>
              <w:rPr>
                <w:sz w:val="20"/>
                <w:szCs w:val="20"/>
                <w:color w:val="auto"/>
              </w:rPr>
            </w:pPr>
            <w:r>
              <w:rPr>
                <w:rFonts w:ascii="Courier New" w:cs="Courier New" w:eastAsia="Courier New" w:hAnsi="Courier New"/>
                <w:sz w:val="14"/>
                <w:szCs w:val="14"/>
                <w:color w:val="auto"/>
              </w:rPr>
              <w:t>Net deferred:</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9"/>
        </w:trPr>
        <w:tc>
          <w:tcPr>
            <w:tcW w:w="2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9"/>
              </w:rPr>
              <w:t>(2,173,000)</w:t>
            </w:r>
          </w:p>
        </w:tc>
        <w:tc>
          <w:tcPr>
            <w:tcW w:w="14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2,404,000</w:t>
            </w:r>
          </w:p>
        </w:tc>
        <w:tc>
          <w:tcPr>
            <w:tcW w:w="380" w:type="dxa"/>
            <w:vAlign w:val="bottom"/>
          </w:tcPr>
          <w:p>
            <w:pPr>
              <w:spacing w:after="0"/>
              <w:rPr>
                <w:sz w:val="7"/>
                <w:szCs w:val="7"/>
                <w:color w:val="auto"/>
              </w:rPr>
            </w:pPr>
          </w:p>
        </w:tc>
        <w:tc>
          <w:tcPr>
            <w:tcW w:w="10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1,952,000</w:t>
            </w:r>
          </w:p>
        </w:tc>
        <w:tc>
          <w:tcPr>
            <w:tcW w:w="0" w:type="dxa"/>
            <w:vAlign w:val="bottom"/>
          </w:tcPr>
          <w:p>
            <w:pPr>
              <w:spacing w:after="0"/>
              <w:rPr>
                <w:sz w:val="1"/>
                <w:szCs w:val="1"/>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Primarily federal</w:t>
            </w: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vMerge w:val="restart"/>
          </w:tcPr>
          <w:p>
            <w:pPr>
              <w:spacing w:after="0"/>
              <w:rPr>
                <w:sz w:val="20"/>
                <w:szCs w:val="20"/>
                <w:color w:val="auto"/>
              </w:rPr>
            </w:pPr>
            <w:r>
              <w:rPr>
                <w:rFonts w:ascii="Courier New" w:cs="Courier New" w:eastAsia="Courier New" w:hAnsi="Courier New"/>
                <w:sz w:val="14"/>
                <w:szCs w:val="14"/>
                <w:color w:val="auto"/>
              </w:rPr>
              <w:t>Provision for income taxes</w:t>
            </w:r>
          </w:p>
        </w:tc>
        <w:tc>
          <w:tcPr>
            <w:tcW w:w="40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w:t>
            </w:r>
            <w:r>
              <w:rPr>
                <w:rFonts w:ascii="Courier New" w:cs="Courier New" w:eastAsia="Courier New" w:hAnsi="Courier New"/>
                <w:sz w:val="2"/>
                <w:szCs w:val="2"/>
                <w:color w:val="auto"/>
                <w:w w:val="99"/>
              </w:rPr>
              <w:t>------------</w:t>
            </w:r>
          </w:p>
        </w:tc>
        <w:tc>
          <w:tcPr>
            <w:tcW w:w="11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50,367,000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$ 53,076,000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51,403,000</w:t>
            </w:r>
          </w:p>
        </w:tc>
        <w:tc>
          <w:tcPr>
            <w:tcW w:w="0" w:type="dxa"/>
            <w:vAlign w:val="bottom"/>
          </w:tcPr>
          <w:p>
            <w:pPr>
              <w:spacing w:after="0"/>
              <w:rPr>
                <w:sz w:val="1"/>
                <w:szCs w:val="1"/>
                <w:color w:val="auto"/>
              </w:rPr>
            </w:pPr>
          </w:p>
        </w:tc>
      </w:tr>
      <w:tr>
        <w:trPr>
          <w:trHeight w:val="244"/>
        </w:trPr>
        <w:tc>
          <w:tcPr>
            <w:tcW w:w="2480" w:type="dxa"/>
            <w:vAlign w:val="bottom"/>
          </w:tcPr>
          <w:p>
            <w:pPr>
              <w:spacing w:after="0"/>
              <w:rPr>
                <w:sz w:val="21"/>
                <w:szCs w:val="21"/>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3459" w:hanging="259"/>
        <w:spacing w:after="0" w:line="278"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approximately $3,180,000, $3,512,000 and $5,511,000, in 2005, 2004 and 2003, respectively, and were recognized as an adjustment of additional paid-in capital.</w:t>
      </w:r>
    </w:p>
    <w:p>
      <w:pPr>
        <w:spacing w:after="0" w:line="66" w:lineRule="exact"/>
        <w:rPr>
          <w:sz w:val="20"/>
          <w:szCs w:val="20"/>
          <w:color w:val="auto"/>
        </w:rPr>
      </w:pPr>
    </w:p>
    <w:p>
      <w:pPr>
        <w:ind w:left="520" w:right="3799" w:hanging="259"/>
        <w:spacing w:after="0" w:line="382" w:lineRule="auto"/>
        <w:rPr>
          <w:sz w:val="20"/>
          <w:szCs w:val="20"/>
          <w:color w:val="auto"/>
        </w:rPr>
      </w:pPr>
      <w:r>
        <w:rPr>
          <w:rFonts w:ascii="Courier New" w:cs="Courier New" w:eastAsia="Courier New" w:hAnsi="Courier New"/>
          <w:sz w:val="14"/>
          <w:szCs w:val="14"/>
          <w:color w:val="auto"/>
        </w:rPr>
        <w:t>The effective income tax rates are different from the statutory federal income tax rates for the following reasons: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income tax benefit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Foreign source exempted income</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Domestic production exclusion</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Tax-exempt investment income</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0" w:type="dxa"/>
            <w:vAlign w:val="bottom"/>
          </w:tcPr>
          <w:p>
            <w:pPr>
              <w:spacing w:after="0"/>
              <w:rPr>
                <w:sz w:val="1"/>
                <w:szCs w:val="1"/>
                <w:color w:val="auto"/>
              </w:rPr>
            </w:pPr>
          </w:p>
        </w:tc>
      </w:tr>
      <w:tr>
        <w:trPr>
          <w:trHeight w:val="167"/>
        </w:trPr>
        <w:tc>
          <w:tcPr>
            <w:tcW w:w="4820" w:type="dxa"/>
            <w:vAlign w:val="bottom"/>
            <w:vMerge w:val="restart"/>
          </w:tcPr>
          <w:p>
            <w:pPr>
              <w:spacing w:after="0"/>
              <w:rPr>
                <w:sz w:val="20"/>
                <w:szCs w:val="20"/>
                <w:color w:val="auto"/>
              </w:rPr>
            </w:pPr>
            <w:r>
              <w:rPr>
                <w:rFonts w:ascii="Courier New" w:cs="Courier New" w:eastAsia="Courier New" w:hAnsi="Courier New"/>
                <w:sz w:val="14"/>
                <w:szCs w:val="14"/>
                <w:color w:val="auto"/>
              </w:rPr>
              <w:t>Effective income tax rate</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4820" w:type="dxa"/>
            <w:vAlign w:val="bottom"/>
            <w:vMerge w:val="continue"/>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3379" w:hanging="259"/>
        <w:spacing w:after="0" w:line="382" w:lineRule="auto"/>
        <w:rPr>
          <w:sz w:val="20"/>
          <w:szCs w:val="20"/>
          <w:color w:val="auto"/>
        </w:rPr>
      </w:pPr>
      <w:r>
        <w:rPr>
          <w:rFonts w:ascii="Courier New" w:cs="Courier New" w:eastAsia="Courier New" w:hAnsi="Courier New"/>
          <w:sz w:val="14"/>
          <w:szCs w:val="14"/>
          <w:color w:val="auto"/>
        </w:rPr>
        <w:t>The tax effect of temporary differences which give rise to deferred income tax assets and liabilities at December 31, 2005 and 2004, are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Courier New" w:cs="Courier New" w:eastAsia="Courier New" w:hAnsi="Courier New"/>
                <w:sz w:val="1"/>
                <w:szCs w:val="1"/>
                <w:color w:val="auto"/>
                <w:w w:val="77"/>
              </w:rPr>
              <w:t>------------------------------</w:t>
            </w:r>
          </w:p>
        </w:tc>
        <w:tc>
          <w:tcPr>
            <w:tcW w:w="126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spacing w:after="0"/>
              <w:rPr>
                <w:sz w:val="14"/>
                <w:szCs w:val="14"/>
                <w:color w:val="auto"/>
              </w:rPr>
            </w:pPr>
          </w:p>
        </w:tc>
        <w:tc>
          <w:tcPr>
            <w:tcW w:w="13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Non-Current</w:t>
            </w:r>
          </w:p>
        </w:tc>
        <w:tc>
          <w:tcPr>
            <w:tcW w:w="28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Non-Current</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2,755,501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164,603</w:t>
            </w:r>
          </w:p>
        </w:tc>
        <w:tc>
          <w:tcPr>
            <w:tcW w:w="15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$ 2,669,471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182,403</w:t>
            </w: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Accruals not currently deductible</w:t>
            </w:r>
          </w:p>
        </w:tc>
        <w:tc>
          <w:tcPr>
            <w:tcW w:w="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42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1,294,506</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1,268,652</w:t>
            </w: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2,056,759</w:t>
            </w:r>
          </w:p>
        </w:tc>
        <w:tc>
          <w:tcPr>
            <w:tcW w:w="1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1,414,883</w:t>
            </w:r>
          </w:p>
        </w:tc>
        <w:tc>
          <w:tcPr>
            <w:tcW w:w="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5,209</w:t>
            </w:r>
          </w:p>
        </w:tc>
        <w:tc>
          <w:tcPr>
            <w:tcW w:w="0" w:type="dxa"/>
            <w:vAlign w:val="bottom"/>
          </w:tcPr>
          <w:p>
            <w:pPr>
              <w:spacing w:after="0"/>
              <w:rPr>
                <w:sz w:val="1"/>
                <w:szCs w:val="1"/>
                <w:color w:val="auto"/>
              </w:rPr>
            </w:pPr>
          </w:p>
        </w:tc>
      </w:tr>
      <w:tr>
        <w:trPr>
          <w:trHeight w:val="167"/>
        </w:trPr>
        <w:tc>
          <w:tcPr>
            <w:tcW w:w="3400" w:type="dxa"/>
            <w:vAlign w:val="bottom"/>
            <w:vMerge w:val="restart"/>
          </w:tcPr>
          <w:p>
            <w:pPr>
              <w:spacing w:after="0"/>
              <w:rPr>
                <w:sz w:val="20"/>
                <w:szCs w:val="20"/>
                <w:color w:val="auto"/>
              </w:rPr>
            </w:pPr>
            <w:r>
              <w:rPr>
                <w:rFonts w:ascii="Courier New" w:cs="Courier New" w:eastAsia="Courier New" w:hAnsi="Courier New"/>
                <w:sz w:val="14"/>
                <w:szCs w:val="14"/>
                <w:color w:val="auto"/>
              </w:rPr>
              <w:t>Total deferred income tax assets</w:t>
            </w:r>
          </w:p>
        </w:tc>
        <w:tc>
          <w:tcPr>
            <w:tcW w:w="420" w:type="dxa"/>
            <w:vAlign w:val="bottom"/>
          </w:tcPr>
          <w:p>
            <w:pPr>
              <w:ind w:left="260"/>
              <w:spacing w:after="0"/>
              <w:rPr>
                <w:sz w:val="20"/>
                <w:szCs w:val="20"/>
                <w:color w:val="auto"/>
              </w:rPr>
            </w:pPr>
            <w:r>
              <w:rPr>
                <w:rFonts w:ascii="Courier New" w:cs="Courier New" w:eastAsia="Courier New" w:hAnsi="Courier New"/>
                <w:sz w:val="2"/>
                <w:szCs w:val="2"/>
                <w:color w:val="auto"/>
                <w:w w:val="96"/>
              </w:rPr>
              <w:t>------------</w:t>
            </w:r>
          </w:p>
        </w:tc>
        <w:tc>
          <w:tcPr>
            <w:tcW w:w="12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4,812,260</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34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1,464,119</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4,084,354</w:t>
            </w:r>
          </w:p>
        </w:tc>
        <w:tc>
          <w:tcPr>
            <w:tcW w:w="14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1,456,264</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20" w:type="dxa"/>
            <w:vAlign w:val="bottom"/>
          </w:tcPr>
          <w:p>
            <w:pPr>
              <w:spacing w:after="0"/>
              <w:rPr>
                <w:sz w:val="22"/>
                <w:szCs w:val="22"/>
                <w:color w:val="auto"/>
              </w:rPr>
            </w:pPr>
          </w:p>
        </w:tc>
        <w:tc>
          <w:tcPr>
            <w:tcW w:w="12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2"/>
                <w:szCs w:val="22"/>
                <w:color w:val="auto"/>
              </w:rPr>
            </w:pPr>
          </w:p>
        </w:tc>
        <w:tc>
          <w:tcPr>
            <w:tcW w:w="13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(13,286,196)</w:t>
            </w:r>
          </w:p>
        </w:tc>
        <w:tc>
          <w:tcPr>
            <w:tcW w:w="15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(14,947,063)</w:t>
            </w: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Excess tax over book depreciation</w:t>
            </w:r>
          </w:p>
        </w:tc>
        <w:tc>
          <w:tcPr>
            <w:tcW w:w="4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Patent costs</w:t>
            </w:r>
          </w:p>
        </w:tc>
        <w:tc>
          <w:tcPr>
            <w:tcW w:w="42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(1,019,513)</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(854,916)</w:t>
            </w: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 on investments</w:t>
            </w:r>
          </w:p>
        </w:tc>
        <w:tc>
          <w:tcPr>
            <w:tcW w:w="42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(10,120,578)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(8,377,483)</w:t>
            </w:r>
          </w:p>
        </w:tc>
        <w:tc>
          <w:tcPr>
            <w:tcW w:w="0" w:type="dxa"/>
            <w:vAlign w:val="bottom"/>
          </w:tcPr>
          <w:p>
            <w:pPr>
              <w:spacing w:after="0"/>
              <w:rPr>
                <w:sz w:val="1"/>
                <w:szCs w:val="1"/>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(713,923)</w:t>
            </w:r>
          </w:p>
        </w:tc>
        <w:tc>
          <w:tcPr>
            <w:tcW w:w="1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(654,481)</w:t>
            </w:r>
          </w:p>
        </w:tc>
        <w:tc>
          <w:tcPr>
            <w:tcW w:w="1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00" w:type="dxa"/>
            <w:vAlign w:val="bottom"/>
            <w:vMerge w:val="restart"/>
          </w:tcPr>
          <w:p>
            <w:pPr>
              <w:spacing w:after="0"/>
              <w:rPr>
                <w:sz w:val="20"/>
                <w:szCs w:val="20"/>
                <w:color w:val="auto"/>
              </w:rPr>
            </w:pPr>
            <w:r>
              <w:rPr>
                <w:rFonts w:ascii="Courier New" w:cs="Courier New" w:eastAsia="Courier New" w:hAnsi="Courier New"/>
                <w:sz w:val="14"/>
                <w:szCs w:val="14"/>
                <w:color w:val="auto"/>
              </w:rPr>
              <w:t>Net deferred incomes taxes</w:t>
            </w:r>
          </w:p>
        </w:tc>
        <w:tc>
          <w:tcPr>
            <w:tcW w:w="420" w:type="dxa"/>
            <w:vAlign w:val="bottom"/>
            <w:vMerge w:val="restart"/>
          </w:tcPr>
          <w:p>
            <w:pPr>
              <w:ind w:left="260"/>
              <w:spacing w:after="0"/>
              <w:rPr>
                <w:sz w:val="20"/>
                <w:szCs w:val="20"/>
                <w:color w:val="auto"/>
              </w:rPr>
            </w:pPr>
            <w:r>
              <w:rPr>
                <w:rFonts w:ascii="Courier New" w:cs="Courier New" w:eastAsia="Courier New" w:hAnsi="Courier New"/>
                <w:sz w:val="4"/>
                <w:szCs w:val="4"/>
                <w:color w:val="auto"/>
                <w:w w:val="87"/>
                <w:vertAlign w:val="subscript"/>
              </w:rPr>
              <w:t>$</w:t>
            </w:r>
            <w:r>
              <w:rPr>
                <w:rFonts w:ascii="Courier New" w:cs="Courier New" w:eastAsia="Courier New" w:hAnsi="Courier New"/>
                <w:sz w:val="2"/>
                <w:szCs w:val="2"/>
                <w:color w:val="auto"/>
                <w:w w:val="87"/>
              </w:rPr>
              <w:t>------------</w:t>
            </w:r>
          </w:p>
        </w:tc>
        <w:tc>
          <w:tcPr>
            <w:tcW w:w="12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4,098,337</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(22,962,168)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$ 3,429,873</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(22,723,198)</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right="3639"/>
        <w:spacing w:after="0" w:line="378" w:lineRule="auto"/>
        <w:rPr>
          <w:sz w:val="20"/>
          <w:szCs w:val="20"/>
          <w:color w:val="auto"/>
        </w:rPr>
      </w:pPr>
      <w:r>
        <w:rPr>
          <w:rFonts w:ascii="Courier New" w:cs="Courier New" w:eastAsia="Courier New" w:hAnsi="Courier New"/>
          <w:sz w:val="14"/>
          <w:szCs w:val="14"/>
          <w:color w:val="auto"/>
        </w:rPr>
        <w:t>Income taxes paid in cash were approximately $47,582,000, $48,556,000 and $46,243,000, in 2005, 2004 and 2003,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EMPLOYEE BENEFIT PLAN</w:t>
      </w:r>
    </w:p>
    <w:p>
      <w:pPr>
        <w:spacing w:after="0" w:line="175" w:lineRule="exact"/>
        <w:rPr>
          <w:sz w:val="20"/>
          <w:szCs w:val="20"/>
          <w:color w:val="auto"/>
        </w:rPr>
      </w:pPr>
    </w:p>
    <w:p>
      <w:pPr>
        <w:ind w:left="520" w:right="3379" w:hanging="259"/>
        <w:spacing w:after="0" w:line="278" w:lineRule="auto"/>
        <w:rPr>
          <w:sz w:val="20"/>
          <w:szCs w:val="20"/>
          <w:color w:val="auto"/>
        </w:rPr>
      </w:pPr>
      <w:r>
        <w:rPr>
          <w:rFonts w:ascii="Courier New" w:cs="Courier New" w:eastAsia="Courier New" w:hAnsi="Courier New"/>
          <w:sz w:val="14"/>
          <w:szCs w:val="14"/>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2005, 2004 and 2003, the Company's contributions were approximately $1,601,000, $1,306,000 and $1,110,000, respectively.</w:t>
      </w:r>
    </w:p>
    <w:p>
      <w:pPr>
        <w:spacing w:after="0" w:line="6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Company does not provide health care benefits to retired employees.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4" w:right="1440" w:bottom="0" w:gutter="0" w:footer="0" w:header="0"/>
        </w:sectPr>
      </w:pPr>
    </w:p>
    <w:bookmarkStart w:id="36" w:name="page37"/>
    <w:bookmarkEnd w:id="36"/>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SHAREHOLDER PROTECTION RIGHTS PLAN</w:t>
      </w:r>
    </w:p>
    <w:p>
      <w:pPr>
        <w:spacing w:after="0" w:line="175" w:lineRule="exact"/>
        <w:rPr>
          <w:sz w:val="20"/>
          <w:szCs w:val="20"/>
          <w:color w:val="auto"/>
        </w:rPr>
      </w:pPr>
    </w:p>
    <w:p>
      <w:pPr>
        <w:ind w:left="520" w:right="3820" w:hanging="259"/>
        <w:spacing w:after="0" w:line="295" w:lineRule="auto"/>
        <w:rPr>
          <w:sz w:val="20"/>
          <w:szCs w:val="20"/>
          <w:color w:val="auto"/>
        </w:rPr>
      </w:pPr>
      <w:r>
        <w:rPr>
          <w:rFonts w:ascii="Courier New" w:cs="Courier New" w:eastAsia="Courier New" w:hAnsi="Courier New"/>
          <w:sz w:val="14"/>
          <w:szCs w:val="14"/>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55" w:lineRule="exact"/>
        <w:rPr>
          <w:sz w:val="20"/>
          <w:szCs w:val="20"/>
          <w:color w:val="auto"/>
        </w:rPr>
      </w:pPr>
    </w:p>
    <w:p>
      <w:pPr>
        <w:ind w:left="520" w:right="3820" w:hanging="259"/>
        <w:spacing w:after="0" w:line="264" w:lineRule="auto"/>
        <w:rPr>
          <w:sz w:val="20"/>
          <w:szCs w:val="20"/>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$55,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March 29, 2011. Rights beneficially owned by holders of 15 percent or more of the Company's common stock, or their transferees, automatically become void.</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STOCK-BASED COMPENSATION PLANS</w:t>
      </w:r>
    </w:p>
    <w:p>
      <w:pPr>
        <w:spacing w:after="0" w:line="175"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In 2003, a new Employee Stock Purchase Plan covering 1,200,000 shares was</w:t>
      </w:r>
    </w:p>
    <w:p>
      <w:pPr>
        <w:spacing w:after="0" w:line="34" w:lineRule="exact"/>
        <w:rPr>
          <w:sz w:val="20"/>
          <w:szCs w:val="20"/>
          <w:color w:val="auto"/>
        </w:rPr>
      </w:pPr>
    </w:p>
    <w:p>
      <w:pPr>
        <w:ind w:left="520" w:right="3820"/>
        <w:spacing w:after="0" w:line="267" w:lineRule="auto"/>
        <w:rPr>
          <w:sz w:val="20"/>
          <w:szCs w:val="20"/>
          <w:color w:val="auto"/>
        </w:rPr>
      </w:pPr>
      <w:r>
        <w:rPr>
          <w:rFonts w:ascii="Courier New" w:cs="Courier New" w:eastAsia="Courier New" w:hAnsi="Courier New"/>
          <w:sz w:val="14"/>
          <w:szCs w:val="14"/>
          <w:color w:val="auto"/>
        </w:rPr>
        <w:t>approved, replacing a prior plan. The Company has sold to employees 135,409 shares, 111,808 shares and 95,810 shares under the plans in 2005, 2004 and 2003, respectively, and has sold a total of 310,251 shares under the new plan through December 31, 2005. The Company sells shares at 85% of the stock's market price at date of purchase. The weighted average fair value of shares sold in 2005, 2004 and 2003, was approximately $14.97, $16.28 and $13.96, respectively.</w:t>
      </w:r>
    </w:p>
    <w:p>
      <w:pPr>
        <w:spacing w:after="0" w:line="74" w:lineRule="exact"/>
        <w:rPr>
          <w:sz w:val="20"/>
          <w:szCs w:val="20"/>
          <w:color w:val="auto"/>
        </w:rPr>
      </w:pPr>
    </w:p>
    <w:p>
      <w:pPr>
        <w:ind w:left="520" w:right="3920" w:hanging="259"/>
        <w:spacing w:after="0" w:line="274" w:lineRule="auto"/>
        <w:tabs>
          <w:tab w:leader="none" w:pos="500" w:val="left"/>
        </w:tabs>
        <w:rPr>
          <w:sz w:val="20"/>
          <w:szCs w:val="20"/>
          <w:color w:val="auto"/>
        </w:rPr>
      </w:pPr>
      <w:r>
        <w:rPr>
          <w:rFonts w:ascii="Courier New" w:cs="Courier New" w:eastAsia="Courier New" w:hAnsi="Courier New"/>
          <w:sz w:val="14"/>
          <w:szCs w:val="14"/>
          <w:color w:val="auto"/>
        </w:rPr>
        <w:t>In</w:t>
        <w:tab/>
        <w:t>2004, a new Employee Stock Option Plan was approved, replacing the prior plan. The Company may grant options for up to 18,000,000 shares under its new Employee Stock Option Plan. The Company has granted options on 4,250,733 shares (net of shares from canceled options) under the new plan through December 31, 2005. Under the plans, the option exercise price equals the stock's market price on date of grant. The options vest after one to five years, and expire after three to seven years.</w:t>
      </w:r>
    </w:p>
    <w:p>
      <w:pPr>
        <w:spacing w:after="0" w:line="68" w:lineRule="exact"/>
        <w:rPr>
          <w:sz w:val="20"/>
          <w:szCs w:val="20"/>
          <w:color w:val="auto"/>
        </w:rPr>
      </w:pPr>
    </w:p>
    <w:p>
      <w:pPr>
        <w:ind w:left="520" w:right="3920" w:hanging="159"/>
        <w:spacing w:after="0" w:line="317" w:lineRule="auto"/>
        <w:tabs>
          <w:tab w:leader="none" w:pos="500" w:val="left"/>
        </w:tabs>
        <w:rPr>
          <w:sz w:val="20"/>
          <w:szCs w:val="20"/>
          <w:color w:val="auto"/>
        </w:rPr>
      </w:pPr>
      <w:r>
        <w:rPr>
          <w:rFonts w:ascii="Courier New" w:cs="Courier New" w:eastAsia="Courier New" w:hAnsi="Courier New"/>
          <w:sz w:val="14"/>
          <w:szCs w:val="14"/>
          <w:color w:val="auto"/>
        </w:rPr>
        <w:t>A</w:t>
        <w:tab/>
        <w:t>summary of the status of the Company's employee stock option plan at December 31, 2005, 2004 and 2003, and changes during the years then ended is presented in the table and narrative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2004</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22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Wtd. Avg.</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Wtd. Avg.</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Wtd. Avg.</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 Price</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 Price</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 Price</w:t>
            </w:r>
          </w:p>
        </w:tc>
        <w:tc>
          <w:tcPr>
            <w:tcW w:w="0" w:type="dxa"/>
            <w:vAlign w:val="bottom"/>
          </w:tcPr>
          <w:p>
            <w:pPr>
              <w:spacing w:after="0"/>
              <w:rPr>
                <w:sz w:val="1"/>
                <w:szCs w:val="1"/>
                <w:color w:val="auto"/>
              </w:rPr>
            </w:pPr>
          </w:p>
        </w:tc>
      </w:tr>
      <w:tr>
        <w:trPr>
          <w:trHeight w:val="244"/>
        </w:trPr>
        <w:tc>
          <w:tcPr>
            <w:tcW w:w="300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10,586</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w:t>
            </w:r>
          </w:p>
        </w:tc>
        <w:tc>
          <w:tcPr>
            <w:tcW w:w="7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2,864</w:t>
            </w:r>
          </w:p>
        </w:tc>
        <w:tc>
          <w:tcPr>
            <w:tcW w:w="8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2,598</w:t>
            </w: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(1,580)</w:t>
            </w:r>
          </w:p>
        </w:tc>
        <w:tc>
          <w:tcPr>
            <w:tcW w:w="7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c>
          <w:tcPr>
            <w:tcW w:w="8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(1,964)</w:t>
            </w: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c>
          <w:tcPr>
            <w:tcW w:w="7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c>
          <w:tcPr>
            <w:tcW w:w="8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7"/>
        </w:trPr>
        <w:tc>
          <w:tcPr>
            <w:tcW w:w="300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End of Year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vMerge w:val="continue"/>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10,510</w:t>
            </w:r>
          </w:p>
        </w:tc>
        <w:tc>
          <w:tcPr>
            <w:tcW w:w="7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10,586</w:t>
            </w:r>
          </w:p>
        </w:tc>
        <w:tc>
          <w:tcPr>
            <w:tcW w:w="8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9,102</w:t>
            </w:r>
          </w:p>
        </w:tc>
        <w:tc>
          <w:tcPr>
            <w:tcW w:w="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7"/>
        </w:trPr>
        <w:tc>
          <w:tcPr>
            <w:tcW w:w="3000" w:type="dxa"/>
            <w:vAlign w:val="bottom"/>
            <w:vMerge w:val="restart"/>
          </w:tcPr>
          <w:p>
            <w:pPr>
              <w:spacing w:after="0"/>
              <w:rPr>
                <w:sz w:val="20"/>
                <w:szCs w:val="20"/>
                <w:color w:val="auto"/>
              </w:rPr>
            </w:pPr>
            <w:r>
              <w:rPr>
                <w:rFonts w:ascii="Courier New" w:cs="Courier New" w:eastAsia="Courier New" w:hAnsi="Courier New"/>
                <w:sz w:val="14"/>
                <w:szCs w:val="14"/>
                <w:color w:val="auto"/>
              </w:rPr>
              <w:t>Exercisable at End of Year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vMerge w:val="continue"/>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3,190</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Weighted Avg. Fair Value</w:t>
            </w:r>
          </w:p>
        </w:tc>
        <w:tc>
          <w:tcPr>
            <w:tcW w:w="82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244"/>
        </w:trPr>
        <w:tc>
          <w:tcPr>
            <w:tcW w:w="3000" w:type="dxa"/>
            <w:vAlign w:val="bottom"/>
          </w:tcPr>
          <w:p>
            <w:pPr>
              <w:ind w:left="440"/>
              <w:spacing w:after="0"/>
              <w:rPr>
                <w:sz w:val="20"/>
                <w:szCs w:val="20"/>
                <w:color w:val="auto"/>
              </w:rPr>
            </w:pPr>
            <w:r>
              <w:rPr>
                <w:rFonts w:ascii="Courier New" w:cs="Courier New" w:eastAsia="Courier New" w:hAnsi="Courier New"/>
                <w:sz w:val="14"/>
                <w:szCs w:val="14"/>
                <w:color w:val="auto"/>
              </w:rPr>
              <w:t>of Options Granted</w:t>
            </w:r>
          </w:p>
        </w:tc>
        <w:tc>
          <w:tcPr>
            <w:tcW w:w="8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Outstanding and Exercisable by Price Range As of December 31, 2005: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20" w:type="dxa"/>
            <w:vAlign w:val="bottom"/>
            <w:gridSpan w:val="2"/>
            <w:vMerge w:val="restart"/>
          </w:tcPr>
          <w:p>
            <w:pPr>
              <w:jc w:val="right"/>
              <w:ind w:right="1448"/>
              <w:spacing w:after="0"/>
              <w:rPr>
                <w:sz w:val="20"/>
                <w:szCs w:val="20"/>
                <w:color w:val="auto"/>
              </w:rPr>
            </w:pPr>
            <w:r>
              <w:rPr>
                <w:rFonts w:ascii="Courier New" w:cs="Courier New" w:eastAsia="Courier New" w:hAnsi="Courier New"/>
                <w:sz w:val="14"/>
                <w:szCs w:val="14"/>
                <w:color w:val="auto"/>
              </w:rPr>
              <w:t>Options Outstanding</w:t>
            </w:r>
          </w:p>
        </w:tc>
        <w:tc>
          <w:tcPr>
            <w:tcW w:w="1820" w:type="dxa"/>
            <w:vAlign w:val="bottom"/>
          </w:tcPr>
          <w:p>
            <w:pPr>
              <w:spacing w:after="0"/>
              <w:rPr>
                <w:sz w:val="14"/>
                <w:szCs w:val="14"/>
                <w:color w:val="auto"/>
              </w:rPr>
            </w:pPr>
          </w:p>
        </w:tc>
        <w:tc>
          <w:tcPr>
            <w:tcW w:w="336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Options Exercisable</w:t>
            </w: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1780" w:type="dxa"/>
            <w:vAlign w:val="bottom"/>
            <w:vMerge w:val="restart"/>
          </w:tcPr>
          <w:p>
            <w:pPr>
              <w:ind w:left="140"/>
              <w:spacing w:after="0"/>
              <w:rPr>
                <w:sz w:val="20"/>
                <w:szCs w:val="20"/>
                <w:color w:val="auto"/>
              </w:rPr>
            </w:pPr>
            <w:r>
              <w:rPr>
                <w:rFonts w:ascii="Courier New" w:cs="Courier New" w:eastAsia="Courier New" w:hAnsi="Courier New"/>
                <w:sz w:val="9"/>
                <w:szCs w:val="9"/>
                <w:color w:val="auto"/>
                <w:w w:val="72"/>
              </w:rPr>
              <w:t>-----------------------------------</w:t>
            </w:r>
            <w:r>
              <w:rPr>
                <w:rFonts w:ascii="Courier New" w:cs="Courier New" w:eastAsia="Courier New" w:hAnsi="Courier New"/>
                <w:sz w:val="14"/>
                <w:szCs w:val="14"/>
                <w:color w:val="auto"/>
                <w:w w:val="72"/>
                <w:vertAlign w:val="subscript"/>
              </w:rPr>
              <w:t>Shares</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0" w:type="dxa"/>
            <w:vAlign w:val="bottom"/>
          </w:tcPr>
          <w:p>
            <w:pPr>
              <w:spacing w:after="0"/>
              <w:rPr>
                <w:sz w:val="1"/>
                <w:szCs w:val="1"/>
                <w:color w:val="auto"/>
              </w:rPr>
            </w:pPr>
          </w:p>
        </w:tc>
      </w:tr>
      <w:tr>
        <w:trPr>
          <w:trHeight w:val="167"/>
        </w:trPr>
        <w:tc>
          <w:tcPr>
            <w:tcW w:w="740" w:type="dxa"/>
            <w:vAlign w:val="bottom"/>
            <w:gridSpan w:val="2"/>
            <w:vMerge w:val="restart"/>
          </w:tcPr>
          <w:p>
            <w:pPr>
              <w:spacing w:after="0"/>
              <w:rPr>
                <w:sz w:val="20"/>
                <w:szCs w:val="20"/>
                <w:color w:val="auto"/>
              </w:rPr>
            </w:pPr>
            <w:r>
              <w:rPr>
                <w:rFonts w:ascii="Courier New" w:cs="Courier New" w:eastAsia="Courier New" w:hAnsi="Courier New"/>
                <w:sz w:val="1"/>
                <w:szCs w:val="1"/>
                <w:color w:val="auto"/>
              </w:rPr>
              <w:t>- ----------------------------------------------------------------------------------</w:t>
            </w:r>
            <w:r>
              <w:rPr>
                <w:rFonts w:ascii="Courier New" w:cs="Courier New" w:eastAsia="Courier New" w:hAnsi="Courier New"/>
                <w:sz w:val="2"/>
                <w:szCs w:val="2"/>
                <w:color w:val="auto"/>
                <w:vertAlign w:val="subscript"/>
              </w:rPr>
              <w:t>Range</w:t>
            </w:r>
          </w:p>
        </w:tc>
        <w:tc>
          <w:tcPr>
            <w:tcW w:w="84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of</w:t>
            </w:r>
          </w:p>
        </w:tc>
        <w:tc>
          <w:tcPr>
            <w:tcW w:w="22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Shares Outstanding</w:t>
            </w:r>
          </w:p>
        </w:tc>
        <w:tc>
          <w:tcPr>
            <w:tcW w:w="1820" w:type="dxa"/>
            <w:vAlign w:val="bottom"/>
            <w:vMerge w:val="restart"/>
          </w:tcPr>
          <w:p>
            <w:pPr>
              <w:jc w:val="center"/>
              <w:ind w:right="168"/>
              <w:spacing w:after="0"/>
              <w:rPr>
                <w:sz w:val="20"/>
                <w:szCs w:val="20"/>
                <w:color w:val="auto"/>
              </w:rPr>
            </w:pPr>
            <w:r>
              <w:rPr>
                <w:rFonts w:ascii="Courier New" w:cs="Courier New" w:eastAsia="Courier New" w:hAnsi="Courier New"/>
                <w:sz w:val="14"/>
                <w:szCs w:val="14"/>
                <w:color w:val="auto"/>
              </w:rPr>
              <w:t>Remaining</w:t>
            </w:r>
          </w:p>
        </w:tc>
        <w:tc>
          <w:tcPr>
            <w:tcW w:w="182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Weighted Average</w:t>
            </w:r>
          </w:p>
        </w:tc>
        <w:tc>
          <w:tcPr>
            <w:tcW w:w="178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Exercisable</w:t>
            </w:r>
          </w:p>
        </w:tc>
        <w:tc>
          <w:tcPr>
            <w:tcW w:w="15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Exercise</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(000)</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Contractual Life</w:t>
            </w:r>
          </w:p>
        </w:tc>
        <w:tc>
          <w:tcPr>
            <w:tcW w:w="18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Exercise Price</w:t>
            </w:r>
          </w:p>
        </w:tc>
        <w:tc>
          <w:tcPr>
            <w:tcW w:w="1780" w:type="dxa"/>
            <w:vAlign w:val="bottom"/>
          </w:tcPr>
          <w:p>
            <w:pPr>
              <w:ind w:left="580"/>
              <w:spacing w:after="0"/>
              <w:rPr>
                <w:sz w:val="20"/>
                <w:szCs w:val="20"/>
                <w:color w:val="auto"/>
              </w:rPr>
            </w:pPr>
            <w:r>
              <w:rPr>
                <w:rFonts w:ascii="Courier New" w:cs="Courier New" w:eastAsia="Courier New" w:hAnsi="Courier New"/>
                <w:sz w:val="14"/>
                <w:szCs w:val="14"/>
                <w:color w:val="auto"/>
              </w:rPr>
              <w:t>(000)</w:t>
            </w:r>
          </w:p>
        </w:tc>
        <w:tc>
          <w:tcPr>
            <w:tcW w:w="15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244"/>
        </w:trPr>
        <w:tc>
          <w:tcPr>
            <w:tcW w:w="740" w:type="dxa"/>
            <w:vAlign w:val="bottom"/>
            <w:gridSpan w:val="2"/>
          </w:tcPr>
          <w:p>
            <w:pPr>
              <w:spacing w:after="0"/>
              <w:rPr>
                <w:sz w:val="20"/>
                <w:szCs w:val="20"/>
                <w:color w:val="auto"/>
              </w:rPr>
            </w:pPr>
            <w:r>
              <w:rPr>
                <w:rFonts w:ascii="Courier New" w:cs="Courier New" w:eastAsia="Courier New" w:hAnsi="Courier New"/>
                <w:sz w:val="10"/>
                <w:szCs w:val="10"/>
                <w:color w:val="auto"/>
                <w:w w:val="70"/>
              </w:rPr>
              <w:t>- ---------------</w:t>
            </w:r>
          </w:p>
        </w:tc>
        <w:tc>
          <w:tcPr>
            <w:tcW w:w="840" w:type="dxa"/>
            <w:vAlign w:val="bottom"/>
          </w:tcPr>
          <w:p>
            <w:pPr>
              <w:spacing w:after="0"/>
              <w:rPr>
                <w:sz w:val="21"/>
                <w:szCs w:val="21"/>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$ 1</w:t>
            </w:r>
          </w:p>
        </w:tc>
        <w:tc>
          <w:tcPr>
            <w:tcW w:w="1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 $14</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2,410</w:t>
            </w: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2</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$ 13</w:t>
            </w: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1,905</w:t>
            </w: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$ 13</w:t>
            </w:r>
          </w:p>
        </w:tc>
        <w:tc>
          <w:tcPr>
            <w:tcW w:w="0" w:type="dxa"/>
            <w:vAlign w:val="bottom"/>
          </w:tcPr>
          <w:p>
            <w:pPr>
              <w:spacing w:after="0"/>
              <w:rPr>
                <w:sz w:val="1"/>
                <w:szCs w:val="1"/>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$15</w:t>
            </w:r>
          </w:p>
        </w:tc>
        <w:tc>
          <w:tcPr>
            <w:tcW w:w="1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 $17</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3,014</w:t>
            </w: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3</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w:t>
            </w: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1,613</w:t>
            </w: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$18</w:t>
            </w:r>
          </w:p>
        </w:tc>
        <w:tc>
          <w:tcPr>
            <w:tcW w:w="1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 $19</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2,786</w:t>
            </w: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4</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w:t>
            </w: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1,991</w:t>
            </w: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$20</w:t>
            </w:r>
          </w:p>
        </w:tc>
        <w:tc>
          <w:tcPr>
            <w:tcW w:w="10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 $22</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2,300</w:t>
            </w: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4</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w:t>
            </w: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1,931</w:t>
            </w: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w:t>
            </w:r>
          </w:p>
        </w:tc>
        <w:tc>
          <w:tcPr>
            <w:tcW w:w="0" w:type="dxa"/>
            <w:vAlign w:val="bottom"/>
          </w:tcPr>
          <w:p>
            <w:pPr>
              <w:spacing w:after="0"/>
              <w:rPr>
                <w:sz w:val="1"/>
                <w:szCs w:val="1"/>
                <w:color w:val="auto"/>
              </w:rPr>
            </w:pPr>
          </w:p>
        </w:tc>
      </w:tr>
      <w:tr>
        <w:trPr>
          <w:trHeight w:val="167"/>
        </w:trPr>
        <w:tc>
          <w:tcPr>
            <w:tcW w:w="740" w:type="dxa"/>
            <w:vAlign w:val="bottom"/>
            <w:gridSpan w:val="2"/>
            <w:vMerge w:val="restart"/>
          </w:tcPr>
          <w:p>
            <w:pPr>
              <w:ind w:left="180"/>
              <w:spacing w:after="0"/>
              <w:rPr>
                <w:sz w:val="20"/>
                <w:szCs w:val="20"/>
                <w:color w:val="auto"/>
              </w:rPr>
            </w:pPr>
            <w:r>
              <w:rPr>
                <w:rFonts w:ascii="Courier New" w:cs="Courier New" w:eastAsia="Courier New" w:hAnsi="Courier New"/>
                <w:sz w:val="14"/>
                <w:szCs w:val="14"/>
                <w:color w:val="auto"/>
              </w:rPr>
              <w:t>Total</w:t>
            </w:r>
          </w:p>
        </w:tc>
        <w:tc>
          <w:tcPr>
            <w:tcW w:w="840" w:type="dxa"/>
            <w:vAlign w:val="bottom"/>
          </w:tcPr>
          <w:p>
            <w:pPr>
              <w:spacing w:after="0"/>
              <w:rPr>
                <w:sz w:val="14"/>
                <w:szCs w:val="14"/>
                <w:color w:val="auto"/>
              </w:rPr>
            </w:pPr>
          </w:p>
        </w:tc>
        <w:tc>
          <w:tcPr>
            <w:tcW w:w="22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w w:val="82"/>
              </w:rPr>
              <w:t>------------------</w:t>
            </w:r>
            <w:r>
              <w:rPr>
                <w:rFonts w:ascii="Courier New" w:cs="Courier New" w:eastAsia="Courier New" w:hAnsi="Courier New"/>
                <w:sz w:val="28"/>
                <w:szCs w:val="28"/>
                <w:color w:val="auto"/>
                <w:w w:val="82"/>
                <w:vertAlign w:val="subscript"/>
              </w:rPr>
              <w:t>10,510</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8"/>
        </w:trPr>
        <w:tc>
          <w:tcPr>
            <w:tcW w:w="740" w:type="dxa"/>
            <w:vAlign w:val="bottom"/>
            <w:gridSpan w:val="2"/>
            <w:vMerge w:val="continue"/>
          </w:tcPr>
          <w:p>
            <w:pPr>
              <w:spacing w:after="0"/>
              <w:rPr>
                <w:sz w:val="22"/>
                <w:szCs w:val="22"/>
                <w:color w:val="auto"/>
              </w:rPr>
            </w:pPr>
          </w:p>
        </w:tc>
        <w:tc>
          <w:tcPr>
            <w:tcW w:w="840" w:type="dxa"/>
            <w:vAlign w:val="bottom"/>
          </w:tcPr>
          <w:p>
            <w:pPr>
              <w:spacing w:after="0"/>
              <w:rPr>
                <w:sz w:val="22"/>
                <w:szCs w:val="22"/>
                <w:color w:val="auto"/>
              </w:rPr>
            </w:pPr>
          </w:p>
        </w:tc>
        <w:tc>
          <w:tcPr>
            <w:tcW w:w="2200" w:type="dxa"/>
            <w:vAlign w:val="bottom"/>
            <w:vMerge w:val="continue"/>
          </w:tcPr>
          <w:p>
            <w:pPr>
              <w:spacing w:after="0"/>
              <w:rPr>
                <w:sz w:val="22"/>
                <w:szCs w:val="22"/>
                <w:color w:val="auto"/>
              </w:rPr>
            </w:pPr>
          </w:p>
        </w:tc>
        <w:tc>
          <w:tcPr>
            <w:tcW w:w="18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4"/>
              </w:rPr>
              <w:t>3</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$ 17</w:t>
            </w:r>
          </w:p>
        </w:tc>
        <w:tc>
          <w:tcPr>
            <w:tcW w:w="17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7,440</w:t>
            </w: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$ 17</w:t>
            </w: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20" w:top="594" w:right="899" w:bottom="914" w:gutter="0" w:footer="0" w:header="0"/>
        </w:sectPr>
      </w:pPr>
    </w:p>
    <w:bookmarkStart w:id="37" w:name="page38"/>
    <w:bookmarkEnd w:id="37"/>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STOCK-BASED COMPENSATION PLANS, continued</w:t>
      </w:r>
    </w:p>
    <w:p>
      <w:pPr>
        <w:spacing w:after="0" w:line="175" w:lineRule="exact"/>
        <w:rPr>
          <w:sz w:val="20"/>
          <w:szCs w:val="20"/>
          <w:color w:val="auto"/>
        </w:rPr>
      </w:pPr>
    </w:p>
    <w:p>
      <w:pPr>
        <w:ind w:left="520" w:right="3379" w:hanging="259"/>
        <w:spacing w:after="0" w:line="278" w:lineRule="auto"/>
        <w:rPr>
          <w:sz w:val="20"/>
          <w:szCs w:val="20"/>
          <w:color w:val="auto"/>
        </w:rPr>
      </w:pPr>
      <w:r>
        <w:rPr>
          <w:rFonts w:ascii="Courier New" w:cs="Courier New" w:eastAsia="Courier New" w:hAnsi="Courier New"/>
          <w:sz w:val="14"/>
          <w:szCs w:val="14"/>
          <w:color w:val="auto"/>
        </w:rPr>
        <w:t>The Company has a Nonemployee Director Stock Option Plan covering 1,000,000 shares that was approved, replacing a prior plan. The Company has granted options on 309,240 shares (net of shares from canceled options) under the current plan through December 31, 2005. Under the plan, the option exercise price equals the stock's market price on date of grant. The options vest after six months, and expire after ten years.</w:t>
      </w:r>
    </w:p>
    <w:p>
      <w:pPr>
        <w:spacing w:after="0" w:line="66" w:lineRule="exact"/>
        <w:rPr>
          <w:sz w:val="20"/>
          <w:szCs w:val="20"/>
          <w:color w:val="auto"/>
        </w:rPr>
      </w:pPr>
    </w:p>
    <w:p>
      <w:pPr>
        <w:ind w:left="520" w:right="3379" w:hanging="259"/>
        <w:spacing w:after="0" w:line="317" w:lineRule="auto"/>
        <w:rPr>
          <w:sz w:val="20"/>
          <w:szCs w:val="20"/>
          <w:color w:val="auto"/>
        </w:rPr>
      </w:pPr>
      <w:r>
        <w:rPr>
          <w:rFonts w:ascii="Courier New" w:cs="Courier New" w:eastAsia="Courier New" w:hAnsi="Courier New"/>
          <w:sz w:val="14"/>
          <w:szCs w:val="14"/>
          <w:color w:val="auto"/>
        </w:rPr>
        <w:t>A summary of the status of the plan at December 31, 2005, 2004 and 2003, and changes during the years then ended is presented in the table and narrative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21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Wtd. Avg.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Wtd. Avg.</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Wtd. Avg.</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 Price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Ex. Price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Ex. Price</w:t>
            </w: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848</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78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w:t>
            </w:r>
          </w:p>
        </w:tc>
        <w:tc>
          <w:tcPr>
            <w:tcW w:w="90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w:t>
            </w:r>
          </w:p>
        </w:tc>
        <w:tc>
          <w:tcPr>
            <w:tcW w:w="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78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c>
          <w:tcPr>
            <w:tcW w:w="90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w:t>
            </w:r>
          </w:p>
        </w:tc>
        <w:tc>
          <w:tcPr>
            <w:tcW w:w="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Expired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at End of Year</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vMerge w:val="continue"/>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78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w:t>
            </w:r>
          </w:p>
        </w:tc>
        <w:tc>
          <w:tcPr>
            <w:tcW w:w="90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626</w:t>
            </w:r>
          </w:p>
        </w:tc>
        <w:tc>
          <w:tcPr>
            <w:tcW w:w="4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7"/>
        </w:trPr>
        <w:tc>
          <w:tcPr>
            <w:tcW w:w="3040" w:type="dxa"/>
            <w:vAlign w:val="bottom"/>
            <w:vMerge w:val="restart"/>
          </w:tcPr>
          <w:p>
            <w:pPr>
              <w:spacing w:after="0"/>
              <w:rPr>
                <w:sz w:val="20"/>
                <w:szCs w:val="20"/>
                <w:color w:val="auto"/>
              </w:rPr>
            </w:pPr>
            <w:r>
              <w:rPr>
                <w:rFonts w:ascii="Courier New" w:cs="Courier New" w:eastAsia="Courier New" w:hAnsi="Courier New"/>
                <w:sz w:val="14"/>
                <w:szCs w:val="14"/>
                <w:color w:val="auto"/>
              </w:rPr>
              <w:t>Exercisable at End of Year</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3040" w:type="dxa"/>
            <w:vAlign w:val="bottom"/>
            <w:vMerge w:val="continue"/>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620</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Weighted Avg. Fair Value</w:t>
            </w:r>
          </w:p>
        </w:tc>
        <w:tc>
          <w:tcPr>
            <w:tcW w:w="780" w:type="dxa"/>
            <w:vAlign w:val="bottom"/>
          </w:tcPr>
          <w:p>
            <w:pPr>
              <w:spacing w:after="0"/>
              <w:rPr>
                <w:sz w:val="14"/>
                <w:szCs w:val="14"/>
                <w:color w:val="auto"/>
              </w:rPr>
            </w:pPr>
          </w:p>
        </w:tc>
        <w:tc>
          <w:tcPr>
            <w:tcW w:w="7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1000" w:type="dxa"/>
            <w:vAlign w:val="bottom"/>
          </w:tcPr>
          <w:p>
            <w:pPr>
              <w:spacing w:after="0"/>
              <w:rPr>
                <w:sz w:val="14"/>
                <w:szCs w:val="14"/>
                <w:color w:val="auto"/>
              </w:rPr>
            </w:pPr>
          </w:p>
        </w:tc>
        <w:tc>
          <w:tcPr>
            <w:tcW w:w="4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4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244"/>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of Options Granted</w:t>
            </w:r>
          </w:p>
        </w:tc>
        <w:tc>
          <w:tcPr>
            <w:tcW w:w="7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Outstanding and Exercisable by Price Range As of December 31, 2005: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3560" w:type="dxa"/>
            <w:vAlign w:val="bottom"/>
            <w:gridSpan w:val="2"/>
            <w:vMerge w:val="restart"/>
          </w:tcPr>
          <w:p>
            <w:pPr>
              <w:jc w:val="right"/>
              <w:ind w:right="1048"/>
              <w:spacing w:after="0"/>
              <w:rPr>
                <w:sz w:val="20"/>
                <w:szCs w:val="20"/>
                <w:color w:val="auto"/>
              </w:rPr>
            </w:pPr>
            <w:r>
              <w:rPr>
                <w:rFonts w:ascii="Courier New" w:cs="Courier New" w:eastAsia="Courier New" w:hAnsi="Courier New"/>
                <w:sz w:val="14"/>
                <w:szCs w:val="14"/>
                <w:color w:val="auto"/>
              </w:rPr>
              <w:t>Options Outstanding</w:t>
            </w:r>
          </w:p>
        </w:tc>
        <w:tc>
          <w:tcPr>
            <w:tcW w:w="1740" w:type="dxa"/>
            <w:vAlign w:val="bottom"/>
          </w:tcPr>
          <w:p>
            <w:pPr>
              <w:spacing w:after="0"/>
              <w:rPr>
                <w:sz w:val="14"/>
                <w:szCs w:val="14"/>
                <w:color w:val="auto"/>
              </w:rPr>
            </w:pPr>
          </w:p>
        </w:tc>
        <w:tc>
          <w:tcPr>
            <w:tcW w:w="3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Options Exercisable</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2"/>
                <w:szCs w:val="12"/>
                <w:color w:val="auto"/>
                <w:w w:val="70"/>
                <w:vertAlign w:val="subscript"/>
              </w:rPr>
              <w:t>Shares</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Weighted Average</w:t>
            </w:r>
          </w:p>
        </w:tc>
        <w:tc>
          <w:tcPr>
            <w:tcW w:w="0" w:type="dxa"/>
            <w:vAlign w:val="bottom"/>
          </w:tcPr>
          <w:p>
            <w:pPr>
              <w:spacing w:after="0"/>
              <w:rPr>
                <w:sz w:val="1"/>
                <w:szCs w:val="1"/>
                <w:color w:val="auto"/>
              </w:rPr>
            </w:pPr>
          </w:p>
        </w:tc>
      </w:tr>
      <w:tr>
        <w:trPr>
          <w:trHeight w:val="167"/>
        </w:trPr>
        <w:tc>
          <w:tcPr>
            <w:tcW w:w="1740" w:type="dxa"/>
            <w:vAlign w:val="bottom"/>
            <w:vMerge w:val="restart"/>
          </w:tcPr>
          <w:p>
            <w:pPr>
              <w:spacing w:after="0"/>
              <w:rPr>
                <w:sz w:val="20"/>
                <w:szCs w:val="20"/>
                <w:color w:val="auto"/>
              </w:rPr>
            </w:pPr>
            <w:r>
              <w:rPr>
                <w:rFonts w:ascii="Courier New" w:cs="Courier New" w:eastAsia="Courier New" w:hAnsi="Courier New"/>
                <w:sz w:val="4"/>
                <w:szCs w:val="4"/>
                <w:color w:val="auto"/>
                <w:w w:val="81"/>
              </w:rPr>
              <w:t>- ------------------------------------------------------------------------------</w:t>
            </w:r>
            <w:r>
              <w:rPr>
                <w:rFonts w:ascii="Courier New" w:cs="Courier New" w:eastAsia="Courier New" w:hAnsi="Courier New"/>
                <w:sz w:val="7"/>
                <w:szCs w:val="7"/>
                <w:color w:val="auto"/>
                <w:w w:val="81"/>
                <w:vertAlign w:val="subscript"/>
              </w:rPr>
              <w:t>Rangeof</w:t>
            </w:r>
          </w:p>
        </w:tc>
        <w:tc>
          <w:tcPr>
            <w:tcW w:w="1820" w:type="dxa"/>
            <w:vAlign w:val="bottom"/>
            <w:vMerge w:val="restart"/>
          </w:tcPr>
          <w:p>
            <w:pPr>
              <w:spacing w:after="0"/>
              <w:rPr>
                <w:sz w:val="20"/>
                <w:szCs w:val="20"/>
                <w:color w:val="auto"/>
              </w:rPr>
            </w:pPr>
            <w:r>
              <w:rPr>
                <w:rFonts w:ascii="Courier New" w:cs="Courier New" w:eastAsia="Courier New" w:hAnsi="Courier New"/>
                <w:sz w:val="14"/>
                <w:szCs w:val="14"/>
                <w:color w:val="auto"/>
              </w:rPr>
              <w:t>Shares Outstanding</w:t>
            </w:r>
          </w:p>
        </w:tc>
        <w:tc>
          <w:tcPr>
            <w:tcW w:w="17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Remaining</w:t>
            </w:r>
          </w:p>
        </w:tc>
        <w:tc>
          <w:tcPr>
            <w:tcW w:w="174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Weighted Average</w:t>
            </w:r>
          </w:p>
        </w:tc>
        <w:tc>
          <w:tcPr>
            <w:tcW w:w="15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Exercisable</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Exercise</w:t>
            </w:r>
          </w:p>
        </w:tc>
        <w:tc>
          <w:tcPr>
            <w:tcW w:w="0" w:type="dxa"/>
            <w:vAlign w:val="bottom"/>
          </w:tcPr>
          <w:p>
            <w:pPr>
              <w:spacing w:after="0"/>
              <w:rPr>
                <w:sz w:val="1"/>
                <w:szCs w:val="1"/>
                <w:color w:val="auto"/>
              </w:rPr>
            </w:pPr>
          </w:p>
        </w:tc>
      </w:tr>
      <w:tr>
        <w:trPr>
          <w:trHeight w:val="167"/>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Exercise Prices</w:t>
            </w:r>
          </w:p>
        </w:tc>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(000)</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Contractual Life</w:t>
            </w: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Exercise Price</w:t>
            </w:r>
          </w:p>
        </w:tc>
        <w:tc>
          <w:tcPr>
            <w:tcW w:w="15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(000)</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1740" w:type="dxa"/>
            <w:vAlign w:val="bottom"/>
          </w:tcPr>
          <w:p>
            <w:pPr>
              <w:jc w:val="center"/>
              <w:ind w:right="357"/>
              <w:spacing w:after="0"/>
              <w:rPr>
                <w:sz w:val="20"/>
                <w:szCs w:val="20"/>
                <w:color w:val="auto"/>
              </w:rPr>
            </w:pPr>
            <w:r>
              <w:rPr>
                <w:rFonts w:ascii="Courier New" w:cs="Courier New" w:eastAsia="Courier New" w:hAnsi="Courier New"/>
                <w:sz w:val="14"/>
                <w:szCs w:val="14"/>
                <w:color w:val="auto"/>
              </w:rPr>
              <w:t>$1  - $15</w:t>
            </w:r>
          </w:p>
        </w:tc>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170</w:t>
            </w:r>
          </w:p>
        </w:tc>
        <w:tc>
          <w:tcPr>
            <w:tcW w:w="1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8</w:t>
            </w:r>
          </w:p>
        </w:tc>
        <w:tc>
          <w:tcPr>
            <w:tcW w:w="15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170</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8</w:t>
            </w:r>
          </w:p>
        </w:tc>
        <w:tc>
          <w:tcPr>
            <w:tcW w:w="0" w:type="dxa"/>
            <w:vAlign w:val="bottom"/>
          </w:tcPr>
          <w:p>
            <w:pPr>
              <w:spacing w:after="0"/>
              <w:rPr>
                <w:sz w:val="1"/>
                <w:szCs w:val="1"/>
                <w:color w:val="auto"/>
              </w:rPr>
            </w:pPr>
          </w:p>
        </w:tc>
      </w:tr>
      <w:tr>
        <w:trPr>
          <w:trHeight w:val="167"/>
        </w:trPr>
        <w:tc>
          <w:tcPr>
            <w:tcW w:w="1740" w:type="dxa"/>
            <w:vAlign w:val="bottom"/>
          </w:tcPr>
          <w:p>
            <w:pPr>
              <w:jc w:val="center"/>
              <w:ind w:right="357"/>
              <w:spacing w:after="0"/>
              <w:rPr>
                <w:sz w:val="20"/>
                <w:szCs w:val="20"/>
                <w:color w:val="auto"/>
              </w:rPr>
            </w:pPr>
            <w:r>
              <w:rPr>
                <w:rFonts w:ascii="Courier New" w:cs="Courier New" w:eastAsia="Courier New" w:hAnsi="Courier New"/>
                <w:sz w:val="14"/>
                <w:szCs w:val="14"/>
                <w:color w:val="auto"/>
              </w:rPr>
              <w:t>$16 - $22</w:t>
            </w:r>
          </w:p>
        </w:tc>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275</w:t>
            </w:r>
          </w:p>
        </w:tc>
        <w:tc>
          <w:tcPr>
            <w:tcW w:w="1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17</w:t>
            </w:r>
          </w:p>
        </w:tc>
        <w:tc>
          <w:tcPr>
            <w:tcW w:w="15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275</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w:t>
            </w:r>
          </w:p>
        </w:tc>
        <w:tc>
          <w:tcPr>
            <w:tcW w:w="0" w:type="dxa"/>
            <w:vAlign w:val="bottom"/>
          </w:tcPr>
          <w:p>
            <w:pPr>
              <w:spacing w:after="0"/>
              <w:rPr>
                <w:sz w:val="1"/>
                <w:szCs w:val="1"/>
                <w:color w:val="auto"/>
              </w:rPr>
            </w:pPr>
          </w:p>
        </w:tc>
      </w:tr>
      <w:tr>
        <w:trPr>
          <w:trHeight w:val="167"/>
        </w:trPr>
        <w:tc>
          <w:tcPr>
            <w:tcW w:w="1740" w:type="dxa"/>
            <w:vAlign w:val="bottom"/>
            <w:vMerge w:val="restart"/>
          </w:tcPr>
          <w:p>
            <w:pPr>
              <w:jc w:val="center"/>
              <w:ind w:right="357"/>
              <w:spacing w:after="0"/>
              <w:rPr>
                <w:sz w:val="20"/>
                <w:szCs w:val="20"/>
                <w:color w:val="auto"/>
              </w:rPr>
            </w:pPr>
            <w:r>
              <w:rPr>
                <w:rFonts w:ascii="Courier New" w:cs="Courier New" w:eastAsia="Courier New" w:hAnsi="Courier New"/>
                <w:sz w:val="14"/>
                <w:szCs w:val="14"/>
                <w:color w:val="auto"/>
              </w:rPr>
              <w:t>Total</w:t>
            </w:r>
          </w:p>
        </w:tc>
        <w:tc>
          <w:tcPr>
            <w:tcW w:w="1820" w:type="dxa"/>
            <w:vAlign w:val="bottom"/>
            <w:vMerge w:val="restart"/>
          </w:tcPr>
          <w:p>
            <w:pPr>
              <w:spacing w:after="0"/>
              <w:rPr>
                <w:sz w:val="20"/>
                <w:szCs w:val="20"/>
                <w:color w:val="auto"/>
              </w:rPr>
            </w:pPr>
            <w:r>
              <w:rPr>
                <w:rFonts w:ascii="Courier New" w:cs="Courier New" w:eastAsia="Courier New" w:hAnsi="Courier New"/>
                <w:sz w:val="14"/>
                <w:szCs w:val="14"/>
                <w:color w:val="auto"/>
                <w:w w:val="97"/>
              </w:rPr>
              <w:t>------------------</w:t>
            </w:r>
            <w:r>
              <w:rPr>
                <w:rFonts w:ascii="Courier New" w:cs="Courier New" w:eastAsia="Courier New" w:hAnsi="Courier New"/>
                <w:sz w:val="28"/>
                <w:szCs w:val="28"/>
                <w:color w:val="auto"/>
                <w:w w:val="97"/>
                <w:vertAlign w:val="subscript"/>
              </w:rPr>
              <w:t>445</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8"/>
        </w:trPr>
        <w:tc>
          <w:tcPr>
            <w:tcW w:w="1740" w:type="dxa"/>
            <w:vAlign w:val="bottom"/>
            <w:vMerge w:val="continue"/>
          </w:tcPr>
          <w:p>
            <w:pPr>
              <w:spacing w:after="0"/>
              <w:rPr>
                <w:sz w:val="22"/>
                <w:szCs w:val="22"/>
                <w:color w:val="auto"/>
              </w:rPr>
            </w:pPr>
          </w:p>
        </w:tc>
        <w:tc>
          <w:tcPr>
            <w:tcW w:w="1820" w:type="dxa"/>
            <w:vAlign w:val="bottom"/>
            <w:vMerge w:val="continue"/>
          </w:tcPr>
          <w:p>
            <w:pPr>
              <w:spacing w:after="0"/>
              <w:rPr>
                <w:sz w:val="22"/>
                <w:szCs w:val="22"/>
                <w:color w:val="auto"/>
              </w:rPr>
            </w:pPr>
          </w:p>
        </w:tc>
        <w:tc>
          <w:tcPr>
            <w:tcW w:w="17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6</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$ 14</w:t>
            </w:r>
          </w:p>
        </w:tc>
        <w:tc>
          <w:tcPr>
            <w:tcW w:w="15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445</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$ 14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 has a Restricted Stock Plan covering 1,000,000 shares of common</w:t>
      </w:r>
    </w:p>
    <w:p>
      <w:pPr>
        <w:spacing w:after="0" w:line="3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 that was approved, the purpose of which is to permit grants of</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shares, subject to restrictions, to key employees of the Company as a</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means of retaining and rewarding them for long-term performance and to</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increase their ownership in the Company. Shares awarded under the plan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entitle the shareholder to all rights of common stock ownership except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that the shares may not be sold, transferred, pledged, exchanged or</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otherwise disposed of during the restriction period. The restriction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period is determined by a committee, appointed by the Board of Directors,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but may not exceed ten years. During 2005, 2004 and 2003, 80,700, 122,520</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156,200, shares, respectively, were granted with a restriction period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five years at market prices ranging from $15.93 to $19.50 in 2005,</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$17.37 to $21.10 in 2004 and $12.82 to $21.50 in 2003. The related expense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is reflected as a deferred compensation component of shareholders'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 in the accompanying consolidated financial statements and is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being amortized over the applicable restriction periods.</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STOCK SPLIT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On April 1, 2005, the Company's Board of Directors declared a two-for-one</w:t>
      </w:r>
    </w:p>
    <w:p>
      <w:pPr>
        <w:spacing w:after="0" w:line="34" w:lineRule="exact"/>
        <w:rPr>
          <w:sz w:val="20"/>
          <w:szCs w:val="20"/>
          <w:color w:val="auto"/>
        </w:rPr>
      </w:pPr>
    </w:p>
    <w:p>
      <w:pPr>
        <w:ind w:left="520" w:right="3799"/>
        <w:spacing w:after="0" w:line="282" w:lineRule="auto"/>
        <w:rPr>
          <w:sz w:val="20"/>
          <w:szCs w:val="20"/>
          <w:color w:val="auto"/>
        </w:rPr>
      </w:pPr>
      <w:r>
        <w:rPr>
          <w:rFonts w:ascii="Courier New" w:cs="Courier New" w:eastAsia="Courier New" w:hAnsi="Courier New"/>
          <w:sz w:val="14"/>
          <w:szCs w:val="14"/>
          <w:color w:val="auto"/>
        </w:rPr>
        <w:t>stock split effected in the form of a 100% common stock dividend to shareholders of record on May 6, 2005. The stock split increased the number of shares of common stock then outstanding from 78,020,342 to 156,040,684.</w:t>
      </w:r>
    </w:p>
    <w:p>
      <w:pPr>
        <w:spacing w:after="0" w:line="63" w:lineRule="exact"/>
        <w:rPr>
          <w:sz w:val="20"/>
          <w:szCs w:val="20"/>
          <w:color w:val="auto"/>
        </w:rPr>
      </w:pPr>
    </w:p>
    <w:p>
      <w:pPr>
        <w:ind w:left="520" w:right="3279" w:hanging="259"/>
        <w:spacing w:after="0" w:line="378" w:lineRule="auto"/>
        <w:rPr>
          <w:sz w:val="20"/>
          <w:szCs w:val="20"/>
          <w:color w:val="auto"/>
        </w:rPr>
      </w:pPr>
      <w:r>
        <w:rPr>
          <w:rFonts w:ascii="Courier New" w:cs="Courier New" w:eastAsia="Courier New" w:hAnsi="Courier New"/>
          <w:sz w:val="14"/>
          <w:szCs w:val="14"/>
          <w:color w:val="auto"/>
        </w:rPr>
        <w:t>Earnings per share and all share data have been restated in all prior periods to reflect these stock splits.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CONTINGENCIES</w:t>
      </w:r>
    </w:p>
    <w:p>
      <w:pPr>
        <w:spacing w:after="0" w:line="175" w:lineRule="exact"/>
        <w:rPr>
          <w:sz w:val="20"/>
          <w:szCs w:val="20"/>
          <w:color w:val="auto"/>
        </w:rPr>
      </w:pPr>
    </w:p>
    <w:p>
      <w:pPr>
        <w:ind w:left="520" w:right="3279" w:hanging="259"/>
        <w:spacing w:after="0" w:line="285" w:lineRule="auto"/>
        <w:rPr>
          <w:sz w:val="20"/>
          <w:szCs w:val="20"/>
          <w:color w:val="auto"/>
        </w:rPr>
      </w:pPr>
      <w:r>
        <w:rPr>
          <w:rFonts w:ascii="Courier New" w:cs="Courier New" w:eastAsia="Courier New" w:hAnsi="Courier New"/>
          <w:sz w:val="14"/>
          <w:szCs w:val="14"/>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future results of operations of the Company.</w:t>
      </w:r>
    </w:p>
    <w:p>
      <w:pPr>
        <w:spacing w:after="0" w:line="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594" w:right="1440" w:bottom="332" w:gutter="0" w:footer="0" w:header="0"/>
        </w:sectPr>
      </w:pPr>
    </w:p>
    <w:bookmarkStart w:id="38" w:name="page39"/>
    <w:bookmarkEnd w:id="38"/>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SEGMENT REPORTING</w:t>
      </w:r>
    </w:p>
    <w:p>
      <w:pPr>
        <w:spacing w:after="0" w:line="175" w:lineRule="exact"/>
        <w:rPr>
          <w:sz w:val="20"/>
          <w:szCs w:val="20"/>
          <w:color w:val="auto"/>
        </w:rPr>
      </w:pPr>
    </w:p>
    <w:p>
      <w:pPr>
        <w:ind w:left="520" w:right="3279" w:hanging="259"/>
        <w:spacing w:after="0" w:line="27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2005</w:t>
            </w:r>
          </w:p>
        </w:tc>
        <w:tc>
          <w:tcPr>
            <w:tcW w:w="420" w:type="dxa"/>
            <w:vAlign w:val="bottom"/>
          </w:tcPr>
          <w:p>
            <w:pPr>
              <w:spacing w:after="0"/>
              <w:rPr>
                <w:sz w:val="14"/>
                <w:szCs w:val="14"/>
                <w:color w:val="auto"/>
              </w:rPr>
            </w:pP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236,708,606</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230,075,562</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238,608,596</w:t>
            </w:r>
          </w:p>
        </w:tc>
        <w:tc>
          <w:tcPr>
            <w:tcW w:w="0" w:type="dxa"/>
            <w:vAlign w:val="bottom"/>
          </w:tcPr>
          <w:p>
            <w:pPr>
              <w:spacing w:after="0"/>
              <w:rPr>
                <w:sz w:val="1"/>
                <w:szCs w:val="1"/>
                <w:color w:val="auto"/>
              </w:rPr>
            </w:pP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99,339,847</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86,432,114</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69,787,290</w:t>
            </w:r>
          </w:p>
        </w:tc>
        <w:tc>
          <w:tcPr>
            <w:tcW w:w="0" w:type="dxa"/>
            <w:vAlign w:val="bottom"/>
          </w:tcPr>
          <w:p>
            <w:pPr>
              <w:spacing w:after="0"/>
              <w:rPr>
                <w:sz w:val="1"/>
                <w:szCs w:val="1"/>
                <w:color w:val="auto"/>
              </w:rPr>
            </w:pP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Japan</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52,215,691</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54,336,447</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53,004,947</w:t>
            </w:r>
          </w:p>
        </w:tc>
        <w:tc>
          <w:tcPr>
            <w:tcW w:w="0" w:type="dxa"/>
            <w:vAlign w:val="bottom"/>
          </w:tcPr>
          <w:p>
            <w:pPr>
              <w:spacing w:after="0"/>
              <w:rPr>
                <w:sz w:val="1"/>
                <w:szCs w:val="1"/>
                <w:color w:val="auto"/>
              </w:rPr>
            </w:pP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124,532,388</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112,306,599</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84,913,322</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23,687,442</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22,515,613</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22,705,210</w:t>
            </w:r>
          </w:p>
        </w:tc>
        <w:tc>
          <w:tcPr>
            <w:tcW w:w="0" w:type="dxa"/>
            <w:vAlign w:val="bottom"/>
          </w:tcPr>
          <w:p>
            <w:pPr>
              <w:spacing w:after="0"/>
              <w:rPr>
                <w:sz w:val="1"/>
                <w:szCs w:val="1"/>
                <w:color w:val="auto"/>
              </w:rPr>
            </w:pPr>
          </w:p>
        </w:tc>
      </w:tr>
      <w:tr>
        <w:trPr>
          <w:trHeight w:val="167"/>
        </w:trPr>
        <w:tc>
          <w:tcPr>
            <w:tcW w:w="27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536,483,974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505,666,335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469,019,365</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131,165,600</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145,622,021</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142,001,646</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5,128,937</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4,444,192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4,573,630</w:t>
            </w:r>
          </w:p>
        </w:tc>
        <w:tc>
          <w:tcPr>
            <w:tcW w:w="0" w:type="dxa"/>
            <w:vAlign w:val="bottom"/>
          </w:tcPr>
          <w:p>
            <w:pPr>
              <w:spacing w:after="0"/>
              <w:rPr>
                <w:sz w:val="1"/>
                <w:szCs w:val="1"/>
                <w:color w:val="auto"/>
              </w:rPr>
            </w:pPr>
          </w:p>
        </w:tc>
      </w:tr>
      <w:tr>
        <w:trPr>
          <w:trHeight w:val="167"/>
        </w:trPr>
        <w:tc>
          <w:tcPr>
            <w:tcW w:w="27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136,294,537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150,066,213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146,575,276</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248,568,391</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202,052,906</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184,208,278</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4,334,747</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4,252,818</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4,768,620</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669,742,664</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650,553,704</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573,552,868</w:t>
            </w:r>
          </w:p>
        </w:tc>
        <w:tc>
          <w:tcPr>
            <w:tcW w:w="0" w:type="dxa"/>
            <w:vAlign w:val="bottom"/>
          </w:tcPr>
          <w:p>
            <w:pPr>
              <w:spacing w:after="0"/>
              <w:rPr>
                <w:sz w:val="1"/>
                <w:szCs w:val="1"/>
                <w:color w:val="auto"/>
              </w:rPr>
            </w:pPr>
          </w:p>
        </w:tc>
      </w:tr>
      <w:tr>
        <w:trPr>
          <w:trHeight w:val="167"/>
        </w:trPr>
        <w:tc>
          <w:tcPr>
            <w:tcW w:w="27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922,645,802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856,859,428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762,529,766</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21,407,276</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19,323,047</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18,275,655</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207,336</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228,844</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255,301</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2,208,715</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2,188,941</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1,895,251</w:t>
            </w:r>
          </w:p>
        </w:tc>
        <w:tc>
          <w:tcPr>
            <w:tcW w:w="0" w:type="dxa"/>
            <w:vAlign w:val="bottom"/>
          </w:tcPr>
          <w:p>
            <w:pPr>
              <w:spacing w:after="0"/>
              <w:rPr>
                <w:sz w:val="1"/>
                <w:szCs w:val="1"/>
                <w:color w:val="auto"/>
              </w:rPr>
            </w:pPr>
          </w:p>
        </w:tc>
      </w:tr>
      <w:tr>
        <w:trPr>
          <w:trHeight w:val="167"/>
        </w:trPr>
        <w:tc>
          <w:tcPr>
            <w:tcW w:w="27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23,823,327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21,740,832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20,426,207</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4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52,966,667</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29,233,220</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22,126,904</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4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131,821</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251,492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98,705</w:t>
            </w: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434,747</w:t>
            </w:r>
          </w:p>
        </w:tc>
        <w:tc>
          <w:tcPr>
            <w:tcW w:w="42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1,050,462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22,400</w:t>
            </w:r>
          </w:p>
        </w:tc>
        <w:tc>
          <w:tcPr>
            <w:tcW w:w="0" w:type="dxa"/>
            <w:vAlign w:val="bottom"/>
          </w:tcPr>
          <w:p>
            <w:pPr>
              <w:spacing w:after="0"/>
              <w:rPr>
                <w:sz w:val="1"/>
                <w:szCs w:val="1"/>
                <w:color w:val="auto"/>
              </w:rPr>
            </w:pPr>
          </w:p>
        </w:tc>
      </w:tr>
      <w:tr>
        <w:trPr>
          <w:trHeight w:val="167"/>
        </w:trPr>
        <w:tc>
          <w:tcPr>
            <w:tcW w:w="270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Total</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53,533,235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30,535,174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22,248,009</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right="3279" w:hanging="259"/>
        <w:spacing w:after="0" w:line="317" w:lineRule="auto"/>
        <w:rPr>
          <w:sz w:val="20"/>
          <w:szCs w:val="20"/>
          <w:color w:val="auto"/>
        </w:rPr>
      </w:pPr>
      <w:r>
        <w:rPr>
          <w:rFonts w:ascii="Courier New" w:cs="Courier New" w:eastAsia="Courier New" w:hAnsi="Courier New"/>
          <w:sz w:val="14"/>
          <w:szCs w:val="14"/>
          <w:color w:val="auto"/>
        </w:rPr>
        <w:t>Other assets are principally cash, investments, deferred income taxes and corporate fixed assets. Substantially all long-lived assets are located in the U.S.</w:t>
      </w:r>
    </w:p>
    <w:p>
      <w:pPr>
        <w:spacing w:after="0" w:line="39" w:lineRule="exact"/>
        <w:rPr>
          <w:sz w:val="20"/>
          <w:szCs w:val="20"/>
          <w:color w:val="auto"/>
        </w:rPr>
      </w:pPr>
    </w:p>
    <w:p>
      <w:pPr>
        <w:ind w:left="520" w:right="3459" w:hanging="259"/>
        <w:spacing w:after="0" w:line="285" w:lineRule="auto"/>
        <w:rPr>
          <w:sz w:val="20"/>
          <w:szCs w:val="20"/>
          <w:color w:val="auto"/>
        </w:rPr>
      </w:pPr>
      <w:r>
        <w:rPr>
          <w:rFonts w:ascii="Courier New" w:cs="Courier New" w:eastAsia="Courier New" w:hAnsi="Courier New"/>
          <w:sz w:val="14"/>
          <w:szCs w:val="14"/>
          <w:color w:val="auto"/>
        </w:rPr>
        <w:t>Automotive Products revenues in the "Other" category are sales to U.S. automotive manufacturing plants in Canada and Mexico, as well as other foreign automotive customers. Nearly all non-U.S. sales are invoiced and paid in U.S. dollars. During 2005, approximately 9% of the Company's net sales were invoiced and paid in European euros.</w:t>
      </w:r>
    </w:p>
    <w:p>
      <w:pPr>
        <w:spacing w:after="0" w:line="60" w:lineRule="exact"/>
        <w:rPr>
          <w:sz w:val="20"/>
          <w:szCs w:val="20"/>
          <w:color w:val="auto"/>
        </w:rPr>
      </w:pPr>
    </w:p>
    <w:p>
      <w:pPr>
        <w:ind w:left="520" w:right="3379" w:hanging="259"/>
        <w:spacing w:after="0" w:line="382" w:lineRule="auto"/>
        <w:rPr>
          <w:sz w:val="20"/>
          <w:szCs w:val="20"/>
          <w:color w:val="auto"/>
        </w:rPr>
      </w:pPr>
      <w:r>
        <w:rPr>
          <w:rFonts w:ascii="Courier New" w:cs="Courier New" w:eastAsia="Courier New" w:hAnsi="Courier New"/>
          <w:sz w:val="14"/>
          <w:szCs w:val="14"/>
          <w:color w:val="auto"/>
        </w:rPr>
        <w:t>During the years presented, the Company had four automotive customers, which individually accounted for 10% or more of net sales as follows:</w:t>
      </w:r>
    </w:p>
    <w:p>
      <w:pPr>
        <w:spacing w:after="0" w:line="330"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Customer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Pr>
          <w:p>
            <w:pPr>
              <w:spacing w:after="0"/>
              <w:rPr>
                <w:sz w:val="21"/>
                <w:szCs w:val="21"/>
                <w:color w:val="auto"/>
              </w:rPr>
            </w:pPr>
          </w:p>
        </w:tc>
        <w:tc>
          <w:tcPr>
            <w:tcW w:w="25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0" w:type="dxa"/>
            <w:vAlign w:val="bottom"/>
          </w:tcPr>
          <w:p>
            <w:pPr>
              <w:spacing w:after="0"/>
              <w:rPr>
                <w:sz w:val="1"/>
                <w:szCs w:val="1"/>
                <w:color w:val="auto"/>
              </w:rPr>
            </w:pPr>
          </w:p>
        </w:tc>
      </w:tr>
      <w:tr>
        <w:trPr>
          <w:trHeight w:val="167"/>
        </w:trPr>
        <w:tc>
          <w:tcPr>
            <w:tcW w:w="6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660" w:type="dxa"/>
            <w:vAlign w:val="bottom"/>
            <w:vMerge w:val="continue"/>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24%</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7"/>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31%</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38%</w:t>
            </w:r>
          </w:p>
        </w:tc>
        <w:tc>
          <w:tcPr>
            <w:tcW w:w="840" w:type="dxa"/>
            <w:vAlign w:val="bottom"/>
          </w:tcPr>
          <w:p>
            <w:pPr>
              <w:ind w:left="320"/>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10%</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594" w:right="1440" w:bottom="332"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4"/>
        </w:trPr>
        <w:tc>
          <w:tcPr>
            <w:tcW w:w="1260" w:type="dxa"/>
            <w:vAlign w:val="bottom"/>
          </w:tcPr>
          <w:p>
            <w:pPr>
              <w:spacing w:after="0"/>
              <w:rPr>
                <w:sz w:val="21"/>
                <w:szCs w:val="21"/>
                <w:color w:val="auto"/>
              </w:rPr>
            </w:pPr>
          </w:p>
        </w:tc>
        <w:tc>
          <w:tcPr>
            <w:tcW w:w="8740" w:type="dxa"/>
            <w:vAlign w:val="bottom"/>
          </w:tcPr>
          <w:p>
            <w:pPr>
              <w:ind w:left="1700"/>
              <w:spacing w:after="0"/>
              <w:rPr>
                <w:sz w:val="20"/>
                <w:szCs w:val="20"/>
                <w:color w:val="auto"/>
              </w:rPr>
            </w:pPr>
            <w:r>
              <w:rPr>
                <w:rFonts w:ascii="Courier New" w:cs="Courier New" w:eastAsia="Courier New" w:hAnsi="Courier New"/>
                <w:sz w:val="14"/>
                <w:szCs w:val="14"/>
                <w:color w:val="auto"/>
              </w:rPr>
              <w:t>EXHIBIT INDEX</w:t>
            </w:r>
          </w:p>
        </w:tc>
      </w:tr>
      <w:tr>
        <w:trPr>
          <w:trHeight w:val="590"/>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8740" w:type="dxa"/>
            <w:vAlign w:val="bottom"/>
          </w:tcPr>
          <w:p>
            <w:pPr>
              <w:ind w:left="3600"/>
              <w:spacing w:after="0"/>
              <w:rPr>
                <w:sz w:val="20"/>
                <w:szCs w:val="20"/>
                <w:color w:val="auto"/>
              </w:rPr>
            </w:pPr>
            <w:r>
              <w:rPr>
                <w:rFonts w:ascii="Courier New" w:cs="Courier New" w:eastAsia="Courier New" w:hAnsi="Courier New"/>
                <w:sz w:val="14"/>
                <w:szCs w:val="14"/>
                <w:color w:val="auto"/>
              </w:rPr>
              <w:t>DESCRIPTION</w:t>
            </w:r>
          </w:p>
        </w:tc>
      </w:tr>
      <w:tr>
        <w:trPr>
          <w:trHeight w:val="244"/>
        </w:trPr>
        <w:tc>
          <w:tcPr>
            <w:tcW w:w="1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7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3(a)(1)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Registrant's Restated Articles of Incorporation, adopted 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August 20, 2004, were filed as Exhibit 3(a) to Registrant's</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10-Q dated November 2, 2004, and the same is</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hereby incorporated 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3(b)(1)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Registrant's Bylaws as amended and restated February 27, 2003,</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was filed as Exhibit 3(b)(1) to Registrant's report on Form 10-Q</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dated May 5, 2003,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 specimen form of certificate for the Registrant's common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stock, par value $.06 per share, was filed as part of a</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Registration Statement (Registration Number 2-74226C) as Exhibit</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3(a), as amended by Amendment No. 3 to such Registration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Statement,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Amended and Restated Shareholder Protection Rights Agreement,</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dated as of March 29, 2001, including as Exhibit A the form of</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Adoption of Resolution Establishing Series of</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Shares of Junior Participating Preferred Stock of the Company,</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and as Exhibit B the form of Rights Certificate and of Election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to Exercise, was filed as Exhibit 4(b) to Registrant's Report 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Form 10-Q on April 27, 2001, and the same is hereby incorporated</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10(a)(1)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 Lease, dated August 15, 1981, was filed as part of a</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Registration Statement (Registration Number 2-74226C) as Exhibit</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9(a)(1),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10(a)(2)</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 First Amendment to Lease, dated June 28, 1985, was filed as</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Exhibit 10(m) to Registrant's Report on Form 10-K dated March</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18, 1986,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Gentex Corporation Qualified Stock Option Plan (as amended and restated, effective</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February 26, 2004) was included in Registrant's Proxy Statement dated April 6, 2004,</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filed with the Commission on April 6, 2004, and the same is hereby incorporated</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 and the same became the Gentex Corporation Employee Stock</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Option Plan and was amended as of March 4, 2005 by the First Amendment to the Gentex</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Corporation Qualified Stock Option Plan, which amendment was included in the</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Registrant's Proxy Statement dated April 1, 2005, filed with the Commission on April</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1, 2005, and the same is incorporated 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*10(b)(2)</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Specimen form of Grant Agreement for the Gentex Corporation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Qualified Stock Option Plan (as amended and restated, effective</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February 26, 2004 and as amended March 4, 2005), was filed as</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Exhibit 10(b)(3) to Registrant's Report on Form 10-Q dated</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November 1, 2005,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*10(b)(3)</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Gentex Corporation Second Restricted Stock Plan was filed as</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Exhibit 10(b)(3) to Registrant's Report on Form 10-Q dated April</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27, 2001,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*10(b)(4)</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Specimen form of Grant Agreement for the Gentex Corporation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Restricted Stock Plan (as amended and restated, effective</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February 26, 2004), was filed as Exhibit 10(b)(4) to</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Registrant's Report on Form 10-Q dated November 2, 2004, and the</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same is hereby incorporated 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*10(b)(5)</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Gentex Corporation 2002 Nonemployee Director Stock Option Plan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(adopted March 6, 2002) was filed as Exhibit 10(b)(4) to</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Registrant's Report on Form 10-Q dated April 30, 2002, and the</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same is hereby incorporated 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*10(b)(6)</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Specimen form of Grant Agreement for the Gentex Corporation 2002</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Non-Employee Director Stock Option Plan (as amended and</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restated, effective February 26, 2004), was filed as Exhibit</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10(b)(6) to Registrant's Report on Form 10-Q dated November 2,</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2004, and the same is hereby incorporated herein by reference.</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The form of Indemnity Agreement between Registrant and each of the Registrant's</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directors and certain offices was filed as Exhibit 10(c) to Registrant's Report on</w:t>
            </w:r>
          </w:p>
        </w:tc>
      </w:tr>
      <w:tr>
        <w:trPr>
          <w:trHeight w:val="167"/>
        </w:trPr>
        <w:tc>
          <w:tcPr>
            <w:tcW w:w="1260" w:type="dxa"/>
            <w:vAlign w:val="bottom"/>
          </w:tcPr>
          <w:p>
            <w:pPr>
              <w:spacing w:after="0"/>
              <w:rPr>
                <w:sz w:val="14"/>
                <w:szCs w:val="14"/>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Form 10-Q dated October 31, 2002, and the same is hereby incorporated herein by</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List of Company Subsidiaries</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23(a)</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Consent of Independent Registered Public Accounting Firm</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31.1</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the Chief Executive Officer of Gentex Corporation pursuant to Section 302 of the</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Sarbanes-Oxley Act of 2002 (18 U.S.C. 1350).</w:t>
            </w:r>
          </w:p>
        </w:tc>
      </w:tr>
      <w:tr>
        <w:trPr>
          <w:trHeight w:val="25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31.2</w:t>
            </w: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Certificate of the Chief Financial Officer of Gentex Corporation pursuant to Section 302 of the</w:t>
            </w:r>
          </w:p>
        </w:tc>
      </w:tr>
      <w:tr>
        <w:trPr>
          <w:trHeight w:val="244"/>
        </w:trPr>
        <w:tc>
          <w:tcPr>
            <w:tcW w:w="1260" w:type="dxa"/>
            <w:vAlign w:val="bottom"/>
          </w:tcPr>
          <w:p>
            <w:pPr>
              <w:spacing w:after="0"/>
              <w:rPr>
                <w:sz w:val="21"/>
                <w:szCs w:val="21"/>
                <w:color w:val="auto"/>
              </w:rPr>
            </w:pPr>
          </w:p>
        </w:tc>
        <w:tc>
          <w:tcPr>
            <w:tcW w:w="8740" w:type="dxa"/>
            <w:vAlign w:val="bottom"/>
          </w:tcPr>
          <w:p>
            <w:pPr>
              <w:ind w:left="140"/>
              <w:spacing w:after="0"/>
              <w:rPr>
                <w:sz w:val="20"/>
                <w:szCs w:val="20"/>
                <w:color w:val="auto"/>
              </w:rPr>
            </w:pPr>
            <w:r>
              <w:rPr>
                <w:rFonts w:ascii="Courier New" w:cs="Courier New" w:eastAsia="Courier New" w:hAnsi="Courier New"/>
                <w:sz w:val="14"/>
                <w:szCs w:val="14"/>
                <w:color w:val="auto"/>
              </w:rPr>
              <w:t>Sarbanes-Oxley Act of 2002 (18 U.S.C. 1350).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41</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42</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2">
            <w:col w:w="10000" w:space="420"/>
            <w:col w:w="780"/>
          </w:cols>
          <w:pgMar w:left="220" w:top="594" w:right="47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Certificate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the Chief Executive Officer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and Chief Financial Officer of</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Gentex</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Corporation</w:t>
            </w: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pursuant to Section 906 of the</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Sarbanes-Oxley Act of 2002 (18</w:t>
            </w:r>
          </w:p>
        </w:tc>
        <w:tc>
          <w:tcPr>
            <w:tcW w:w="2520" w:type="dxa"/>
            <w:vAlign w:val="bottom"/>
          </w:tcPr>
          <w:p>
            <w:pPr>
              <w:ind w:left="40"/>
              <w:spacing w:after="0"/>
              <w:rPr>
                <w:sz w:val="20"/>
                <w:szCs w:val="20"/>
                <w:color w:val="auto"/>
              </w:rPr>
            </w:pPr>
            <w:r>
              <w:rPr>
                <w:rFonts w:ascii="Courier New" w:cs="Courier New" w:eastAsia="Courier New" w:hAnsi="Courier New"/>
                <w:sz w:val="14"/>
                <w:szCs w:val="14"/>
                <w:color w:val="auto"/>
              </w:rPr>
              <w:t>U.S.C. Section 1350).</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*Indicates a compensatory plan</w:t>
            </w:r>
          </w:p>
        </w:tc>
        <w:tc>
          <w:tcPr>
            <w:tcW w:w="24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or arrangement.</w:t>
            </w: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-39-</w:t>
            </w: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20" w:top="115" w:right="559" w:bottom="1440" w:gutter="0" w:footer="0" w:header="0"/>
        </w:sectPr>
      </w:pPr>
    </w:p>
    <w:bookmarkStart w:id="41" w:name="page42"/>
    <w:bookmarkEnd w:id="41"/>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LIST OF GENTEX CORPORATION SUBSIDIARIES</w:t>
      </w:r>
    </w:p>
    <w:p>
      <w:pPr>
        <w:spacing w:after="0" w:line="175" w:lineRule="exact"/>
        <w:rPr>
          <w:sz w:val="20"/>
          <w:szCs w:val="20"/>
          <w:color w:val="auto"/>
        </w:rPr>
      </w:pPr>
    </w:p>
    <w:p>
      <w:pPr>
        <w:ind w:left="260" w:right="379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 Aviation Services, Inc., a Michigan corporation, is a wholly-owned subsidiary of Gentex Corporation.</w:t>
      </w:r>
    </w:p>
    <w:p>
      <w:pPr>
        <w:spacing w:after="0" w:line="1" w:lineRule="exact"/>
        <w:rPr>
          <w:rFonts w:ascii="Courier New" w:cs="Courier New" w:eastAsia="Courier New" w:hAnsi="Courier New"/>
          <w:sz w:val="14"/>
          <w:szCs w:val="14"/>
          <w:color w:val="auto"/>
        </w:rPr>
      </w:pPr>
    </w:p>
    <w:p>
      <w:pPr>
        <w:ind w:left="260" w:right="327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 w:lineRule="exact"/>
        <w:rPr>
          <w:rFonts w:ascii="Courier New" w:cs="Courier New" w:eastAsia="Courier New" w:hAnsi="Courier New"/>
          <w:sz w:val="14"/>
          <w:szCs w:val="14"/>
          <w:color w:val="auto"/>
        </w:rPr>
      </w:pPr>
    </w:p>
    <w:p>
      <w:pPr>
        <w:ind w:left="260" w:right="345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Holdings, Inc., a Michigan corporation, is a wholly-owned subsidiary of Gentex Corporation.</w:t>
      </w:r>
    </w:p>
    <w:p>
      <w:pPr>
        <w:spacing w:after="0" w:line="1" w:lineRule="exact"/>
        <w:rPr>
          <w:rFonts w:ascii="Courier New" w:cs="Courier New" w:eastAsia="Courier New" w:hAnsi="Courier New"/>
          <w:sz w:val="14"/>
          <w:szCs w:val="14"/>
          <w:color w:val="auto"/>
        </w:rPr>
      </w:pPr>
    </w:p>
    <w:p>
      <w:pPr>
        <w:ind w:left="260" w:right="327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spacing w:after="0" w:line="1" w:lineRule="exact"/>
        <w:rPr>
          <w:rFonts w:ascii="Courier New" w:cs="Courier New" w:eastAsia="Courier New" w:hAnsi="Courier New"/>
          <w:sz w:val="14"/>
          <w:szCs w:val="14"/>
          <w:color w:val="auto"/>
        </w:rPr>
      </w:pPr>
    </w:p>
    <w:p>
      <w:pPr>
        <w:ind w:left="260" w:right="345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Japan, Inc., a Japanese corporation, is a wholly-owned subsidiary of Gentex Corporation.</w:t>
      </w:r>
    </w:p>
    <w:p>
      <w:pPr>
        <w:spacing w:after="0" w:line="1" w:lineRule="exact"/>
        <w:rPr>
          <w:rFonts w:ascii="Courier New" w:cs="Courier New" w:eastAsia="Courier New" w:hAnsi="Courier New"/>
          <w:sz w:val="14"/>
          <w:szCs w:val="14"/>
          <w:color w:val="auto"/>
        </w:rPr>
      </w:pPr>
    </w:p>
    <w:p>
      <w:pPr>
        <w:ind w:left="260" w:right="397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Mirrors Ltd., a United Kingdom limited liability company, is a wholly-owned subsidiary of Gentex Corporation.</w:t>
      </w:r>
    </w:p>
    <w:p>
      <w:pPr>
        <w:spacing w:after="0" w:line="1" w:lineRule="exact"/>
        <w:rPr>
          <w:rFonts w:ascii="Courier New" w:cs="Courier New" w:eastAsia="Courier New" w:hAnsi="Courier New"/>
          <w:sz w:val="14"/>
          <w:szCs w:val="14"/>
          <w:color w:val="auto"/>
        </w:rPr>
      </w:pPr>
    </w:p>
    <w:p>
      <w:pPr>
        <w:ind w:left="260" w:right="415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France, SAS, a French simplified liability corporation, is a wholly-owned subsidiary of Gentex Corporation.</w:t>
      </w:r>
    </w:p>
    <w:p>
      <w:pPr>
        <w:spacing w:after="0" w:line="1" w:lineRule="exact"/>
        <w:rPr>
          <w:rFonts w:ascii="Courier New" w:cs="Courier New" w:eastAsia="Courier New" w:hAnsi="Courier New"/>
          <w:sz w:val="14"/>
          <w:szCs w:val="14"/>
          <w:color w:val="auto"/>
        </w:rPr>
      </w:pPr>
    </w:p>
    <w:p>
      <w:pPr>
        <w:ind w:left="260" w:right="363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Technologies Korea Co., Ltd., a Korean limited stock company, is a wholly-owned subsidiary of Gentex Corporation.</w:t>
      </w:r>
    </w:p>
    <w:p>
      <w:pPr>
        <w:spacing w:after="0" w:line="1" w:lineRule="exact"/>
        <w:rPr>
          <w:rFonts w:ascii="Courier New" w:cs="Courier New" w:eastAsia="Courier New" w:hAnsi="Courier New"/>
          <w:sz w:val="14"/>
          <w:szCs w:val="14"/>
          <w:color w:val="auto"/>
        </w:rPr>
      </w:pPr>
    </w:p>
    <w:p>
      <w:pPr>
        <w:ind w:left="260" w:right="3979" w:hanging="251"/>
        <w:spacing w:after="0" w:line="378"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(Shanghai) Electronic Technology Co., Inc., a Chinese limited liability company, is a wholly-owned subsidiary of Gentex Corporation</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2" w:right="1440" w:bottom="1440" w:gutter="0" w:footer="0" w:header="0"/>
        </w:sectPr>
      </w:pPr>
    </w:p>
    <w:bookmarkStart w:id="42" w:name="page43"/>
    <w:bookmarkEnd w:id="42"/>
    <w:p>
      <w:pPr>
        <w:ind w:left="5820"/>
        <w:spacing w:after="0"/>
        <w:rPr>
          <w:sz w:val="20"/>
          <w:szCs w:val="20"/>
          <w:color w:val="auto"/>
        </w:rPr>
      </w:pPr>
      <w:r>
        <w:rPr>
          <w:rFonts w:ascii="Courier New" w:cs="Courier New" w:eastAsia="Courier New" w:hAnsi="Courier New"/>
          <w:sz w:val="14"/>
          <w:szCs w:val="14"/>
          <w:color w:val="auto"/>
        </w:rPr>
        <w:t>Exhibit 23(a)</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5"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333-101642, 33-65321, 333-04661, 333-105858 and 333-118213) pertaining to various stock option and incentive plans of Gentex Corporation of our reports dated February 8, 2006, with respect to the consolidated financial statements of Gentex Corporation and subsidiaries, Gentex Corporation management's assessment of the effectiveness of internal control over financial reporting, and the effectiveness of internal control over financial reporting of Gentex Corporation, included in this Annual Report (Form 10-K) for the year ended December 31, 2005.</w:t>
      </w:r>
    </w:p>
    <w:p>
      <w:pPr>
        <w:spacing w:after="0" w:line="24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17, 2006</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49" w:right="1440" w:bottom="1440" w:gutter="0" w:footer="0" w:header="0"/>
        </w:sectPr>
      </w:pPr>
    </w:p>
    <w:bookmarkStart w:id="43" w:name="page44"/>
    <w:bookmarkEnd w:id="43"/>
    <w:p>
      <w:pPr>
        <w:jc w:val="center"/>
        <w:ind w:right="3279"/>
        <w:spacing w:after="0"/>
        <w:rPr>
          <w:sz w:val="20"/>
          <w:szCs w:val="20"/>
          <w:color w:val="auto"/>
        </w:rPr>
      </w:pPr>
      <w:r>
        <w:rPr>
          <w:rFonts w:ascii="Courier New" w:cs="Courier New" w:eastAsia="Courier New" w:hAnsi="Courier New"/>
          <w:sz w:val="14"/>
          <w:szCs w:val="14"/>
          <w:color w:val="auto"/>
        </w:rPr>
        <w:t>EXHIBIT 31.1</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CERTIFICATION OF THE CHIEF EXECUTIVE OFFICER OF GENTEX COPORATION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Fred T. Bauer, certify that:</w:t>
      </w:r>
    </w:p>
    <w:p>
      <w:pPr>
        <w:spacing w:after="0" w:line="175" w:lineRule="exact"/>
        <w:rPr>
          <w:sz w:val="20"/>
          <w:szCs w:val="20"/>
          <w:color w:val="auto"/>
        </w:rPr>
      </w:pPr>
    </w:p>
    <w:p>
      <w:pPr>
        <w:ind w:left="520" w:hanging="251"/>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Gentex Corporation;</w:t>
      </w:r>
    </w:p>
    <w:p>
      <w:pPr>
        <w:spacing w:after="0" w:line="175" w:lineRule="exact"/>
        <w:rPr>
          <w:rFonts w:ascii="Courier New" w:cs="Courier New" w:eastAsia="Courier New" w:hAnsi="Courier New"/>
          <w:sz w:val="14"/>
          <w:szCs w:val="14"/>
          <w:color w:val="auto"/>
        </w:rPr>
      </w:pPr>
    </w:p>
    <w:p>
      <w:pPr>
        <w:ind w:left="520" w:right="3279" w:hanging="251"/>
        <w:spacing w:after="0" w:line="285"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Courier New" w:cs="Courier New" w:eastAsia="Courier New" w:hAnsi="Courier New"/>
          <w:sz w:val="14"/>
          <w:szCs w:val="14"/>
          <w:color w:val="auto"/>
        </w:rPr>
      </w:pPr>
    </w:p>
    <w:p>
      <w:pPr>
        <w:ind w:left="520" w:right="3279" w:hanging="251"/>
        <w:spacing w:after="0" w:line="288"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40" w:lineRule="exact"/>
        <w:rPr>
          <w:rFonts w:ascii="Courier New" w:cs="Courier New" w:eastAsia="Courier New" w:hAnsi="Courier New"/>
          <w:sz w:val="14"/>
          <w:szCs w:val="14"/>
          <w:color w:val="auto"/>
        </w:rPr>
      </w:pPr>
    </w:p>
    <w:p>
      <w:pPr>
        <w:jc w:val="both"/>
        <w:ind w:left="520" w:right="3899" w:hanging="251"/>
        <w:spacing w:after="0" w:line="262"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13a-15(f) and 15d-15(f)] for the registrant and have:</w:t>
      </w:r>
    </w:p>
    <w:p>
      <w:pPr>
        <w:spacing w:after="0" w:line="149" w:lineRule="exact"/>
        <w:rPr>
          <w:rFonts w:ascii="Courier New" w:cs="Courier New" w:eastAsia="Courier New" w:hAnsi="Courier New"/>
          <w:sz w:val="14"/>
          <w:szCs w:val="14"/>
          <w:color w:val="auto"/>
        </w:rPr>
      </w:pPr>
    </w:p>
    <w:p>
      <w:pPr>
        <w:ind w:left="1060" w:right="3459" w:hanging="270"/>
        <w:spacing w:after="0" w:line="278"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6" w:lineRule="exact"/>
        <w:rPr>
          <w:rFonts w:ascii="Courier New" w:cs="Courier New" w:eastAsia="Courier New" w:hAnsi="Courier New"/>
          <w:sz w:val="14"/>
          <w:szCs w:val="14"/>
          <w:color w:val="auto"/>
        </w:rPr>
      </w:pPr>
    </w:p>
    <w:p>
      <w:pPr>
        <w:ind w:left="1060" w:right="3379" w:hanging="270"/>
        <w:spacing w:after="0" w:line="278"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Courier New" w:cs="Courier New" w:eastAsia="Courier New" w:hAnsi="Courier New"/>
          <w:sz w:val="14"/>
          <w:szCs w:val="14"/>
          <w:color w:val="auto"/>
        </w:rPr>
      </w:pPr>
    </w:p>
    <w:p>
      <w:pPr>
        <w:ind w:left="1060" w:right="3379" w:hanging="270"/>
        <w:spacing w:after="0" w:line="285"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9" w:lineRule="exact"/>
        <w:rPr>
          <w:rFonts w:ascii="Courier New" w:cs="Courier New" w:eastAsia="Courier New" w:hAnsi="Courier New"/>
          <w:sz w:val="14"/>
          <w:szCs w:val="14"/>
          <w:color w:val="auto"/>
        </w:rPr>
      </w:pPr>
    </w:p>
    <w:p>
      <w:pPr>
        <w:ind w:left="1060" w:right="3379" w:hanging="270"/>
        <w:spacing w:after="0" w:line="278"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Courier New" w:cs="Courier New" w:eastAsia="Courier New" w:hAnsi="Courier New"/>
          <w:sz w:val="14"/>
          <w:szCs w:val="14"/>
          <w:color w:val="auto"/>
        </w:rPr>
      </w:pPr>
    </w:p>
    <w:p>
      <w:pPr>
        <w:jc w:val="both"/>
        <w:ind w:left="520" w:right="3459" w:hanging="251"/>
        <w:spacing w:after="0" w:line="295"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Courier New" w:cs="Courier New" w:eastAsia="Courier New" w:hAnsi="Courier New"/>
          <w:sz w:val="14"/>
          <w:szCs w:val="14"/>
          <w:color w:val="auto"/>
        </w:rPr>
      </w:pPr>
    </w:p>
    <w:p>
      <w:pPr>
        <w:ind w:left="1060" w:right="3379" w:hanging="270"/>
        <w:spacing w:after="0" w:line="295"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Courier New" w:cs="Courier New" w:eastAsia="Courier New" w:hAnsi="Courier New"/>
          <w:sz w:val="14"/>
          <w:szCs w:val="14"/>
          <w:color w:val="auto"/>
        </w:rPr>
      </w:pPr>
    </w:p>
    <w:p>
      <w:pPr>
        <w:jc w:val="both"/>
        <w:ind w:left="1060" w:right="3719" w:hanging="270"/>
        <w:spacing w:after="0" w:line="317"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16, 2006</w:t>
      </w: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 Fred T. Bauer</w:t>
      </w:r>
    </w:p>
    <w:p>
      <w:pPr>
        <w:spacing w:after="0" w:line="3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Fred T. Bauer</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Chief Executive Officer</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49" w:right="1440" w:bottom="1440" w:gutter="0" w:footer="0" w:header="0"/>
        </w:sectPr>
      </w:pPr>
    </w:p>
    <w:bookmarkStart w:id="44" w:name="page45"/>
    <w:bookmarkEnd w:id="44"/>
    <w:p>
      <w:pPr>
        <w:jc w:val="center"/>
        <w:ind w:right="3279"/>
        <w:spacing w:after="0"/>
        <w:rPr>
          <w:sz w:val="20"/>
          <w:szCs w:val="20"/>
          <w:color w:val="auto"/>
        </w:rPr>
      </w:pPr>
      <w:r>
        <w:rPr>
          <w:rFonts w:ascii="Courier New" w:cs="Courier New" w:eastAsia="Courier New" w:hAnsi="Courier New"/>
          <w:sz w:val="14"/>
          <w:szCs w:val="14"/>
          <w:color w:val="auto"/>
        </w:rPr>
        <w:t>EXHIBIT 31.2</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CERTIFICATION OF THE CHIEF FINANCIAL OFFICER OF GENTEX COPORATION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Enoch C. Jen, certify that:</w:t>
      </w:r>
    </w:p>
    <w:p>
      <w:pPr>
        <w:spacing w:after="0" w:line="175" w:lineRule="exact"/>
        <w:rPr>
          <w:sz w:val="20"/>
          <w:szCs w:val="20"/>
          <w:color w:val="auto"/>
        </w:rPr>
      </w:pPr>
    </w:p>
    <w:p>
      <w:pPr>
        <w:ind w:left="520" w:hanging="251"/>
        <w:spacing w:after="0"/>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Gentex Corporation;</w:t>
      </w:r>
    </w:p>
    <w:p>
      <w:pPr>
        <w:spacing w:after="0" w:line="175" w:lineRule="exact"/>
        <w:rPr>
          <w:rFonts w:ascii="Courier New" w:cs="Courier New" w:eastAsia="Courier New" w:hAnsi="Courier New"/>
          <w:sz w:val="14"/>
          <w:szCs w:val="14"/>
          <w:color w:val="auto"/>
        </w:rPr>
      </w:pPr>
    </w:p>
    <w:p>
      <w:pPr>
        <w:ind w:left="520" w:right="3279" w:hanging="251"/>
        <w:spacing w:after="0" w:line="285"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Courier New" w:cs="Courier New" w:eastAsia="Courier New" w:hAnsi="Courier New"/>
          <w:sz w:val="14"/>
          <w:szCs w:val="14"/>
          <w:color w:val="auto"/>
        </w:rPr>
      </w:pPr>
    </w:p>
    <w:p>
      <w:pPr>
        <w:ind w:left="520" w:right="3279" w:hanging="251"/>
        <w:spacing w:after="0" w:line="288"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40" w:lineRule="exact"/>
        <w:rPr>
          <w:rFonts w:ascii="Courier New" w:cs="Courier New" w:eastAsia="Courier New" w:hAnsi="Courier New"/>
          <w:sz w:val="14"/>
          <w:szCs w:val="14"/>
          <w:color w:val="auto"/>
        </w:rPr>
      </w:pPr>
    </w:p>
    <w:p>
      <w:pPr>
        <w:jc w:val="both"/>
        <w:ind w:left="520" w:right="3899" w:hanging="251"/>
        <w:spacing w:after="0" w:line="262"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13a-15(f) and 15d-15(f)] for the registrant and have:</w:t>
      </w:r>
    </w:p>
    <w:p>
      <w:pPr>
        <w:spacing w:after="0" w:line="149" w:lineRule="exact"/>
        <w:rPr>
          <w:rFonts w:ascii="Courier New" w:cs="Courier New" w:eastAsia="Courier New" w:hAnsi="Courier New"/>
          <w:sz w:val="14"/>
          <w:szCs w:val="14"/>
          <w:color w:val="auto"/>
        </w:rPr>
      </w:pPr>
    </w:p>
    <w:p>
      <w:pPr>
        <w:ind w:left="1060" w:right="3459" w:hanging="270"/>
        <w:spacing w:after="0" w:line="278"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6" w:lineRule="exact"/>
        <w:rPr>
          <w:rFonts w:ascii="Courier New" w:cs="Courier New" w:eastAsia="Courier New" w:hAnsi="Courier New"/>
          <w:sz w:val="14"/>
          <w:szCs w:val="14"/>
          <w:color w:val="auto"/>
        </w:rPr>
      </w:pPr>
    </w:p>
    <w:p>
      <w:pPr>
        <w:ind w:left="1060" w:right="3379" w:hanging="270"/>
        <w:spacing w:after="0" w:line="278"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Courier New" w:cs="Courier New" w:eastAsia="Courier New" w:hAnsi="Courier New"/>
          <w:sz w:val="14"/>
          <w:szCs w:val="14"/>
          <w:color w:val="auto"/>
        </w:rPr>
      </w:pPr>
    </w:p>
    <w:p>
      <w:pPr>
        <w:ind w:left="1060" w:right="3379" w:hanging="270"/>
        <w:spacing w:after="0" w:line="285"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annual report our conclusions about the effectiveness of the disclosure controls and procedures, as of end of the period covered by this annual report based on such evaluation; and</w:t>
      </w:r>
    </w:p>
    <w:p>
      <w:pPr>
        <w:spacing w:after="0" w:line="59" w:lineRule="exact"/>
        <w:rPr>
          <w:rFonts w:ascii="Courier New" w:cs="Courier New" w:eastAsia="Courier New" w:hAnsi="Courier New"/>
          <w:sz w:val="14"/>
          <w:szCs w:val="14"/>
          <w:color w:val="auto"/>
        </w:rPr>
      </w:pPr>
    </w:p>
    <w:p>
      <w:pPr>
        <w:ind w:left="1060" w:right="3379" w:hanging="270"/>
        <w:spacing w:after="0" w:line="278"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Courier New" w:cs="Courier New" w:eastAsia="Courier New" w:hAnsi="Courier New"/>
          <w:sz w:val="14"/>
          <w:szCs w:val="14"/>
          <w:color w:val="auto"/>
        </w:rPr>
      </w:pPr>
    </w:p>
    <w:p>
      <w:pPr>
        <w:jc w:val="both"/>
        <w:ind w:left="520" w:right="3459" w:hanging="251"/>
        <w:spacing w:after="0" w:line="295"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Courier New" w:cs="Courier New" w:eastAsia="Courier New" w:hAnsi="Courier New"/>
          <w:sz w:val="14"/>
          <w:szCs w:val="14"/>
          <w:color w:val="auto"/>
        </w:rPr>
      </w:pPr>
    </w:p>
    <w:p>
      <w:pPr>
        <w:ind w:left="1060" w:right="3379" w:hanging="270"/>
        <w:spacing w:after="0" w:line="295"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Courier New" w:cs="Courier New" w:eastAsia="Courier New" w:hAnsi="Courier New"/>
          <w:sz w:val="14"/>
          <w:szCs w:val="14"/>
          <w:color w:val="auto"/>
        </w:rPr>
      </w:pPr>
    </w:p>
    <w:p>
      <w:pPr>
        <w:jc w:val="both"/>
        <w:ind w:left="1060" w:right="3719" w:hanging="270"/>
        <w:spacing w:after="0" w:line="317" w:lineRule="auto"/>
        <w:tabs>
          <w:tab w:leader="none" w:pos="10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16, 2006</w:t>
      </w: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 Enoch C. Jen</w:t>
      </w:r>
    </w:p>
    <w:p>
      <w:pPr>
        <w:spacing w:after="0" w:line="3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Enoch C. Jen</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Vice President, Finance</w:t>
      </w:r>
    </w:p>
    <w:p>
      <w:pPr>
        <w:spacing w:after="0" w:line="14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49" w:right="1440" w:bottom="1440" w:gutter="0" w:footer="0" w:header="0"/>
        </w:sectPr>
      </w:pPr>
    </w:p>
    <w:bookmarkStart w:id="45" w:name="page46"/>
    <w:bookmarkEnd w:id="45"/>
    <w:p>
      <w:pPr>
        <w:jc w:val="center"/>
        <w:ind w:right="3279"/>
        <w:spacing w:after="0"/>
        <w:rPr>
          <w:sz w:val="20"/>
          <w:szCs w:val="20"/>
          <w:color w:val="auto"/>
        </w:rPr>
      </w:pPr>
      <w:r>
        <w:rPr>
          <w:rFonts w:ascii="Courier New" w:cs="Courier New" w:eastAsia="Courier New" w:hAnsi="Courier New"/>
          <w:sz w:val="14"/>
          <w:szCs w:val="14"/>
          <w:color w:val="auto"/>
        </w:rPr>
        <w:t>EXHIBIT 32</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CERTIFICATE PURSUANT TO SECTION 906 OF THE SARBANES-OXLEY</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ACT OF 2002 (18-U.S.C. Section 1350)</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Each, Fred T. Bauer, Chief Executive Officer of Gentex Corporation, and Enoch C. Jen, Chief Financial Officer of Gentex Corporation, certify to the best of their knowledge and belief, pursuant to Section 906 of the Sarbanes-Oxley Act of 2002 (18 U.S.C. Section 1350), that:</w:t>
      </w:r>
    </w:p>
    <w:p>
      <w:pPr>
        <w:spacing w:after="0" w:line="55" w:lineRule="exact"/>
        <w:rPr>
          <w:sz w:val="20"/>
          <w:szCs w:val="20"/>
          <w:color w:val="auto"/>
        </w:rPr>
      </w:pPr>
    </w:p>
    <w:p>
      <w:pPr>
        <w:ind w:left="1060" w:right="3279" w:hanging="530"/>
        <w:spacing w:after="0" w:line="302"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for the year ended December 31, 2005, which this statement accompanies, fully complies with the requirements of Section 13(a) or 15(d) of the Securities Exchange Act of 1934; and</w:t>
      </w:r>
    </w:p>
    <w:p>
      <w:pPr>
        <w:spacing w:after="0" w:line="235" w:lineRule="exact"/>
        <w:rPr>
          <w:rFonts w:ascii="Courier New" w:cs="Courier New" w:eastAsia="Courier New" w:hAnsi="Courier New"/>
          <w:sz w:val="14"/>
          <w:szCs w:val="14"/>
          <w:color w:val="auto"/>
        </w:rPr>
      </w:pPr>
    </w:p>
    <w:p>
      <w:pPr>
        <w:ind w:left="1060" w:right="3379" w:hanging="530"/>
        <w:spacing w:after="0" w:line="295"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annual report on Form 10-K of the year ended December 31, 2005, fairly presents, in all material respects, the financial condition and results of operations of Gentex Corporation.</w:t>
      </w:r>
    </w:p>
    <w:p>
      <w:pPr>
        <w:sectPr>
          <w:pgSz w:w="11900" w:h="16838" w:orient="portrait"/>
          <w:cols w:equalWidth="0" w:num="1">
            <w:col w:w="10239"/>
          </w:cols>
          <w:pgMar w:left="220" w:top="449" w:right="1440" w:bottom="1440" w:gutter="0" w:footer="0" w:header="0"/>
        </w:sectPr>
      </w:pP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16, 2006</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175" w:lineRule="exact"/>
        <w:rPr>
          <w:sz w:val="20"/>
          <w:szCs w:val="20"/>
          <w:color w:val="auto"/>
        </w:rPr>
      </w:pPr>
    </w:p>
    <w:p>
      <w:pPr>
        <w:sectPr>
          <w:pgSz w:w="11900" w:h="16838" w:orient="portrait"/>
          <w:cols w:equalWidth="0" w:num="2">
            <w:col w:w="3100" w:space="720"/>
            <w:col w:w="6419"/>
          </w:cols>
          <w:pgMar w:left="220" w:top="449"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/s/</w:t>
        <w:tab/>
        <w:t>Fred T. Bauer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 T. Bauer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Chief Executive Officer</w:t>
      </w:r>
    </w:p>
    <w:p>
      <w:pPr>
        <w:spacing w:after="0" w:line="149" w:lineRule="exact"/>
        <w:rPr>
          <w:sz w:val="20"/>
          <w:szCs w:val="20"/>
          <w:color w:val="auto"/>
        </w:rPr>
      </w:pPr>
    </w:p>
    <w:p>
      <w:pPr>
        <w:sectPr>
          <w:pgSz w:w="11900" w:h="16838" w:orient="portrait"/>
          <w:cols w:equalWidth="0" w:num="2">
            <w:col w:w="3480" w:space="340"/>
            <w:col w:w="6419"/>
          </w:cols>
          <w:pgMar w:left="220" w:top="449"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/s/</w:t>
        <w:tab/>
        <w:t>Enoch C. Jen</w:t>
      </w:r>
    </w:p>
    <w:p>
      <w:pPr>
        <w:spacing w:after="0" w:line="43" w:lineRule="exact"/>
        <w:rPr>
          <w:sz w:val="20"/>
          <w:szCs w:val="20"/>
          <w:color w:val="auto"/>
        </w:rPr>
      </w:pPr>
    </w:p>
    <w:p>
      <w:pPr>
        <w:sectPr>
          <w:pgSz w:w="11900" w:h="16838" w:orient="portrait"/>
          <w:cols w:equalWidth="0" w:num="2">
            <w:col w:w="3480" w:space="340"/>
            <w:col w:w="6419"/>
          </w:cols>
          <w:pgMar w:left="220" w:top="449"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4"/>
          <w:szCs w:val="14"/>
          <w:color w:val="auto"/>
        </w:rPr>
        <w:t>------------------------------------</w:t>
      </w:r>
    </w:p>
    <w:p>
      <w:pPr>
        <w:ind w:left="3820"/>
        <w:spacing w:after="0"/>
        <w:rPr>
          <w:sz w:val="20"/>
          <w:szCs w:val="20"/>
          <w:color w:val="auto"/>
        </w:rPr>
      </w:pPr>
      <w:r>
        <w:rPr>
          <w:rFonts w:ascii="Courier New" w:cs="Courier New" w:eastAsia="Courier New" w:hAnsi="Courier New"/>
          <w:sz w:val="14"/>
          <w:szCs w:val="14"/>
          <w:color w:val="auto"/>
        </w:rPr>
        <w:t>Enoch C. Jen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Its Vice President-Finance/Chief</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Financial Officer</w:t>
      </w:r>
    </w:p>
    <w:p>
      <w:pPr>
        <w:spacing w:after="0" w:line="149" w:lineRule="exact"/>
        <w:rPr>
          <w:sz w:val="20"/>
          <w:szCs w:val="20"/>
          <w:color w:val="auto"/>
        </w:rPr>
      </w:pPr>
    </w:p>
    <w:p>
      <w:pPr>
        <w:ind w:right="3719"/>
        <w:spacing w:after="0" w:line="317" w:lineRule="auto"/>
        <w:rPr>
          <w:sz w:val="20"/>
          <w:szCs w:val="20"/>
          <w:color w:val="auto"/>
        </w:rPr>
      </w:pPr>
      <w:r>
        <w:rPr>
          <w:rFonts w:ascii="Courier New" w:cs="Courier New" w:eastAsia="Courier New" w:hAnsi="Courier New"/>
          <w:sz w:val="14"/>
          <w:szCs w:val="14"/>
          <w:color w:val="auto"/>
        </w:rPr>
        <w:t>A signed original of this written statement has been provided to Gentex Corporation and will be retained by Gentex Corporation and furnished to the Securities and Exchange Commission or its staff upon request.</w:t>
      </w:r>
    </w:p>
    <w:p>
      <w:pPr>
        <w:spacing w:after="0" w:line="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sectPr>
      <w:pgSz w:w="11900" w:h="16838" w:orient="portrait"/>
      <w:cols w:equalWidth="0" w:num="1">
        <w:col w:w="10239"/>
      </w:cols>
      <w:pgMar w:left="220" w:top="4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Letter"/>
      <w:start w:val="1"/>
    </w:lvl>
    <w:lvl w:ilvl="1">
      <w:lvlJc w:val="left"/>
      <w:lvlText w:val="%2."/>
      <w:numFmt w:val="decimal"/>
      <w:start w:val="2"/>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2019-12-13T10:49:30Z</dcterms:created>
  <dcterms:modified xsi:type="dcterms:W3CDTF">2019-12-13T10:49:30Z</dcterms:modified>
</cp:coreProperties>
</file>