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0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10-K/A</w:t>
      </w:r>
    </w:p>
    <w:p>
      <w:pPr>
        <w:spacing w:after="0" w:line="335" w:lineRule="exact"/>
        <w:rPr>
          <w:sz w:val="24"/>
          <w:szCs w:val="24"/>
          <w:color w:val="auto"/>
        </w:rPr>
      </w:pPr>
    </w:p>
    <w:p>
      <w:pPr>
        <w:ind w:left="440" w:right="3499" w:hanging="430"/>
        <w:spacing w:after="0" w:line="34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1997.</w:t>
      </w:r>
    </w:p>
    <w:p>
      <w:pPr>
        <w:spacing w:after="0" w:line="17" w:lineRule="exact"/>
        <w:rPr>
          <w:sz w:val="24"/>
          <w:szCs w:val="24"/>
          <w:color w:val="auto"/>
        </w:rPr>
      </w:pPr>
    </w:p>
    <w:p>
      <w:pPr>
        <w:ind w:left="440" w:right="3939" w:hanging="430"/>
        <w:spacing w:after="0" w:line="255"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________________  to ______________.</w:t>
      </w:r>
    </w:p>
    <w:p>
      <w:pPr>
        <w:sectPr>
          <w:pgSz w:w="11900" w:h="16838" w:orient="portrait"/>
          <w:cols w:equalWidth="0" w:num="1">
            <w:col w:w="10239"/>
          </w:cols>
          <w:pgMar w:left="220" w:top="205" w:right="1440" w:bottom="1440" w:gutter="0" w:footer="0" w:header="0"/>
        </w:sectPr>
      </w:pP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0-10235</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4"/>
          <w:szCs w:val="24"/>
          <w:color w:val="auto"/>
        </w:rPr>
      </w:pPr>
    </w:p>
    <w:p>
      <w:pPr>
        <w:sectPr>
          <w:pgSz w:w="11900" w:h="16838" w:orient="portrait"/>
          <w:cols w:equalWidth="0" w:num="2">
            <w:col w:w="1760" w:space="340"/>
            <w:col w:w="8139"/>
          </w:cols>
          <w:pgMar w:left="220" w:top="205"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GENTEX CORPORATION</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05" w:right="1440" w:bottom="1440" w:gutter="0" w:footer="0" w:header="0"/>
          <w:type w:val="continuous"/>
        </w:sectPr>
      </w:pPr>
    </w:p>
    <w:p>
      <w:pPr>
        <w:spacing w:after="0" w:line="320"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MICHIGAN</w:t>
      </w:r>
    </w:p>
    <w:p>
      <w:pPr>
        <w:spacing w:after="0" w:line="24"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38-2030505</w:t>
      </w:r>
    </w:p>
    <w:p>
      <w:pPr>
        <w:spacing w:after="0" w:line="2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3940" w:space="700"/>
            <w:col w:w="5599"/>
          </w:cols>
          <w:pgMar w:left="220" w:top="205" w:right="1440" w:bottom="1440" w:gutter="0" w:footer="0" w:header="0"/>
          <w:type w:val="continuous"/>
        </w:sectPr>
      </w:pPr>
    </w:p>
    <w:p>
      <w:pPr>
        <w:spacing w:after="0" w:line="120" w:lineRule="exact"/>
        <w:rPr>
          <w:sz w:val="24"/>
          <w:szCs w:val="24"/>
          <w:color w:val="auto"/>
        </w:rPr>
      </w:pPr>
    </w:p>
    <w:p>
      <w:pPr>
        <w:ind w:left="440" w:right="60" w:hanging="86"/>
        <w:spacing w:after="0" w:line="385" w:lineRule="auto"/>
        <w:rPr>
          <w:sz w:val="20"/>
          <w:szCs w:val="20"/>
          <w:color w:val="auto"/>
        </w:rPr>
      </w:pPr>
      <w:r>
        <w:rPr>
          <w:rFonts w:ascii="Courier New" w:cs="Courier New" w:eastAsia="Courier New" w:hAnsi="Courier New"/>
          <w:sz w:val="14"/>
          <w:szCs w:val="14"/>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49464</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20" w:lineRule="exact"/>
        <w:rPr>
          <w:sz w:val="24"/>
          <w:szCs w:val="24"/>
          <w:color w:val="auto"/>
        </w:rPr>
      </w:pPr>
    </w:p>
    <w:p>
      <w:pPr>
        <w:sectPr>
          <w:pgSz w:w="11900" w:h="16838" w:orient="portrait"/>
          <w:cols w:equalWidth="0" w:num="2">
            <w:col w:w="4180" w:space="720"/>
            <w:col w:w="5339"/>
          </w:cols>
          <w:pgMar w:left="220" w:top="205"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4"/>
          <w:szCs w:val="14"/>
          <w:color w:val="auto"/>
        </w:rPr>
        <w:t>(616) 772-1800</w:t>
      </w:r>
    </w:p>
    <w:p>
      <w:pPr>
        <w:sectPr>
          <w:pgSz w:w="11900" w:h="16838" w:orient="portrait"/>
          <w:cols w:equalWidth="0" w:num="1">
            <w:col w:w="10239"/>
          </w:cols>
          <w:pgMar w:left="220" w:top="205" w:right="1440" w:bottom="1440" w:gutter="0" w:footer="0" w:header="0"/>
          <w:type w:val="continuous"/>
        </w:sectPr>
      </w:pPr>
    </w:p>
    <w:p>
      <w:pPr>
        <w:spacing w:after="0" w:line="87"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205" w:right="1440" w:bottom="1440" w:gutter="0" w:footer="0" w:header="0"/>
          <w:type w:val="continuous"/>
        </w:sectPr>
      </w:pPr>
    </w:p>
    <w:p>
      <w:pPr>
        <w:spacing w:after="0" w:line="33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3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4"/>
          <w:szCs w:val="24"/>
          <w:color w:val="auto"/>
        </w:rPr>
      </w:pPr>
    </w:p>
    <w:p>
      <w:pPr>
        <w:sectPr>
          <w:pgSz w:w="11900" w:h="16838" w:orient="portrait"/>
          <w:cols w:equalWidth="0" w:num="2">
            <w:col w:w="2360" w:space="720"/>
            <w:col w:w="7159"/>
          </w:cols>
          <w:pgMar w:left="220" w:top="205" w:right="1440" w:bottom="1440" w:gutter="0" w:footer="0" w:header="0"/>
          <w:type w:val="continuous"/>
        </w:sectPr>
      </w:pPr>
    </w:p>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COMMON STOCK, PAR VALUE $.06 PER SHARE</w:t>
      </w:r>
    </w:p>
    <w:p>
      <w:pPr>
        <w:spacing w:after="0" w:line="24"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(Title of Class)</w:t>
      </w:r>
    </w:p>
    <w:p>
      <w:pPr>
        <w:spacing w:after="0" w:line="309" w:lineRule="exact"/>
        <w:rPr>
          <w:sz w:val="24"/>
          <w:szCs w:val="24"/>
          <w:color w:val="auto"/>
        </w:rPr>
      </w:pPr>
    </w:p>
    <w:p>
      <w:pPr>
        <w:ind w:right="3319"/>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40"/>
        <w:spacing w:after="0"/>
        <w:tabs>
          <w:tab w:leader="none" w:pos="860" w:val="left"/>
          <w:tab w:leader="none" w:pos="1300"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4"/>
          <w:szCs w:val="14"/>
          <w:color w:val="auto"/>
        </w:rPr>
        <w:t>No:</w:t>
      </w: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0" w:lineRule="exact"/>
        <w:rPr>
          <w:sz w:val="24"/>
          <w:szCs w:val="24"/>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75" w:lineRule="exact"/>
        <w:rPr>
          <w:sz w:val="24"/>
          <w:szCs w:val="24"/>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As of March 1, 1998, 35,650,765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$1,075,252,410 computed at the closing price on that date.</w:t>
      </w:r>
    </w:p>
    <w:p>
      <w:pPr>
        <w:spacing w:after="0" w:line="81" w:lineRule="exact"/>
        <w:rPr>
          <w:sz w:val="24"/>
          <w:szCs w:val="24"/>
          <w:color w:val="auto"/>
        </w:rPr>
      </w:pPr>
    </w:p>
    <w:p>
      <w:pPr>
        <w:ind w:right="3939"/>
        <w:spacing w:after="0" w:line="344" w:lineRule="auto"/>
        <w:rPr>
          <w:sz w:val="20"/>
          <w:szCs w:val="20"/>
          <w:color w:val="auto"/>
        </w:rPr>
      </w:pPr>
      <w:r>
        <w:rPr>
          <w:rFonts w:ascii="Courier New" w:cs="Courier New" w:eastAsia="Courier New" w:hAnsi="Courier New"/>
          <w:sz w:val="15"/>
          <w:szCs w:val="15"/>
          <w:color w:val="auto"/>
        </w:rPr>
        <w:t>Portions of the Company's Proxy Statement for its 1998 Annual Meeting of Shareholders are incorporated by reference into Part III.</w:t>
      </w:r>
    </w:p>
    <w:p>
      <w:pPr>
        <w:spacing w:after="0" w:line="1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Exhibit Index located at Page 31</w:t>
      </w:r>
    </w:p>
    <w:p>
      <w:pPr>
        <w:spacing w:after="0" w:line="166" w:lineRule="exact"/>
        <w:rPr>
          <w:sz w:val="24"/>
          <w:szCs w:val="24"/>
          <w:color w:val="auto"/>
        </w:rPr>
      </w:pPr>
    </w:p>
    <w:p>
      <w:pPr>
        <w:ind w:left="2900"/>
        <w:spacing w:after="0"/>
        <w:tabs>
          <w:tab w:leader="none" w:pos="3840" w:val="left"/>
        </w:tabs>
        <w:rPr>
          <w:sz w:val="20"/>
          <w:szCs w:val="20"/>
          <w:color w:val="auto"/>
        </w:rPr>
      </w:pPr>
      <w:r>
        <w:rPr>
          <w:rFonts w:ascii="Courier New" w:cs="Courier New" w:eastAsia="Courier New" w:hAnsi="Courier New"/>
          <w:sz w:val="15"/>
          <w:szCs w:val="15"/>
          <w:color w:val="auto"/>
        </w:rPr>
        <w:t>Page 1 of</w:t>
        <w:tab/>
        <w:t>34</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right="3399"/>
        <w:spacing w:after="0" w:line="270" w:lineRule="auto"/>
        <w:rPr>
          <w:sz w:val="20"/>
          <w:szCs w:val="20"/>
          <w:color w:val="auto"/>
        </w:rPr>
      </w:pPr>
      <w:r>
        <w:rPr>
          <w:rFonts w:ascii="Courier New" w:cs="Courier New" w:eastAsia="Courier New" w:hAnsi="Courier New"/>
          <w:sz w:val="14"/>
          <w:szCs w:val="14"/>
          <w:color w:val="auto"/>
        </w:rPr>
        <w:t>Statements in this Annual Report on Form 10-K which express "belief", "anticipation" or "expectation" as well as other statements which are not historical fact,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200" w:lineRule="exact"/>
        <w:rPr>
          <w:sz w:val="20"/>
          <w:szCs w:val="20"/>
          <w:color w:val="auto"/>
        </w:rPr>
      </w:pPr>
    </w:p>
    <w:p>
      <w:pPr>
        <w:spacing w:after="0" w:line="21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66" w:lineRule="exact"/>
        <w:rPr>
          <w:sz w:val="20"/>
          <w:szCs w:val="20"/>
          <w:color w:val="auto"/>
        </w:rPr>
      </w:pPr>
    </w:p>
    <w:p>
      <w:pPr>
        <w:ind w:right="3579" w:firstLine="437"/>
        <w:spacing w:after="0" w:line="246"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These products consist primarily of two product lines: automatic-dimming rearview mirrors and fire protection products.</w:t>
      </w:r>
    </w:p>
    <w:p>
      <w:pPr>
        <w:spacing w:after="0" w:line="2" w:lineRule="exact"/>
        <w:rPr>
          <w:sz w:val="20"/>
          <w:szCs w:val="20"/>
          <w:color w:val="auto"/>
        </w:rPr>
      </w:pPr>
    </w:p>
    <w:p>
      <w:pPr>
        <w:ind w:right="3319" w:firstLine="437"/>
        <w:spacing w:after="0" w:line="242" w:lineRule="auto"/>
        <w:rPr>
          <w:sz w:val="20"/>
          <w:szCs w:val="20"/>
          <w:color w:val="auto"/>
        </w:rPr>
      </w:pPr>
      <w:r>
        <w:rPr>
          <w:rFonts w:ascii="Courier New" w:cs="Courier New" w:eastAsia="Courier New" w:hAnsi="Courier New"/>
          <w:sz w:val="15"/>
          <w:szCs w:val="15"/>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Safety(TM) Mirror Sub-Assembly, which works as a complete glare-control system with the interior NVS(R) Mirror. In 1997, the Company began making volume shipments of three new exterior mirror sub-assembly products - thin glass flat, convex and aspheric.</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FINANCIAL INFORMATION ABOUT INDUSTRY SEGMENTS.</w:t>
      </w:r>
    </w:p>
    <w:p>
      <w:pPr>
        <w:spacing w:after="0" w:line="166" w:lineRule="exact"/>
        <w:rPr>
          <w:sz w:val="20"/>
          <w:szCs w:val="20"/>
          <w:color w:val="auto"/>
        </w:rPr>
      </w:pPr>
    </w:p>
    <w:p>
      <w:pPr>
        <w:ind w:right="3759" w:firstLine="437"/>
        <w:spacing w:after="0" w:line="344" w:lineRule="auto"/>
        <w:rPr>
          <w:sz w:val="20"/>
          <w:szCs w:val="20"/>
          <w:color w:val="auto"/>
        </w:rPr>
      </w:pPr>
      <w:r>
        <w:rPr>
          <w:rFonts w:ascii="Courier New" w:cs="Courier New" w:eastAsia="Courier New" w:hAnsi="Courier New"/>
          <w:sz w:val="15"/>
          <w:szCs w:val="15"/>
          <w:color w:val="auto"/>
        </w:rPr>
        <w:t>See Note (9) to the Consolidated Financial Statements filed with this report.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NARRATIVE DESCRIPTION OF BUSINESS</w:t>
      </w:r>
    </w:p>
    <w:p>
      <w:pPr>
        <w:spacing w:after="0" w:line="166" w:lineRule="exact"/>
        <w:rPr>
          <w:sz w:val="20"/>
          <w:szCs w:val="20"/>
          <w:color w:val="auto"/>
        </w:rPr>
      </w:pPr>
    </w:p>
    <w:p>
      <w:pPr>
        <w:jc w:val="both"/>
        <w:ind w:right="3939" w:firstLine="437"/>
        <w:spacing w:after="0" w:line="290" w:lineRule="auto"/>
        <w:rPr>
          <w:sz w:val="20"/>
          <w:szCs w:val="20"/>
          <w:color w:val="auto"/>
        </w:rPr>
      </w:pPr>
      <w:r>
        <w:rPr>
          <w:rFonts w:ascii="Courier New" w:cs="Courier New" w:eastAsia="Courier New" w:hAnsi="Courier New"/>
          <w:sz w:val="15"/>
          <w:szCs w:val="15"/>
          <w:color w:val="auto"/>
        </w:rPr>
        <w:t>The Company currently manufactures two electro-optic product lines: automatic-dimming rearview mirrors for the automotive industry and fire protection products for the commercial building industry.</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REARVIEW MIRRORS.</w:t>
      </w:r>
    </w:p>
    <w:p>
      <w:pPr>
        <w:spacing w:after="0" w:line="24" w:lineRule="exact"/>
        <w:rPr>
          <w:sz w:val="20"/>
          <w:szCs w:val="20"/>
          <w:color w:val="auto"/>
        </w:rPr>
      </w:pPr>
    </w:p>
    <w:p>
      <w:pPr>
        <w:ind w:right="3319" w:firstLine="437"/>
        <w:spacing w:after="0" w:line="242" w:lineRule="auto"/>
        <w:rPr>
          <w:sz w:val="20"/>
          <w:szCs w:val="20"/>
          <w:color w:val="auto"/>
        </w:rPr>
      </w:pPr>
      <w:r>
        <w:rPr>
          <w:rFonts w:ascii="Courier New" w:cs="Courier New" w:eastAsia="Courier New" w:hAnsi="Courier New"/>
          <w:sz w:val="15"/>
          <w:szCs w:val="15"/>
          <w:color w:val="auto"/>
        </w:rPr>
        <w:t>Interior NVS(R)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NVS(R) Mirror offers all of the continuous reflectance levels between its approximate 75%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9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319" w:firstLine="437"/>
        <w:spacing w:after="0"/>
        <w:rPr>
          <w:sz w:val="20"/>
          <w:szCs w:val="20"/>
          <w:color w:val="auto"/>
        </w:rPr>
      </w:pPr>
      <w:r>
        <w:rPr>
          <w:rFonts w:ascii="Courier New" w:cs="Courier New" w:eastAsia="Courier New" w:hAnsi="Courier New"/>
          <w:sz w:val="15"/>
          <w:szCs w:val="15"/>
          <w:color w:val="auto"/>
        </w:rPr>
        <w:t>During 1991, the Company began shipping the first advanced-feature interior NVS(R) Mirror, the NVS(R) Headlamp Control Mirror, an automatic-dimming mirror that automatically turns car head- and taillamps "on" and "off" in response to the level of light observed. During 1992, the Company began shipping its NVS(R) Lighted Mirror, with map/reading lights, and during 1993, the Company began shipping its NVS(R) Compass Mirror, with an electronic compass that automatically compensates for changes in the earth's magnetic field. During 1997, the Company began shipping a third-generation NVS(R) Headlamp Control Mirror, a second-generation NVS(R) Compass Mirror, and a new interior NVS(R) Mirror that digitally displays either a compass or outside temperature reading. The compass and outside temperature display technology was developed and patented by Prince, a Johnson Controls Company.</w:t>
      </w:r>
    </w:p>
    <w:p>
      <w:pPr>
        <w:spacing w:after="0" w:line="5"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The Company sold approximately 1,811,000 interior NVS(R) Mirrors in 1995, approximately 2,423,000 in 1996, and approximately 2,799,000 in 1997.</w:t>
      </w:r>
    </w:p>
    <w:p>
      <w:pPr>
        <w:spacing w:after="0" w:line="1" w:lineRule="exact"/>
        <w:rPr>
          <w:sz w:val="20"/>
          <w:szCs w:val="20"/>
          <w:color w:val="auto"/>
        </w:rPr>
      </w:pPr>
    </w:p>
    <w:p>
      <w:pPr>
        <w:ind w:right="3319" w:firstLine="437"/>
        <w:spacing w:after="0" w:line="247" w:lineRule="auto"/>
        <w:rPr>
          <w:sz w:val="20"/>
          <w:szCs w:val="20"/>
          <w:color w:val="auto"/>
        </w:rPr>
      </w:pPr>
      <w:r>
        <w:rPr>
          <w:rFonts w:ascii="Courier New" w:cs="Courier New" w:eastAsia="Courier New" w:hAnsi="Courier New"/>
          <w:sz w:val="15"/>
          <w:szCs w:val="15"/>
          <w:color w:val="auto"/>
        </w:rPr>
        <w:t>During 1997, the unit growth primarily continued as a result of increased penetration of a number of high-volume light vehicles manufactured in North America, including pickup trucks and sport/utility vehicles from the Big Three auto manufacturers, as well as increased penetration of light vehicle models manufactured outside North America, including new, higher-volume vehicles in Europe. The Company's interior NVS(R) Mirrors are standard equipment or factory or distributor/dealer-installed options on the following 1998 and 1998-1/2 vehicle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3" w:name="page4"/>
    <w:bookmarkEnd w:id="3"/>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TABLE 1.</w:t>
      </w:r>
      <w:r>
        <w:rPr>
          <w:sz w:val="20"/>
          <w:szCs w:val="20"/>
          <w:color w:val="auto"/>
        </w:rPr>
        <w:tab/>
      </w:r>
      <w:r>
        <w:rPr>
          <w:rFonts w:ascii="Courier New" w:cs="Courier New" w:eastAsia="Courier New" w:hAnsi="Courier New"/>
          <w:sz w:val="14"/>
          <w:szCs w:val="14"/>
          <w:color w:val="auto"/>
        </w:rPr>
        <w:t>INTERIOR NVS(R) MIRROR AVAILABILITY BY VEHICLE LINE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Deville</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w w:val="77"/>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D'Elegance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Catera</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Concours</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Eldorado</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Eldorado Touring Coupe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Seville</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GM/Buick</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Seville STS</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LeSabre Limited</w:t>
            </w:r>
          </w:p>
        </w:tc>
        <w:tc>
          <w:tcPr>
            <w:tcW w:w="12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Park Avenue</w:t>
            </w:r>
          </w:p>
        </w:tc>
        <w:tc>
          <w:tcPr>
            <w:tcW w:w="1260" w:type="dxa"/>
            <w:vAlign w:val="bottom"/>
            <w:vMerge w:val="continue"/>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Park Avenue-Ultra</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GM/Oldsmobile</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Riviera</w:t>
            </w:r>
          </w:p>
        </w:tc>
        <w:tc>
          <w:tcPr>
            <w:tcW w:w="1880" w:type="dxa"/>
            <w:vAlign w:val="bottom"/>
          </w:tcPr>
          <w:p>
            <w:pPr>
              <w:spacing w:after="0"/>
              <w:rPr>
                <w:sz w:val="14"/>
                <w:szCs w:val="14"/>
                <w:color w:val="auto"/>
              </w:rPr>
            </w:pPr>
          </w:p>
        </w:tc>
        <w:tc>
          <w:tcPr>
            <w:tcW w:w="12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O*</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88 Regency</w:t>
            </w:r>
          </w:p>
        </w:tc>
        <w:tc>
          <w:tcPr>
            <w:tcW w:w="1260" w:type="dxa"/>
            <w:vAlign w:val="bottom"/>
            <w:vMerge w:val="continue"/>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88 LSS</w:t>
            </w:r>
          </w:p>
        </w:tc>
        <w:tc>
          <w:tcPr>
            <w:tcW w:w="188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Aurora</w:t>
            </w:r>
          </w:p>
        </w:tc>
        <w:tc>
          <w:tcPr>
            <w:tcW w:w="188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GM/Pontiac</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Bravada</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Bonneville SSE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GM/Chevrolet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Blazer</w:t>
            </w:r>
          </w:p>
        </w:tc>
        <w:tc>
          <w:tcPr>
            <w:tcW w:w="1880" w:type="dxa"/>
            <w:vAlign w:val="bottom"/>
          </w:tcPr>
          <w:p>
            <w:pPr>
              <w:spacing w:after="0"/>
              <w:rPr>
                <w:sz w:val="14"/>
                <w:szCs w:val="14"/>
                <w:color w:val="auto"/>
              </w:rPr>
            </w:pPr>
          </w:p>
        </w:tc>
        <w:tc>
          <w:tcPr>
            <w:tcW w:w="12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C/K Pickup</w:t>
            </w:r>
          </w:p>
        </w:tc>
        <w:tc>
          <w:tcPr>
            <w:tcW w:w="1260" w:type="dxa"/>
            <w:vAlign w:val="bottom"/>
            <w:vMerge w:val="continue"/>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GM/GMC</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Suburban</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C/K Pickup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C/K Crew Cab Pickup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Jimmy</w:t>
            </w:r>
          </w:p>
        </w:tc>
        <w:tc>
          <w:tcPr>
            <w:tcW w:w="1880" w:type="dxa"/>
            <w:vAlign w:val="bottom"/>
            <w:vMerge w:val="restart"/>
          </w:tcPr>
          <w:p>
            <w:pPr>
              <w:spacing w:after="0"/>
              <w:rPr>
                <w:sz w:val="20"/>
                <w:szCs w:val="20"/>
                <w:color w:val="auto"/>
              </w:rPr>
            </w:pPr>
            <w:r>
              <w:rPr>
                <w:rFonts w:ascii="Courier New" w:cs="Courier New" w:eastAsia="Courier New" w:hAnsi="Courier New"/>
                <w:sz w:val="15"/>
                <w:szCs w:val="15"/>
                <w:color w:val="auto"/>
              </w:rPr>
              <w:t>(2-Door)</w:t>
            </w:r>
          </w:p>
        </w:tc>
        <w:tc>
          <w:tcPr>
            <w:tcW w:w="12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(ECC/T)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Yukon</w:t>
            </w:r>
          </w:p>
        </w:tc>
        <w:tc>
          <w:tcPr>
            <w:tcW w:w="18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Yukon</w:t>
            </w:r>
          </w:p>
        </w:tc>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(4-Door)</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Ford/Lincoln</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Suburban</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Cartier</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Executive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Signature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Mark VIII</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Ford</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Navigator</w:t>
            </w:r>
          </w:p>
        </w:tc>
        <w:tc>
          <w:tcPr>
            <w:tcW w:w="12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Crown Victoria</w:t>
            </w:r>
          </w:p>
        </w:tc>
        <w:tc>
          <w:tcPr>
            <w:tcW w:w="1260" w:type="dxa"/>
            <w:vAlign w:val="bottom"/>
            <w:vMerge w:val="continue"/>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Explorer Limited</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(EH)</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Explorer (Sport, EB, XLT)</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(EH)</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Ford/Mercury</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Windstar</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(EH)</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Marquis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Chrysler</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Mountaineer</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LHS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Concorde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Dodge</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&amp; Country LXi</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Intrepid</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Caravan ES</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Ram Pickup</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Dakota Pickup</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Jeep</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Durango</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Cherokee Limited</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Grand Cherokee Laredo</w:t>
            </w:r>
          </w:p>
        </w:tc>
        <w:tc>
          <w:tcPr>
            <w:tcW w:w="1260" w:type="dxa"/>
            <w:vAlign w:val="bottom"/>
          </w:tcPr>
          <w:p>
            <w:pPr>
              <w:spacing w:after="0"/>
              <w:rPr>
                <w:sz w:val="21"/>
                <w:szCs w:val="21"/>
                <w:color w:val="auto"/>
              </w:rPr>
            </w:pP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rPr>
              <w:t>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Audi</w:t>
            </w: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A8</w:t>
            </w:r>
          </w:p>
        </w:tc>
        <w:tc>
          <w:tcPr>
            <w:tcW w:w="1000" w:type="dxa"/>
            <w:vAlign w:val="bottom"/>
          </w:tcPr>
          <w:p>
            <w:pPr>
              <w:spacing w:after="0"/>
              <w:rPr>
                <w:sz w:val="14"/>
                <w:szCs w:val="14"/>
                <w:color w:val="auto"/>
              </w:rPr>
            </w:pPr>
          </w:p>
        </w:tc>
        <w:tc>
          <w:tcPr>
            <w:tcW w:w="7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(RKE)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Bentley</w:t>
            </w:r>
          </w:p>
        </w:tc>
        <w:tc>
          <w:tcPr>
            <w:tcW w:w="2500" w:type="dxa"/>
            <w:vAlign w:val="bottom"/>
            <w:gridSpan w:val="2"/>
            <w:vMerge w:val="restart"/>
          </w:tcPr>
          <w:p>
            <w:pPr>
              <w:ind w:left="700"/>
              <w:spacing w:after="0"/>
              <w:rPr>
                <w:sz w:val="20"/>
                <w:szCs w:val="20"/>
                <w:color w:val="auto"/>
              </w:rPr>
            </w:pPr>
            <w:r>
              <w:rPr>
                <w:rFonts w:ascii="Courier New" w:cs="Courier New" w:eastAsia="Courier New" w:hAnsi="Courier New"/>
                <w:sz w:val="15"/>
                <w:szCs w:val="15"/>
                <w:color w:val="auto"/>
              </w:rPr>
              <w:t>800 Series</w:t>
            </w:r>
          </w:p>
        </w:tc>
        <w:tc>
          <w:tcPr>
            <w:tcW w:w="740" w:type="dxa"/>
            <w:vAlign w:val="bottom"/>
            <w:vMerge w:val="continue"/>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BMW</w:t>
            </w:r>
          </w:p>
        </w:tc>
        <w:tc>
          <w:tcPr>
            <w:tcW w:w="25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700 Series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500 Series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Daewoo</w:t>
            </w: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300 Series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Arcadia</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Fiat</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Brougham</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Lancia Kappa</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Fiat/Brazil</w:t>
            </w: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Alfa Romeo 164</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Tempra</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4"/>
              </w:rPr>
              <w:t>(5 Cyl.)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Honda</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Inspire</w:t>
            </w:r>
          </w:p>
        </w:tc>
        <w:tc>
          <w:tcPr>
            <w:tcW w:w="10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Inspire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(6 Cyl.)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Sabre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(5 Cyl.)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Hyundai</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Sabre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(6 Cyl.)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Grandeur</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Infiniti</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Marcia</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Q45</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J30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KIA Motors Corp.</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I30</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(3.0 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Potentia</w:t>
            </w:r>
          </w:p>
        </w:tc>
        <w:tc>
          <w:tcPr>
            <w:tcW w:w="10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(Korea)</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Potentia</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 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Lexus</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Credos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GS300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GS400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LS400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RX300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SC300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vMerge w:val="restart"/>
          </w:tcPr>
          <w:p>
            <w:pPr>
              <w:spacing w:after="0"/>
              <w:rPr>
                <w:sz w:val="20"/>
                <w:szCs w:val="20"/>
                <w:color w:val="auto"/>
              </w:rPr>
            </w:pPr>
            <w:r>
              <w:rPr>
                <w:rFonts w:ascii="Courier New" w:cs="Courier New" w:eastAsia="Courier New" w:hAnsi="Courier New"/>
                <w:sz w:val="15"/>
                <w:szCs w:val="15"/>
                <w:color w:val="auto"/>
              </w:rPr>
              <w:t>Mercedes-Benz</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SC400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S Class Coupe</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S Class Sedans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SL Roadster</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E Class Convertible</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E Class Sedan</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C Class Sedan</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w w:val="96"/>
              </w:rPr>
              <w:t>CLK Coupe</w:t>
            </w: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bl>
    <w:p>
      <w:pPr>
        <w:sectPr>
          <w:pgSz w:w="11900" w:h="16854" w:orient="portrait"/>
          <w:cols w:equalWidth="0" w:num="1">
            <w:col w:w="10239"/>
          </w:cols>
          <w:pgMar w:left="220" w:top="26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Mitsubishi</w:t>
            </w:r>
          </w:p>
        </w:tc>
        <w:tc>
          <w:tcPr>
            <w:tcW w:w="3120" w:type="dxa"/>
            <w:vAlign w:val="bottom"/>
          </w:tcPr>
          <w:p>
            <w:pPr>
              <w:ind w:left="1180"/>
              <w:spacing w:after="0"/>
              <w:rPr>
                <w:sz w:val="20"/>
                <w:szCs w:val="20"/>
                <w:color w:val="auto"/>
              </w:rPr>
            </w:pPr>
            <w:r>
              <w:rPr>
                <w:rFonts w:ascii="Courier New" w:cs="Courier New" w:eastAsia="Courier New" w:hAnsi="Courier New"/>
                <w:sz w:val="15"/>
                <w:szCs w:val="15"/>
                <w:color w:val="auto"/>
              </w:rPr>
              <w:t>Diamante</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Nissan</w:t>
            </w: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Cima</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Cedric</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Gloria</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Leopard</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vMerge w:val="restart"/>
          </w:tcPr>
          <w:p>
            <w:pPr>
              <w:spacing w:after="0"/>
              <w:rPr>
                <w:sz w:val="20"/>
                <w:szCs w:val="20"/>
                <w:color w:val="auto"/>
              </w:rPr>
            </w:pPr>
            <w:r>
              <w:rPr>
                <w:rFonts w:ascii="Courier New" w:cs="Courier New" w:eastAsia="Courier New" w:hAnsi="Courier New"/>
                <w:sz w:val="15"/>
                <w:szCs w:val="15"/>
                <w:color w:val="auto"/>
              </w:rPr>
              <w:t>Opel</w:t>
            </w: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Laurel</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vMerge w:val="continue"/>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Omega</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Porsche</w:t>
            </w: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911</w:t>
            </w:r>
          </w:p>
        </w:tc>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(RKE)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Rolls Royce</w:t>
            </w:r>
          </w:p>
        </w:tc>
        <w:tc>
          <w:tcPr>
            <w:tcW w:w="3120" w:type="dxa"/>
            <w:vAlign w:val="bottom"/>
            <w:vMerge w:val="restart"/>
          </w:tcPr>
          <w:p>
            <w:pPr>
              <w:ind w:left="1180"/>
              <w:spacing w:after="0"/>
              <w:rPr>
                <w:sz w:val="20"/>
                <w:szCs w:val="20"/>
                <w:color w:val="auto"/>
              </w:rPr>
            </w:pPr>
            <w:r>
              <w:rPr>
                <w:rFonts w:ascii="Courier New" w:cs="Courier New" w:eastAsia="Courier New" w:hAnsi="Courier New"/>
                <w:sz w:val="15"/>
                <w:szCs w:val="15"/>
                <w:color w:val="auto"/>
              </w:rPr>
              <w:t>4-Runner**</w:t>
            </w:r>
          </w:p>
        </w:tc>
        <w:tc>
          <w:tcPr>
            <w:tcW w:w="700" w:type="dxa"/>
            <w:vAlign w:val="bottom"/>
            <w:vMerge w:val="continue"/>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S</w:t>
            </w:r>
          </w:p>
        </w:tc>
        <w:tc>
          <w:tcPr>
            <w:tcW w:w="0" w:type="dxa"/>
            <w:vAlign w:val="bottom"/>
          </w:tcPr>
          <w:p>
            <w:pPr>
              <w:spacing w:after="0"/>
              <w:rPr>
                <w:sz w:val="1"/>
                <w:szCs w:val="1"/>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Toyota</w:t>
            </w:r>
          </w:p>
        </w:tc>
        <w:tc>
          <w:tcPr>
            <w:tcW w:w="31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(ECC/T)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Avalon XL**</w:t>
            </w:r>
          </w:p>
        </w:tc>
        <w:tc>
          <w:tcPr>
            <w:tcW w:w="700" w:type="dxa"/>
            <w:vAlign w:val="bottom"/>
            <w:vMerge w:val="continue"/>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Avalon XLS**</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(ECC)</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Camry**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(ECC/T)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Land Cruiser**</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3120" w:type="dxa"/>
            <w:vAlign w:val="bottom"/>
          </w:tcPr>
          <w:p>
            <w:pPr>
              <w:ind w:left="1180"/>
              <w:spacing w:after="0"/>
              <w:rPr>
                <w:sz w:val="20"/>
                <w:szCs w:val="20"/>
                <w:color w:val="auto"/>
              </w:rPr>
            </w:pPr>
            <w:r>
              <w:rPr>
                <w:rFonts w:ascii="Courier New" w:cs="Courier New" w:eastAsia="Courier New" w:hAnsi="Courier New"/>
                <w:sz w:val="15"/>
                <w:szCs w:val="15"/>
                <w:color w:val="auto"/>
              </w:rPr>
              <w:t>T-100**</w:t>
            </w:r>
          </w:p>
        </w:tc>
        <w:tc>
          <w:tcPr>
            <w:tcW w:w="700" w:type="dxa"/>
            <w:vAlign w:val="bottom"/>
          </w:tcPr>
          <w:p>
            <w:pPr>
              <w:spacing w:after="0"/>
              <w:rPr>
                <w:sz w:val="21"/>
                <w:szCs w:val="21"/>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427"/>
        </w:trPr>
        <w:tc>
          <w:tcPr>
            <w:tcW w:w="1620" w:type="dxa"/>
            <w:vAlign w:val="bottom"/>
          </w:tcPr>
          <w:p>
            <w:pPr>
              <w:spacing w:after="0"/>
              <w:rPr>
                <w:sz w:val="24"/>
                <w:szCs w:val="24"/>
                <w:color w:val="auto"/>
              </w:rPr>
            </w:pPr>
          </w:p>
        </w:tc>
        <w:tc>
          <w:tcPr>
            <w:tcW w:w="3120" w:type="dxa"/>
            <w:vAlign w:val="bottom"/>
          </w:tcPr>
          <w:p>
            <w:pPr>
              <w:ind w:left="660"/>
              <w:spacing w:after="0"/>
              <w:rPr>
                <w:sz w:val="20"/>
                <w:szCs w:val="20"/>
                <w:color w:val="auto"/>
              </w:rPr>
            </w:pPr>
            <w:r>
              <w:rPr>
                <w:rFonts w:ascii="Courier New" w:cs="Courier New" w:eastAsia="Courier New" w:hAnsi="Courier New"/>
                <w:sz w:val="15"/>
                <w:szCs w:val="15"/>
                <w:color w:val="auto"/>
                <w:w w:val="96"/>
              </w:rPr>
              <w:t>KEY:  S = Standard equipment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20" w:type="dxa"/>
            <w:vAlign w:val="bottom"/>
          </w:tcPr>
          <w:p>
            <w:pPr>
              <w:spacing w:after="0"/>
              <w:rPr>
                <w:sz w:val="21"/>
                <w:szCs w:val="21"/>
                <w:color w:val="auto"/>
              </w:rPr>
            </w:pPr>
          </w:p>
        </w:tc>
        <w:tc>
          <w:tcPr>
            <w:tcW w:w="3120" w:type="dxa"/>
            <w:vAlign w:val="bottom"/>
          </w:tcPr>
          <w:p>
            <w:pPr>
              <w:ind w:left="1180"/>
              <w:spacing w:after="0"/>
              <w:rPr>
                <w:sz w:val="20"/>
                <w:szCs w:val="20"/>
                <w:color w:val="auto"/>
              </w:rPr>
            </w:pPr>
            <w:r>
              <w:rPr>
                <w:rFonts w:ascii="Courier New" w:cs="Courier New" w:eastAsia="Courier New" w:hAnsi="Courier New"/>
                <w:sz w:val="15"/>
                <w:szCs w:val="15"/>
                <w:color w:val="auto"/>
                <w:w w:val="96"/>
              </w:rPr>
              <w:t>O = Optional equipment</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EH = NVS(R) Mirror with Automatic Headlamp Control</w:t>
      </w:r>
    </w:p>
    <w:p>
      <w:pPr>
        <w:spacing w:after="0" w:line="2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EL = NVS(R) Mirror with Map Lights</w:t>
      </w:r>
    </w:p>
    <w:p>
      <w:pPr>
        <w:ind w:left="2280"/>
        <w:spacing w:after="0" w:line="237" w:lineRule="auto"/>
        <w:rPr>
          <w:sz w:val="20"/>
          <w:szCs w:val="20"/>
          <w:color w:val="auto"/>
        </w:rPr>
      </w:pPr>
      <w:r>
        <w:rPr>
          <w:rFonts w:ascii="Courier New" w:cs="Courier New" w:eastAsia="Courier New" w:hAnsi="Courier New"/>
          <w:sz w:val="15"/>
          <w:szCs w:val="15"/>
          <w:color w:val="auto"/>
        </w:rPr>
        <w:t>ECC = NVS(R) Mirror with Electronic Compass Display</w:t>
      </w:r>
    </w:p>
    <w:p>
      <w:pPr>
        <w:ind w:left="2280"/>
        <w:spacing w:after="0"/>
        <w:rPr>
          <w:sz w:val="20"/>
          <w:szCs w:val="20"/>
          <w:color w:val="auto"/>
        </w:rPr>
      </w:pPr>
      <w:r>
        <w:rPr>
          <w:rFonts w:ascii="Courier New" w:cs="Courier New" w:eastAsia="Courier New" w:hAnsi="Courier New"/>
          <w:sz w:val="14"/>
          <w:szCs w:val="14"/>
          <w:color w:val="auto"/>
        </w:rPr>
        <w:t>ECC/T = NVS(R) Mirror w/Electronic Compass and Temperature Display</w:t>
      </w:r>
    </w:p>
    <w:p>
      <w:pPr>
        <w:spacing w:after="0" w:line="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RKE = NVS(R) Mirror with Remote Keyless Entry</w:t>
      </w:r>
    </w:p>
    <w:p>
      <w:pPr>
        <w:ind w:left="2640" w:hanging="356"/>
        <w:spacing w:after="0" w:line="237" w:lineRule="auto"/>
        <w:tabs>
          <w:tab w:leader="none" w:pos="2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ECC offered as upgrade option</w:t>
      </w:r>
    </w:p>
    <w:p>
      <w:pPr>
        <w:ind w:left="2640" w:right="3399" w:hanging="356"/>
        <w:spacing w:after="0" w:line="285" w:lineRule="auto"/>
        <w:tabs>
          <w:tab w:leader="none" w:pos="26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NVS(R) Mirrors are offered as optional equipment through Southeast Toyota Distributors in the states of FL, GA, NC, SC and AL, and Gulf States Toyota in the states of TX, MS, AR, LA and OK.</w:t>
      </w:r>
    </w:p>
    <w:p>
      <w:pPr>
        <w:spacing w:after="0" w:line="200" w:lineRule="exact"/>
        <w:rPr>
          <w:sz w:val="20"/>
          <w:szCs w:val="20"/>
          <w:color w:val="auto"/>
        </w:rPr>
      </w:pPr>
    </w:p>
    <w:p>
      <w:pPr>
        <w:spacing w:after="0" w:line="3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14"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80" w:firstLine="437"/>
        <w:spacing w:after="0" w:line="258" w:lineRule="auto"/>
        <w:rPr>
          <w:sz w:val="20"/>
          <w:szCs w:val="20"/>
          <w:color w:val="auto"/>
        </w:rPr>
      </w:pPr>
      <w:r>
        <w:rPr>
          <w:rFonts w:ascii="Courier New" w:cs="Courier New" w:eastAsia="Courier New" w:hAnsi="Courier New"/>
          <w:sz w:val="14"/>
          <w:szCs w:val="14"/>
          <w:color w:val="auto"/>
        </w:rPr>
        <w:t>Exterior NVS(R) Mirror Sub-Assemblies. The Company has devoted substantial research and development efforts to the development of its electrochromic technology to permit its use in exterior rearview mirrors. Exterior NVS(R) mirrors are controlled by the sensors and electronic circuitry in the interior NVS(R) Mirror, and both the interior and exterior mirrors dim 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NVS(R) Mirror to BMW. During 1997, the Company began making volume shipments of three new exterior mirror products - - thin glass flat, convex and aspheric. The Company currently sells its exterior NVS(R) Mirror Sub-Assemblies to eight exterior mirror suppliers to General Motors, Chrysler, Ford, BMW and Mercedes-Benz, who assemble the exterior NVS(R) Mirror Sub-Assemblies into full mirror units for subsequent resale to the automakers.</w:t>
      </w:r>
    </w:p>
    <w:p>
      <w:pPr>
        <w:spacing w:after="0" w:line="162" w:lineRule="exact"/>
        <w:rPr>
          <w:sz w:val="20"/>
          <w:szCs w:val="20"/>
          <w:color w:val="auto"/>
        </w:rPr>
      </w:pPr>
    </w:p>
    <w:p>
      <w:pPr>
        <w:ind w:right="4360" w:firstLine="437"/>
        <w:spacing w:after="0" w:line="237" w:lineRule="auto"/>
        <w:rPr>
          <w:sz w:val="20"/>
          <w:szCs w:val="20"/>
          <w:color w:val="auto"/>
        </w:rPr>
      </w:pPr>
      <w:r>
        <w:rPr>
          <w:rFonts w:ascii="Courier New" w:cs="Courier New" w:eastAsia="Courier New" w:hAnsi="Courier New"/>
          <w:sz w:val="15"/>
          <w:szCs w:val="15"/>
          <w:color w:val="auto"/>
        </w:rPr>
        <w:t>The Company sold approximately 417,000 exterior NVS(R) Mirror Sub-Assemblies during 1995, approximately 656,000 in 1996, and approximately 1,079,000 in 1997. During 1997, unit growth accelerated primarily as a result of the Company's three new exterior mirror products.</w:t>
      </w:r>
    </w:p>
    <w:p>
      <w:pPr>
        <w:spacing w:after="0" w:line="2" w:lineRule="exact"/>
        <w:rPr>
          <w:sz w:val="20"/>
          <w:szCs w:val="20"/>
          <w:color w:val="auto"/>
        </w:rPr>
      </w:pPr>
    </w:p>
    <w:p>
      <w:pPr>
        <w:ind w:right="4540" w:firstLine="437"/>
        <w:spacing w:after="0" w:line="307" w:lineRule="auto"/>
        <w:rPr>
          <w:sz w:val="20"/>
          <w:szCs w:val="20"/>
          <w:color w:val="auto"/>
        </w:rPr>
      </w:pPr>
      <w:r>
        <w:rPr>
          <w:rFonts w:ascii="Courier New" w:cs="Courier New" w:eastAsia="Courier New" w:hAnsi="Courier New"/>
          <w:sz w:val="15"/>
          <w:szCs w:val="15"/>
          <w:color w:val="auto"/>
        </w:rPr>
        <w:t>The exterior NVS(R) Mirror is standard equipment or a factory-installed option on the following 1998 and 1998- 1/2 vehicle models.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40" w:type="dxa"/>
            <w:vAlign w:val="bottom"/>
            <w:gridSpan w:val="4"/>
          </w:tcPr>
          <w:p>
            <w:pPr>
              <w:spacing w:after="0"/>
              <w:rPr>
                <w:sz w:val="20"/>
                <w:szCs w:val="20"/>
                <w:color w:val="auto"/>
              </w:rPr>
            </w:pPr>
            <w:r>
              <w:rPr>
                <w:rFonts w:ascii="Courier New" w:cs="Courier New" w:eastAsia="Courier New" w:hAnsi="Courier New"/>
                <w:sz w:val="15"/>
                <w:szCs w:val="15"/>
                <w:color w:val="auto"/>
              </w:rPr>
              <w:t>TABLE 2.   EXTERIOR NVS(R) MIRROR AVAILABILITY BY VEHICLE LINE.</w:t>
            </w:r>
          </w:p>
        </w:tc>
        <w:tc>
          <w:tcPr>
            <w:tcW w:w="1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98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Concours</w:t>
            </w:r>
          </w:p>
        </w:tc>
        <w:tc>
          <w:tcPr>
            <w:tcW w:w="880" w:type="dxa"/>
            <w:vAlign w:val="bottom"/>
          </w:tcPr>
          <w:p>
            <w:pPr>
              <w:spacing w:after="0"/>
              <w:rPr>
                <w:sz w:val="24"/>
                <w:szCs w:val="2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Audi</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A6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(F/C/A)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D'Elegance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BMW</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500 Series</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 &amp; C)</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Deville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vMerge w:val="restart"/>
          </w:tcPr>
          <w:p>
            <w:pPr>
              <w:spacing w:after="0"/>
              <w:rPr>
                <w:sz w:val="20"/>
                <w:szCs w:val="20"/>
                <w:color w:val="auto"/>
              </w:rPr>
            </w:pPr>
            <w:r>
              <w:rPr>
                <w:rFonts w:ascii="Courier New" w:cs="Courier New" w:eastAsia="Courier New" w:hAnsi="Courier New"/>
                <w:sz w:val="15"/>
                <w:szCs w:val="15"/>
                <w:color w:val="auto"/>
              </w:rPr>
              <w:t>Mercedes-Benz</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700 Series</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 &amp; C)</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Eldorado</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vMerge w:val="continue"/>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CLK Coupe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25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Eldorado Touring Coupe</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 Class Convertible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Seville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 Class Sedan</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GM/Buick</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Seville STS</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 Class Coupe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vMerge w:val="continue"/>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LeSabre Limited</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 Class Sedan</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Park Avenue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SL Roadster</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Park Avenue Ultra</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vMerge w:val="restart"/>
          </w:tcPr>
          <w:p>
            <w:pPr>
              <w:spacing w:after="0"/>
              <w:rPr>
                <w:sz w:val="20"/>
                <w:szCs w:val="20"/>
                <w:color w:val="auto"/>
              </w:rPr>
            </w:pPr>
            <w:r>
              <w:rPr>
                <w:rFonts w:ascii="Courier New" w:cs="Courier New" w:eastAsia="Courier New" w:hAnsi="Courier New"/>
                <w:sz w:val="15"/>
                <w:szCs w:val="15"/>
                <w:color w:val="auto"/>
              </w:rPr>
              <w:t>KEY:</w:t>
            </w:r>
          </w:p>
        </w:tc>
        <w:tc>
          <w:tcPr>
            <w:tcW w:w="20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S = Standard Equipment</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GM/Chevrolet</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Riviera</w:t>
            </w:r>
          </w:p>
        </w:tc>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vMerge w:val="continue"/>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Suburban</w:t>
            </w:r>
          </w:p>
        </w:tc>
        <w:tc>
          <w:tcPr>
            <w:tcW w:w="880" w:type="dxa"/>
            <w:vAlign w:val="bottom"/>
            <w:vMerge w:val="continue"/>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O = Optional Equipment</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Tahoe (2-Door)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F = Flat Glass</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GM/GMC</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Tahoe (4-Door)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vMerge w:val="continue"/>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Suburban</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 = Convex Glass</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Yukon (2-Door)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 = Aspheric Glass</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GM/Oldsmobile</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Yukon (4-Door)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vMerge w:val="continue"/>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88 Regency</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Ford/Lincoln</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Continental</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Town Car Cartier</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Town Car Executive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vMerge w:val="restart"/>
          </w:tcPr>
          <w:p>
            <w:pPr>
              <w:spacing w:after="0"/>
              <w:rPr>
                <w:sz w:val="20"/>
                <w:szCs w:val="20"/>
                <w:color w:val="auto"/>
              </w:rPr>
            </w:pPr>
            <w:r>
              <w:rPr>
                <w:rFonts w:ascii="Courier New" w:cs="Courier New" w:eastAsia="Courier New" w:hAnsi="Courier New"/>
                <w:sz w:val="15"/>
                <w:szCs w:val="15"/>
                <w:color w:val="auto"/>
              </w:rPr>
              <w:t>Chrysler</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Town Car Signature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vMerge w:val="continue"/>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Town &amp; Country LXi</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Grand Caravan ES</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0"/>
                <w:szCs w:val="20"/>
                <w:color w:val="auto"/>
              </w:rPr>
            </w:pPr>
            <w:r>
              <w:rPr>
                <w:rFonts w:ascii="Courier New" w:cs="Courier New" w:eastAsia="Courier New" w:hAnsi="Courier New"/>
                <w:sz w:val="15"/>
                <w:szCs w:val="15"/>
                <w:color w:val="auto"/>
              </w:rPr>
              <w:t>Jeep</w:t>
            </w: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Grand Cherokee Ltd.</w:t>
            </w: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7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Product Development.   The Company plans to continue introducing</w:t>
            </w: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9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additional advanced-feature NVS(R) Mirrors.  These models currently include the</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third-generation NVS(R) Headlamp Control Mirror, the NVS(R) Lighted Mirror with</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incandescent and LED map lamps, the second-generation NVS(R) Compass Mirror,</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NVS(R) Mirror with</w:t>
            </w:r>
          </w:p>
        </w:tc>
        <w:tc>
          <w:tcPr>
            <w:tcW w:w="59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Remote Keyless Entry, and the NVS(R) Compass/Temperature</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Mirror.  Also in 1993,</w:t>
            </w:r>
          </w:p>
        </w:tc>
        <w:tc>
          <w:tcPr>
            <w:tcW w:w="59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the Company introduced an NVS(R) Base Feature Mirror to</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target the high-volume, mid-priced vehicle segments, and larger-size interior</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and exterior NVS(R) Mirrors for use on vans and light trucks.  A</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second-generation Base</w:t>
            </w:r>
          </w:p>
        </w:tc>
        <w:tc>
          <w:tcPr>
            <w:tcW w:w="59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Feature Mirror was introduced in 1996.   In 1996, Gentex</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introduced the first automatic-dimming "aspheric" exterior mirror.  Aspheric</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mirrors are wide-angle</w:t>
            </w:r>
          </w:p>
        </w:tc>
        <w:tc>
          <w:tcPr>
            <w:tcW w:w="4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exterior mirrors that virtually eliminate the "blind</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spot."  During 1997, the Company introduced thin glass flat and convex exterior</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mirrors, and recently announced an NVS(R) Mirror incorporating Prince/Johnson</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Controls' new "AutoLink(TM)" intelligent automotive communications system for</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0"/>
                <w:szCs w:val="20"/>
                <w:color w:val="auto"/>
              </w:rPr>
            </w:pPr>
            <w:r>
              <w:rPr>
                <w:rFonts w:ascii="Courier New" w:cs="Courier New" w:eastAsia="Courier New" w:hAnsi="Courier New"/>
                <w:sz w:val="15"/>
                <w:szCs w:val="15"/>
                <w:color w:val="auto"/>
              </w:rPr>
              <w:t>the aftermarket.</w:t>
            </w:r>
          </w:p>
        </w:tc>
        <w:tc>
          <w:tcPr>
            <w:tcW w:w="1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1980" w:type="dxa"/>
            <w:vAlign w:val="bottom"/>
          </w:tcPr>
          <w:p>
            <w:pPr>
              <w:spacing w:after="0"/>
              <w:rPr>
                <w:sz w:val="24"/>
                <w:szCs w:val="24"/>
                <w:color w:val="auto"/>
              </w:rPr>
            </w:pPr>
          </w:p>
        </w:tc>
        <w:tc>
          <w:tcPr>
            <w:tcW w:w="1620" w:type="dxa"/>
            <w:vAlign w:val="bottom"/>
          </w:tcPr>
          <w:p>
            <w:pPr>
              <w:ind w:left="1360"/>
              <w:spacing w:after="0"/>
              <w:rPr>
                <w:sz w:val="20"/>
                <w:szCs w:val="20"/>
                <w:color w:val="auto"/>
              </w:rPr>
            </w:pPr>
            <w:r>
              <w:rPr>
                <w:rFonts w:ascii="Courier New" w:cs="Courier New" w:eastAsia="Courier New" w:hAnsi="Courier New"/>
                <w:sz w:val="15"/>
                <w:szCs w:val="15"/>
                <w:color w:val="auto"/>
                <w:w w:val="88"/>
              </w:rPr>
              <w:t>-5-</w:t>
            </w:r>
          </w:p>
        </w:tc>
        <w:tc>
          <w:tcPr>
            <w:tcW w:w="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20" w:top="261" w:right="47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319" w:firstLine="437"/>
        <w:spacing w:after="0"/>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3-mirror systems. In these systems, both the driver and passenger-side exterior NVS(R) Mirrors are controlled by the sensors and electronic circuitry in the interior rearview mirror, and the interior and both exterior mirrors dim simultaneously. The sale of complete mirror systems will increase the size of the available worldwide market, and the Company has been devoting substantial research and development efforts to this project, which resulted in its first shipments, including NVS(R) convex exterior mirrors, to BMW in 1994, and volume shipments, including thin flat and convex, to GM in 1997. At the end of 1996, the Company began shipping NVS(R) aspheric exterior mirrors to Mercedes-Benz, followed by volume shipments during 1997.</w:t>
      </w:r>
    </w:p>
    <w:p>
      <w:pPr>
        <w:spacing w:after="0" w:line="5" w:lineRule="exact"/>
        <w:rPr>
          <w:sz w:val="20"/>
          <w:szCs w:val="20"/>
          <w:color w:val="auto"/>
        </w:rPr>
      </w:pPr>
    </w:p>
    <w:p>
      <w:pPr>
        <w:ind w:right="3319" w:firstLine="437"/>
        <w:spacing w:after="0" w:line="246"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1997. However, achieving the rigorous performance standards needed for launching a commercial product still could require several years of additional work.</w:t>
      </w:r>
    </w:p>
    <w:p>
      <w:pPr>
        <w:spacing w:after="0" w:line="88" w:lineRule="exact"/>
        <w:rPr>
          <w:sz w:val="20"/>
          <w:szCs w:val="20"/>
          <w:color w:val="auto"/>
        </w:rPr>
      </w:pPr>
    </w:p>
    <w:p>
      <w:pPr>
        <w:ind w:right="3399" w:firstLine="437"/>
        <w:spacing w:after="0"/>
        <w:rPr>
          <w:sz w:val="20"/>
          <w:szCs w:val="20"/>
          <w:color w:val="auto"/>
        </w:rPr>
      </w:pPr>
      <w:r>
        <w:rPr>
          <w:rFonts w:ascii="Courier New" w:cs="Courier New" w:eastAsia="Courier New" w:hAnsi="Courier New"/>
          <w:sz w:val="15"/>
          <w:szCs w:val="15"/>
          <w:color w:val="auto"/>
        </w:rPr>
        <w:t>Markets and Marketing. The Company markets its automatic rearview mirrors to domestic and foreign automotive manufacturers under the trade name "Night Vision Safety(TM)" or NVS(R) Mirrors. In North America, the Company markets these products primarily through a direct sales force of six persons. The Company currently supplies NVS(R) Mirrors to Ford Motor Company, General Motors Corporation and Chrysler Motors Corporation under long-term agreements. During 1997, the Company negotiated a new five-year, lifetime contract for inside mirrors with General Motors through the 2002 model year, while a three-year long-term contract for outside mirrors runs through the 1998 model year. The term of the Ford contract is through December 1999, and the long-term supply agreement with Chrysler Corporation was recently extended through the 2003 model year. The Company's exterior NVS(R) Mirror Sub-Assemblies are supplied to General Motors, Ford and Chrysler by means of sales to four exterior mirror suppliers.</w:t>
      </w:r>
    </w:p>
    <w:p>
      <w:pPr>
        <w:spacing w:after="0" w:line="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hired its first employee in Europe. During 1994, the Company formed a German limited liability company, Gentex GmbH, to expand its sales and engineering support activities. The Company's marketing efforts in Europe are conducted through Gentex GmbH with the assistance of independent manufacturers' representatives. The Company is currently supplying mirrors to Audi, Bavarian Motor Works, A.G. (BMW), Fiat, Mercedes-Benz, Opel, Porsche and Rolls Royce. The Company has a long-term contract with BMW through March 31, 1999.</w:t>
      </w:r>
    </w:p>
    <w:p>
      <w:pPr>
        <w:spacing w:after="0" w:line="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During 1992, the Company negotiated a replacement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 The Company has been shipping electrochromic mirror assemblies under the original agreement since 1991 for Nissan Motor Co., Ltd.</w:t>
      </w:r>
    </w:p>
    <w:p>
      <w:pPr>
        <w:spacing w:after="0" w:line="4" w:lineRule="exact"/>
        <w:rPr>
          <w:sz w:val="20"/>
          <w:szCs w:val="20"/>
          <w:color w:val="auto"/>
        </w:rPr>
      </w:pPr>
    </w:p>
    <w:p>
      <w:pPr>
        <w:ind w:right="3399" w:firstLine="437"/>
        <w:spacing w:after="0" w:line="272" w:lineRule="auto"/>
        <w:rPr>
          <w:sz w:val="20"/>
          <w:szCs w:val="20"/>
          <w:color w:val="auto"/>
        </w:rPr>
      </w:pPr>
      <w:r>
        <w:rPr>
          <w:rFonts w:ascii="Courier New" w:cs="Courier New" w:eastAsia="Courier New" w:hAnsi="Courier New"/>
          <w:sz w:val="14"/>
          <w:szCs w:val="14"/>
          <w:color w:val="auto"/>
        </w:rPr>
        <w:t>During 1993, the Company hired sales agent Continental Far East to market NVS(R) Mirrors to other Japanese automakers beyond Nissan. During 1994 and 1995, the Company began making mirror shipments to Tokai Rika Co., Ltd. for Toyota Lexus vehicle models. The Company began making direct mirror shipments to Honda and Mitsubishi, in 1995 and 1996, respectively. The Company plans to establish a sales and engineering office in Japan sometime during 1998.</w:t>
      </w:r>
    </w:p>
    <w:p>
      <w:pPr>
        <w:spacing w:after="0" w:line="2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NVS(R) Mirrors will be offered as standard equipment, in higher option rate packages and on more models as consumer awareness of the safety and comfort features becomes more well-known and acceptance grows.</w:t>
      </w:r>
    </w:p>
    <w:p>
      <w:pPr>
        <w:spacing w:after="0" w:line="1" w:lineRule="exact"/>
        <w:rPr>
          <w:sz w:val="20"/>
          <w:szCs w:val="20"/>
          <w:color w:val="auto"/>
        </w:rPr>
      </w:pPr>
    </w:p>
    <w:p>
      <w:pPr>
        <w:ind w:right="3319" w:firstLine="437"/>
        <w:spacing w:after="0" w:line="246" w:lineRule="auto"/>
        <w:rPr>
          <w:sz w:val="20"/>
          <w:szCs w:val="20"/>
          <w:color w:val="auto"/>
        </w:rPr>
      </w:pPr>
      <w:r>
        <w:rPr>
          <w:rFonts w:ascii="Courier New" w:cs="Courier New" w:eastAsia="Courier New" w:hAnsi="Courier New"/>
          <w:sz w:val="15"/>
          <w:szCs w:val="15"/>
          <w:color w:val="auto"/>
        </w:rPr>
        <w:t>The Company recently announced that it will build an NVS(R) Mirror incorporating Prince/Johnson Controls' new "AutoLink(TM)" intelligent automotive communications system for the aftermarket. Future derivatives of this product may have OEM sales potential in future years. The AutoLink(TM) Mirror will be marketed by Prince/Johnson Controls Inc. Currently, the Company directs no significant efforts to the sale of NVS(R) mirrors to the automotive aftermarket. It is management's belief that such efforts are of limited value until the Company achieves a significantly higher penetration of the original equipment manufacturing market.</w:t>
      </w:r>
    </w:p>
    <w:p>
      <w:pPr>
        <w:spacing w:after="0" w:line="88" w:lineRule="exact"/>
        <w:rPr>
          <w:sz w:val="20"/>
          <w:szCs w:val="20"/>
          <w:color w:val="auto"/>
        </w:rPr>
      </w:pPr>
    </w:p>
    <w:p>
      <w:pPr>
        <w:ind w:right="3319" w:firstLine="437"/>
        <w:spacing w:after="0" w:line="241" w:lineRule="auto"/>
        <w:rPr>
          <w:sz w:val="20"/>
          <w:szCs w:val="20"/>
          <w:color w:val="auto"/>
        </w:rPr>
      </w:pPr>
      <w:r>
        <w:rPr>
          <w:rFonts w:ascii="Courier New" w:cs="Courier New" w:eastAsia="Courier New" w:hAnsi="Courier New"/>
          <w:sz w:val="15"/>
          <w:szCs w:val="15"/>
          <w:color w:val="auto"/>
        </w:rPr>
        <w:t>Competition. Gentex is the leading producer of automatic rearview mirrors in the world and currently is the dominant supplier to the automotive industry with an approximate 90% market share worldwide. While the Company believes it will retain a dominant position, one other U.S. manufacturer (Donnelly Corporation) is offering for sale to domestic and foreign vehicle manufacturers and is supplying a number of domestic and foreign vehicle models with its hybrid version of electrochromic mirrors. In addition, three Japanese manufacturers are supplying a number of vehicle models in Japan with solid-state electrochromic mirrors.</w:t>
      </w:r>
    </w:p>
    <w:p>
      <w:pPr>
        <w:spacing w:after="0" w:line="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Company believes its electrochromic automatic mirrors offer significant performance advantages, and that Donnelly shipped approximately 300,000 of its electrochromic mirrors to automotive customers in 1997. However, Gentex recognizes that Donnelly Corporation is considerably larger than the Company and presents a significant competitive threat by using pricing as its primary means to attempt to gain additional electrochromic mirror business. Gentex has been involved in patent litigation with Donnelly Corporation (see discussion under the caption "Legal Proceedings").</w:t>
      </w:r>
    </w:p>
    <w:p>
      <w:pPr>
        <w:spacing w:after="0" w:line="3" w:lineRule="exact"/>
        <w:rPr>
          <w:sz w:val="20"/>
          <w:szCs w:val="20"/>
          <w:color w:val="auto"/>
        </w:rPr>
      </w:pPr>
    </w:p>
    <w:p>
      <w:pPr>
        <w:ind w:right="3319" w:firstLine="437"/>
        <w:spacing w:after="0" w:line="247"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solid-state or hybrid electrochromics and liquid crystal displays may eliminate glare, each of these technologies have inherent cost or performance limitations.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66" w:lineRule="exact"/>
        <w:rPr>
          <w:sz w:val="20"/>
          <w:szCs w:val="20"/>
          <w:color w:val="auto"/>
        </w:rPr>
      </w:pPr>
    </w:p>
    <w:p>
      <w:pPr>
        <w:ind w:right="3319" w:firstLine="437"/>
        <w:spacing w:after="0" w:line="244" w:lineRule="auto"/>
        <w:rPr>
          <w:sz w:val="20"/>
          <w:szCs w:val="20"/>
          <w:color w:val="auto"/>
        </w:rPr>
      </w:pPr>
      <w:r>
        <w:rPr>
          <w:rFonts w:ascii="Courier New" w:cs="Courier New" w:eastAsia="Courier New" w:hAnsi="Courier New"/>
          <w:sz w:val="15"/>
          <w:szCs w:val="15"/>
          <w:color w:val="auto"/>
        </w:rPr>
        <w:t>The Company manufactures over 60 different models of smoke detectors and over 160 different models of signaling appliances. All of the smoke detectors operate on a photoelectric principle to detect smoke. While the use of photoelectric technology entails greater manufacturing costs, the Company believes that these detectors are superior in performance to competitive devices that operate through an ionization process, and are preferred in most commercial residential occupancies. Photoelectric detectors feature low light-level detection, while ionization detectors utilize an ionized atmosphere, the electrical conductivity of which varies with changes in the composition of the atmosphere. Photoelectric detectors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 are now being required by an increasing number of city and state laws.</w:t>
      </w:r>
    </w:p>
    <w:p>
      <w:pPr>
        <w:spacing w:after="0" w:line="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319" w:firstLine="437"/>
        <w:spacing w:after="0" w:line="259" w:lineRule="auto"/>
        <w:rPr>
          <w:sz w:val="20"/>
          <w:szCs w:val="20"/>
          <w:color w:val="auto"/>
        </w:rPr>
      </w:pPr>
      <w:r>
        <w:rPr>
          <w:rFonts w:ascii="Courier New" w:cs="Courier New" w:eastAsia="Courier New" w:hAnsi="Courier New"/>
          <w:sz w:val="14"/>
          <w:szCs w:val="14"/>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detectors for both commercial and residential applications. While the Company does not emphasize the residential market, some of its fire protection products are used in single-family residences that utilize fire protection and security systems.</w:t>
      </w:r>
    </w:p>
    <w:p>
      <w:pPr>
        <w:spacing w:after="0" w:line="2"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Company's detectors emit audible and/or visual signals in the immediate location of the device and/or communicate with monitored remote stations.</w:t>
      </w:r>
    </w:p>
    <w:p>
      <w:pPr>
        <w:spacing w:after="0" w:line="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recent years, the Company introduced further improvements to its line of smoke detectors, including submersibility to enhance maintenance, and a new design feature that permits greater ease in sensitivity testing. The Company offers the only detection device that may be completely submersed in water for cleaning purposes. This feature permits more effective and convenient cleaning of the product, thereby enhancing reliability. In addition, the patented sensitivity test feature permits the user to check the calibration of the least and most sensitive detection levels of the detector with the simple turn of a knob. In 1995, a National Fire Protection Association code for the eastern United States changed to require that all dwellings larger than 1-2 family must annually conduct this sensitivity test.</w:t>
      </w:r>
    </w:p>
    <w:p>
      <w:pPr>
        <w:spacing w:after="0" w:line="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During 1993, the Company introduced a 120 VAC photoelectric smoke detector with a 9-volt battery backup for use in the commercial residential markets and public-use facilities, as well as other facilities specified in regional or national building codes. In 1997, this product series added a temporal code 3 sounding element to meet the new code requirements. This new tone generated by the smoke detector is for alerting the occupants to evacuate the premises.</w:t>
      </w:r>
    </w:p>
    <w:p>
      <w:pPr>
        <w:spacing w:after="0" w:line="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 has also developed a new, high-intensity strobe warning light to meet the new, stricter Underwriters Laboratories standard for visual signaling for the hearing impaired. This new standard replaces the previous standard where light dispersion was only measured from directly in front of the unit. The new standard requires light to be dispersed at several critical angles to provide notification, regardless of the individual's position in the room of coverage, and also the light intensity is to be sized to the room.</w:t>
      </w:r>
    </w:p>
    <w:p>
      <w:pPr>
        <w:spacing w:after="0" w:line="2" w:lineRule="exact"/>
        <w:rPr>
          <w:sz w:val="20"/>
          <w:szCs w:val="20"/>
          <w:color w:val="auto"/>
        </w:rPr>
      </w:pPr>
    </w:p>
    <w:p>
      <w:pPr>
        <w:jc w:val="both"/>
        <w:ind w:right="3499" w:firstLine="437"/>
        <w:spacing w:after="0" w:line="237" w:lineRule="auto"/>
        <w:rPr>
          <w:sz w:val="20"/>
          <w:szCs w:val="20"/>
          <w:color w:val="auto"/>
        </w:rPr>
      </w:pPr>
      <w:r>
        <w:rPr>
          <w:rFonts w:ascii="Courier New" w:cs="Courier New" w:eastAsia="Courier New" w:hAnsi="Courier New"/>
          <w:sz w:val="15"/>
          <w:szCs w:val="15"/>
          <w:color w:val="auto"/>
        </w:rPr>
        <w:t>The new product series is used in conjunction with other Gentex products such as the remote signaling electronic horn, primary evacuation speaker, and smoke detection products.</w:t>
      </w:r>
    </w:p>
    <w:p>
      <w:pPr>
        <w:spacing w:after="0" w:line="1" w:lineRule="exact"/>
        <w:rPr>
          <w:sz w:val="20"/>
          <w:szCs w:val="20"/>
          <w:color w:val="auto"/>
        </w:rPr>
      </w:pPr>
    </w:p>
    <w:p>
      <w:pPr>
        <w:jc w:val="both"/>
        <w:ind w:right="3499" w:firstLine="437"/>
        <w:spacing w:after="0" w:line="237" w:lineRule="auto"/>
        <w:rPr>
          <w:sz w:val="20"/>
          <w:szCs w:val="20"/>
          <w:color w:val="auto"/>
        </w:rPr>
      </w:pPr>
      <w:r>
        <w:rPr>
          <w:rFonts w:ascii="Courier New" w:cs="Courier New" w:eastAsia="Courier New" w:hAnsi="Courier New"/>
          <w:sz w:val="15"/>
          <w:szCs w:val="15"/>
          <w:color w:val="auto"/>
        </w:rPr>
        <w:t>The Company currently is producing the only photoelectric smoke detector with battery back-up that offers a supplemental visual alarm.</w:t>
      </w:r>
    </w:p>
    <w:p>
      <w:pPr>
        <w:spacing w:after="0" w:line="1"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During 1995, the Company introduced a multi-tone audible signaling appliance to meet new building code requirements. This new multi-tone product line has eight different tones and a high/low decibel level selection. The multi-tone series also will be used in conjunction with the Company's visual signals.</w:t>
      </w:r>
    </w:p>
    <w:p>
      <w:pPr>
        <w:spacing w:after="0" w:line="2"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During 1996, the Company made numerous revisions to its products to include weather-proofing the mechanical horn and strobe for outdoor use, increasing the power taps on their speaker series, adding three new candela ratings to their visual signals (strobe warning lights), and adding terminal blocks to the remote signaling appliances to meet new code requirements.</w:t>
      </w:r>
    </w:p>
    <w:p>
      <w:pPr>
        <w:spacing w:after="0" w:line="2"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During 1997, the Company introduced a new visual and audible signaling line. The visual (strobe) was designed to meet the Underwriters Laboratories standard without any loss of efficiency. This product draws the lowest amount of current consumption in the industry. It is also available with the largest array of visual intensities offered to meet virtually all room sizes and configurations.</w:t>
      </w:r>
    </w:p>
    <w:p>
      <w:pPr>
        <w:spacing w:after="0" w:line="2" w:lineRule="exact"/>
        <w:rPr>
          <w:sz w:val="20"/>
          <w:szCs w:val="20"/>
          <w:color w:val="auto"/>
        </w:rPr>
      </w:pPr>
    </w:p>
    <w:p>
      <w:pPr>
        <w:ind w:right="3579" w:firstLine="437"/>
        <w:spacing w:after="0" w:line="272" w:lineRule="auto"/>
        <w:rPr>
          <w:sz w:val="20"/>
          <w:szCs w:val="20"/>
          <w:color w:val="auto"/>
        </w:rPr>
      </w:pPr>
      <w:r>
        <w:rPr>
          <w:rFonts w:ascii="Courier New" w:cs="Courier New" w:eastAsia="Courier New" w:hAnsi="Courier New"/>
          <w:sz w:val="15"/>
          <w:szCs w:val="15"/>
          <w:color w:val="auto"/>
        </w:rPr>
        <w:t>Also, during 1997, the Company became one of the first companies in the fire alarm market to implement the temporal code 3 pattern on the smoke detection products.</w:t>
      </w:r>
    </w:p>
    <w:p>
      <w:pPr>
        <w:spacing w:after="0" w:line="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5"/>
          <w:szCs w:val="15"/>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Company markets its fire protection products throughout the United States through five regional sales managers.</w:t>
      </w:r>
    </w:p>
    <w:p>
      <w:pPr>
        <w:spacing w:after="0" w:line="81" w:lineRule="exact"/>
        <w:rPr>
          <w:sz w:val="20"/>
          <w:szCs w:val="20"/>
          <w:color w:val="auto"/>
        </w:rPr>
      </w:pPr>
    </w:p>
    <w:p>
      <w:pPr>
        <w:ind w:right="3319" w:firstLine="437"/>
        <w:spacing w:after="0" w:line="247" w:lineRule="auto"/>
        <w:rPr>
          <w:sz w:val="20"/>
          <w:szCs w:val="20"/>
          <w:color w:val="auto"/>
        </w:rPr>
      </w:pPr>
      <w:r>
        <w:rPr>
          <w:rFonts w:ascii="Courier New" w:cs="Courier New" w:eastAsia="Courier New" w:hAnsi="Courier New"/>
          <w:sz w:val="15"/>
          <w:szCs w:val="15"/>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66" w:lineRule="exact"/>
        <w:rPr>
          <w:sz w:val="20"/>
          <w:szCs w:val="20"/>
          <w:color w:val="auto"/>
        </w:rPr>
      </w:pPr>
    </w:p>
    <w:p>
      <w:pPr>
        <w:ind w:right="3499" w:firstLine="437"/>
        <w:spacing w:after="0" w:line="242" w:lineRule="auto"/>
        <w:rPr>
          <w:sz w:val="20"/>
          <w:szCs w:val="20"/>
          <w:color w:val="auto"/>
        </w:rPr>
      </w:pPr>
      <w:r>
        <w:rPr>
          <w:rFonts w:ascii="Courier New" w:cs="Courier New" w:eastAsia="Courier New" w:hAnsi="Courier New"/>
          <w:sz w:val="15"/>
          <w:szCs w:val="15"/>
          <w:color w:val="auto"/>
        </w:rPr>
        <w:t>The Company owns 27 U.S. patents, 25 of which relate to electrochromic technology and/or automotive rearview mirrors. These patents expire between 2002 and 2015. The Company believes that these patents provide the Company a significant competitive advantage in the automotive rearview mirror market; however, none of these patents is required for the success of any of the Company's products. The remaining two U.S. patents relate to the Company's fire protection products, and the Company believes that the competitive advantage provided by these patents is relatively small.</w:t>
      </w:r>
    </w:p>
    <w:p>
      <w:pPr>
        <w:spacing w:after="0" w:line="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Company also owns 21 foreign patents, which relate to automotive rearview mirrors. These patents expire at various times between 1999 and 2015. The Company believes that the competitive advantage derived in the relevant foreign markets for these patents is comparable to that experienced in the U.S. market.</w:t>
      </w:r>
    </w:p>
    <w:p>
      <w:pPr>
        <w:spacing w:after="0" w:line="2"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Company also has in process 47 U.S. patent applications and 38 foreign patent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2" w:lineRule="exact"/>
        <w:rPr>
          <w:sz w:val="20"/>
          <w:szCs w:val="20"/>
          <w:color w:val="auto"/>
        </w:rPr>
      </w:pPr>
    </w:p>
    <w:p>
      <w:pPr>
        <w:ind w:right="3759" w:firstLine="437"/>
        <w:spacing w:after="0" w:line="237" w:lineRule="auto"/>
        <w:rPr>
          <w:sz w:val="20"/>
          <w:szCs w:val="20"/>
          <w:color w:val="auto"/>
        </w:rPr>
      </w:pPr>
      <w:r>
        <w:rPr>
          <w:rFonts w:ascii="Courier New" w:cs="Courier New" w:eastAsia="Courier New" w:hAnsi="Courier New"/>
          <w:sz w:val="15"/>
          <w:szCs w:val="15"/>
          <w:color w:val="auto"/>
        </w:rPr>
        <w:t>During 1996, the Company settled virtually all patent litigation with respect to its rearview mirrors (see discussion under the caption, "Legal Proceedings").</w:t>
      </w:r>
    </w:p>
    <w:p>
      <w:pPr>
        <w:spacing w:after="0" w:line="1" w:lineRule="exact"/>
        <w:rPr>
          <w:sz w:val="20"/>
          <w:szCs w:val="20"/>
          <w:color w:val="auto"/>
        </w:rPr>
      </w:pPr>
    </w:p>
    <w:p>
      <w:pPr>
        <w:ind w:right="3679" w:firstLine="437"/>
        <w:spacing w:after="0" w:line="272" w:lineRule="auto"/>
        <w:rPr>
          <w:sz w:val="20"/>
          <w:szCs w:val="20"/>
          <w:color w:val="auto"/>
        </w:rPr>
      </w:pPr>
      <w:r>
        <w:rPr>
          <w:rFonts w:ascii="Courier New" w:cs="Courier New" w:eastAsia="Courier New" w:hAnsi="Courier New"/>
          <w:sz w:val="15"/>
          <w:szCs w:val="15"/>
          <w:color w:val="auto"/>
        </w:rPr>
        <w:t>"Night Vision Safety(TM)" and "A Smarter Vision(TM)" are trademarks of Gentex Corporation and "NVS(R)" is a registered trademark of Gentex Corporation.</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right="3499" w:firstLine="437"/>
        <w:spacing w:after="0" w:line="241" w:lineRule="auto"/>
        <w:rPr>
          <w:sz w:val="20"/>
          <w:szCs w:val="20"/>
          <w:color w:val="auto"/>
        </w:rPr>
      </w:pPr>
      <w:r>
        <w:rPr>
          <w:rFonts w:ascii="Courier New" w:cs="Courier New" w:eastAsia="Courier New" w:hAnsi="Courier New"/>
          <w:sz w:val="15"/>
          <w:szCs w:val="15"/>
          <w:color w:val="auto"/>
        </w:rPr>
        <w:t>The Company considers itself to be engaged in business in two industry segments: the manufacture and sale of automatic rearview mirrors for the automotive industry and fire protection products for the commercial building industry. The Company has four important customers within the automotive industry segment, each of which accounts for approximately 10% or more of the Company's annual sales: General Motors Corporation, Mercedes-Benz, Chrysler Corporation and Ford Motor Company. The loss of any of these customers could have a material adverse effect on the Company. The Company's backlog of unshipped orders was $52,881,000 and $39,782,000 at March 1, 1998 and 1997, respectively.</w:t>
      </w:r>
    </w:p>
    <w:p>
      <w:pPr>
        <w:spacing w:after="0" w:line="2" w:lineRule="exact"/>
        <w:rPr>
          <w:sz w:val="20"/>
          <w:szCs w:val="20"/>
          <w:color w:val="auto"/>
        </w:rPr>
      </w:pPr>
    </w:p>
    <w:p>
      <w:pPr>
        <w:ind w:right="3319" w:firstLine="437"/>
        <w:spacing w:after="0" w:line="260" w:lineRule="auto"/>
        <w:rPr>
          <w:sz w:val="20"/>
          <w:szCs w:val="20"/>
          <w:color w:val="auto"/>
        </w:rPr>
      </w:pPr>
      <w:r>
        <w:rPr>
          <w:rFonts w:ascii="Courier New" w:cs="Courier New" w:eastAsia="Courier New" w:hAnsi="Courier New"/>
          <w:sz w:val="15"/>
          <w:szCs w:val="15"/>
          <w:color w:val="auto"/>
        </w:rPr>
        <w:t>At March 1, 1998, the Company had 1,250 full-time employees. None of the Company's employees are represented by a labor union or other collective bargaining representative. The Company believes that its relations with its employees are good.</w:t>
      </w:r>
    </w:p>
    <w:p>
      <w:pPr>
        <w:spacing w:after="0" w:line="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right="3579" w:firstLine="437"/>
        <w:spacing w:after="0" w:line="244" w:lineRule="auto"/>
        <w:rPr>
          <w:sz w:val="20"/>
          <w:szCs w:val="20"/>
          <w:color w:val="auto"/>
        </w:rPr>
      </w:pPr>
      <w:r>
        <w:rPr>
          <w:rFonts w:ascii="Courier New" w:cs="Courier New" w:eastAsia="Courier New" w:hAnsi="Courier New"/>
          <w:sz w:val="15"/>
          <w:szCs w:val="15"/>
          <w:color w:val="auto"/>
        </w:rPr>
        <w:t>The Company operates out of three office/manufacturing facilities in Zeeland, Michigan, approximately 25 miles southwest of Grand Rapids. The office and production facility for the Fire Protection Products Group is a 25,000-square-foot, one-story building leased by the Company since 1978 from related parties (see Part III, Item 13, of this report).</w:t>
      </w:r>
    </w:p>
    <w:p>
      <w:pPr>
        <w:spacing w:after="0" w:line="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corporate office and production facility for the Company's Automotive Products Group is a modern, two-story, 130,000-square-foot building of steel and masonry construction situated on a 40-acre site in a well-kept industrial park, providing ample opportunity for expansion. An additional</w:t>
      </w:r>
    </w:p>
    <w:p>
      <w:pPr>
        <w:spacing w:after="0" w:line="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5"/>
          <w:szCs w:val="15"/>
          <w:color w:val="auto"/>
        </w:rPr>
        <w:t>128,000-square-foot office/manufacturing facility on this site was constructed during 1996, to meet the Company's current and near term future automotive production needs. The Company currently anticipates expanding its automotive production facilities by constructing a third facility on its current site sometime within the next twelve to twenty-four months.</w:t>
      </w:r>
    </w:p>
    <w:p>
      <w:pPr>
        <w:spacing w:after="0" w:line="8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 that are material.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66" w:lineRule="exact"/>
        <w:rPr>
          <w:sz w:val="20"/>
          <w:szCs w:val="20"/>
          <w:color w:val="auto"/>
        </w:rPr>
      </w:pPr>
    </w:p>
    <w:p>
      <w:pPr>
        <w:ind w:right="3319" w:firstLine="437"/>
        <w:spacing w:after="0" w:line="290"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1440" w:type="dxa"/>
            <w:vAlign w:val="bottom"/>
          </w:tcPr>
          <w:p>
            <w:pPr>
              <w:ind w:left="700"/>
              <w:spacing w:after="0"/>
              <w:rPr>
                <w:sz w:val="20"/>
                <w:szCs w:val="20"/>
                <w:color w:val="auto"/>
              </w:rPr>
            </w:pPr>
            <w:r>
              <w:rPr>
                <w:rFonts w:ascii="Courier New" w:cs="Courier New" w:eastAsia="Courier New" w:hAnsi="Courier New"/>
                <w:sz w:val="15"/>
                <w:szCs w:val="15"/>
                <w:color w:val="auto"/>
                <w:w w:val="99"/>
              </w:rPr>
              <w:t>POSITION</w:t>
            </w:r>
          </w:p>
        </w:tc>
        <w:tc>
          <w:tcPr>
            <w:tcW w:w="1880" w:type="dxa"/>
            <w:vAlign w:val="bottom"/>
          </w:tcPr>
          <w:p>
            <w:pPr>
              <w:spacing w:after="0"/>
              <w:rPr>
                <w:sz w:val="21"/>
                <w:szCs w:val="21"/>
                <w:color w:val="auto"/>
              </w:rPr>
            </w:pP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w w:val="95"/>
              </w:rPr>
              <w:t>POSITION HELD SINCE</w:t>
            </w:r>
          </w:p>
        </w:tc>
      </w:tr>
      <w:tr>
        <w:trPr>
          <w:trHeight w:val="259"/>
        </w:trPr>
        <w:tc>
          <w:tcPr>
            <w:tcW w:w="150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w w:val="99"/>
              </w:rPr>
              <w:t>Chief Executive</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May 1986</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La Grand</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57</w:t>
            </w:r>
          </w:p>
        </w:tc>
        <w:tc>
          <w:tcPr>
            <w:tcW w:w="3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September 1987</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Mulder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61</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Vice President,</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Automotive Marketing</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July 1988</w:t>
            </w:r>
          </w:p>
        </w:tc>
      </w:tr>
      <w:tr>
        <w:trPr>
          <w:trHeight w:val="245"/>
        </w:trPr>
        <w:tc>
          <w:tcPr>
            <w:tcW w:w="1500" w:type="dxa"/>
            <w:vAlign w:val="bottom"/>
          </w:tcPr>
          <w:p>
            <w:pPr>
              <w:spacing w:after="0"/>
              <w:rPr>
                <w:sz w:val="20"/>
                <w:szCs w:val="20"/>
                <w:color w:val="auto"/>
              </w:rPr>
            </w:pPr>
            <w:r>
              <w:rPr>
                <w:rFonts w:ascii="Courier New" w:cs="Courier New" w:eastAsia="Courier New" w:hAnsi="Courier New"/>
                <w:sz w:val="15"/>
                <w:szCs w:val="15"/>
                <w:color w:val="auto"/>
              </w:rPr>
              <w:t>Enoch Jen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3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Vice President-Finance, Treasurer</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February 1991</w:t>
            </w:r>
          </w:p>
        </w:tc>
      </w:tr>
    </w:tbl>
    <w:p>
      <w:pPr>
        <w:spacing w:after="0" w:line="200" w:lineRule="exact"/>
        <w:rPr>
          <w:sz w:val="20"/>
          <w:szCs w:val="20"/>
          <w:color w:val="auto"/>
        </w:rPr>
      </w:pPr>
    </w:p>
    <w:p>
      <w:pPr>
        <w:spacing w:after="0" w:line="396" w:lineRule="exact"/>
        <w:rPr>
          <w:sz w:val="20"/>
          <w:szCs w:val="20"/>
          <w:color w:val="auto"/>
        </w:rPr>
      </w:pPr>
    </w:p>
    <w:p>
      <w:pPr>
        <w:ind w:right="4019" w:firstLine="437"/>
        <w:spacing w:after="0" w:line="344" w:lineRule="auto"/>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6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335"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5"/>
          <w:szCs w:val="15"/>
          <w:color w:val="auto"/>
        </w:rPr>
        <w:t>ITEM 5. MARKET FOR THE REGISTRANT'S COMMON STOCK AND RELATED SECURITY HOLDER MATTERS.</w:t>
      </w:r>
    </w:p>
    <w:p>
      <w:pPr>
        <w:spacing w:after="0" w:line="17"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5"/>
          <w:szCs w:val="15"/>
          <w:color w:val="auto"/>
        </w:rPr>
        <w:t>The Company's common stock trades on the National Market tier of The Nasdaq Stock Market. As of March 2, 1998, there were 1,959 record holders of the Company's common stock. Ranges of high and low sale prices of the Company's common stock (adjusted for the 2-for-1 stock split in June 1996) reported through The Nasdaq Stock Market for the past two fiscal years appear in the following table.</w:t>
      </w:r>
    </w:p>
    <w:p>
      <w:pPr>
        <w:spacing w:after="0" w:line="200" w:lineRule="exact"/>
        <w:rPr>
          <w:sz w:val="20"/>
          <w:szCs w:val="20"/>
          <w:color w:val="auto"/>
        </w:rPr>
      </w:pPr>
    </w:p>
    <w:p>
      <w:pPr>
        <w:spacing w:after="0" w:line="218" w:lineRule="exact"/>
        <w:rPr>
          <w:sz w:val="20"/>
          <w:szCs w:val="20"/>
          <w:color w:val="auto"/>
        </w:rPr>
      </w:pPr>
    </w:p>
    <w:p>
      <w:pPr>
        <w:ind w:left="2100"/>
        <w:spacing w:after="0"/>
        <w:tabs>
          <w:tab w:leader="none" w:pos="2620" w:val="left"/>
          <w:tab w:leader="none" w:pos="3480" w:val="left"/>
          <w:tab w:leader="none" w:pos="4280" w:val="left"/>
        </w:tabs>
        <w:rPr>
          <w:sz w:val="20"/>
          <w:szCs w:val="20"/>
          <w:color w:val="auto"/>
        </w:rPr>
      </w:pPr>
      <w:r>
        <w:rPr>
          <w:rFonts w:ascii="Courier New" w:cs="Courier New" w:eastAsia="Courier New" w:hAnsi="Courier New"/>
          <w:sz w:val="15"/>
          <w:szCs w:val="15"/>
          <w:color w:val="auto"/>
        </w:rPr>
        <w:t>YEAR</w:t>
        <w:tab/>
        <w:t>QUARTER</w:t>
        <w:tab/>
        <w:t>HIGH</w:t>
      </w:r>
      <w:r>
        <w:rPr>
          <w:sz w:val="20"/>
          <w:szCs w:val="20"/>
          <w:color w:val="auto"/>
        </w:rPr>
        <w:tab/>
      </w:r>
      <w:r>
        <w:rPr>
          <w:rFonts w:ascii="Courier New" w:cs="Courier New" w:eastAsia="Courier New" w:hAnsi="Courier New"/>
          <w:sz w:val="14"/>
          <w:szCs w:val="14"/>
          <w:color w:val="auto"/>
        </w:rPr>
        <w:t>LOW</w:t>
      </w:r>
    </w:p>
    <w:p>
      <w:pPr>
        <w:spacing w:after="0" w:line="2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tbl>
      <w:tblPr>
        <w:tblLayout w:type="fixed"/>
        <w:tblInd w:w="2100" w:type="dxa"/>
        <w:tblCellMar>
          <w:top w:w="0" w:type="dxa"/>
          <w:left w:w="0" w:type="dxa"/>
          <w:bottom w:w="0" w:type="dxa"/>
          <w:right w:w="0" w:type="dxa"/>
        </w:tblCellMar>
      </w:tblPr>
      <w:tr>
        <w:trPr>
          <w:trHeight w:val="142"/>
        </w:trPr>
        <w:tc>
          <w:tcPr>
            <w:tcW w:w="440" w:type="dxa"/>
            <w:vAlign w:val="bottom"/>
          </w:tcPr>
          <w:p>
            <w:pPr>
              <w:jc w:val="right"/>
              <w:ind w:right="7"/>
              <w:spacing w:after="0" w:line="142" w:lineRule="exact"/>
              <w:rPr>
                <w:sz w:val="20"/>
                <w:szCs w:val="20"/>
                <w:color w:val="auto"/>
              </w:rPr>
            </w:pPr>
            <w:r>
              <w:rPr>
                <w:rFonts w:ascii="Courier New" w:cs="Courier New" w:eastAsia="Courier New" w:hAnsi="Courier New"/>
                <w:sz w:val="15"/>
                <w:szCs w:val="15"/>
                <w:color w:val="auto"/>
                <w:w w:val="94"/>
              </w:rPr>
              <w:t>1996</w:t>
            </w:r>
          </w:p>
        </w:tc>
        <w:tc>
          <w:tcPr>
            <w:tcW w:w="740" w:type="dxa"/>
            <w:vAlign w:val="bottom"/>
          </w:tcPr>
          <w:p>
            <w:pPr>
              <w:ind w:left="100"/>
              <w:spacing w:after="0" w:line="142" w:lineRule="exact"/>
              <w:rPr>
                <w:sz w:val="20"/>
                <w:szCs w:val="20"/>
                <w:color w:val="auto"/>
              </w:rPr>
            </w:pPr>
            <w:r>
              <w:rPr>
                <w:rFonts w:ascii="Courier New" w:cs="Courier New" w:eastAsia="Courier New" w:hAnsi="Courier New"/>
                <w:sz w:val="15"/>
                <w:szCs w:val="15"/>
                <w:color w:val="auto"/>
              </w:rPr>
              <w:t>First</w:t>
            </w:r>
          </w:p>
        </w:tc>
        <w:tc>
          <w:tcPr>
            <w:tcW w:w="360" w:type="dxa"/>
            <w:vAlign w:val="bottom"/>
          </w:tcPr>
          <w:p>
            <w:pPr>
              <w:jc w:val="right"/>
              <w:spacing w:after="0" w:line="142"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jc w:val="right"/>
              <w:ind w:right="7"/>
              <w:spacing w:after="0" w:line="142" w:lineRule="exact"/>
              <w:rPr>
                <w:sz w:val="20"/>
                <w:szCs w:val="20"/>
                <w:color w:val="auto"/>
              </w:rPr>
            </w:pPr>
            <w:r>
              <w:rPr>
                <w:rFonts w:ascii="Courier New" w:cs="Courier New" w:eastAsia="Courier New" w:hAnsi="Courier New"/>
                <w:sz w:val="15"/>
                <w:szCs w:val="15"/>
                <w:color w:val="auto"/>
              </w:rPr>
              <w:t>7/16</w:t>
            </w:r>
          </w:p>
        </w:tc>
        <w:tc>
          <w:tcPr>
            <w:tcW w:w="300" w:type="dxa"/>
            <w:vAlign w:val="bottom"/>
          </w:tcPr>
          <w:p>
            <w:pPr>
              <w:jc w:val="right"/>
              <w:spacing w:after="0" w:line="142" w:lineRule="exact"/>
              <w:rPr>
                <w:sz w:val="20"/>
                <w:szCs w:val="20"/>
                <w:color w:val="auto"/>
              </w:rPr>
            </w:pPr>
            <w:r>
              <w:rPr>
                <w:rFonts w:ascii="Courier New" w:cs="Courier New" w:eastAsia="Courier New" w:hAnsi="Courier New"/>
                <w:sz w:val="15"/>
                <w:szCs w:val="15"/>
                <w:color w:val="auto"/>
              </w:rPr>
              <w:t>10</w:t>
            </w:r>
          </w:p>
        </w:tc>
        <w:tc>
          <w:tcPr>
            <w:tcW w:w="320" w:type="dxa"/>
            <w:vAlign w:val="bottom"/>
          </w:tcPr>
          <w:p>
            <w:pPr>
              <w:jc w:val="right"/>
              <w:spacing w:after="0" w:line="142" w:lineRule="exact"/>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Fourth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First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Fourth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80" w:type="dxa"/>
            <w:vAlign w:val="bottom"/>
            <w:vMerge w:val="continue"/>
          </w:tcPr>
          <w:p>
            <w:pPr>
              <w:spacing w:after="0"/>
              <w:rPr>
                <w:sz w:val="21"/>
                <w:szCs w:val="21"/>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both"/>
        <w:ind w:right="3679" w:firstLine="437"/>
        <w:spacing w:after="0" w:line="290" w:lineRule="auto"/>
        <w:rPr>
          <w:sz w:val="20"/>
          <w:szCs w:val="20"/>
          <w:color w:val="auto"/>
        </w:rPr>
      </w:pPr>
      <w:r>
        <w:rPr>
          <w:rFonts w:ascii="Courier New" w:cs="Courier New" w:eastAsia="Courier New" w:hAnsi="Courier New"/>
          <w:sz w:val="15"/>
          <w:szCs w:val="15"/>
          <w:color w:val="auto"/>
        </w:rPr>
        <w:t>The Company has never paid any cash dividends on its common stock, and management does not anticipate paying any cash dividends in the foreseeable future.</w:t>
      </w:r>
    </w:p>
    <w:p>
      <w:pPr>
        <w:spacing w:after="0" w:line="5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680"/>
        <w:spacing w:after="0"/>
        <w:tabs>
          <w:tab w:leader="none" w:pos="2960" w:val="left"/>
          <w:tab w:leader="none" w:pos="4180" w:val="left"/>
          <w:tab w:leader="none" w:pos="5420" w:val="left"/>
          <w:tab w:leader="none" w:pos="62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rPr>
          <w:sz w:val="20"/>
          <w:szCs w:val="20"/>
          <w:color w:val="auto"/>
        </w:rPr>
      </w:pPr>
      <w:r>
        <w:rPr>
          <w:rFonts w:ascii="Courier New" w:cs="Courier New" w:eastAsia="Courier New" w:hAnsi="Courier New"/>
          <w:sz w:val="14"/>
          <w:szCs w:val="14"/>
          <w:color w:val="auto"/>
        </w:rPr>
        <w:t>- --------------------------------------------------------------------------------</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245"/>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$186,328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$148,708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$111,566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$89,762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$63,664</w:t>
            </w:r>
          </w:p>
        </w:tc>
      </w:tr>
      <w:tr>
        <w:trPr>
          <w:trHeight w:val="285"/>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35,230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23,963</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18,895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16,466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9,845</w:t>
            </w:r>
          </w:p>
        </w:tc>
      </w:tr>
    </w:tbl>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Earnings</w:t>
      </w:r>
    </w:p>
    <w:tbl>
      <w:tblPr>
        <w:tblLayout w:type="fixed"/>
        <w:tblInd w:w="280" w:type="dxa"/>
        <w:tblCellMar>
          <w:top w:w="0" w:type="dxa"/>
          <w:left w:w="0" w:type="dxa"/>
          <w:bottom w:w="0" w:type="dxa"/>
          <w:right w:w="0" w:type="dxa"/>
        </w:tblCellMar>
      </w:tblPr>
      <w:tr>
        <w:trPr>
          <w:trHeight w:val="169"/>
        </w:trPr>
        <w:tc>
          <w:tcPr>
            <w:tcW w:w="1300" w:type="dxa"/>
            <w:vAlign w:val="bottom"/>
          </w:tcPr>
          <w:p>
            <w:pPr>
              <w:spacing w:after="0" w:line="169" w:lineRule="exact"/>
              <w:rPr>
                <w:sz w:val="20"/>
                <w:szCs w:val="20"/>
                <w:color w:val="auto"/>
              </w:rPr>
            </w:pPr>
            <w:r>
              <w:rPr>
                <w:rFonts w:ascii="Courier New" w:cs="Courier New" w:eastAsia="Courier New" w:hAnsi="Courier New"/>
                <w:sz w:val="15"/>
                <w:szCs w:val="15"/>
                <w:color w:val="auto"/>
              </w:rPr>
              <w:t>Per Share*</w:t>
            </w:r>
          </w:p>
        </w:tc>
        <w:tc>
          <w:tcPr>
            <w:tcW w:w="1220" w:type="dxa"/>
            <w:vAlign w:val="bottom"/>
          </w:tcPr>
          <w:p>
            <w:pPr>
              <w:jc w:val="right"/>
              <w:ind w:right="347"/>
              <w:spacing w:after="0" w:line="169" w:lineRule="exact"/>
              <w:rPr>
                <w:sz w:val="20"/>
                <w:szCs w:val="20"/>
                <w:color w:val="auto"/>
              </w:rPr>
            </w:pPr>
            <w:r>
              <w:rPr>
                <w:rFonts w:ascii="Courier New" w:cs="Courier New" w:eastAsia="Courier New" w:hAnsi="Courier New"/>
                <w:sz w:val="15"/>
                <w:szCs w:val="15"/>
                <w:color w:val="auto"/>
              </w:rPr>
              <w:t>0.98</w:t>
            </w:r>
          </w:p>
        </w:tc>
        <w:tc>
          <w:tcPr>
            <w:tcW w:w="12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0.67</w:t>
            </w:r>
          </w:p>
        </w:tc>
        <w:tc>
          <w:tcPr>
            <w:tcW w:w="122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0.55</w:t>
            </w:r>
          </w:p>
        </w:tc>
        <w:tc>
          <w:tcPr>
            <w:tcW w:w="10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0.48</w:t>
            </w:r>
          </w:p>
        </w:tc>
        <w:tc>
          <w:tcPr>
            <w:tcW w:w="5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0.29</w:t>
            </w:r>
          </w:p>
        </w:tc>
      </w:tr>
    </w:tbl>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$189,783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$140,378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$109,244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$80,739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$55,191</w:t>
            </w:r>
          </w:p>
        </w:tc>
      </w:tr>
    </w:tbl>
    <w:p>
      <w:pPr>
        <w:spacing w:after="0"/>
        <w:rPr>
          <w:sz w:val="20"/>
          <w:szCs w:val="20"/>
          <w:color w:val="auto"/>
        </w:rPr>
      </w:pPr>
      <w:r>
        <w:rPr>
          <w:rFonts w:ascii="Courier New" w:cs="Courier New" w:eastAsia="Courier New" w:hAnsi="Courier New"/>
          <w:sz w:val="14"/>
          <w:szCs w:val="14"/>
          <w:color w:val="auto"/>
        </w:rPr>
        <w:t>- --------------------------------------------------------------------------------</w:t>
      </w:r>
    </w:p>
    <w:tbl>
      <w:tblPr>
        <w:tblLayout w:type="fixed"/>
        <w:tblInd w:w="180" w:type="dxa"/>
        <w:tblCellMar>
          <w:top w:w="0" w:type="dxa"/>
          <w:left w:w="0" w:type="dxa"/>
          <w:bottom w:w="0" w:type="dxa"/>
          <w:right w:w="0" w:type="dxa"/>
        </w:tblCellMar>
      </w:tblPr>
      <w:tr>
        <w:trPr>
          <w:trHeight w:val="152"/>
        </w:trPr>
        <w:tc>
          <w:tcPr>
            <w:tcW w:w="1400" w:type="dxa"/>
            <w:vAlign w:val="bottom"/>
          </w:tcPr>
          <w:p>
            <w:pPr>
              <w:spacing w:after="0" w:line="152" w:lineRule="exact"/>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Outstanding at</w:t>
            </w:r>
          </w:p>
        </w:tc>
        <w:tc>
          <w:tcPr>
            <w:tcW w:w="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94"/>
        </w:trPr>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Year End</w:t>
            </w:r>
          </w:p>
        </w:tc>
        <w:tc>
          <w:tcPr>
            <w:tcW w:w="4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splits in June 1996 and 1993.</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6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3" w:lineRule="exact"/>
        <w:rPr>
          <w:sz w:val="20"/>
          <w:szCs w:val="20"/>
          <w:color w:val="auto"/>
        </w:rPr>
      </w:pPr>
    </w:p>
    <w:p>
      <w:pPr>
        <w:ind w:left="980" w:right="3579" w:hanging="961"/>
        <w:spacing w:after="0" w:line="344" w:lineRule="auto"/>
        <w:tabs>
          <w:tab w:leader="none" w:pos="9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RESULTS OF OPERATIONS AND FINANCIAL CONDITION.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of each such item from that in the indicated previous year.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Percentage of Net Sales</w:t>
            </w:r>
          </w:p>
        </w:tc>
        <w:tc>
          <w:tcPr>
            <w:tcW w:w="17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Percentage Change</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gridSpan w:val="3"/>
            <w:vMerge w:val="restart"/>
          </w:tcPr>
          <w:p>
            <w:pPr>
              <w:jc w:val="right"/>
              <w:ind w:right="327"/>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w:t>
            </w:r>
          </w:p>
        </w:tc>
        <w:tc>
          <w:tcPr>
            <w:tcW w:w="0" w:type="dxa"/>
            <w:vAlign w:val="bottom"/>
          </w:tcPr>
          <w:p>
            <w:pPr>
              <w:spacing w:after="0"/>
              <w:rPr>
                <w:sz w:val="1"/>
                <w:szCs w:val="1"/>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w:t>
            </w:r>
          </w:p>
        </w:tc>
        <w:tc>
          <w:tcPr>
            <w:tcW w:w="0" w:type="dxa"/>
            <w:vAlign w:val="bottom"/>
          </w:tcPr>
          <w:p>
            <w:pPr>
              <w:spacing w:after="0"/>
              <w:rPr>
                <w:sz w:val="1"/>
                <w:szCs w:val="1"/>
                <w:color w:val="auto"/>
              </w:rPr>
            </w:pPr>
          </w:p>
        </w:tc>
      </w:tr>
      <w:tr>
        <w:trPr>
          <w:trHeight w:val="168"/>
        </w:trPr>
        <w:tc>
          <w:tcPr>
            <w:tcW w:w="2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w:t>
            </w:r>
          </w:p>
        </w:tc>
        <w:tc>
          <w:tcPr>
            <w:tcW w:w="0" w:type="dxa"/>
            <w:vAlign w:val="bottom"/>
          </w:tcPr>
          <w:p>
            <w:pPr>
              <w:spacing w:after="0"/>
              <w:rPr>
                <w:sz w:val="1"/>
                <w:szCs w:val="1"/>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6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4.9</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5.1</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5.3</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20.5</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10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Patent Settlement</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168"/>
        </w:trPr>
        <w:tc>
          <w:tcPr>
            <w:tcW w:w="2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6"/>
              </w:rPr>
              <w:t>Total Operating Expenses</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w:t>
            </w:r>
          </w:p>
        </w:tc>
        <w:tc>
          <w:tcPr>
            <w:tcW w:w="0" w:type="dxa"/>
            <w:vAlign w:val="bottom"/>
          </w:tcPr>
          <w:p>
            <w:pPr>
              <w:spacing w:after="0"/>
              <w:rPr>
                <w:sz w:val="1"/>
                <w:szCs w:val="1"/>
                <w:color w:val="auto"/>
              </w:rPr>
            </w:pPr>
          </w:p>
        </w:tc>
      </w:tr>
      <w:tr>
        <w:trPr>
          <w:trHeight w:val="168"/>
        </w:trPr>
        <w:tc>
          <w:tcPr>
            <w:tcW w:w="2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Operating Income</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w:t>
            </w:r>
          </w:p>
        </w:tc>
        <w:tc>
          <w:tcPr>
            <w:tcW w:w="0" w:type="dxa"/>
            <w:vAlign w:val="bottom"/>
          </w:tcPr>
          <w:p>
            <w:pPr>
              <w:spacing w:after="0"/>
              <w:rPr>
                <w:sz w:val="1"/>
                <w:szCs w:val="1"/>
                <w:color w:val="auto"/>
              </w:rPr>
            </w:pP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w:t>
            </w:r>
          </w:p>
        </w:tc>
        <w:tc>
          <w:tcPr>
            <w:tcW w:w="0" w:type="dxa"/>
            <w:vAlign w:val="bottom"/>
          </w:tcPr>
          <w:p>
            <w:pPr>
              <w:spacing w:after="0"/>
              <w:rPr>
                <w:sz w:val="1"/>
                <w:szCs w:val="1"/>
                <w:color w:val="auto"/>
              </w:rPr>
            </w:pPr>
          </w:p>
        </w:tc>
      </w:tr>
      <w:tr>
        <w:trPr>
          <w:trHeight w:val="168"/>
        </w:trPr>
        <w:tc>
          <w:tcPr>
            <w:tcW w:w="334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Income Before Federal Income Taxes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40" w:type="dxa"/>
            <w:vAlign w:val="bottom"/>
            <w:gridSpan w:val="2"/>
            <w:vMerge w:val="continue"/>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Federal Income Taxes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w:t>
            </w:r>
          </w:p>
        </w:tc>
        <w:tc>
          <w:tcPr>
            <w:tcW w:w="0" w:type="dxa"/>
            <w:vAlign w:val="bottom"/>
          </w:tcPr>
          <w:p>
            <w:pPr>
              <w:spacing w:after="0"/>
              <w:rPr>
                <w:sz w:val="1"/>
                <w:szCs w:val="1"/>
                <w:color w:val="auto"/>
              </w:rPr>
            </w:pPr>
          </w:p>
        </w:tc>
      </w:tr>
      <w:tr>
        <w:trPr>
          <w:trHeight w:val="168"/>
        </w:trPr>
        <w:tc>
          <w:tcPr>
            <w:tcW w:w="2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245"/>
        </w:trPr>
        <w:tc>
          <w:tcPr>
            <w:tcW w:w="2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73"/>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1997 TO 1996</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399" w:firstLine="437"/>
        <w:spacing w:after="0" w:line="241" w:lineRule="auto"/>
        <w:rPr>
          <w:sz w:val="20"/>
          <w:szCs w:val="20"/>
          <w:color w:val="auto"/>
        </w:rPr>
      </w:pPr>
      <w:r>
        <w:rPr>
          <w:rFonts w:ascii="Courier New" w:cs="Courier New" w:eastAsia="Courier New" w:hAnsi="Courier New"/>
          <w:sz w:val="15"/>
          <w:szCs w:val="15"/>
          <w:color w:val="auto"/>
        </w:rPr>
        <w:t>Net Sales. Automotive net sales increased by 28% and mirror shipments increased by 26%, from 3,079,000 to 3,878,000 units, primarily reflecting new thin glass flat, convex and aspheric exterior mirrors, as well as increased penetration on domestic and foreign 1997 and 1998 model year vehicles for interior and exterior electrochromic Night Vision Safety(TM) (NVS(R)) Mirrors. North American unit shipments increased by 17%, while overseas unit shipments increased by 50% during 1997. Net sales of the Company's fire protection products increased 6%, primarily due to increased sales of its AC/DC smoke detectors and certain strobe related products.</w:t>
      </w:r>
    </w:p>
    <w:p>
      <w:pPr>
        <w:spacing w:after="0" w:line="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63% to 64%, primarily reflecting automotive customer price reductions, lower glass yields in connection with the production ramp-up of the new exterior mirror products, and temporary capacity under-utilization at the new mirror manufacturing facility, partially offset by product cost reductions and increased sales volume spread over fixed overhead expenses.</w:t>
      </w:r>
    </w:p>
    <w:p>
      <w:pPr>
        <w:spacing w:after="0" w:line="2"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Operating Expenses. Research and development expenses increased approximately $1,542,000, but remained at 5% of net sales, primarily due to additional staffing for new product development. Selling, general and administrative expenses decreased approximately $923,000, and decreased from 8% to 6% of net sales, primarily reflecting a reduction in patent litigation expense of $1,440,000, as a result of the patent litigation settlement at the end of the first quarter 1996.</w:t>
      </w:r>
    </w:p>
    <w:p>
      <w:pPr>
        <w:spacing w:after="0" w:line="3" w:lineRule="exact"/>
        <w:rPr>
          <w:sz w:val="20"/>
          <w:szCs w:val="20"/>
          <w:color w:val="auto"/>
        </w:rPr>
      </w:pPr>
    </w:p>
    <w:p>
      <w:pPr>
        <w:ind w:right="3579" w:firstLine="437"/>
        <w:spacing w:after="0" w:line="237" w:lineRule="auto"/>
        <w:rPr>
          <w:sz w:val="20"/>
          <w:szCs w:val="20"/>
          <w:color w:val="auto"/>
        </w:rPr>
      </w:pPr>
      <w:r>
        <w:rPr>
          <w:rFonts w:ascii="Courier New" w:cs="Courier New" w:eastAsia="Courier New" w:hAnsi="Courier New"/>
          <w:sz w:val="15"/>
          <w:szCs w:val="15"/>
          <w:color w:val="auto"/>
        </w:rPr>
        <w:t>Other Income - Net. Investment income increased $968,000 in 1997, primarily due to higher investable fund balances and higher average interest rates.</w:t>
      </w:r>
    </w:p>
    <w:p>
      <w:pPr>
        <w:spacing w:after="0" w:line="1"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rates in 1997, primarily due to Foreign Sales Corporation exempted taxable income from increased foreign sales, as well as tax-exempt interest income.</w:t>
      </w:r>
    </w:p>
    <w:p>
      <w:pPr>
        <w:spacing w:after="0" w:line="1" w:lineRule="exact"/>
        <w:rPr>
          <w:sz w:val="20"/>
          <w:szCs w:val="20"/>
          <w:color w:val="auto"/>
        </w:rPr>
      </w:pPr>
    </w:p>
    <w:p>
      <w:pPr>
        <w:ind w:right="3579" w:firstLine="437"/>
        <w:spacing w:after="0" w:line="346" w:lineRule="auto"/>
        <w:rPr>
          <w:sz w:val="20"/>
          <w:szCs w:val="20"/>
          <w:color w:val="auto"/>
        </w:rPr>
      </w:pPr>
      <w:r>
        <w:rPr>
          <w:rFonts w:ascii="Courier New" w:cs="Courier New" w:eastAsia="Courier New" w:hAnsi="Courier New"/>
          <w:sz w:val="14"/>
          <w:szCs w:val="14"/>
          <w:color w:val="auto"/>
        </w:rPr>
        <w:t>Net Income. Net income increased by 47%, primarily reflecting the increased sales level in 1997, and the patent litigation settlement in 1996.</w:t>
      </w:r>
    </w:p>
    <w:p>
      <w:pPr>
        <w:spacing w:after="0" w:line="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6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1996 TO 1995</w:t>
      </w:r>
    </w:p>
    <w:p>
      <w:pPr>
        <w:spacing w:after="0" w:line="166" w:lineRule="exact"/>
        <w:rPr>
          <w:sz w:val="20"/>
          <w:szCs w:val="20"/>
          <w:color w:val="auto"/>
        </w:rPr>
      </w:pPr>
    </w:p>
    <w:p>
      <w:pPr>
        <w:ind w:right="3319" w:firstLine="437"/>
        <w:spacing w:after="0" w:line="243" w:lineRule="auto"/>
        <w:rPr>
          <w:sz w:val="20"/>
          <w:szCs w:val="20"/>
          <w:color w:val="auto"/>
        </w:rPr>
      </w:pPr>
      <w:r>
        <w:rPr>
          <w:rFonts w:ascii="Courier New" w:cs="Courier New" w:eastAsia="Courier New" w:hAnsi="Courier New"/>
          <w:sz w:val="15"/>
          <w:szCs w:val="15"/>
          <w:color w:val="auto"/>
        </w:rPr>
        <w:t>Net Sales. Automotive net sales increased by 37% and mirror shipments increased by 38%, from 2,228,000 to 3,079,000 units, primarily reflecting increased penetration on domestic and foreign 1996 and 1997 model year vehicles for interior and exterior electrochromic NVS(R) Mirrors. Net sales of the Company's fire protection products increased 11% primarily due to increased sales of its AC/DC smoke detectors and strobe related products.</w:t>
      </w:r>
    </w:p>
    <w:p>
      <w:pPr>
        <w:spacing w:after="0" w:line="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61% to 63%, primarily reflecting automotive customer price reductions; a shift in the Company's automotive mirror shipment product mix to NVS(R) Compass Mirrors, which has a lower margin percentage due to the higher amount of purchased components; and start-up costs associated with a new mirror manufacturing facility and installation of new manufacturing lines for a second-generation interior compass mirror product and exterior aspheric mirror products, partially offset by the higher sales level covering fixed overhead costs and increased manufacturing efficiencies.</w:t>
      </w:r>
    </w:p>
    <w:p>
      <w:pPr>
        <w:spacing w:after="0" w:line="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Operating Expenses. Research and development expenses increased approximately $1,580,000, but remained at 5% of net sales, primarily due to additional staffing for new product development. Selling, general and administrative expenses decreased approximately $1,131,000, and decreased from 12% to 8% of net sales, primarily reflecting lower patent litigation expense of $1,560,000, compared to $4,110,000, as a result of the patent litigation settlement at the end of the first quarter, partially offset by higher selling expenses associated with the sales growth. The Company recorded a one-time charge of $4,000,000 ($6,000,000 payment, net of accrued reserves) in connection with the patent litigation settlement (see footnote (8) to the Consolidated Financial Statements, filed as a part of this report).</w:t>
      </w:r>
    </w:p>
    <w:p>
      <w:pPr>
        <w:spacing w:after="0" w:line="4" w:lineRule="exact"/>
        <w:rPr>
          <w:sz w:val="20"/>
          <w:szCs w:val="20"/>
          <w:color w:val="auto"/>
        </w:rPr>
      </w:pPr>
    </w:p>
    <w:p>
      <w:pPr>
        <w:ind w:right="3499" w:firstLine="437"/>
        <w:spacing w:after="0" w:line="237" w:lineRule="auto"/>
        <w:rPr>
          <w:sz w:val="20"/>
          <w:szCs w:val="20"/>
          <w:color w:val="auto"/>
        </w:rPr>
      </w:pPr>
      <w:r>
        <w:rPr>
          <w:rFonts w:ascii="Courier New" w:cs="Courier New" w:eastAsia="Courier New" w:hAnsi="Courier New"/>
          <w:sz w:val="15"/>
          <w:szCs w:val="15"/>
          <w:color w:val="auto"/>
        </w:rPr>
        <w:t>Other Income. Investment income increased $573,000 in 1996, primarily due to higher investable fund balances and higher average interest rate.</w:t>
      </w:r>
    </w:p>
    <w:p>
      <w:pPr>
        <w:spacing w:after="0" w:line="1"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rates in 1996, primarily due to Foreign Sales Corporation exempted taxable income from increased foreign sales, as well as tax-exempt interest income.</w:t>
      </w:r>
    </w:p>
    <w:p>
      <w:pPr>
        <w:spacing w:after="0" w:line="1" w:lineRule="exact"/>
        <w:rPr>
          <w:sz w:val="20"/>
          <w:szCs w:val="20"/>
          <w:color w:val="auto"/>
        </w:rPr>
      </w:pPr>
    </w:p>
    <w:p>
      <w:pPr>
        <w:ind w:right="3839" w:firstLine="437"/>
        <w:spacing w:after="0" w:line="307" w:lineRule="auto"/>
        <w:rPr>
          <w:sz w:val="20"/>
          <w:szCs w:val="20"/>
          <w:color w:val="auto"/>
        </w:rPr>
      </w:pPr>
      <w:r>
        <w:rPr>
          <w:rFonts w:ascii="Courier New" w:cs="Courier New" w:eastAsia="Courier New" w:hAnsi="Courier New"/>
          <w:sz w:val="15"/>
          <w:szCs w:val="15"/>
          <w:color w:val="auto"/>
        </w:rPr>
        <w:t>Net Income. Net income increased by 27%, primarily reflecting the increased sales level, partially offset by decreased margins.</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1" w:lineRule="exact"/>
        <w:rPr>
          <w:sz w:val="20"/>
          <w:szCs w:val="20"/>
          <w:color w:val="auto"/>
        </w:rPr>
      </w:pPr>
    </w:p>
    <w:p>
      <w:pPr>
        <w:ind w:right="3759" w:firstLine="437"/>
        <w:spacing w:after="0" w:line="254" w:lineRule="auto"/>
        <w:rPr>
          <w:sz w:val="20"/>
          <w:szCs w:val="20"/>
          <w:color w:val="auto"/>
        </w:rPr>
      </w:pPr>
      <w:r>
        <w:rPr>
          <w:rFonts w:ascii="Courier New" w:cs="Courier New" w:eastAsia="Courier New" w:hAnsi="Courier New"/>
          <w:sz w:val="14"/>
          <w:szCs w:val="14"/>
          <w:color w:val="auto"/>
        </w:rPr>
        <w:t>The Company's current ratio decreased from 6.4 to 5.2, primarily as a result of increased accounts payable, due to higher production levels.</w:t>
      </w:r>
    </w:p>
    <w:p>
      <w:pPr>
        <w:ind w:left="440"/>
        <w:spacing w:after="0" w:line="238" w:lineRule="auto"/>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rPr>
          <w:sz w:val="20"/>
          <w:szCs w:val="20"/>
          <w:color w:val="auto"/>
        </w:rPr>
      </w:pPr>
      <w:r>
        <w:rPr>
          <w:rFonts w:ascii="Courier New" w:cs="Courier New" w:eastAsia="Courier New" w:hAnsi="Courier New"/>
          <w:sz w:val="14"/>
          <w:szCs w:val="14"/>
          <w:color w:val="auto"/>
        </w:rPr>
        <w:t>$61,328,000 and long-term investments of approximately $70,291,000 at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1997, together with internally generated cash flow and an unsecured</w:t>
      </w:r>
    </w:p>
    <w:p>
      <w:pPr>
        <w:spacing w:after="0" w:line="237" w:lineRule="auto"/>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rPr>
          <w:sz w:val="20"/>
          <w:szCs w:val="20"/>
          <w:color w:val="auto"/>
        </w:rPr>
      </w:pPr>
      <w:r>
        <w:rPr>
          <w:rFonts w:ascii="Courier New" w:cs="Courier New" w:eastAsia="Courier New" w:hAnsi="Courier New"/>
          <w:sz w:val="15"/>
          <w:szCs w:val="15"/>
          <w:color w:val="auto"/>
        </w:rPr>
        <w:t>cash needs for the foreseeable future.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66" w:lineRule="exact"/>
        <w:rPr>
          <w:sz w:val="20"/>
          <w:szCs w:val="20"/>
          <w:color w:val="auto"/>
        </w:rPr>
      </w:pPr>
    </w:p>
    <w:p>
      <w:pPr>
        <w:ind w:right="3319" w:firstLine="437"/>
        <w:spacing w:after="0" w:line="276" w:lineRule="auto"/>
        <w:rPr>
          <w:sz w:val="20"/>
          <w:szCs w:val="20"/>
          <w:color w:val="auto"/>
        </w:rPr>
      </w:pPr>
      <w:r>
        <w:rPr>
          <w:rFonts w:ascii="Courier New" w:cs="Courier New" w:eastAsia="Courier New" w:hAnsi="Courier New"/>
          <w:sz w:val="14"/>
          <w:szCs w:val="14"/>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the Company continues to experience some pressure for raw material cost increases.</w:t>
      </w:r>
    </w:p>
    <w:p>
      <w:pPr>
        <w:spacing w:after="0" w:line="2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6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399" w:firstLine="437"/>
        <w:spacing w:after="0" w:line="242" w:lineRule="auto"/>
        <w:rPr>
          <w:sz w:val="20"/>
          <w:szCs w:val="20"/>
          <w:color w:val="auto"/>
        </w:rPr>
      </w:pPr>
      <w:r>
        <w:rPr>
          <w:rFonts w:ascii="Courier New" w:cs="Courier New" w:eastAsia="Courier New" w:hAnsi="Courier New"/>
          <w:sz w:val="15"/>
          <w:szCs w:val="15"/>
          <w:color w:val="auto"/>
        </w:rPr>
        <w:t>The Company currently supplies NVS(R) Mirrors to BMW, Chrysler Corporation, Ford Motor Company and General Motors Corporation under long-term agreements. The BMW long-term contract is through March 31, 1999, and the long-term supply agreement with Chrysler Corporation runs through the 2003 Model Year. The term of the Ford contract is through December 1999, while the GM contract runs through the 1998 Model Year for exterior mirrors and through the 2002 Model Year for inside mirrors.</w:t>
      </w:r>
    </w:p>
    <w:p>
      <w:pPr>
        <w:spacing w:after="0" w:line="4" w:lineRule="exact"/>
        <w:rPr>
          <w:sz w:val="20"/>
          <w:szCs w:val="20"/>
          <w:color w:val="auto"/>
        </w:rPr>
      </w:pPr>
    </w:p>
    <w:p>
      <w:pPr>
        <w:ind w:right="3399" w:firstLine="437"/>
        <w:spacing w:after="0" w:line="260" w:lineRule="auto"/>
        <w:rPr>
          <w:sz w:val="20"/>
          <w:szCs w:val="20"/>
          <w:color w:val="auto"/>
        </w:rPr>
      </w:pPr>
      <w:r>
        <w:rPr>
          <w:rFonts w:ascii="Courier New" w:cs="Courier New" w:eastAsia="Courier New" w:hAnsi="Courier New"/>
          <w:sz w:val="15"/>
          <w:szCs w:val="15"/>
          <w:color w:val="auto"/>
        </w:rPr>
        <w:t>The Company has developed a plan to ensure that its computer systems will be compliant by mid 1999 with the Year 2000. The Company currently believes that the cost of addressing the Year 2000 issue will not be material to the Company's business, operations or financial condition.</w:t>
      </w:r>
    </w:p>
    <w:p>
      <w:pPr>
        <w:spacing w:after="0" w:line="7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4" w:lineRule="exact"/>
        <w:rPr>
          <w:sz w:val="20"/>
          <w:szCs w:val="20"/>
          <w:color w:val="auto"/>
        </w:rPr>
      </w:pPr>
    </w:p>
    <w:p>
      <w:pPr>
        <w:ind w:left="440" w:right="3399"/>
        <w:spacing w:after="0" w:line="237" w:lineRule="auto"/>
        <w:rPr>
          <w:sz w:val="20"/>
          <w:szCs w:val="20"/>
          <w:color w:val="auto"/>
        </w:rPr>
      </w:pPr>
      <w:r>
        <w:rPr>
          <w:rFonts w:ascii="Courier New" w:cs="Courier New" w:eastAsia="Courier New" w:hAnsi="Courier New"/>
          <w:sz w:val="15"/>
          <w:szCs w:val="15"/>
          <w:color w:val="auto"/>
        </w:rPr>
        <w:t>The following financial statements are filed with this report as pages 18 through 30 following the signature page: Report of Independent Public Accountants</w:t>
      </w:r>
    </w:p>
    <w:p>
      <w:pPr>
        <w:spacing w:after="0" w:line="1" w:lineRule="exact"/>
        <w:rPr>
          <w:sz w:val="20"/>
          <w:szCs w:val="20"/>
          <w:color w:val="auto"/>
        </w:rPr>
      </w:pPr>
    </w:p>
    <w:p>
      <w:pPr>
        <w:ind w:left="440" w:right="3499"/>
        <w:spacing w:after="0" w:line="237" w:lineRule="auto"/>
        <w:rPr>
          <w:sz w:val="20"/>
          <w:szCs w:val="20"/>
          <w:color w:val="auto"/>
        </w:rPr>
      </w:pPr>
      <w:r>
        <w:rPr>
          <w:rFonts w:ascii="Courier New" w:cs="Courier New" w:eastAsia="Courier New" w:hAnsi="Courier New"/>
          <w:sz w:val="15"/>
          <w:szCs w:val="15"/>
          <w:color w:val="auto"/>
        </w:rPr>
        <w:t>Consolidated Balance Sheets as of December 31, 1997 and 1996 Consolidated Statements of Income for the years ended December 31, 1997, 1996 and 1995</w:t>
      </w:r>
    </w:p>
    <w:p>
      <w:pPr>
        <w:spacing w:after="0" w:line="1" w:lineRule="exact"/>
        <w:rPr>
          <w:sz w:val="20"/>
          <w:szCs w:val="20"/>
          <w:color w:val="auto"/>
        </w:rPr>
      </w:pPr>
    </w:p>
    <w:p>
      <w:pPr>
        <w:ind w:left="440" w:right="3579"/>
        <w:spacing w:after="0" w:line="237"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1997, 1996 and 1995</w:t>
      </w:r>
    </w:p>
    <w:p>
      <w:pPr>
        <w:spacing w:after="0" w:line="1" w:lineRule="exact"/>
        <w:rPr>
          <w:sz w:val="20"/>
          <w:szCs w:val="20"/>
          <w:color w:val="auto"/>
        </w:rPr>
      </w:pPr>
    </w:p>
    <w:p>
      <w:pPr>
        <w:ind w:left="440" w:right="3679"/>
        <w:spacing w:after="0" w:line="237" w:lineRule="auto"/>
        <w:rPr>
          <w:sz w:val="20"/>
          <w:szCs w:val="20"/>
          <w:color w:val="auto"/>
        </w:rPr>
      </w:pPr>
      <w:r>
        <w:rPr>
          <w:rFonts w:ascii="Courier New" w:cs="Courier New" w:eastAsia="Courier New" w:hAnsi="Courier New"/>
          <w:sz w:val="15"/>
          <w:szCs w:val="15"/>
          <w:color w:val="auto"/>
        </w:rPr>
        <w:t>Consolidated Statements of Cash Flows for the years ended December 31, 1997, 1996 and 1995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200" w:lineRule="exact"/>
        <w:rPr>
          <w:sz w:val="20"/>
          <w:szCs w:val="20"/>
          <w:color w:val="auto"/>
        </w:rPr>
      </w:pPr>
    </w:p>
    <w:p>
      <w:pPr>
        <w:spacing w:after="0" w:line="322"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Quarterly Results of Operations</w:t>
      </w:r>
    </w:p>
    <w:p>
      <w:pPr>
        <w:spacing w:after="0" w:line="2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(in thousands except per share data)</w:t>
      </w:r>
    </w:p>
    <w:p>
      <w:pPr>
        <w:spacing w:after="0"/>
        <w:rPr>
          <w:sz w:val="20"/>
          <w:szCs w:val="20"/>
          <w:color w:val="auto"/>
        </w:rPr>
      </w:pPr>
      <w:r>
        <w:rPr>
          <w:rFonts w:ascii="Courier New" w:cs="Courier New" w:eastAsia="Courier New" w:hAnsi="Courier New"/>
          <w:sz w:val="14"/>
          <w:szCs w:val="14"/>
          <w:color w:val="auto"/>
        </w:rPr>
        <w:t>- ------------------------------------------------------------------------------------------------------------</w:t>
      </w:r>
    </w:p>
    <w:tbl>
      <w:tblPr>
        <w:tblLayout w:type="fixed"/>
        <w:tblInd w:w="1840" w:type="dxa"/>
        <w:tblCellMar>
          <w:top w:w="0" w:type="dxa"/>
          <w:left w:w="0" w:type="dxa"/>
          <w:bottom w:w="0" w:type="dxa"/>
          <w:right w:w="0" w:type="dxa"/>
        </w:tblCellMar>
      </w:tblPr>
      <w:tr>
        <w:trPr>
          <w:trHeight w:val="152"/>
        </w:trPr>
        <w:tc>
          <w:tcPr>
            <w:tcW w:w="4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1580" w:type="dxa"/>
            <w:vAlign w:val="bottom"/>
          </w:tcPr>
          <w:p>
            <w:pPr>
              <w:jc w:val="right"/>
              <w:ind w:right="987"/>
              <w:spacing w:after="0" w:line="152" w:lineRule="exact"/>
              <w:rPr>
                <w:sz w:val="20"/>
                <w:szCs w:val="20"/>
                <w:color w:val="auto"/>
              </w:rPr>
            </w:pPr>
            <w:r>
              <w:rPr>
                <w:rFonts w:ascii="Courier New" w:cs="Courier New" w:eastAsia="Courier New" w:hAnsi="Courier New"/>
                <w:sz w:val="15"/>
                <w:szCs w:val="15"/>
                <w:color w:val="auto"/>
              </w:rPr>
              <w:t>First</w:t>
            </w:r>
          </w:p>
        </w:tc>
        <w:tc>
          <w:tcPr>
            <w:tcW w:w="1520" w:type="dxa"/>
            <w:vAlign w:val="bottom"/>
          </w:tcPr>
          <w:p>
            <w:pPr>
              <w:jc w:val="right"/>
              <w:spacing w:after="0" w:line="152" w:lineRule="exact"/>
              <w:rPr>
                <w:sz w:val="20"/>
                <w:szCs w:val="20"/>
                <w:color w:val="auto"/>
              </w:rPr>
            </w:pPr>
            <w:r>
              <w:rPr>
                <w:rFonts w:ascii="Courier New" w:cs="Courier New" w:eastAsia="Courier New" w:hAnsi="Courier New"/>
                <w:sz w:val="15"/>
                <w:szCs w:val="15"/>
                <w:color w:val="auto"/>
              </w:rPr>
              <w:t>Second</w:t>
            </w:r>
          </w:p>
        </w:tc>
        <w:tc>
          <w:tcPr>
            <w:tcW w:w="7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507"/>
              <w:spacing w:after="0" w:line="152" w:lineRule="exact"/>
              <w:rPr>
                <w:sz w:val="20"/>
                <w:szCs w:val="20"/>
                <w:color w:val="auto"/>
              </w:rPr>
            </w:pPr>
            <w:r>
              <w:rPr>
                <w:rFonts w:ascii="Courier New" w:cs="Courier New" w:eastAsia="Courier New" w:hAnsi="Courier New"/>
                <w:sz w:val="15"/>
                <w:szCs w:val="15"/>
                <w:color w:val="auto"/>
                <w:w w:val="93"/>
              </w:rPr>
              <w:t>Third</w:t>
            </w:r>
          </w:p>
        </w:tc>
        <w:tc>
          <w:tcPr>
            <w:tcW w:w="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87"/>
              <w:spacing w:after="0" w:line="152" w:lineRule="exact"/>
              <w:rPr>
                <w:sz w:val="20"/>
                <w:szCs w:val="20"/>
                <w:color w:val="auto"/>
              </w:rPr>
            </w:pPr>
            <w:r>
              <w:rPr>
                <w:rFonts w:ascii="Courier New" w:cs="Courier New" w:eastAsia="Courier New" w:hAnsi="Courier New"/>
                <w:sz w:val="15"/>
                <w:szCs w:val="15"/>
                <w:color w:val="auto"/>
                <w:w w:val="92"/>
              </w:rPr>
              <w:t>Fourth</w:t>
            </w:r>
          </w:p>
        </w:tc>
        <w:tc>
          <w:tcPr>
            <w:tcW w:w="0" w:type="dxa"/>
            <w:vAlign w:val="bottom"/>
          </w:tcPr>
          <w:p>
            <w:pPr>
              <w:spacing w:after="0"/>
              <w:rPr>
                <w:sz w:val="1"/>
                <w:szCs w:val="1"/>
                <w:color w:val="auto"/>
              </w:rPr>
            </w:pPr>
          </w:p>
        </w:tc>
      </w:tr>
      <w:tr>
        <w:trPr>
          <w:trHeight w:val="194"/>
        </w:trPr>
        <w:tc>
          <w:tcPr>
            <w:tcW w:w="440" w:type="dxa"/>
            <w:vAlign w:val="bottom"/>
            <w:vMerge w:val="continue"/>
          </w:tcPr>
          <w:p>
            <w:pPr>
              <w:spacing w:after="0"/>
              <w:rPr>
                <w:sz w:val="16"/>
                <w:szCs w:val="16"/>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1997</w:t>
            </w:r>
          </w:p>
        </w:tc>
        <w:tc>
          <w:tcPr>
            <w:tcW w:w="7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56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$41,902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$35,908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$44,873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$38,673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$46,968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36,798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$52,584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$37,330</w:t>
            </w:r>
          </w:p>
        </w:tc>
        <w:tc>
          <w:tcPr>
            <w:tcW w:w="0" w:type="dxa"/>
            <w:vAlign w:val="bottom"/>
          </w:tcPr>
          <w:p>
            <w:pPr>
              <w:spacing w:after="0"/>
              <w:rPr>
                <w:sz w:val="1"/>
                <w:szCs w:val="1"/>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14,732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13,530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15,805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14,492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16,703</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13,049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20,147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14,055</w:t>
            </w:r>
          </w:p>
        </w:tc>
        <w:tc>
          <w:tcPr>
            <w:tcW w:w="0" w:type="dxa"/>
            <w:vAlign w:val="bottom"/>
          </w:tcPr>
          <w:p>
            <w:pPr>
              <w:spacing w:after="0"/>
              <w:rPr>
                <w:sz w:val="1"/>
                <w:szCs w:val="1"/>
                <w:color w:val="auto"/>
              </w:rPr>
            </w:pP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9,965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4,161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10,619</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11,710</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9,371</w:t>
            </w:r>
          </w:p>
        </w:tc>
        <w:tc>
          <w:tcPr>
            <w:tcW w:w="0" w:type="dxa"/>
            <w:vAlign w:val="bottom"/>
          </w:tcPr>
          <w:p>
            <w:pPr>
              <w:spacing w:after="0"/>
              <w:rPr>
                <w:sz w:val="1"/>
                <w:szCs w:val="1"/>
                <w:color w:val="auto"/>
              </w:rPr>
            </w:pP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7,384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8,001</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8,667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7,060</w:t>
            </w:r>
          </w:p>
        </w:tc>
        <w:tc>
          <w:tcPr>
            <w:tcW w:w="0" w:type="dxa"/>
            <w:vAlign w:val="bottom"/>
          </w:tcPr>
          <w:p>
            <w:pPr>
              <w:spacing w:after="0"/>
              <w:rPr>
                <w:sz w:val="1"/>
                <w:szCs w:val="1"/>
                <w:color w:val="auto"/>
              </w:rPr>
            </w:pPr>
          </w:p>
        </w:tc>
      </w:tr>
      <w:tr>
        <w:trPr>
          <w:trHeight w:val="194"/>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.21</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w:t>
            </w:r>
          </w:p>
        </w:tc>
        <w:tc>
          <w:tcPr>
            <w:tcW w:w="180" w:type="dxa"/>
            <w:vAlign w:val="bottom"/>
            <w:vMerge w:val="continue"/>
          </w:tcPr>
          <w:p>
            <w:pPr>
              <w:spacing w:after="0"/>
              <w:rPr>
                <w:sz w:val="16"/>
                <w:szCs w:val="16"/>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bl>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 in June 1996.</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AND DISAGREEMENTS WITH ACCOUNTANTS ON ACCOUNTING AND</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FINANCIAL DISCLOSURE.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6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66" w:lineRule="exact"/>
        <w:rPr>
          <w:sz w:val="20"/>
          <w:szCs w:val="20"/>
          <w:color w:val="auto"/>
        </w:rPr>
      </w:pPr>
    </w:p>
    <w:p>
      <w:pPr>
        <w:ind w:right="3499" w:firstLine="437"/>
        <w:spacing w:after="0" w:line="249"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1998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1998 Annual Meeting of Shareholders and filed with the Commission is hereby incorporated herein by reference.</w:t>
      </w:r>
    </w:p>
    <w:p>
      <w:pPr>
        <w:spacing w:after="0" w:line="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6" w:lineRule="exact"/>
        <w:rPr>
          <w:sz w:val="20"/>
          <w:szCs w:val="20"/>
          <w:color w:val="auto"/>
        </w:rPr>
      </w:pPr>
    </w:p>
    <w:p>
      <w:pPr>
        <w:ind w:right="3679" w:firstLine="437"/>
        <w:spacing w:after="0" w:line="273"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for the 1998 Annual Meeting of Shareholders and filed with the Commission is hereby incorporated herein by reference.</w:t>
      </w:r>
    </w:p>
    <w:p>
      <w:pPr>
        <w:spacing w:after="0" w:line="6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66" w:lineRule="exact"/>
        <w:rPr>
          <w:sz w:val="20"/>
          <w:szCs w:val="20"/>
          <w:color w:val="auto"/>
        </w:rPr>
      </w:pPr>
    </w:p>
    <w:p>
      <w:pPr>
        <w:ind w:right="3499" w:firstLine="437"/>
        <w:spacing w:after="0" w:line="298" w:lineRule="auto"/>
        <w:rPr>
          <w:sz w:val="20"/>
          <w:szCs w:val="20"/>
          <w:color w:val="auto"/>
        </w:rPr>
      </w:pPr>
      <w:r>
        <w:rPr>
          <w:rFonts w:ascii="Courier New" w:cs="Courier New" w:eastAsia="Courier New" w:hAnsi="Courier New"/>
          <w:sz w:val="14"/>
          <w:szCs w:val="14"/>
          <w:color w:val="auto"/>
        </w:rPr>
        <w:t>The information contained under the captions "Securities Ownership of Management" and "Securities Ownership of Certain Beneficial Owners" contained in the definitive Proxy Statement for the 1998 Annual Meeting of Shareholders and filed with the Commission is hereby incorporated herein by reference.</w:t>
      </w:r>
    </w:p>
    <w:p>
      <w:pPr>
        <w:spacing w:after="0" w:line="5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information contained under the caption "Transactions with Management" contained in the definitive Proxy Statement for the 1998 Annual Meeting of Shareholders and filed with the Commission is hereby incorporated herein by reference.</w:t>
      </w:r>
    </w:p>
    <w:p>
      <w:pPr>
        <w:spacing w:after="0" w:line="6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1400" w:hanging="691"/>
        <w:spacing w:after="0"/>
        <w:tabs>
          <w:tab w:leader="none" w:pos="14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See Item 8.</w:t>
      </w:r>
    </w:p>
    <w:p>
      <w:pPr>
        <w:spacing w:after="0" w:line="24" w:lineRule="exact"/>
        <w:rPr>
          <w:rFonts w:ascii="Courier New" w:cs="Courier New" w:eastAsia="Courier New" w:hAnsi="Courier New"/>
          <w:sz w:val="15"/>
          <w:szCs w:val="15"/>
          <w:color w:val="auto"/>
        </w:rPr>
      </w:pPr>
    </w:p>
    <w:p>
      <w:pPr>
        <w:ind w:left="1840" w:hanging="431"/>
        <w:spacing w:after="0" w:line="237" w:lineRule="auto"/>
        <w:tabs>
          <w:tab w:leader="none" w:pos="1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Schedules.   Not applicable.</w:t>
      </w:r>
    </w:p>
    <w:p>
      <w:pPr>
        <w:ind w:left="1840" w:hanging="431"/>
        <w:spacing w:after="0"/>
        <w:tabs>
          <w:tab w:leader="none" w:pos="1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31.</w:t>
      </w:r>
    </w:p>
    <w:p>
      <w:pPr>
        <w:spacing w:after="0" w:line="140" w:lineRule="exact"/>
        <w:rPr>
          <w:rFonts w:ascii="Courier New" w:cs="Courier New" w:eastAsia="Courier New" w:hAnsi="Courier New"/>
          <w:sz w:val="15"/>
          <w:szCs w:val="15"/>
          <w:color w:val="auto"/>
        </w:rPr>
      </w:pPr>
    </w:p>
    <w:p>
      <w:pPr>
        <w:ind w:left="1400" w:right="3579" w:hanging="691"/>
        <w:spacing w:after="0" w:line="344" w:lineRule="auto"/>
        <w:tabs>
          <w:tab w:leader="none" w:pos="14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for the three-month period ended December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6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2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277" w:lineRule="exact"/>
        <w:rPr>
          <w:sz w:val="20"/>
          <w:szCs w:val="20"/>
          <w:color w:val="auto"/>
        </w:rPr>
      </w:pPr>
    </w:p>
    <w:p>
      <w:pPr>
        <w:ind w:right="3499" w:firstLine="437"/>
        <w:spacing w:after="0" w:line="290"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this behalf by the undersigned thereunto duly authorized.</w:t>
      </w:r>
    </w:p>
    <w:p>
      <w:pPr>
        <w:sectPr>
          <w:pgSz w:w="11900" w:h="16838" w:orient="portrait"/>
          <w:cols w:equalWidth="0" w:num="1">
            <w:col w:w="10239"/>
          </w:cols>
          <w:pgMar w:left="220" w:top="261"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April 3, 1998</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394" w:lineRule="exact"/>
        <w:rPr>
          <w:sz w:val="20"/>
          <w:szCs w:val="20"/>
          <w:color w:val="auto"/>
        </w:rPr>
      </w:pPr>
    </w:p>
    <w:p>
      <w:pPr>
        <w:sectPr>
          <w:pgSz w:w="11900" w:h="16838" w:orient="portrait"/>
          <w:cols w:equalWidth="0" w:num="3">
            <w:col w:w="540" w:space="80"/>
            <w:col w:w="2260" w:space="720"/>
            <w:col w:w="6639"/>
          </w:cols>
          <w:pgMar w:left="220" w:top="261" w:right="1440"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100"/>
        <w:spacing w:after="0"/>
        <w:tabs>
          <w:tab w:leader="none" w:pos="5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Fred Bauer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Bauer, Chairman and</w:t>
      </w: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140" w:lineRule="exact"/>
        <w:rPr>
          <w:sz w:val="20"/>
          <w:szCs w:val="20"/>
          <w:color w:val="auto"/>
        </w:rPr>
      </w:pPr>
    </w:p>
    <w:p>
      <w:pPr>
        <w:sectPr>
          <w:pgSz w:w="11900" w:h="16838" w:orient="portrait"/>
          <w:cols w:equalWidth="0" w:num="2">
            <w:col w:w="3860" w:space="80"/>
            <w:col w:w="6299"/>
          </w:cols>
          <w:pgMar w:left="220" w:top="261"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3940"/>
        <w:spacing w:after="0"/>
        <w:tabs>
          <w:tab w:leader="none" w:pos="446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Enoch Jen</w:t>
      </w:r>
    </w:p>
    <w:p>
      <w:pPr>
        <w:sectPr>
          <w:pgSz w:w="11900" w:h="16838" w:orient="portrait"/>
          <w:cols w:equalWidth="0" w:num="1">
            <w:col w:w="10239"/>
          </w:cols>
          <w:pgMar w:left="220" w:top="261" w:right="1440" w:bottom="1440" w:gutter="0" w:footer="0" w:header="0"/>
          <w:type w:val="continuous"/>
        </w:sectPr>
      </w:pPr>
    </w:p>
    <w:p>
      <w:pPr>
        <w:spacing w:after="0" w:line="3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ind w:left="3940"/>
        <w:spacing w:after="0" w:line="237" w:lineRule="auto"/>
        <w:rPr>
          <w:sz w:val="20"/>
          <w:szCs w:val="20"/>
          <w:color w:val="auto"/>
        </w:rPr>
      </w:pPr>
      <w:r>
        <w:rPr>
          <w:rFonts w:ascii="Courier New" w:cs="Courier New" w:eastAsia="Courier New" w:hAnsi="Courier New"/>
          <w:sz w:val="15"/>
          <w:szCs w:val="15"/>
          <w:color w:val="auto"/>
        </w:rPr>
        <w:t>Enoch Jen, Vice President-Finance</w:t>
      </w:r>
    </w:p>
    <w:p>
      <w:pPr>
        <w:ind w:left="3940"/>
        <w:spacing w:after="0" w:line="238" w:lineRule="auto"/>
        <w:rPr>
          <w:sz w:val="20"/>
          <w:szCs w:val="20"/>
          <w:color w:val="auto"/>
        </w:rPr>
      </w:pPr>
      <w:r>
        <w:rPr>
          <w:rFonts w:ascii="Courier New" w:cs="Courier New" w:eastAsia="Courier New" w:hAnsi="Courier New"/>
          <w:sz w:val="15"/>
          <w:szCs w:val="15"/>
          <w:color w:val="auto"/>
        </w:rPr>
        <w:t>and Principal Financial and</w:t>
      </w:r>
    </w:p>
    <w:p>
      <w:pPr>
        <w:ind w:left="3940"/>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Acting as Attorney-In-Fact</w:t>
      </w:r>
    </w:p>
    <w:p>
      <w:pPr>
        <w:spacing w:after="0" w:line="200" w:lineRule="exact"/>
        <w:rPr>
          <w:sz w:val="20"/>
          <w:szCs w:val="20"/>
          <w:color w:val="auto"/>
        </w:rPr>
      </w:pPr>
    </w:p>
    <w:p>
      <w:pPr>
        <w:spacing w:after="0" w:line="277" w:lineRule="exact"/>
        <w:rPr>
          <w:sz w:val="20"/>
          <w:szCs w:val="20"/>
          <w:color w:val="auto"/>
        </w:rPr>
      </w:pPr>
    </w:p>
    <w:p>
      <w:pPr>
        <w:jc w:val="both"/>
        <w:ind w:right="3399" w:firstLine="437"/>
        <w:spacing w:after="0" w:line="320"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6th day of March, 1998, by the following persons on behalf of the Registrant and in the capacities indicated.</w:t>
      </w:r>
    </w:p>
    <w:p>
      <w:pPr>
        <w:spacing w:after="0" w:line="38" w:lineRule="exact"/>
        <w:rPr>
          <w:sz w:val="20"/>
          <w:szCs w:val="20"/>
          <w:color w:val="auto"/>
        </w:rPr>
      </w:pPr>
    </w:p>
    <w:p>
      <w:pPr>
        <w:ind w:right="3579" w:firstLine="437"/>
        <w:spacing w:after="0" w:line="264"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Kenneth La Grand, each of them individually, as his attorney-in-fact to sign in his name and on his behalf, and to file with the Commission any and all amendments to this report on Form 10-K to the same extent and with the same effect as if done personally.</w:t>
      </w:r>
    </w:p>
    <w:p>
      <w:pPr>
        <w:spacing w:after="0" w:line="200" w:lineRule="exact"/>
        <w:rPr>
          <w:sz w:val="20"/>
          <w:szCs w:val="20"/>
          <w:color w:val="auto"/>
        </w:rPr>
      </w:pPr>
    </w:p>
    <w:p>
      <w:pPr>
        <w:spacing w:after="0" w:line="211"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/s/ Fred Bauer</w:t>
      </w:r>
      <w:r>
        <w:rPr>
          <w:sz w:val="20"/>
          <w:szCs w:val="20"/>
          <w:color w:val="auto"/>
        </w:rPr>
        <w:tab/>
      </w:r>
      <w:r>
        <w:rPr>
          <w:rFonts w:ascii="Courier New" w:cs="Courier New" w:eastAsia="Courier New" w:hAnsi="Courier New"/>
          <w:sz w:val="14"/>
          <w:szCs w:val="14"/>
          <w:color w:val="auto"/>
        </w:rPr>
        <w:t>Director</w:t>
      </w:r>
    </w:p>
    <w:p>
      <w:pPr>
        <w:spacing w:after="0" w:line="23"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Bauer</w:t>
      </w:r>
    </w:p>
    <w:p>
      <w:pPr>
        <w:spacing w:after="0" w:line="309"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Mickey E. Fouts*</w:t>
      </w:r>
      <w:r>
        <w:rPr>
          <w:sz w:val="20"/>
          <w:szCs w:val="20"/>
          <w:color w:val="auto"/>
        </w:rPr>
        <w:tab/>
      </w:r>
      <w:r>
        <w:rPr>
          <w:rFonts w:ascii="Courier New" w:cs="Courier New" w:eastAsia="Courier New" w:hAnsi="Courier New"/>
          <w:sz w:val="14"/>
          <w:szCs w:val="14"/>
          <w:color w:val="auto"/>
        </w:rPr>
        <w:t>Director</w:t>
      </w:r>
    </w:p>
    <w:p>
      <w:pPr>
        <w:spacing w:after="0" w:line="23"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Mickey E. Fouts</w:t>
      </w:r>
    </w:p>
    <w:p>
      <w:pPr>
        <w:spacing w:after="0" w:line="309"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Kenneth La Grand</w:t>
      </w:r>
      <w:r>
        <w:rPr>
          <w:sz w:val="20"/>
          <w:szCs w:val="20"/>
          <w:color w:val="auto"/>
        </w:rPr>
        <w:tab/>
      </w:r>
      <w:r>
        <w:rPr>
          <w:rFonts w:ascii="Courier New" w:cs="Courier New" w:eastAsia="Courier New" w:hAnsi="Courier New"/>
          <w:sz w:val="14"/>
          <w:szCs w:val="14"/>
          <w:color w:val="auto"/>
        </w:rPr>
        <w:t>Director</w:t>
      </w:r>
    </w:p>
    <w:p>
      <w:pPr>
        <w:spacing w:after="0" w:line="23"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La Grand</w:t>
      </w:r>
    </w:p>
    <w:p>
      <w:pPr>
        <w:spacing w:after="0" w:line="309"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Arlyn Lanting*</w:t>
      </w:r>
      <w:r>
        <w:rPr>
          <w:sz w:val="20"/>
          <w:szCs w:val="20"/>
          <w:color w:val="auto"/>
        </w:rPr>
        <w:tab/>
      </w:r>
      <w:r>
        <w:rPr>
          <w:rFonts w:ascii="Courier New" w:cs="Courier New" w:eastAsia="Courier New" w:hAnsi="Courier New"/>
          <w:sz w:val="14"/>
          <w:szCs w:val="14"/>
          <w:color w:val="auto"/>
        </w:rPr>
        <w:t>Director</w:t>
      </w:r>
    </w:p>
    <w:p>
      <w:pPr>
        <w:spacing w:after="0" w:line="23"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Arlyn Lanting</w:t>
      </w:r>
    </w:p>
    <w:p>
      <w:pPr>
        <w:spacing w:after="0" w:line="309"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John Mulder*</w:t>
      </w:r>
      <w:r>
        <w:rPr>
          <w:sz w:val="20"/>
          <w:szCs w:val="20"/>
          <w:color w:val="auto"/>
        </w:rPr>
        <w:tab/>
      </w:r>
      <w:r>
        <w:rPr>
          <w:rFonts w:ascii="Courier New" w:cs="Courier New" w:eastAsia="Courier New" w:hAnsi="Courier New"/>
          <w:sz w:val="14"/>
          <w:szCs w:val="14"/>
          <w:color w:val="auto"/>
        </w:rPr>
        <w:t>Director</w:t>
      </w:r>
    </w:p>
    <w:p>
      <w:pPr>
        <w:spacing w:after="0" w:line="23"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Mulder</w:t>
      </w:r>
    </w:p>
    <w:p>
      <w:pPr>
        <w:spacing w:after="0" w:line="30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Director</w:t>
      </w:r>
    </w:p>
    <w:p>
      <w:pPr>
        <w:spacing w:after="0" w:line="23"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Ted Thompson</w:t>
      </w:r>
    </w:p>
    <w:p>
      <w:pPr>
        <w:spacing w:after="0" w:line="309"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Leo Weber*</w:t>
      </w:r>
      <w:r>
        <w:rPr>
          <w:sz w:val="20"/>
          <w:szCs w:val="20"/>
          <w:color w:val="auto"/>
        </w:rPr>
        <w:tab/>
      </w:r>
      <w:r>
        <w:rPr>
          <w:rFonts w:ascii="Courier New" w:cs="Courier New" w:eastAsia="Courier New" w:hAnsi="Courier New"/>
          <w:sz w:val="14"/>
          <w:szCs w:val="14"/>
          <w:color w:val="auto"/>
        </w:rPr>
        <w:t>Director</w:t>
      </w:r>
    </w:p>
    <w:p>
      <w:pPr>
        <w:spacing w:after="0" w:line="23"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Leo Weber</w:t>
      </w:r>
    </w:p>
    <w:p>
      <w:pPr>
        <w:spacing w:after="0" w:line="200" w:lineRule="exact"/>
        <w:rPr>
          <w:sz w:val="20"/>
          <w:szCs w:val="20"/>
          <w:color w:val="auto"/>
        </w:rPr>
      </w:pPr>
    </w:p>
    <w:p>
      <w:pPr>
        <w:spacing w:after="0" w:line="277"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*By Enoch Jen, Attorney-in-Fact, pursuant to the Power of Attorney contained in the original Form 10-K.</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61"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Gentex Corporation:</w:t>
      </w:r>
    </w:p>
    <w:p>
      <w:pPr>
        <w:spacing w:after="0" w:line="166" w:lineRule="exact"/>
        <w:rPr>
          <w:sz w:val="20"/>
          <w:szCs w:val="20"/>
          <w:color w:val="auto"/>
        </w:rPr>
      </w:pPr>
    </w:p>
    <w:p>
      <w:pPr>
        <w:ind w:right="4199" w:firstLine="437"/>
        <w:spacing w:after="0" w:line="252" w:lineRule="auto"/>
        <w:rPr>
          <w:sz w:val="20"/>
          <w:szCs w:val="20"/>
          <w:color w:val="auto"/>
        </w:rPr>
      </w:pPr>
      <w:r>
        <w:rPr>
          <w:rFonts w:ascii="Courier New" w:cs="Courier New" w:eastAsia="Courier New" w:hAnsi="Courier New"/>
          <w:sz w:val="15"/>
          <w:szCs w:val="15"/>
          <w:color w:val="auto"/>
        </w:rPr>
        <w:t>We have audited the accompanying consolidated balance sheets of GENTEX CORPORATION (a Michigan corporation) and subsidiaries as of December 31, 1997 and 1996, and the related consolidated statements on income, shareholders' investment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86" w:lineRule="exact"/>
        <w:rPr>
          <w:sz w:val="20"/>
          <w:szCs w:val="20"/>
          <w:color w:val="auto"/>
        </w:rPr>
      </w:pPr>
    </w:p>
    <w:p>
      <w:pPr>
        <w:ind w:right="4199" w:firstLine="437"/>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7" w:lineRule="exact"/>
        <w:rPr>
          <w:sz w:val="20"/>
          <w:szCs w:val="20"/>
          <w:color w:val="auto"/>
        </w:rPr>
      </w:pPr>
    </w:p>
    <w:p>
      <w:pPr>
        <w:ind w:right="4199" w:firstLine="437"/>
        <w:spacing w:after="0" w:line="25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Gentex Corporation and subsidiaries as of December 31, 1997 and 1996, and the results of their operations and their cash flows for each of the three years in the period ended December 31, 1997, in conformity with generally accepted accounting principles.</w:t>
      </w:r>
    </w:p>
    <w:p>
      <w:pPr>
        <w:spacing w:after="0" w:line="250" w:lineRule="exact"/>
        <w:rPr>
          <w:sz w:val="20"/>
          <w:szCs w:val="20"/>
          <w:color w:val="auto"/>
        </w:rPr>
      </w:pPr>
    </w:p>
    <w:p>
      <w:pPr>
        <w:ind w:left="3160"/>
        <w:spacing w:after="0"/>
        <w:tabs>
          <w:tab w:leader="none" w:pos="35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6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OF DECEMBER 31, 1997 AND 1996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$ 26,768,647</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9"/>
              </w:rPr>
              <w:t>$ 16,730,356</w:t>
            </w: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14,362,736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31,803,621</w:t>
            </w: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allowances</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24,515,525</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17,015,174</w:t>
            </w:r>
          </w:p>
        </w:tc>
        <w:tc>
          <w:tcPr>
            <w:tcW w:w="0" w:type="dxa"/>
            <w:vAlign w:val="bottom"/>
          </w:tcPr>
          <w:p>
            <w:pPr>
              <w:spacing w:after="0"/>
              <w:rPr>
                <w:sz w:val="1"/>
                <w:szCs w:val="1"/>
                <w:color w:val="auto"/>
              </w:rPr>
            </w:pP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of $225,000 and $200,000 in 1997 &amp; 1996</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8,787,689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6,180,422</w:t>
            </w: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1,484,839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966,287</w:t>
            </w:r>
          </w:p>
        </w:tc>
        <w:tc>
          <w:tcPr>
            <w:tcW w:w="0" w:type="dxa"/>
            <w:vAlign w:val="bottom"/>
          </w:tcPr>
          <w:p>
            <w:pPr>
              <w:spacing w:after="0"/>
              <w:rPr>
                <w:sz w:val="1"/>
                <w:szCs w:val="1"/>
                <w:color w:val="auto"/>
              </w:rPr>
            </w:pPr>
          </w:p>
        </w:tc>
      </w:tr>
      <w:tr>
        <w:trPr>
          <w:trHeight w:val="168"/>
        </w:trPr>
        <w:tc>
          <w:tcPr>
            <w:tcW w:w="404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4040" w:type="dxa"/>
            <w:vAlign w:val="bottom"/>
            <w:vMerge w:val="continue"/>
          </w:tcPr>
          <w:p>
            <w:pPr>
              <w:spacing w:after="0"/>
              <w:rPr>
                <w:sz w:val="21"/>
                <w:szCs w:val="21"/>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75,919,436</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72,695,860</w:t>
            </w:r>
          </w:p>
        </w:tc>
        <w:tc>
          <w:tcPr>
            <w:tcW w:w="0" w:type="dxa"/>
            <w:vAlign w:val="bottom"/>
          </w:tcPr>
          <w:p>
            <w:pPr>
              <w:spacing w:after="0"/>
              <w:rPr>
                <w:sz w:val="1"/>
                <w:szCs w:val="1"/>
                <w:color w:val="auto"/>
              </w:rPr>
            </w:pPr>
          </w:p>
        </w:tc>
      </w:tr>
      <w:tr>
        <w:trPr>
          <w:trHeight w:val="427"/>
        </w:trPr>
        <w:tc>
          <w:tcPr>
            <w:tcW w:w="404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19,689,743</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15,335,447</w:t>
            </w: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Land, building and improvements</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37,158,968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27,155,406</w:t>
            </w: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Construction-in-process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6,166,893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4,729,615</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40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Less-Accumulated depreciation</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63,015,604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47,220,468</w:t>
            </w:r>
          </w:p>
        </w:tc>
        <w:tc>
          <w:tcPr>
            <w:tcW w:w="0" w:type="dxa"/>
            <w:vAlign w:val="bottom"/>
          </w:tcPr>
          <w:p>
            <w:pPr>
              <w:spacing w:after="0"/>
              <w:rPr>
                <w:sz w:val="1"/>
                <w:szCs w:val="1"/>
                <w:color w:val="auto"/>
              </w:rPr>
            </w:pPr>
          </w:p>
        </w:tc>
      </w:tr>
      <w:tr>
        <w:trPr>
          <w:trHeight w:val="91"/>
        </w:trPr>
        <w:tc>
          <w:tcPr>
            <w:tcW w:w="4040" w:type="dxa"/>
            <w:vAlign w:val="bottom"/>
            <w:vMerge w:val="continue"/>
          </w:tcPr>
          <w:p>
            <w:pPr>
              <w:spacing w:after="0"/>
              <w:rPr>
                <w:sz w:val="7"/>
                <w:szCs w:val="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(20,776,719)</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(15,645,921)</w:t>
            </w:r>
          </w:p>
        </w:tc>
        <w:tc>
          <w:tcPr>
            <w:tcW w:w="0" w:type="dxa"/>
            <w:vAlign w:val="bottom"/>
          </w:tcPr>
          <w:p>
            <w:pPr>
              <w:spacing w:after="0"/>
              <w:rPr>
                <w:sz w:val="1"/>
                <w:szCs w:val="1"/>
                <w:color w:val="auto"/>
              </w:rPr>
            </w:pP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42,238,885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31,574,547</w:t>
            </w:r>
          </w:p>
        </w:tc>
        <w:tc>
          <w:tcPr>
            <w:tcW w:w="0" w:type="dxa"/>
            <w:vAlign w:val="bottom"/>
          </w:tcPr>
          <w:p>
            <w:pPr>
              <w:spacing w:after="0"/>
              <w:rPr>
                <w:sz w:val="1"/>
                <w:szCs w:val="1"/>
                <w:color w:val="auto"/>
              </w:rPr>
            </w:pPr>
          </w:p>
        </w:tc>
      </w:tr>
      <w:tr>
        <w:trPr>
          <w:trHeight w:val="427"/>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70,291,142</w:t>
            </w:r>
          </w:p>
        </w:tc>
        <w:tc>
          <w:tcPr>
            <w:tcW w:w="11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33,945,446</w:t>
            </w: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Patents and other assets, net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1,333,384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2,162,567</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71,624,526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36,108,013</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2"/>
                <w:szCs w:val="22"/>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$189,782,847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$140,378,420</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SHAREHOLDERS' INVESTMENT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2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91"/>
        </w:trPr>
        <w:tc>
          <w:tcPr>
            <w:tcW w:w="13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8,760,256</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5,794,832</w:t>
            </w: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1,567,395</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1,240,834</w:t>
            </w:r>
          </w:p>
        </w:tc>
        <w:tc>
          <w:tcPr>
            <w:tcW w:w="0" w:type="dxa"/>
            <w:vAlign w:val="bottom"/>
          </w:tcPr>
          <w:p>
            <w:pPr>
              <w:spacing w:after="0"/>
              <w:rPr>
                <w:sz w:val="1"/>
                <w:szCs w:val="1"/>
                <w:color w:val="auto"/>
              </w:rPr>
            </w:pPr>
          </w:p>
        </w:tc>
      </w:tr>
      <w:tr>
        <w:trPr>
          <w:trHeight w:val="168"/>
        </w:trPr>
        <w:tc>
          <w:tcPr>
            <w:tcW w:w="39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Salaries, wages and vacation</w:t>
            </w: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Taxes</w:t>
            </w:r>
          </w:p>
        </w:tc>
        <w:tc>
          <w:tcPr>
            <w:tcW w:w="262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2,347,284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2,686,815</w:t>
            </w:r>
          </w:p>
        </w:tc>
        <w:tc>
          <w:tcPr>
            <w:tcW w:w="0" w:type="dxa"/>
            <w:vAlign w:val="bottom"/>
          </w:tcPr>
          <w:p>
            <w:pPr>
              <w:spacing w:after="0"/>
              <w:rPr>
                <w:sz w:val="1"/>
                <w:szCs w:val="1"/>
                <w:color w:val="auto"/>
              </w:rPr>
            </w:pP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w:t>
            </w:r>
          </w:p>
        </w:tc>
        <w:tc>
          <w:tcPr>
            <w:tcW w:w="262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1,916,289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1,638,436</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9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Total current liabilities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14,591,224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11,360,917</w:t>
            </w:r>
          </w:p>
        </w:tc>
        <w:tc>
          <w:tcPr>
            <w:tcW w:w="0" w:type="dxa"/>
            <w:vAlign w:val="bottom"/>
          </w:tcPr>
          <w:p>
            <w:pPr>
              <w:spacing w:after="0"/>
              <w:rPr>
                <w:sz w:val="1"/>
                <w:szCs w:val="1"/>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DEFERRED INCOME</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1,986,446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1,213,862</w:t>
            </w:r>
          </w:p>
        </w:tc>
        <w:tc>
          <w:tcPr>
            <w:tcW w:w="0" w:type="dxa"/>
            <w:vAlign w:val="bottom"/>
          </w:tcPr>
          <w:p>
            <w:pPr>
              <w:spacing w:after="0"/>
              <w:rPr>
                <w:sz w:val="1"/>
                <w:szCs w:val="1"/>
                <w:color w:val="auto"/>
              </w:rPr>
            </w:pP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rPr>
              <w:t>CONTINGENCIES</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(Note 8)</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INVESTMENT:</w:t>
            </w: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Preferred stock, no par value,</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5,000,000 shares authorized; none</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issued or outstanding</w:t>
            </w: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Common stock, par value $.06 per share;</w:t>
            </w:r>
          </w:p>
        </w:tc>
        <w:tc>
          <w:tcPr>
            <w:tcW w:w="13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2,123,949</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2,084,957</w:t>
            </w:r>
          </w:p>
        </w:tc>
        <w:tc>
          <w:tcPr>
            <w:tcW w:w="0" w:type="dxa"/>
            <w:vAlign w:val="bottom"/>
          </w:tcPr>
          <w:p>
            <w:pPr>
              <w:spacing w:after="0"/>
              <w:rPr>
                <w:sz w:val="1"/>
                <w:szCs w:val="1"/>
                <w:color w:val="auto"/>
              </w:rPr>
            </w:pPr>
          </w:p>
        </w:tc>
      </w:tr>
      <w:tr>
        <w:trPr>
          <w:trHeight w:val="168"/>
        </w:trPr>
        <w:tc>
          <w:tcPr>
            <w:tcW w:w="398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50,000,000 shares authorized</w:t>
            </w:r>
          </w:p>
        </w:tc>
        <w:tc>
          <w:tcPr>
            <w:tcW w:w="13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53,654,663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44,963,895</w:t>
            </w: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117,498,700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82,268,476</w:t>
            </w: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(1,635,623)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(1,804,104)</w:t>
            </w: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1,584,368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290,887</w:t>
            </w:r>
          </w:p>
        </w:tc>
        <w:tc>
          <w:tcPr>
            <w:tcW w:w="0" w:type="dxa"/>
            <w:vAlign w:val="bottom"/>
          </w:tcPr>
          <w:p>
            <w:pPr>
              <w:spacing w:after="0"/>
              <w:rPr>
                <w:sz w:val="1"/>
                <w:szCs w:val="1"/>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(20,880)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c>
          <w:tcPr>
            <w:tcW w:w="0" w:type="dxa"/>
            <w:vAlign w:val="bottom"/>
          </w:tcPr>
          <w:p>
            <w:pPr>
              <w:spacing w:after="0"/>
              <w:rPr>
                <w:sz w:val="1"/>
                <w:szCs w:val="1"/>
                <w:color w:val="auto"/>
              </w:rPr>
            </w:pPr>
          </w:p>
        </w:tc>
      </w:tr>
      <w:tr>
        <w:trPr>
          <w:trHeight w:val="168"/>
        </w:trPr>
        <w:tc>
          <w:tcPr>
            <w:tcW w:w="3980" w:type="dxa"/>
            <w:vAlign w:val="bottom"/>
            <w:gridSpan w:val="2"/>
            <w:vMerge w:val="restart"/>
          </w:tcPr>
          <w:p>
            <w:pPr>
              <w:ind w:left="1240"/>
              <w:spacing w:after="0"/>
              <w:rPr>
                <w:sz w:val="20"/>
                <w:szCs w:val="20"/>
                <w:color w:val="auto"/>
              </w:rPr>
            </w:pPr>
            <w:r>
              <w:rPr>
                <w:rFonts w:ascii="Courier New" w:cs="Courier New" w:eastAsia="Courier New" w:hAnsi="Courier New"/>
                <w:sz w:val="15"/>
                <w:szCs w:val="15"/>
                <w:color w:val="auto"/>
              </w:rPr>
              <w:t>Total shareholders' investment</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80" w:type="dxa"/>
            <w:vAlign w:val="bottom"/>
            <w:gridSpan w:val="2"/>
            <w:vMerge w:val="continue"/>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173,205,177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127,803,641</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$189,782,847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$140,378,420</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accompanying notes are an integral part of these consolidated balance</w:t>
      </w:r>
    </w:p>
    <w:p>
      <w:pPr>
        <w:spacing w:after="0" w:line="3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sheets.</w:t>
      </w:r>
    </w:p>
    <w:p>
      <w:pPr>
        <w:sectPr>
          <w:pgSz w:w="11900" w:h="16838" w:orient="portrait"/>
          <w:cols w:equalWidth="0" w:num="1">
            <w:col w:w="10239"/>
          </w:cols>
          <w:pgMar w:left="220" w:top="261" w:right="1440" w:bottom="0" w:gutter="0" w:footer="0" w:header="0"/>
        </w:sectPr>
      </w:pPr>
    </w:p>
    <w:bookmarkStart w:id="20" w:name="page21"/>
    <w:bookmarkEnd w:id="20"/>
    <w:p>
      <w:pPr>
        <w:ind w:left="20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019"/>
          </w:cols>
          <w:pgMar w:left="1440" w:top="284"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c>
          <w:tcPr>
            <w:tcW w:w="15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15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1"/>
                <w:szCs w:val="21"/>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$186,327,877</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$148,708,218</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$111,566,225</w:t>
            </w: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118,941,030</w:t>
            </w:r>
          </w:p>
        </w:tc>
        <w:tc>
          <w:tcPr>
            <w:tcW w:w="700" w:type="dxa"/>
            <w:vAlign w:val="bottom"/>
          </w:tcPr>
          <w:p>
            <w:pPr>
              <w:spacing w:after="0"/>
              <w:rPr>
                <w:sz w:val="22"/>
                <w:szCs w:val="22"/>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93,582,756</w:t>
            </w:r>
          </w:p>
        </w:tc>
        <w:tc>
          <w:tcPr>
            <w:tcW w:w="7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67,767,347</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600" w:type="dxa"/>
            <w:vAlign w:val="bottom"/>
          </w:tcPr>
          <w:p>
            <w:pPr>
              <w:ind w:left="620"/>
              <w:spacing w:after="0"/>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spacing w:after="0"/>
              <w:rPr>
                <w:sz w:val="24"/>
                <w:szCs w:val="24"/>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67,386,847</w:t>
            </w:r>
          </w:p>
        </w:tc>
        <w:tc>
          <w:tcPr>
            <w:tcW w:w="700" w:type="dxa"/>
            <w:vAlign w:val="bottom"/>
          </w:tcPr>
          <w:p>
            <w:pPr>
              <w:spacing w:after="0"/>
              <w:rPr>
                <w:sz w:val="24"/>
                <w:szCs w:val="2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55,125,462</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43,798,878</w:t>
            </w: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22"/>
                <w:szCs w:val="22"/>
                <w:color w:val="auto"/>
              </w:rPr>
            </w:pP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9,079,472</w:t>
            </w:r>
          </w:p>
        </w:tc>
        <w:tc>
          <w:tcPr>
            <w:tcW w:w="700" w:type="dxa"/>
            <w:vAlign w:val="bottom"/>
          </w:tcPr>
          <w:p>
            <w:pPr>
              <w:spacing w:after="0"/>
              <w:rPr>
                <w:sz w:val="22"/>
                <w:szCs w:val="22"/>
                <w:color w:val="auto"/>
              </w:rPr>
            </w:pPr>
          </w:p>
        </w:tc>
        <w:tc>
          <w:tcPr>
            <w:tcW w:w="15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7,537,933</w:t>
            </w:r>
          </w:p>
        </w:tc>
        <w:tc>
          <w:tcPr>
            <w:tcW w:w="74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5,957,966</w:t>
            </w:r>
          </w:p>
        </w:tc>
        <w:tc>
          <w:tcPr>
            <w:tcW w:w="0" w:type="dxa"/>
            <w:vAlign w:val="bottom"/>
          </w:tcPr>
          <w:p>
            <w:pPr>
              <w:spacing w:after="0"/>
              <w:rPr>
                <w:sz w:val="1"/>
                <w:szCs w:val="1"/>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1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10,825,389</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11,747,961</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12,878,790</w:t>
            </w:r>
          </w:p>
        </w:tc>
        <w:tc>
          <w:tcPr>
            <w:tcW w:w="0" w:type="dxa"/>
            <w:vAlign w:val="bottom"/>
          </w:tcPr>
          <w:p>
            <w:pPr>
              <w:spacing w:after="0"/>
              <w:rPr>
                <w:sz w:val="1"/>
                <w:szCs w:val="1"/>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Patent settlement</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4,000,000</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0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operating expenses</w:t>
            </w: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19,904,861</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23,285,894</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18,836,756</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spacing w:after="0"/>
              <w:rPr>
                <w:sz w:val="24"/>
                <w:szCs w:val="24"/>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47,481,986</w:t>
            </w:r>
          </w:p>
        </w:tc>
        <w:tc>
          <w:tcPr>
            <w:tcW w:w="700" w:type="dxa"/>
            <w:vAlign w:val="bottom"/>
          </w:tcPr>
          <w:p>
            <w:pPr>
              <w:spacing w:after="0"/>
              <w:rPr>
                <w:sz w:val="24"/>
                <w:szCs w:val="2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31,839,568</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24,962,122</w:t>
            </w: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180" w:type="dxa"/>
            <w:vAlign w:val="bottom"/>
          </w:tcPr>
          <w:p>
            <w:pPr>
              <w:spacing w:after="0"/>
              <w:rPr>
                <w:sz w:val="22"/>
                <w:szCs w:val="22"/>
                <w:color w:val="auto"/>
              </w:rPr>
            </w:pP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4,405,565</w:t>
            </w:r>
          </w:p>
        </w:tc>
        <w:tc>
          <w:tcPr>
            <w:tcW w:w="700" w:type="dxa"/>
            <w:vAlign w:val="bottom"/>
          </w:tcPr>
          <w:p>
            <w:pPr>
              <w:spacing w:after="0"/>
              <w:rPr>
                <w:sz w:val="22"/>
                <w:szCs w:val="22"/>
                <w:color w:val="auto"/>
              </w:rPr>
            </w:pPr>
          </w:p>
        </w:tc>
        <w:tc>
          <w:tcPr>
            <w:tcW w:w="15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3,437,040</w:t>
            </w:r>
          </w:p>
        </w:tc>
        <w:tc>
          <w:tcPr>
            <w:tcW w:w="74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2,863,730</w:t>
            </w:r>
          </w:p>
        </w:tc>
        <w:tc>
          <w:tcPr>
            <w:tcW w:w="0" w:type="dxa"/>
            <w:vAlign w:val="bottom"/>
          </w:tcPr>
          <w:p>
            <w:pPr>
              <w:spacing w:after="0"/>
              <w:rPr>
                <w:sz w:val="1"/>
                <w:szCs w:val="1"/>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 income</w:t>
            </w:r>
          </w:p>
        </w:tc>
        <w:tc>
          <w:tcPr>
            <w:tcW w:w="11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net</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301,673</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205,787</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105,291</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00" w:type="dxa"/>
            <w:vAlign w:val="bottom"/>
          </w:tcPr>
          <w:p>
            <w:pPr>
              <w:ind w:left="880"/>
              <w:spacing w:after="0"/>
              <w:rPr>
                <w:sz w:val="20"/>
                <w:szCs w:val="20"/>
                <w:color w:val="auto"/>
              </w:rPr>
            </w:pPr>
            <w:r>
              <w:rPr>
                <w:rFonts w:ascii="Courier New" w:cs="Courier New" w:eastAsia="Courier New" w:hAnsi="Courier New"/>
                <w:sz w:val="15"/>
                <w:szCs w:val="15"/>
                <w:color w:val="auto"/>
              </w:rPr>
              <w:t>Total other income</w:t>
            </w:r>
          </w:p>
        </w:tc>
        <w:tc>
          <w:tcPr>
            <w:tcW w:w="1180" w:type="dxa"/>
            <w:vAlign w:val="bottom"/>
          </w:tcPr>
          <w:p>
            <w:pPr>
              <w:spacing w:after="0"/>
              <w:rPr>
                <w:sz w:val="22"/>
                <w:szCs w:val="22"/>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4,707,238</w:t>
            </w:r>
          </w:p>
        </w:tc>
        <w:tc>
          <w:tcPr>
            <w:tcW w:w="700" w:type="dxa"/>
            <w:vAlign w:val="bottom"/>
          </w:tcPr>
          <w:p>
            <w:pPr>
              <w:spacing w:after="0"/>
              <w:rPr>
                <w:sz w:val="22"/>
                <w:szCs w:val="22"/>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3,642,827</w:t>
            </w:r>
          </w:p>
        </w:tc>
        <w:tc>
          <w:tcPr>
            <w:tcW w:w="7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2,969,021</w:t>
            </w:r>
          </w:p>
        </w:tc>
        <w:tc>
          <w:tcPr>
            <w:tcW w:w="0" w:type="dxa"/>
            <w:vAlign w:val="bottom"/>
          </w:tcPr>
          <w:p>
            <w:pPr>
              <w:spacing w:after="0"/>
              <w:rPr>
                <w:sz w:val="1"/>
                <w:szCs w:val="1"/>
                <w:color w:val="auto"/>
              </w:rPr>
            </w:pPr>
          </w:p>
        </w:tc>
      </w:tr>
      <w:tr>
        <w:trPr>
          <w:trHeight w:val="245"/>
        </w:trPr>
        <w:tc>
          <w:tcPr>
            <w:tcW w:w="46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Income before provision</w:t>
            </w: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w w:val="95"/>
              </w:rPr>
              <w:t>52,189,224</w:t>
            </w:r>
          </w:p>
        </w:tc>
        <w:tc>
          <w:tcPr>
            <w:tcW w:w="700" w:type="dxa"/>
            <w:vAlign w:val="bottom"/>
          </w:tcPr>
          <w:p>
            <w:pPr>
              <w:spacing w:after="0"/>
              <w:rPr>
                <w:sz w:val="7"/>
                <w:szCs w:val="7"/>
                <w:color w:val="auto"/>
              </w:rPr>
            </w:pPr>
          </w:p>
        </w:tc>
        <w:tc>
          <w:tcPr>
            <w:tcW w:w="15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w w:val="99"/>
              </w:rPr>
              <w:t>35,482,395</w:t>
            </w:r>
          </w:p>
        </w:tc>
        <w:tc>
          <w:tcPr>
            <w:tcW w:w="74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27,931,143</w:t>
            </w:r>
          </w:p>
        </w:tc>
        <w:tc>
          <w:tcPr>
            <w:tcW w:w="0" w:type="dxa"/>
            <w:vAlign w:val="bottom"/>
          </w:tcPr>
          <w:p>
            <w:pPr>
              <w:spacing w:after="0"/>
              <w:rPr>
                <w:sz w:val="1"/>
                <w:szCs w:val="1"/>
                <w:color w:val="auto"/>
              </w:rPr>
            </w:pPr>
          </w:p>
        </w:tc>
      </w:tr>
      <w:tr>
        <w:trPr>
          <w:trHeight w:val="245"/>
        </w:trPr>
        <w:tc>
          <w:tcPr>
            <w:tcW w:w="4600" w:type="dxa"/>
            <w:vAlign w:val="bottom"/>
          </w:tcPr>
          <w:p>
            <w:pPr>
              <w:ind w:left="700"/>
              <w:spacing w:after="0"/>
              <w:rPr>
                <w:sz w:val="20"/>
                <w:szCs w:val="20"/>
                <w:color w:val="auto"/>
              </w:rPr>
            </w:pPr>
            <w:r>
              <w:rPr>
                <w:rFonts w:ascii="Courier New" w:cs="Courier New" w:eastAsia="Courier New" w:hAnsi="Courier New"/>
                <w:sz w:val="15"/>
                <w:szCs w:val="15"/>
                <w:color w:val="auto"/>
              </w:rPr>
              <w:t>for federal income taxes</w:t>
            </w:r>
          </w:p>
        </w:tc>
        <w:tc>
          <w:tcPr>
            <w:tcW w:w="11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PROVISION FOR FEDERAL INCOME TAXES</w:t>
            </w:r>
          </w:p>
        </w:tc>
        <w:tc>
          <w:tcPr>
            <w:tcW w:w="1180" w:type="dxa"/>
            <w:vAlign w:val="bottom"/>
          </w:tcPr>
          <w:p>
            <w:pPr>
              <w:spacing w:after="0"/>
              <w:rPr>
                <w:sz w:val="22"/>
                <w:szCs w:val="22"/>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16,959,000</w:t>
            </w:r>
          </w:p>
        </w:tc>
        <w:tc>
          <w:tcPr>
            <w:tcW w:w="700" w:type="dxa"/>
            <w:vAlign w:val="bottom"/>
          </w:tcPr>
          <w:p>
            <w:pPr>
              <w:spacing w:after="0"/>
              <w:rPr>
                <w:sz w:val="22"/>
                <w:szCs w:val="22"/>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11,519,000</w:t>
            </w:r>
          </w:p>
        </w:tc>
        <w:tc>
          <w:tcPr>
            <w:tcW w:w="7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9,036,000</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$35,230,224</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$ 23,963,395</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$ 18,895,143</w:t>
            </w:r>
          </w:p>
        </w:tc>
        <w:tc>
          <w:tcPr>
            <w:tcW w:w="0" w:type="dxa"/>
            <w:vAlign w:val="bottom"/>
          </w:tcPr>
          <w:p>
            <w:pPr>
              <w:spacing w:after="0"/>
              <w:rPr>
                <w:sz w:val="1"/>
                <w:szCs w:val="1"/>
                <w:color w:val="auto"/>
              </w:rPr>
            </w:pPr>
          </w:p>
        </w:tc>
      </w:tr>
      <w:tr>
        <w:trPr>
          <w:trHeight w:val="245"/>
        </w:trPr>
        <w:tc>
          <w:tcPr>
            <w:tcW w:w="4600" w:type="dxa"/>
            <w:vAlign w:val="bottom"/>
            <w:vMerge w:val="restart"/>
          </w:tcPr>
          <w:p>
            <w:pPr>
              <w:spacing w:after="0"/>
              <w:rPr>
                <w:sz w:val="20"/>
                <w:szCs w:val="20"/>
                <w:color w:val="auto"/>
              </w:rPr>
            </w:pPr>
            <w:r>
              <w:rPr>
                <w:rFonts w:ascii="Courier New" w:cs="Courier New" w:eastAsia="Courier New" w:hAnsi="Courier New"/>
                <w:sz w:val="15"/>
                <w:szCs w:val="15"/>
                <w:color w:val="auto"/>
              </w:rPr>
              <w:t>EARNINGS PER SHARE:</w:t>
            </w: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600" w:type="dxa"/>
            <w:vAlign w:val="bottom"/>
            <w:vMerge w:val="continue"/>
          </w:tcPr>
          <w:p>
            <w:pPr>
              <w:spacing w:after="0"/>
              <w:rPr>
                <w:sz w:val="7"/>
                <w:szCs w:val="7"/>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1.01</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0.70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0.57</w:t>
            </w: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1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Diluted</w:t>
            </w: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0.67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0.55</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4"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120"/>
          </w:cols>
          <w:pgMar w:left="220" w:top="261" w:right="55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21</w:t>
      </w:r>
    </w:p>
    <w:p>
      <w:pPr>
        <w:spacing w:after="0" w:line="2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4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STATEMENTS OF SHAREHOLDERS' INVESTMENT</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2720" w:type="dxa"/>
            <w:vAlign w:val="bottom"/>
            <w:gridSpan w:val="3"/>
            <w:vMerge w:val="restart"/>
          </w:tcPr>
          <w:p>
            <w:pPr>
              <w:jc w:val="right"/>
              <w:ind w:right="687"/>
              <w:spacing w:after="0"/>
              <w:rPr>
                <w:sz w:val="20"/>
                <w:szCs w:val="20"/>
                <w:color w:val="auto"/>
              </w:rPr>
            </w:pPr>
            <w:r>
              <w:rPr>
                <w:rFonts w:ascii="Courier New" w:cs="Courier New" w:eastAsia="Courier New" w:hAnsi="Courier New"/>
                <w:sz w:val="15"/>
                <w:szCs w:val="15"/>
                <w:color w:val="auto"/>
              </w:rPr>
              <w:t>Common Stock</w:t>
            </w:r>
          </w:p>
        </w:tc>
        <w:tc>
          <w:tcPr>
            <w:tcW w:w="1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Retained</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Paid-In</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3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Amount</w:t>
            </w:r>
          </w:p>
        </w:tc>
        <w:tc>
          <w:tcPr>
            <w:tcW w:w="26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Capital</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Earnings</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12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1994</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16,509,476</w:t>
            </w:r>
          </w:p>
        </w:tc>
        <w:tc>
          <w:tcPr>
            <w:tcW w:w="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990,569</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31,875,455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39,409,938</w:t>
            </w:r>
          </w:p>
        </w:tc>
        <w:tc>
          <w:tcPr>
            <w:tcW w:w="0" w:type="dxa"/>
            <w:vAlign w:val="bottom"/>
          </w:tcPr>
          <w:p>
            <w:pPr>
              <w:spacing w:after="0"/>
              <w:rPr>
                <w:sz w:val="1"/>
                <w:szCs w:val="1"/>
                <w:color w:val="auto"/>
              </w:rPr>
            </w:pPr>
          </w:p>
        </w:tc>
      </w:tr>
      <w:tr>
        <w:trPr>
          <w:trHeight w:val="259"/>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386,383</w:t>
            </w:r>
          </w:p>
        </w:tc>
        <w:tc>
          <w:tcPr>
            <w:tcW w:w="340" w:type="dxa"/>
            <w:vAlign w:val="bottom"/>
          </w:tcPr>
          <w:p>
            <w:pPr>
              <w:spacing w:after="0"/>
              <w:rPr>
                <w:sz w:val="22"/>
                <w:szCs w:val="22"/>
                <w:color w:val="auto"/>
              </w:rPr>
            </w:pPr>
          </w:p>
        </w:tc>
        <w:tc>
          <w:tcPr>
            <w:tcW w:w="1060" w:type="dxa"/>
            <w:vAlign w:val="bottom"/>
            <w:vMerge w:val="restart"/>
          </w:tcPr>
          <w:p>
            <w:pPr>
              <w:jc w:val="center"/>
              <w:ind w:left="187"/>
              <w:spacing w:after="0"/>
              <w:rPr>
                <w:sz w:val="20"/>
                <w:szCs w:val="20"/>
                <w:color w:val="auto"/>
              </w:rPr>
            </w:pPr>
            <w:r>
              <w:rPr>
                <w:rFonts w:ascii="Courier New" w:cs="Courier New" w:eastAsia="Courier New" w:hAnsi="Courier New"/>
                <w:sz w:val="15"/>
                <w:szCs w:val="15"/>
                <w:color w:val="auto"/>
                <w:w w:val="96"/>
              </w:rPr>
              <w:t>23,183</w:t>
            </w:r>
          </w:p>
        </w:tc>
        <w:tc>
          <w:tcPr>
            <w:tcW w:w="260" w:type="dxa"/>
            <w:vAlign w:val="bottom"/>
          </w:tcPr>
          <w:p>
            <w:pPr>
              <w:spacing w:after="0"/>
              <w:rPr>
                <w:sz w:val="22"/>
                <w:szCs w:val="22"/>
                <w:color w:val="auto"/>
              </w:rPr>
            </w:pP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5,252,865</w:t>
            </w:r>
          </w:p>
        </w:tc>
        <w:tc>
          <w:tcPr>
            <w:tcW w:w="12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investments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18,895,143</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1995</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16,895,859</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1,013,752</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37,128,320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58,305,081</w:t>
            </w:r>
          </w:p>
        </w:tc>
        <w:tc>
          <w:tcPr>
            <w:tcW w:w="0" w:type="dxa"/>
            <w:vAlign w:val="bottom"/>
          </w:tcPr>
          <w:p>
            <w:pPr>
              <w:spacing w:after="0"/>
              <w:rPr>
                <w:sz w:val="1"/>
                <w:szCs w:val="1"/>
                <w:color w:val="auto"/>
              </w:rPr>
            </w:pPr>
          </w:p>
        </w:tc>
      </w:tr>
      <w:tr>
        <w:trPr>
          <w:trHeight w:val="259"/>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633,754</w:t>
            </w:r>
          </w:p>
        </w:tc>
        <w:tc>
          <w:tcPr>
            <w:tcW w:w="340" w:type="dxa"/>
            <w:vAlign w:val="bottom"/>
          </w:tcPr>
          <w:p>
            <w:pPr>
              <w:spacing w:after="0"/>
              <w:rPr>
                <w:sz w:val="22"/>
                <w:szCs w:val="22"/>
                <w:color w:val="auto"/>
              </w:rPr>
            </w:pPr>
          </w:p>
        </w:tc>
        <w:tc>
          <w:tcPr>
            <w:tcW w:w="1060" w:type="dxa"/>
            <w:vAlign w:val="bottom"/>
            <w:vMerge w:val="restart"/>
          </w:tcPr>
          <w:p>
            <w:pPr>
              <w:jc w:val="center"/>
              <w:ind w:left="187"/>
              <w:spacing w:after="0"/>
              <w:rPr>
                <w:sz w:val="20"/>
                <w:szCs w:val="20"/>
                <w:color w:val="auto"/>
              </w:rPr>
            </w:pPr>
            <w:r>
              <w:rPr>
                <w:rFonts w:ascii="Courier New" w:cs="Courier New" w:eastAsia="Courier New" w:hAnsi="Courier New"/>
                <w:sz w:val="15"/>
                <w:szCs w:val="15"/>
                <w:color w:val="auto"/>
                <w:w w:val="96"/>
              </w:rPr>
              <w:t>38,025</w:t>
            </w:r>
          </w:p>
        </w:tc>
        <w:tc>
          <w:tcPr>
            <w:tcW w:w="260" w:type="dxa"/>
            <w:vAlign w:val="bottom"/>
          </w:tcPr>
          <w:p>
            <w:pPr>
              <w:spacing w:after="0"/>
              <w:rPr>
                <w:sz w:val="22"/>
                <w:szCs w:val="22"/>
                <w:color w:val="auto"/>
              </w:rPr>
            </w:pP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8,868,755</w:t>
            </w:r>
          </w:p>
        </w:tc>
        <w:tc>
          <w:tcPr>
            <w:tcW w:w="12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split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17,219,669</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1,033,180</w:t>
            </w:r>
          </w:p>
        </w:tc>
        <w:tc>
          <w:tcPr>
            <w:tcW w:w="2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(1,033,180)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23,963,395</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34,749,282</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2,084,957</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44,963,895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82,268,476</w:t>
            </w:r>
          </w:p>
        </w:tc>
        <w:tc>
          <w:tcPr>
            <w:tcW w:w="0" w:type="dxa"/>
            <w:vAlign w:val="bottom"/>
          </w:tcPr>
          <w:p>
            <w:pPr>
              <w:spacing w:after="0"/>
              <w:rPr>
                <w:sz w:val="1"/>
                <w:szCs w:val="1"/>
                <w:color w:val="auto"/>
              </w:rPr>
            </w:pPr>
          </w:p>
        </w:tc>
      </w:tr>
      <w:tr>
        <w:trPr>
          <w:trHeight w:val="259"/>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649,865</w:t>
            </w:r>
          </w:p>
        </w:tc>
        <w:tc>
          <w:tcPr>
            <w:tcW w:w="340" w:type="dxa"/>
            <w:vAlign w:val="bottom"/>
          </w:tcPr>
          <w:p>
            <w:pPr>
              <w:spacing w:after="0"/>
              <w:rPr>
                <w:sz w:val="22"/>
                <w:szCs w:val="22"/>
                <w:color w:val="auto"/>
              </w:rPr>
            </w:pPr>
          </w:p>
        </w:tc>
        <w:tc>
          <w:tcPr>
            <w:tcW w:w="1060" w:type="dxa"/>
            <w:vAlign w:val="bottom"/>
            <w:vMerge w:val="restart"/>
          </w:tcPr>
          <w:p>
            <w:pPr>
              <w:jc w:val="center"/>
              <w:ind w:left="187"/>
              <w:spacing w:after="0"/>
              <w:rPr>
                <w:sz w:val="20"/>
                <w:szCs w:val="20"/>
                <w:color w:val="auto"/>
              </w:rPr>
            </w:pPr>
            <w:r>
              <w:rPr>
                <w:rFonts w:ascii="Courier New" w:cs="Courier New" w:eastAsia="Courier New" w:hAnsi="Courier New"/>
                <w:sz w:val="15"/>
                <w:szCs w:val="15"/>
                <w:color w:val="auto"/>
                <w:w w:val="96"/>
              </w:rPr>
              <w:t>38,992</w:t>
            </w:r>
          </w:p>
        </w:tc>
        <w:tc>
          <w:tcPr>
            <w:tcW w:w="260" w:type="dxa"/>
            <w:vAlign w:val="bottom"/>
          </w:tcPr>
          <w:p>
            <w:pPr>
              <w:spacing w:after="0"/>
              <w:rPr>
                <w:sz w:val="22"/>
                <w:szCs w:val="22"/>
                <w:color w:val="auto"/>
              </w:rPr>
            </w:pP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8,690,768</w:t>
            </w:r>
          </w:p>
        </w:tc>
        <w:tc>
          <w:tcPr>
            <w:tcW w:w="12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35,230,224</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1997</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35,399,147</w:t>
            </w:r>
          </w:p>
        </w:tc>
        <w:tc>
          <w:tcPr>
            <w:tcW w:w="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2,123,949</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53,654,663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$ 117,498,700</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4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Deferred</w:t>
            </w:r>
          </w:p>
        </w:tc>
        <w:tc>
          <w:tcPr>
            <w:tcW w:w="3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Unrealized</w:t>
            </w:r>
          </w:p>
        </w:tc>
        <w:tc>
          <w:tcPr>
            <w:tcW w:w="18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w:t>
            </w:r>
          </w:p>
        </w:tc>
        <w:tc>
          <w:tcPr>
            <w:tcW w:w="1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Shareholders'</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Compensation</w:t>
            </w:r>
          </w:p>
        </w:tc>
        <w:tc>
          <w:tcPr>
            <w:tcW w:w="320" w:type="dxa"/>
            <w:vAlign w:val="bottom"/>
          </w:tcPr>
          <w:p>
            <w:pPr>
              <w:spacing w:after="0"/>
              <w:rPr>
                <w:sz w:val="14"/>
                <w:szCs w:val="14"/>
                <w:color w:val="auto"/>
              </w:rPr>
            </w:pPr>
          </w:p>
        </w:tc>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Investment</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1994</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(899,136)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71,375,461</w:t>
            </w:r>
          </w:p>
        </w:tc>
        <w:tc>
          <w:tcPr>
            <w:tcW w:w="0" w:type="dxa"/>
            <w:vAlign w:val="bottom"/>
          </w:tcPr>
          <w:p>
            <w:pPr>
              <w:spacing w:after="0"/>
              <w:rPr>
                <w:sz w:val="1"/>
                <w:szCs w:val="1"/>
                <w:color w:val="auto"/>
              </w:rPr>
            </w:pPr>
          </w:p>
        </w:tc>
      </w:tr>
      <w:tr>
        <w:trPr>
          <w:trHeight w:val="259"/>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(1,159,975)</w:t>
            </w:r>
          </w:p>
        </w:tc>
        <w:tc>
          <w:tcPr>
            <w:tcW w:w="320" w:type="dxa"/>
            <w:vAlign w:val="bottom"/>
          </w:tcPr>
          <w:p>
            <w:pPr>
              <w:spacing w:after="0"/>
              <w:rPr>
                <w:sz w:val="22"/>
                <w:szCs w:val="22"/>
                <w:color w:val="auto"/>
              </w:rPr>
            </w:pPr>
          </w:p>
        </w:tc>
        <w:tc>
          <w:tcPr>
            <w:tcW w:w="112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22"/>
                <w:szCs w:val="22"/>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4,116,073</w:t>
            </w:r>
          </w:p>
        </w:tc>
        <w:tc>
          <w:tcPr>
            <w:tcW w:w="0" w:type="dxa"/>
            <w:vAlign w:val="bottom"/>
          </w:tcPr>
          <w:p>
            <w:pPr>
              <w:spacing w:after="0"/>
              <w:rPr>
                <w:sz w:val="1"/>
                <w:szCs w:val="1"/>
                <w:color w:val="auto"/>
              </w:rPr>
            </w:pPr>
          </w:p>
        </w:tc>
      </w:tr>
      <w:tr>
        <w:trPr>
          <w:trHeight w:val="168"/>
        </w:trPr>
        <w:tc>
          <w:tcPr>
            <w:tcW w:w="43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337,427</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337,427</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(7,839)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(7,839)</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investments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(44,485)</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(44,485)</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18,895,143</w:t>
            </w:r>
          </w:p>
        </w:tc>
        <w:tc>
          <w:tcPr>
            <w:tcW w:w="0" w:type="dxa"/>
            <w:vAlign w:val="bottom"/>
          </w:tcPr>
          <w:p>
            <w:pPr>
              <w:spacing w:after="0"/>
              <w:rPr>
                <w:sz w:val="1"/>
                <w:szCs w:val="1"/>
                <w:color w:val="auto"/>
              </w:rPr>
            </w:pPr>
          </w:p>
        </w:tc>
      </w:tr>
      <w:tr>
        <w:trPr>
          <w:trHeight w:val="168"/>
        </w:trPr>
        <w:tc>
          <w:tcPr>
            <w:tcW w:w="4340" w:type="dxa"/>
            <w:vAlign w:val="bottom"/>
            <w:vMerge w:val="restart"/>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1995</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40" w:type="dxa"/>
            <w:vAlign w:val="bottom"/>
            <w:vMerge w:val="continue"/>
          </w:tcPr>
          <w:p>
            <w:pPr>
              <w:spacing w:after="0"/>
              <w:rPr>
                <w:sz w:val="21"/>
                <w:szCs w:val="21"/>
                <w:color w:val="auto"/>
              </w:rPr>
            </w:pP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(1,721,684)</w:t>
            </w:r>
          </w:p>
        </w:tc>
        <w:tc>
          <w:tcPr>
            <w:tcW w:w="320" w:type="dxa"/>
            <w:vAlign w:val="bottom"/>
          </w:tcPr>
          <w:p>
            <w:pPr>
              <w:spacing w:after="0"/>
              <w:rPr>
                <w:sz w:val="21"/>
                <w:szCs w:val="21"/>
                <w:color w:val="auto"/>
              </w:rPr>
            </w:pPr>
          </w:p>
        </w:tc>
        <w:tc>
          <w:tcPr>
            <w:tcW w:w="11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(44,485)</w:t>
            </w:r>
          </w:p>
        </w:tc>
        <w:tc>
          <w:tcPr>
            <w:tcW w:w="180" w:type="dxa"/>
            <w:vAlign w:val="bottom"/>
          </w:tcPr>
          <w:p>
            <w:pPr>
              <w:spacing w:after="0"/>
              <w:rPr>
                <w:sz w:val="21"/>
                <w:szCs w:val="21"/>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(9,204)</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94,671,780</w:t>
            </w:r>
          </w:p>
        </w:tc>
        <w:tc>
          <w:tcPr>
            <w:tcW w:w="0" w:type="dxa"/>
            <w:vAlign w:val="bottom"/>
          </w:tcPr>
          <w:p>
            <w:pPr>
              <w:spacing w:after="0"/>
              <w:rPr>
                <w:sz w:val="1"/>
                <w:szCs w:val="1"/>
                <w:color w:val="auto"/>
              </w:rPr>
            </w:pPr>
          </w:p>
        </w:tc>
      </w:tr>
      <w:tr>
        <w:trPr>
          <w:trHeight w:val="259"/>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(630,241)</w:t>
            </w:r>
          </w:p>
        </w:tc>
        <w:tc>
          <w:tcPr>
            <w:tcW w:w="320" w:type="dxa"/>
            <w:vAlign w:val="bottom"/>
          </w:tcPr>
          <w:p>
            <w:pPr>
              <w:spacing w:after="0"/>
              <w:rPr>
                <w:sz w:val="22"/>
                <w:szCs w:val="22"/>
                <w:color w:val="auto"/>
              </w:rPr>
            </w:pPr>
          </w:p>
        </w:tc>
        <w:tc>
          <w:tcPr>
            <w:tcW w:w="112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22"/>
                <w:szCs w:val="22"/>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8,276,539</w:t>
            </w:r>
          </w:p>
        </w:tc>
        <w:tc>
          <w:tcPr>
            <w:tcW w:w="0" w:type="dxa"/>
            <w:vAlign w:val="bottom"/>
          </w:tcPr>
          <w:p>
            <w:pPr>
              <w:spacing w:after="0"/>
              <w:rPr>
                <w:sz w:val="1"/>
                <w:szCs w:val="1"/>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547,821</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547,821</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split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8,734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8,734</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335,372</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335,372</w:t>
            </w:r>
          </w:p>
        </w:tc>
        <w:tc>
          <w:tcPr>
            <w:tcW w:w="0" w:type="dxa"/>
            <w:vAlign w:val="bottom"/>
          </w:tcPr>
          <w:p>
            <w:pPr>
              <w:spacing w:after="0"/>
              <w:rPr>
                <w:sz w:val="1"/>
                <w:szCs w:val="1"/>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23,963,395</w:t>
            </w:r>
          </w:p>
        </w:tc>
        <w:tc>
          <w:tcPr>
            <w:tcW w:w="0" w:type="dxa"/>
            <w:vAlign w:val="bottom"/>
          </w:tcPr>
          <w:p>
            <w:pPr>
              <w:spacing w:after="0"/>
              <w:rPr>
                <w:sz w:val="1"/>
                <w:szCs w:val="1"/>
                <w:color w:val="auto"/>
              </w:rPr>
            </w:pPr>
          </w:p>
        </w:tc>
      </w:tr>
      <w:tr>
        <w:trPr>
          <w:trHeight w:val="168"/>
        </w:trPr>
        <w:tc>
          <w:tcPr>
            <w:tcW w:w="4340" w:type="dxa"/>
            <w:vAlign w:val="bottom"/>
            <w:vMerge w:val="restart"/>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1996</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40" w:type="dxa"/>
            <w:vAlign w:val="bottom"/>
            <w:vMerge w:val="continue"/>
          </w:tcPr>
          <w:p>
            <w:pPr>
              <w:spacing w:after="0"/>
              <w:rPr>
                <w:sz w:val="21"/>
                <w:szCs w:val="21"/>
                <w:color w:val="auto"/>
              </w:rPr>
            </w:pP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(1,804,104)</w:t>
            </w:r>
          </w:p>
        </w:tc>
        <w:tc>
          <w:tcPr>
            <w:tcW w:w="320" w:type="dxa"/>
            <w:vAlign w:val="bottom"/>
          </w:tcPr>
          <w:p>
            <w:pPr>
              <w:spacing w:after="0"/>
              <w:rPr>
                <w:sz w:val="21"/>
                <w:szCs w:val="21"/>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290,887</w:t>
            </w:r>
          </w:p>
        </w:tc>
        <w:tc>
          <w:tcPr>
            <w:tcW w:w="180" w:type="dxa"/>
            <w:vAlign w:val="bottom"/>
          </w:tcPr>
          <w:p>
            <w:pPr>
              <w:spacing w:after="0"/>
              <w:rPr>
                <w:sz w:val="21"/>
                <w:szCs w:val="21"/>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127,803,641</w:t>
            </w:r>
          </w:p>
        </w:tc>
        <w:tc>
          <w:tcPr>
            <w:tcW w:w="0" w:type="dxa"/>
            <w:vAlign w:val="bottom"/>
          </w:tcPr>
          <w:p>
            <w:pPr>
              <w:spacing w:after="0"/>
              <w:rPr>
                <w:sz w:val="1"/>
                <w:szCs w:val="1"/>
                <w:color w:val="auto"/>
              </w:rPr>
            </w:pPr>
          </w:p>
        </w:tc>
      </w:tr>
      <w:tr>
        <w:trPr>
          <w:trHeight w:val="259"/>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(421,579)</w:t>
            </w:r>
          </w:p>
        </w:tc>
        <w:tc>
          <w:tcPr>
            <w:tcW w:w="320" w:type="dxa"/>
            <w:vAlign w:val="bottom"/>
          </w:tcPr>
          <w:p>
            <w:pPr>
              <w:spacing w:after="0"/>
              <w:rPr>
                <w:sz w:val="22"/>
                <w:szCs w:val="22"/>
                <w:color w:val="auto"/>
              </w:rPr>
            </w:pPr>
          </w:p>
        </w:tc>
        <w:tc>
          <w:tcPr>
            <w:tcW w:w="112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22"/>
                <w:szCs w:val="22"/>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8,308,181</w:t>
            </w:r>
          </w:p>
        </w:tc>
        <w:tc>
          <w:tcPr>
            <w:tcW w:w="0" w:type="dxa"/>
            <w:vAlign w:val="bottom"/>
          </w:tcPr>
          <w:p>
            <w:pPr>
              <w:spacing w:after="0"/>
              <w:rPr>
                <w:sz w:val="1"/>
                <w:szCs w:val="1"/>
                <w:color w:val="auto"/>
              </w:rPr>
            </w:pPr>
          </w:p>
        </w:tc>
      </w:tr>
      <w:tr>
        <w:trPr>
          <w:trHeight w:val="168"/>
        </w:trPr>
        <w:tc>
          <w:tcPr>
            <w:tcW w:w="4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590,060</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590,060</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(20,410)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(20,410)</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1,293,481</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1,293,481</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35,230,224</w:t>
            </w:r>
          </w:p>
        </w:tc>
        <w:tc>
          <w:tcPr>
            <w:tcW w:w="0" w:type="dxa"/>
            <w:vAlign w:val="bottom"/>
          </w:tcPr>
          <w:p>
            <w:pPr>
              <w:spacing w:after="0"/>
              <w:rPr>
                <w:sz w:val="1"/>
                <w:szCs w:val="1"/>
                <w:color w:val="auto"/>
              </w:rPr>
            </w:pPr>
          </w:p>
        </w:tc>
      </w:tr>
      <w:tr>
        <w:trPr>
          <w:trHeight w:val="168"/>
        </w:trPr>
        <w:tc>
          <w:tcPr>
            <w:tcW w:w="4340" w:type="dxa"/>
            <w:vAlign w:val="bottom"/>
            <w:vMerge w:val="restart"/>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1997</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$(1,635,623)</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$ 1,584,368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(20,880)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$ 173,205,177</w:t>
            </w: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39"/>
          </w:cols>
          <w:pgMar w:left="220" w:top="261" w:right="1440" w:bottom="6" w:gutter="0" w:footer="0" w:header="0"/>
        </w:sectPr>
      </w:pPr>
    </w:p>
    <w:bookmarkStart w:id="23" w:name="page24"/>
    <w:bookmarkEnd w:id="23"/>
    <w:p>
      <w:pPr>
        <w:ind w:left="20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19"/>
          </w:cols>
          <w:pgMar w:left="1440" w:top="284"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26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2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$35,230,224</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$23,963,395</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$18,895,143</w:t>
            </w: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6,418,312</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3,918,515</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3,201,847</w:t>
            </w:r>
          </w:p>
        </w:tc>
        <w:tc>
          <w:tcPr>
            <w:tcW w:w="0" w:type="dxa"/>
            <w:vAlign w:val="bottom"/>
          </w:tcPr>
          <w:p>
            <w:pPr>
              <w:spacing w:after="0"/>
              <w:rPr>
                <w:sz w:val="1"/>
                <w:szCs w:val="1"/>
                <w:color w:val="auto"/>
              </w:rPr>
            </w:pP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Loss on disposal of equipment</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82,862</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47,949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11,937</w:t>
            </w:r>
          </w:p>
        </w:tc>
        <w:tc>
          <w:tcPr>
            <w:tcW w:w="0" w:type="dxa"/>
            <w:vAlign w:val="bottom"/>
          </w:tcPr>
          <w:p>
            <w:pPr>
              <w:spacing w:after="0"/>
              <w:rPr>
                <w:sz w:val="1"/>
                <w:szCs w:val="1"/>
                <w:color w:val="auto"/>
              </w:rPr>
            </w:pP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Loss (gain) on sale of investments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(8,102)</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39,295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(289,734)</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1,072,582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(142,930)</w:t>
            </w:r>
          </w:p>
        </w:tc>
        <w:tc>
          <w:tcPr>
            <w:tcW w:w="0" w:type="dxa"/>
            <w:vAlign w:val="bottom"/>
          </w:tcPr>
          <w:p>
            <w:pPr>
              <w:spacing w:after="0"/>
              <w:rPr>
                <w:sz w:val="1"/>
                <w:szCs w:val="1"/>
                <w:color w:val="auto"/>
              </w:rPr>
            </w:pP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590,060</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547,821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337,427</w:t>
            </w:r>
          </w:p>
        </w:tc>
        <w:tc>
          <w:tcPr>
            <w:tcW w:w="0" w:type="dxa"/>
            <w:vAlign w:val="bottom"/>
          </w:tcPr>
          <w:p>
            <w:pPr>
              <w:spacing w:after="0"/>
              <w:rPr>
                <w:sz w:val="1"/>
                <w:szCs w:val="1"/>
                <w:color w:val="auto"/>
              </w:rPr>
            </w:pP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26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(7,500,351)</w:t>
            </w:r>
          </w:p>
        </w:tc>
        <w:tc>
          <w:tcPr>
            <w:tcW w:w="15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(2,309,018)</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(3,619,176)</w:t>
            </w:r>
          </w:p>
        </w:tc>
        <w:tc>
          <w:tcPr>
            <w:tcW w:w="0" w:type="dxa"/>
            <w:vAlign w:val="bottom"/>
          </w:tcPr>
          <w:p>
            <w:pPr>
              <w:spacing w:after="0"/>
              <w:rPr>
                <w:sz w:val="1"/>
                <w:szCs w:val="1"/>
                <w:color w:val="auto"/>
              </w:rPr>
            </w:pP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Inventories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(2,607,267)</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(444,903)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(431,967)</w:t>
            </w:r>
          </w:p>
        </w:tc>
        <w:tc>
          <w:tcPr>
            <w:tcW w:w="0" w:type="dxa"/>
            <w:vAlign w:val="bottom"/>
          </w:tcPr>
          <w:p>
            <w:pPr>
              <w:spacing w:after="0"/>
              <w:rPr>
                <w:sz w:val="1"/>
                <w:szCs w:val="1"/>
                <w:color w:val="auto"/>
              </w:rPr>
            </w:pP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(152,724)</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(184,625)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(91,962)</w:t>
            </w:r>
          </w:p>
        </w:tc>
        <w:tc>
          <w:tcPr>
            <w:tcW w:w="0" w:type="dxa"/>
            <w:vAlign w:val="bottom"/>
          </w:tcPr>
          <w:p>
            <w:pPr>
              <w:spacing w:after="0"/>
              <w:rPr>
                <w:sz w:val="1"/>
                <w:szCs w:val="1"/>
                <w:color w:val="auto"/>
              </w:rPr>
            </w:pP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2,965,424</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372,174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1,307,267</w:t>
            </w:r>
          </w:p>
        </w:tc>
        <w:tc>
          <w:tcPr>
            <w:tcW w:w="0" w:type="dxa"/>
            <w:vAlign w:val="bottom"/>
          </w:tcPr>
          <w:p>
            <w:pPr>
              <w:spacing w:after="0"/>
              <w:rPr>
                <w:sz w:val="1"/>
                <w:szCs w:val="1"/>
                <w:color w:val="auto"/>
              </w:rPr>
            </w:pP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264,883</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(3,061,324)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3,757,174</w:t>
            </w:r>
          </w:p>
        </w:tc>
        <w:tc>
          <w:tcPr>
            <w:tcW w:w="0" w:type="dxa"/>
            <w:vAlign w:val="bottom"/>
          </w:tcPr>
          <w:p>
            <w:pPr>
              <w:spacing w:after="0"/>
              <w:rPr>
                <w:sz w:val="1"/>
                <w:szCs w:val="1"/>
                <w:color w:val="auto"/>
              </w:rPr>
            </w:pPr>
          </w:p>
        </w:tc>
      </w:tr>
      <w:tr>
        <w:trPr>
          <w:trHeight w:val="245"/>
        </w:trPr>
        <w:tc>
          <w:tcPr>
            <w:tcW w:w="6040" w:type="dxa"/>
            <w:vAlign w:val="bottom"/>
            <w:vMerge w:val="restart"/>
          </w:tcPr>
          <w:p>
            <w:pPr>
              <w:ind w:left="2460"/>
              <w:spacing w:after="0"/>
              <w:rPr>
                <w:sz w:val="20"/>
                <w:szCs w:val="20"/>
                <w:color w:val="auto"/>
              </w:rPr>
            </w:pPr>
            <w:r>
              <w:rPr>
                <w:rFonts w:ascii="Courier New" w:cs="Courier New" w:eastAsia="Courier New" w:hAnsi="Courier New"/>
                <w:sz w:val="15"/>
                <w:szCs w:val="15"/>
                <w:color w:val="auto"/>
              </w:rPr>
              <w:t>Net cash provided by</w:t>
            </w:r>
          </w:p>
        </w:tc>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34,993,587</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23,961,861</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23,224,760</w:t>
            </w:r>
          </w:p>
        </w:tc>
        <w:tc>
          <w:tcPr>
            <w:tcW w:w="0" w:type="dxa"/>
            <w:vAlign w:val="bottom"/>
          </w:tcPr>
          <w:p>
            <w:pPr>
              <w:spacing w:after="0"/>
              <w:rPr>
                <w:sz w:val="1"/>
                <w:szCs w:val="1"/>
                <w:color w:val="auto"/>
              </w:rPr>
            </w:pPr>
          </w:p>
        </w:tc>
      </w:tr>
      <w:tr>
        <w:trPr>
          <w:trHeight w:val="168"/>
        </w:trPr>
        <w:tc>
          <w:tcPr>
            <w:tcW w:w="604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26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Activity in Held-To-Maturity Securities</w:t>
            </w: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24,765,464</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28,840,879</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12,696,750</w:t>
            </w:r>
          </w:p>
        </w:tc>
        <w:tc>
          <w:tcPr>
            <w:tcW w:w="0" w:type="dxa"/>
            <w:vAlign w:val="bottom"/>
          </w:tcPr>
          <w:p>
            <w:pPr>
              <w:spacing w:after="0"/>
              <w:rPr>
                <w:sz w:val="1"/>
                <w:szCs w:val="1"/>
                <w:color w:val="auto"/>
              </w:rPr>
            </w:pP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Maturities and Calls</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Purchases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(28,324,553)</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(34,915,969)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(30,170,062)</w:t>
            </w: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Activity in Available-For-Sale Securities</w:t>
            </w: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12,475,160</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1,123,053</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Sales Proceeds</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Purchases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(25,822,809)</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(8,011,758)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(450,735)</w:t>
            </w: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Plant and equipment additions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(16,383,089)</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(16,424,358)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(4,861,930)</w:t>
            </w: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 of plant and equipment</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316,270</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11,943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7,450</w:t>
            </w: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(289,920)</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(246,875)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(1,631,256)</w:t>
            </w:r>
          </w:p>
        </w:tc>
        <w:tc>
          <w:tcPr>
            <w:tcW w:w="0" w:type="dxa"/>
            <w:vAlign w:val="bottom"/>
          </w:tcPr>
          <w:p>
            <w:pPr>
              <w:spacing w:after="0"/>
              <w:rPr>
                <w:sz w:val="1"/>
                <w:szCs w:val="1"/>
                <w:color w:val="auto"/>
              </w:rPr>
            </w:pPr>
          </w:p>
        </w:tc>
      </w:tr>
      <w:tr>
        <w:trPr>
          <w:trHeight w:val="245"/>
        </w:trPr>
        <w:tc>
          <w:tcPr>
            <w:tcW w:w="6040" w:type="dxa"/>
            <w:vAlign w:val="bottom"/>
            <w:vMerge w:val="restart"/>
          </w:tcPr>
          <w:p>
            <w:pPr>
              <w:ind w:left="2460"/>
              <w:spacing w:after="0"/>
              <w:rPr>
                <w:sz w:val="20"/>
                <w:szCs w:val="20"/>
                <w:color w:val="auto"/>
              </w:rPr>
            </w:pPr>
            <w:r>
              <w:rPr>
                <w:rFonts w:ascii="Courier New" w:cs="Courier New" w:eastAsia="Courier New" w:hAnsi="Courier New"/>
                <w:sz w:val="15"/>
                <w:szCs w:val="15"/>
                <w:color w:val="auto"/>
              </w:rPr>
              <w:t>Net cash used for</w:t>
            </w:r>
          </w:p>
        </w:tc>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26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(33,263,477)</w:t>
            </w:r>
          </w:p>
        </w:tc>
        <w:tc>
          <w:tcPr>
            <w:tcW w:w="15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(29,623,085)</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(24,409,783)</w:t>
            </w:r>
          </w:p>
        </w:tc>
        <w:tc>
          <w:tcPr>
            <w:tcW w:w="0" w:type="dxa"/>
            <w:vAlign w:val="bottom"/>
          </w:tcPr>
          <w:p>
            <w:pPr>
              <w:spacing w:after="0"/>
              <w:rPr>
                <w:sz w:val="1"/>
                <w:szCs w:val="1"/>
                <w:color w:val="auto"/>
              </w:rPr>
            </w:pPr>
          </w:p>
        </w:tc>
      </w:tr>
      <w:tr>
        <w:trPr>
          <w:trHeight w:val="168"/>
        </w:trPr>
        <w:tc>
          <w:tcPr>
            <w:tcW w:w="604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26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Issuance of common stock and tax benefit of</w:t>
            </w: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8,308,181</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8,276,539</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4,116,073</w:t>
            </w:r>
          </w:p>
        </w:tc>
        <w:tc>
          <w:tcPr>
            <w:tcW w:w="0" w:type="dxa"/>
            <w:vAlign w:val="bottom"/>
          </w:tcPr>
          <w:p>
            <w:pPr>
              <w:spacing w:after="0"/>
              <w:rPr>
                <w:sz w:val="1"/>
                <w:szCs w:val="1"/>
                <w:color w:val="auto"/>
              </w:rPr>
            </w:pP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stock plan transactions</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040" w:type="dxa"/>
            <w:vAlign w:val="bottom"/>
            <w:vMerge w:val="restart"/>
          </w:tcPr>
          <w:p>
            <w:pPr>
              <w:ind w:left="2460"/>
              <w:spacing w:after="0"/>
              <w:rPr>
                <w:sz w:val="20"/>
                <w:szCs w:val="20"/>
                <w:color w:val="auto"/>
              </w:rPr>
            </w:pPr>
            <w:r>
              <w:rPr>
                <w:rFonts w:ascii="Courier New" w:cs="Courier New" w:eastAsia="Courier New" w:hAnsi="Courier New"/>
                <w:sz w:val="15"/>
                <w:szCs w:val="15"/>
                <w:color w:val="auto"/>
              </w:rPr>
              <w:t>Net cash provided by</w:t>
            </w:r>
          </w:p>
        </w:tc>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8,308,181</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8,276,539</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4,116,073</w:t>
            </w:r>
          </w:p>
        </w:tc>
        <w:tc>
          <w:tcPr>
            <w:tcW w:w="0" w:type="dxa"/>
            <w:vAlign w:val="bottom"/>
          </w:tcPr>
          <w:p>
            <w:pPr>
              <w:spacing w:after="0"/>
              <w:rPr>
                <w:sz w:val="1"/>
                <w:szCs w:val="1"/>
                <w:color w:val="auto"/>
              </w:rPr>
            </w:pPr>
          </w:p>
        </w:tc>
      </w:tr>
      <w:tr>
        <w:trPr>
          <w:trHeight w:val="168"/>
        </w:trPr>
        <w:tc>
          <w:tcPr>
            <w:tcW w:w="604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IN CASH AND</w:t>
            </w:r>
          </w:p>
        </w:tc>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10,038,291</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2,615,315</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2,931,050</w:t>
            </w:r>
          </w:p>
        </w:tc>
        <w:tc>
          <w:tcPr>
            <w:tcW w:w="0" w:type="dxa"/>
            <w:vAlign w:val="bottom"/>
          </w:tcPr>
          <w:p>
            <w:pPr>
              <w:spacing w:after="0"/>
              <w:rPr>
                <w:sz w:val="1"/>
                <w:szCs w:val="1"/>
                <w:color w:val="auto"/>
              </w:rPr>
            </w:pPr>
          </w:p>
        </w:tc>
      </w:tr>
      <w:tr>
        <w:trPr>
          <w:trHeight w:val="245"/>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CASH EQUIVALENTS</w:t>
            </w:r>
          </w:p>
        </w:tc>
        <w:tc>
          <w:tcPr>
            <w:tcW w:w="268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16,730,356</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14,115,041</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11,183,991</w:t>
            </w: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040" w:type="dxa"/>
            <w:vAlign w:val="bottom"/>
            <w:vMerge w:val="restart"/>
          </w:tcPr>
          <w:p>
            <w:pPr>
              <w:spacing w:after="0"/>
              <w:rPr>
                <w:sz w:val="20"/>
                <w:szCs w:val="20"/>
                <w:color w:val="auto"/>
              </w:rPr>
            </w:pPr>
            <w:r>
              <w:rPr>
                <w:rFonts w:ascii="Courier New" w:cs="Courier New" w:eastAsia="Courier New" w:hAnsi="Courier New"/>
                <w:sz w:val="15"/>
                <w:szCs w:val="15"/>
                <w:color w:val="auto"/>
              </w:rPr>
              <w:t>CASH AND CASH EQUIVALENTS,</w:t>
            </w:r>
          </w:p>
        </w:tc>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6040" w:type="dxa"/>
            <w:vAlign w:val="bottom"/>
            <w:vMerge w:val="continue"/>
          </w:tcPr>
          <w:p>
            <w:pPr>
              <w:spacing w:after="0"/>
              <w:rPr>
                <w:sz w:val="7"/>
                <w:szCs w:val="7"/>
                <w:color w:val="auto"/>
              </w:rPr>
            </w:pPr>
          </w:p>
        </w:tc>
        <w:tc>
          <w:tcPr>
            <w:tcW w:w="26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$26,768,647</w:t>
            </w:r>
          </w:p>
        </w:tc>
        <w:tc>
          <w:tcPr>
            <w:tcW w:w="15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$16,730,356</w:t>
            </w:r>
          </w:p>
        </w:tc>
        <w:tc>
          <w:tcPr>
            <w:tcW w:w="12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$14,115,041</w:t>
            </w:r>
          </w:p>
        </w:tc>
        <w:tc>
          <w:tcPr>
            <w:tcW w:w="0" w:type="dxa"/>
            <w:vAlign w:val="bottom"/>
          </w:tcPr>
          <w:p>
            <w:pPr>
              <w:spacing w:after="0"/>
              <w:rPr>
                <w:sz w:val="1"/>
                <w:szCs w:val="1"/>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26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040" w:type="dxa"/>
            <w:vAlign w:val="bottom"/>
          </w:tcPr>
          <w:p>
            <w:pPr>
              <w:spacing w:after="0"/>
              <w:rPr>
                <w:sz w:val="21"/>
                <w:szCs w:val="21"/>
                <w:color w:val="auto"/>
              </w:rPr>
            </w:pPr>
          </w:p>
        </w:tc>
        <w:tc>
          <w:tcPr>
            <w:tcW w:w="2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24"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2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540"/>
          </w:cols>
          <w:pgMar w:left="220" w:top="261" w:right="139" w:bottom="1440" w:gutter="0" w:footer="0" w:header="0"/>
        </w:sectPr>
      </w:pPr>
    </w:p>
    <w:bookmarkStart w:id="25" w:name="page26"/>
    <w:bookmarkEnd w:id="25"/>
    <w:p>
      <w:pPr>
        <w:ind w:left="270"/>
        <w:spacing w:after="0"/>
        <w:rPr>
          <w:sz w:val="20"/>
          <w:szCs w:val="20"/>
          <w:color w:val="auto"/>
        </w:rPr>
      </w:pPr>
      <w:r>
        <w:rPr>
          <w:rFonts w:ascii="Courier New" w:cs="Courier New" w:eastAsia="Courier New" w:hAnsi="Courier New"/>
          <w:sz w:val="15"/>
          <w:szCs w:val="15"/>
          <w:color w:val="auto"/>
        </w:rPr>
        <w:t>23</w:t>
      </w:r>
    </w:p>
    <w:p>
      <w:pPr>
        <w:spacing w:after="0" w:line="23"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40" w:lineRule="exact"/>
        <w:rPr>
          <w:sz w:val="20"/>
          <w:szCs w:val="20"/>
          <w:color w:val="auto"/>
        </w:rPr>
      </w:pPr>
    </w:p>
    <w:p>
      <w:pPr>
        <w:ind w:left="430" w:right="4899" w:hanging="430"/>
        <w:spacing w:after="0" w:line="475" w:lineRule="auto"/>
        <w:tabs>
          <w:tab w:leader="none" w:pos="4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ind w:left="610" w:right="3319" w:hanging="175"/>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Gentex Corporation designs, develops, manufactures and markets two proprietary electro-optical product lines: automatic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w:t>
      </w:r>
    </w:p>
    <w:p>
      <w:pPr>
        <w:spacing w:after="0" w:line="88" w:lineRule="exact"/>
        <w:rPr>
          <w:rFonts w:ascii="Courier New" w:cs="Courier New" w:eastAsia="Courier New" w:hAnsi="Courier New"/>
          <w:sz w:val="15"/>
          <w:szCs w:val="15"/>
          <w:color w:val="auto"/>
        </w:rPr>
      </w:pPr>
    </w:p>
    <w:p>
      <w:pPr>
        <w:ind w:left="610" w:right="3319" w:hanging="175"/>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7"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166" w:lineRule="exact"/>
        <w:rPr>
          <w:rFonts w:ascii="Courier New" w:cs="Courier New" w:eastAsia="Courier New" w:hAnsi="Courier New"/>
          <w:sz w:val="15"/>
          <w:szCs w:val="15"/>
          <w:color w:val="auto"/>
        </w:rPr>
      </w:pPr>
    </w:p>
    <w:p>
      <w:pPr>
        <w:ind w:left="610" w:right="3319" w:hanging="175"/>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67"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66" w:lineRule="exact"/>
        <w:rPr>
          <w:rFonts w:ascii="Courier New" w:cs="Courier New" w:eastAsia="Courier New" w:hAnsi="Courier New"/>
          <w:sz w:val="15"/>
          <w:szCs w:val="15"/>
          <w:color w:val="auto"/>
        </w:rPr>
      </w:pPr>
    </w:p>
    <w:p>
      <w:pPr>
        <w:ind w:left="430" w:right="3839"/>
        <w:spacing w:after="0" w:line="47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of funds invested in money market accounts. Investments</w:t>
      </w:r>
    </w:p>
    <w:p>
      <w:pPr>
        <w:ind w:left="610" w:right="3839" w:hanging="175"/>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amortized cost, unrealized gains and losses, and market value of securities held to maturity and available for sale are shown as of December 31, 1997 and 1996:</w:t>
      </w:r>
    </w:p>
    <w:p>
      <w:pPr>
        <w:spacing w:after="0" w:line="200" w:lineRule="exact"/>
        <w:rPr>
          <w:sz w:val="20"/>
          <w:szCs w:val="20"/>
          <w:color w:val="auto"/>
        </w:rPr>
      </w:pPr>
    </w:p>
    <w:p>
      <w:pPr>
        <w:spacing w:after="0" w:line="360"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Cost</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Gains</w:t>
            </w:r>
          </w:p>
        </w:tc>
        <w:tc>
          <w:tcPr>
            <w:tcW w:w="180" w:type="dxa"/>
            <w:vAlign w:val="bottom"/>
          </w:tcPr>
          <w:p>
            <w:pPr>
              <w:spacing w:after="0"/>
              <w:rPr>
                <w:sz w:val="14"/>
                <w:szCs w:val="1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Losses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Market Value</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60" w:type="dxa"/>
            <w:vAlign w:val="bottom"/>
          </w:tcPr>
          <w:p>
            <w:pPr>
              <w:ind w:left="160"/>
              <w:spacing w:after="0"/>
              <w:rPr>
                <w:sz w:val="20"/>
                <w:szCs w:val="20"/>
                <w:color w:val="auto"/>
              </w:rPr>
            </w:pPr>
            <w:r>
              <w:rPr>
                <w:rFonts w:ascii="Courier New" w:cs="Courier New" w:eastAsia="Courier New" w:hAnsi="Courier New"/>
                <w:sz w:val="15"/>
                <w:szCs w:val="15"/>
                <w:color w:val="auto"/>
              </w:rPr>
              <w:t>U.S. Treasuries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$15,255,587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344,430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$ 15,600,017</w:t>
            </w:r>
          </w:p>
        </w:tc>
        <w:tc>
          <w:tcPr>
            <w:tcW w:w="0" w:type="dxa"/>
            <w:vAlign w:val="bottom"/>
          </w:tcPr>
          <w:p>
            <w:pPr>
              <w:spacing w:after="0"/>
              <w:rPr>
                <w:sz w:val="1"/>
                <w:szCs w:val="1"/>
                <w:color w:val="auto"/>
              </w:rPr>
            </w:pP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Municipal</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43,874,376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350,279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44,222,014</w:t>
            </w:r>
          </w:p>
        </w:tc>
        <w:tc>
          <w:tcPr>
            <w:tcW w:w="0" w:type="dxa"/>
            <w:vAlign w:val="bottom"/>
          </w:tcPr>
          <w:p>
            <w:pPr>
              <w:spacing w:after="0"/>
              <w:rPr>
                <w:sz w:val="1"/>
                <w:szCs w:val="1"/>
                <w:color w:val="auto"/>
              </w:rPr>
            </w:pP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 Fixed</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6,476,132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8,518</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6,484,650</w:t>
            </w:r>
          </w:p>
        </w:tc>
        <w:tc>
          <w:tcPr>
            <w:tcW w:w="0" w:type="dxa"/>
            <w:vAlign w:val="bottom"/>
          </w:tcPr>
          <w:p>
            <w:pPr>
              <w:spacing w:after="0"/>
              <w:rPr>
                <w:sz w:val="1"/>
                <w:szCs w:val="1"/>
                <w:color w:val="auto"/>
              </w:rPr>
            </w:pP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Equity</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16,610,295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2,172,023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18,703,353</w:t>
            </w:r>
          </w:p>
        </w:tc>
        <w:tc>
          <w:tcPr>
            <w:tcW w:w="0" w:type="dxa"/>
            <w:vAlign w:val="bottom"/>
          </w:tcPr>
          <w:p>
            <w:pPr>
              <w:spacing w:after="0"/>
              <w:rPr>
                <w:sz w:val="1"/>
                <w:szCs w:val="1"/>
                <w:color w:val="auto"/>
              </w:rPr>
            </w:pP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$82,216,390</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$2,875,250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(81,606)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$ 85,010,034</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$11,164,723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35,299</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$ 11,200,022</w:t>
            </w:r>
          </w:p>
        </w:tc>
        <w:tc>
          <w:tcPr>
            <w:tcW w:w="0" w:type="dxa"/>
            <w:vAlign w:val="bottom"/>
          </w:tcPr>
          <w:p>
            <w:pPr>
              <w:spacing w:after="0"/>
              <w:rPr>
                <w:sz w:val="1"/>
                <w:szCs w:val="1"/>
                <w:color w:val="auto"/>
              </w:rPr>
            </w:pP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U.S. Treasuries</w:t>
            </w:r>
          </w:p>
        </w:tc>
        <w:tc>
          <w:tcPr>
            <w:tcW w:w="11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Municipal</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34,758,226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84,197</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34,830,201</w:t>
            </w:r>
          </w:p>
        </w:tc>
        <w:tc>
          <w:tcPr>
            <w:tcW w:w="0" w:type="dxa"/>
            <w:vAlign w:val="bottom"/>
          </w:tcPr>
          <w:p>
            <w:pPr>
              <w:spacing w:after="0"/>
              <w:rPr>
                <w:sz w:val="1"/>
                <w:szCs w:val="1"/>
                <w:color w:val="auto"/>
              </w:rPr>
            </w:pP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 Fixed</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12,054,500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15,751</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12,070,251</w:t>
            </w:r>
          </w:p>
        </w:tc>
        <w:tc>
          <w:tcPr>
            <w:tcW w:w="0" w:type="dxa"/>
            <w:vAlign w:val="bottom"/>
          </w:tcPr>
          <w:p>
            <w:pPr>
              <w:spacing w:after="0"/>
              <w:rPr>
                <w:sz w:val="1"/>
                <w:szCs w:val="1"/>
                <w:color w:val="auto"/>
              </w:rPr>
            </w:pP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Equity</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7,324,101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787,123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(339,606)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7,771,618</w:t>
            </w:r>
          </w:p>
        </w:tc>
        <w:tc>
          <w:tcPr>
            <w:tcW w:w="0" w:type="dxa"/>
            <w:vAlign w:val="bottom"/>
          </w:tcPr>
          <w:p>
            <w:pPr>
              <w:spacing w:after="0"/>
              <w:rPr>
                <w:sz w:val="1"/>
                <w:szCs w:val="1"/>
                <w:color w:val="auto"/>
              </w:rPr>
            </w:pP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$65,301,550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922,370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$(351,828)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$ 65,872,092</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10" w:right="3579" w:hanging="436"/>
        <w:spacing w:after="0" w:line="273" w:lineRule="auto"/>
        <w:rPr>
          <w:sz w:val="20"/>
          <w:szCs w:val="20"/>
          <w:color w:val="auto"/>
        </w:rPr>
      </w:pPr>
      <w:r>
        <w:rPr>
          <w:rFonts w:ascii="Courier New" w:cs="Courier New" w:eastAsia="Courier New" w:hAnsi="Courier New"/>
          <w:sz w:val="15"/>
          <w:szCs w:val="15"/>
          <w:color w:val="auto"/>
        </w:rPr>
        <w:t>Fixed income securities, excluding U.S. Treasuries in 1997, are considered held to maturity, and equity securities and U.S. Treasuries are available for sale. Held to maturity securities as of December 31, 1997, have maturities as follows:</w:t>
      </w:r>
    </w:p>
    <w:p>
      <w:pPr>
        <w:spacing w:after="0" w:line="234" w:lineRule="exact"/>
        <w:rPr>
          <w:sz w:val="20"/>
          <w:szCs w:val="20"/>
          <w:color w:val="auto"/>
        </w:rPr>
      </w:pPr>
    </w:p>
    <w:tbl>
      <w:tblPr>
        <w:tblLayout w:type="fixed"/>
        <w:tblInd w:w="157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Due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within one year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$14,362,737</w:t>
            </w:r>
          </w:p>
        </w:tc>
      </w:tr>
      <w:tr>
        <w:trPr>
          <w:trHeight w:val="245"/>
        </w:trPr>
        <w:tc>
          <w:tcPr>
            <w:tcW w:w="320" w:type="dxa"/>
            <w:vAlign w:val="bottom"/>
          </w:tcPr>
          <w:p>
            <w:pPr>
              <w:spacing w:after="0"/>
              <w:rPr>
                <w:sz w:val="20"/>
                <w:szCs w:val="20"/>
                <w:color w:val="auto"/>
              </w:rPr>
            </w:pPr>
            <w:r>
              <w:rPr>
                <w:rFonts w:ascii="Courier New" w:cs="Courier New" w:eastAsia="Courier New" w:hAnsi="Courier New"/>
                <w:sz w:val="15"/>
                <w:szCs w:val="15"/>
                <w:color w:val="auto"/>
              </w:rPr>
              <w:t>Due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w w:val="99"/>
              </w:rPr>
              <w:t>between one and five years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35,987,771</w:t>
            </w:r>
          </w:p>
        </w:tc>
      </w:tr>
    </w:tbl>
    <w:p>
      <w:pPr>
        <w:spacing w:after="0" w:line="25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Inventories</w:t>
      </w:r>
    </w:p>
    <w:p>
      <w:pPr>
        <w:spacing w:after="0" w:line="166" w:lineRule="exact"/>
        <w:rPr>
          <w:sz w:val="20"/>
          <w:szCs w:val="20"/>
          <w:color w:val="auto"/>
        </w:rPr>
      </w:pPr>
    </w:p>
    <w:p>
      <w:pPr>
        <w:ind w:left="610" w:right="3319" w:hanging="436"/>
        <w:spacing w:after="0" w:line="320" w:lineRule="auto"/>
        <w:rPr>
          <w:sz w:val="20"/>
          <w:szCs w:val="20"/>
          <w:color w:val="auto"/>
        </w:rPr>
      </w:pPr>
      <w:r>
        <w:rPr>
          <w:rFonts w:ascii="Courier New" w:cs="Courier New" w:eastAsia="Courier New" w:hAnsi="Courier New"/>
          <w:sz w:val="14"/>
          <w:szCs w:val="14"/>
          <w:color w:val="auto"/>
        </w:rPr>
        <w:t>Inventories include material, direct labor and manufacturing overhead and are valued at the lower of first-in, first-out (FIFO) cost or market. Inventories consisted of the following as of December 31, 1997 and 1996:</w:t>
      </w:r>
    </w:p>
    <w:p>
      <w:pPr>
        <w:spacing w:after="0" w:line="200" w:lineRule="exact"/>
        <w:rPr>
          <w:sz w:val="20"/>
          <w:szCs w:val="20"/>
          <w:color w:val="auto"/>
        </w:rPr>
      </w:pPr>
    </w:p>
    <w:p>
      <w:pPr>
        <w:spacing w:after="0" w:line="341" w:lineRule="exact"/>
        <w:rPr>
          <w:sz w:val="20"/>
          <w:szCs w:val="20"/>
          <w:color w:val="auto"/>
        </w:rPr>
      </w:pPr>
    </w:p>
    <w:tbl>
      <w:tblPr>
        <w:tblLayout w:type="fixed"/>
        <w:tblInd w:w="201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245"/>
        </w:trPr>
        <w:tc>
          <w:tcPr>
            <w:tcW w:w="1320" w:type="dxa"/>
            <w:vAlign w:val="bottom"/>
          </w:tcPr>
          <w:p>
            <w:pPr>
              <w:spacing w:after="0"/>
              <w:rPr>
                <w:sz w:val="21"/>
                <w:szCs w:val="21"/>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259"/>
        </w:trPr>
        <w:tc>
          <w:tcPr>
            <w:tcW w:w="13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$4,931,434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$3,860,534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Work-in-process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600,298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348,336</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3,255,957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1,971,552</w:t>
            </w:r>
          </w:p>
        </w:tc>
      </w:tr>
      <w:tr>
        <w:trPr>
          <w:trHeight w:val="168"/>
        </w:trPr>
        <w:tc>
          <w:tcPr>
            <w:tcW w:w="1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$8,787,689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$6,180,422</w:t>
            </w:r>
          </w:p>
        </w:tc>
      </w:tr>
      <w:tr>
        <w:trPr>
          <w:trHeight w:val="245"/>
        </w:trPr>
        <w:tc>
          <w:tcPr>
            <w:tcW w:w="1320" w:type="dxa"/>
            <w:vAlign w:val="bottom"/>
          </w:tcPr>
          <w:p>
            <w:pPr>
              <w:spacing w:after="0"/>
              <w:rPr>
                <w:sz w:val="21"/>
                <w:szCs w:val="21"/>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5"/>
        </w:trPr>
        <w:tc>
          <w:tcPr>
            <w:tcW w:w="132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-23-</w:t>
            </w:r>
          </w:p>
        </w:tc>
        <w:tc>
          <w:tcPr>
            <w:tcW w:w="960" w:type="dxa"/>
            <w:vAlign w:val="bottom"/>
          </w:tcPr>
          <w:p>
            <w:pPr>
              <w:spacing w:after="0"/>
              <w:rPr>
                <w:sz w:val="24"/>
                <w:szCs w:val="24"/>
                <w:color w:val="auto"/>
              </w:rPr>
            </w:pPr>
          </w:p>
        </w:tc>
      </w:tr>
    </w:tbl>
    <w:p>
      <w:pPr>
        <w:sectPr>
          <w:pgSz w:w="11900" w:h="16838" w:orient="portrait"/>
          <w:cols w:equalWidth="0" w:num="1">
            <w:col w:w="10229"/>
          </w:cols>
          <w:pgMar w:left="230" w:top="261" w:right="1440" w:bottom="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40" w:right="3939" w:hanging="430"/>
        <w:spacing w:after="0" w:line="47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Plant and Equipment</w:t>
      </w:r>
    </w:p>
    <w:p>
      <w:pPr>
        <w:ind w:left="620" w:right="3319" w:hanging="175"/>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Plant and equipment are stated at cost. Depreciation and amortization are computed for financial reporting purposes using the straight-line method, with estimated useful lives of 5 to 40 years for building and improvements, and 3 to 10 years for machinery and equipment.</w:t>
      </w:r>
    </w:p>
    <w:p>
      <w:pPr>
        <w:spacing w:after="0" w:line="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Patents</w:t>
      </w:r>
    </w:p>
    <w:p>
      <w:pPr>
        <w:spacing w:after="0" w:line="166" w:lineRule="exact"/>
        <w:rPr>
          <w:rFonts w:ascii="Courier New" w:cs="Courier New" w:eastAsia="Courier New" w:hAnsi="Courier New"/>
          <w:sz w:val="15"/>
          <w:szCs w:val="15"/>
          <w:color w:val="auto"/>
        </w:rPr>
      </w:pPr>
    </w:p>
    <w:p>
      <w:pPr>
        <w:ind w:left="620" w:right="3319" w:hanging="175"/>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policy is to capitalize costs incurred to obtain and defend patents. The cost of patents is amortized over their useful lives. The cost of patents in process is not amortized until issuance. Accumulated amortization was approximately $4,679,000 and $3,580,000 at December 31, 1997 and 1996, respectively. Patent amortization expense was approximately $1,099,000, $186,000, and $129,000 in 1997, 1996 and 1995, respectively.</w:t>
      </w:r>
    </w:p>
    <w:p>
      <w:pPr>
        <w:spacing w:after="0" w:line="8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66" w:lineRule="exact"/>
        <w:rPr>
          <w:rFonts w:ascii="Courier New" w:cs="Courier New" w:eastAsia="Courier New" w:hAnsi="Courier New"/>
          <w:sz w:val="15"/>
          <w:szCs w:val="15"/>
          <w:color w:val="auto"/>
        </w:rPr>
      </w:pPr>
    </w:p>
    <w:p>
      <w:pPr>
        <w:ind w:left="620" w:right="3499" w:hanging="175"/>
        <w:spacing w:after="0" w:line="38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revenue primarily is generated from sales of its products. Sales are recognized upon the shipment of product to customers.</w:t>
      </w:r>
    </w:p>
    <w:p>
      <w:pPr>
        <w:spacing w:after="0" w:line="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Promotional Materials</w:t>
      </w:r>
    </w:p>
    <w:p>
      <w:pPr>
        <w:spacing w:after="0" w:line="166" w:lineRule="exact"/>
        <w:rPr>
          <w:rFonts w:ascii="Courier New" w:cs="Courier New" w:eastAsia="Courier New" w:hAnsi="Courier New"/>
          <w:sz w:val="15"/>
          <w:szCs w:val="15"/>
          <w:color w:val="auto"/>
        </w:rPr>
      </w:pPr>
    </w:p>
    <w:p>
      <w:pPr>
        <w:ind w:left="620" w:right="3319" w:hanging="175"/>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advertising and promotional costs are expensed as incurred and amounted to approximately $671,000, $780,000, and $608,000 in 1997, 1996 and 1995, respectively.</w:t>
      </w:r>
    </w:p>
    <w:p>
      <w:pPr>
        <w:spacing w:after="0" w:line="5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Repairs and Maintenance</w:t>
      </w:r>
    </w:p>
    <w:p>
      <w:pPr>
        <w:spacing w:after="0" w:line="166" w:lineRule="exact"/>
        <w:rPr>
          <w:rFonts w:ascii="Courier New" w:cs="Courier New" w:eastAsia="Courier New" w:hAnsi="Courier New"/>
          <w:sz w:val="15"/>
          <w:szCs w:val="15"/>
          <w:color w:val="auto"/>
        </w:rPr>
      </w:pPr>
    </w:p>
    <w:p>
      <w:pPr>
        <w:ind w:left="620" w:right="3319" w:hanging="175"/>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$2,028,000, $1,338,000, and $1,041,000 in 1997, 1996 and 1995, respectively.</w:t>
      </w:r>
    </w:p>
    <w:p>
      <w:pPr>
        <w:spacing w:after="0" w:line="7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Self-Insurance</w:t>
      </w:r>
    </w:p>
    <w:p>
      <w:pPr>
        <w:spacing w:after="0" w:line="166" w:lineRule="exact"/>
        <w:rPr>
          <w:rFonts w:ascii="Courier New" w:cs="Courier New" w:eastAsia="Courier New" w:hAnsi="Courier New"/>
          <w:sz w:val="15"/>
          <w:szCs w:val="15"/>
          <w:color w:val="auto"/>
        </w:rPr>
      </w:pPr>
    </w:p>
    <w:p>
      <w:pPr>
        <w:ind w:left="620" w:right="3499" w:hanging="175"/>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7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66" w:lineRule="exact"/>
        <w:rPr>
          <w:rFonts w:ascii="Courier New" w:cs="Courier New" w:eastAsia="Courier New" w:hAnsi="Courier New"/>
          <w:sz w:val="15"/>
          <w:szCs w:val="15"/>
          <w:color w:val="auto"/>
        </w:rPr>
      </w:pPr>
    </w:p>
    <w:p>
      <w:pPr>
        <w:ind w:left="620" w:right="3239" w:hanging="175"/>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December 31, 1997, the Company implemented Statement of Financial Accounting Standards No. 128: "Earnings Per Share". This statement establishes standards for computing and presenting earnings per share. Under the new method, basic earnings per share excludes dilution and is computed by dividing income available to common stockholders by the weighted-average number of common shares outstanding for the period.</w:t>
      </w:r>
    </w:p>
    <w:p>
      <w:pPr>
        <w:ind w:left="620" w:right="33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was approximately 34,815,000, 34,093,000, and 33,180,000 in 1997, 1996 and 1995, respectively. Diluted earnings per share reflects the potential dilution that could occur if securities or other contracts to issue common stock were exercised or converted into common stock or resulted in the issuance of common stock that then shared in the earnings of the entity, which primarily includes stock options and restricted stock grants at Gentex. The weighted average number of shares outstanding, including the potential dilution, was approximately 35,981,000, 35,512,000 and 34,255,000 in 1997, 1996 and 1995, respectively. All prior-period earnings per share data presented reflect the methodology described under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61" w:right="1440" w:bottom="1440" w:gutter="0" w:footer="0" w:header="0"/>
        </w:sectPr>
      </w:pPr>
    </w:p>
    <w:bookmarkStart w:id="27" w:name="page28"/>
    <w:bookmarkEnd w:id="27"/>
    <w:p>
      <w:pPr>
        <w:ind w:left="27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7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30" w:right="3939" w:hanging="430"/>
        <w:spacing w:after="0" w:line="475" w:lineRule="auto"/>
        <w:tabs>
          <w:tab w:leader="none" w:pos="4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Foreign Currency Translation</w:t>
      </w:r>
    </w:p>
    <w:p>
      <w:pPr>
        <w:ind w:left="610" w:right="3319" w:hanging="175"/>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position and results of operations of the Company's foreign subsidiary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pacing w:after="0" w:line="81"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w:t>
      </w:r>
    </w:p>
    <w:p>
      <w:pPr>
        <w:spacing w:after="0" w:line="166" w:lineRule="exact"/>
        <w:rPr>
          <w:rFonts w:ascii="Courier New" w:cs="Courier New" w:eastAsia="Courier New" w:hAnsi="Courier New"/>
          <w:sz w:val="15"/>
          <w:szCs w:val="15"/>
          <w:color w:val="auto"/>
        </w:rPr>
      </w:pPr>
    </w:p>
    <w:p>
      <w:pPr>
        <w:ind w:left="610" w:right="3319" w:hanging="175"/>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1"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66" w:lineRule="exact"/>
        <w:rPr>
          <w:rFonts w:ascii="Courier New" w:cs="Courier New" w:eastAsia="Courier New" w:hAnsi="Courier New"/>
          <w:sz w:val="15"/>
          <w:szCs w:val="15"/>
          <w:color w:val="auto"/>
        </w:rPr>
      </w:pPr>
    </w:p>
    <w:p>
      <w:pPr>
        <w:ind w:left="610" w:right="3319" w:hanging="175"/>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available an unsecured $5,000,000 line of credit from a bank at the lower of the bank's prime rate or 1.5% above the LIBOR rate. No borrowings were outstanding under this line in 1997 or 1996. No compensating balances are required under this line.</w:t>
      </w:r>
    </w:p>
    <w:p>
      <w:pPr>
        <w:spacing w:after="0" w:line="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w:t>
      </w:r>
    </w:p>
    <w:p>
      <w:pPr>
        <w:spacing w:after="0" w:line="166" w:lineRule="exact"/>
        <w:rPr>
          <w:rFonts w:ascii="Courier New" w:cs="Courier New" w:eastAsia="Courier New" w:hAnsi="Courier New"/>
          <w:sz w:val="15"/>
          <w:szCs w:val="15"/>
          <w:color w:val="auto"/>
        </w:rPr>
      </w:pPr>
    </w:p>
    <w:p>
      <w:pPr>
        <w:ind w:left="610" w:right="3399" w:hanging="175"/>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recognizes deferred tax liabilities and assets for the expected future tax consequences of events that have been included in the consolidated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w:t>
      </w:r>
    </w:p>
    <w:p>
      <w:pPr>
        <w:spacing w:after="0" w:line="81"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components of the provision for federal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245"/>
        </w:trPr>
        <w:tc>
          <w:tcPr>
            <w:tcW w:w="1580" w:type="dxa"/>
            <w:vAlign w:val="bottom"/>
          </w:tcPr>
          <w:p>
            <w:pPr>
              <w:spacing w:after="0"/>
              <w:rPr>
                <w:sz w:val="21"/>
                <w:szCs w:val="21"/>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$17,249,000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$10,446,000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$9,179,000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(143,000)</w:t>
            </w:r>
          </w:p>
        </w:tc>
      </w:tr>
      <w:tr>
        <w:trPr>
          <w:trHeight w:val="245"/>
        </w:trPr>
        <w:tc>
          <w:tcPr>
            <w:tcW w:w="1580" w:type="dxa"/>
            <w:vAlign w:val="bottom"/>
          </w:tcPr>
          <w:p>
            <w:pPr>
              <w:spacing w:after="0"/>
              <w:rPr>
                <w:sz w:val="21"/>
                <w:szCs w:val="21"/>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259"/>
        </w:trPr>
        <w:tc>
          <w:tcPr>
            <w:tcW w:w="1580" w:type="dxa"/>
            <w:vAlign w:val="bottom"/>
          </w:tcPr>
          <w:p>
            <w:pPr>
              <w:spacing w:after="0"/>
              <w:rPr>
                <w:sz w:val="22"/>
                <w:szCs w:val="22"/>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$16,959,000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$11,519,000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$9,036,000</w:t>
            </w:r>
          </w:p>
        </w:tc>
      </w:tr>
      <w:tr>
        <w:trPr>
          <w:trHeight w:val="245"/>
        </w:trPr>
        <w:tc>
          <w:tcPr>
            <w:tcW w:w="1580" w:type="dxa"/>
            <w:vAlign w:val="bottom"/>
          </w:tcPr>
          <w:p>
            <w:pPr>
              <w:spacing w:after="0"/>
              <w:rPr>
                <w:sz w:val="21"/>
                <w:szCs w:val="21"/>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27" w:lineRule="exact"/>
        <w:rPr>
          <w:sz w:val="20"/>
          <w:szCs w:val="20"/>
          <w:color w:val="auto"/>
        </w:rPr>
      </w:pPr>
    </w:p>
    <w:p>
      <w:pPr>
        <w:ind w:left="610" w:right="3319" w:hanging="174"/>
        <w:spacing w:after="0" w:line="298" w:lineRule="auto"/>
        <w:rPr>
          <w:sz w:val="20"/>
          <w:szCs w:val="20"/>
          <w:color w:val="auto"/>
        </w:rPr>
      </w:pPr>
      <w:r>
        <w:rPr>
          <w:rFonts w:ascii="Courier New" w:cs="Courier New" w:eastAsia="Courier New" w:hAnsi="Courier New"/>
          <w:sz w:val="14"/>
          <w:szCs w:val="14"/>
          <w:color w:val="auto"/>
        </w:rPr>
        <w:t>The currently payable provision is further reduced by the tax benefits associated with the exercise, vesting or disposition of stock under the stock plans described in Note 6. These reductions totaled approximately $3,571,000, $3,284,000, and $1,876,000 in the respective years.</w:t>
      </w:r>
    </w:p>
    <w:p>
      <w:pPr>
        <w:spacing w:after="0" w:line="53" w:lineRule="exact"/>
        <w:rPr>
          <w:sz w:val="20"/>
          <w:szCs w:val="20"/>
          <w:color w:val="auto"/>
        </w:rPr>
      </w:pPr>
    </w:p>
    <w:p>
      <w:pPr>
        <w:ind w:left="610" w:right="3579" w:hanging="174"/>
        <w:spacing w:after="0" w:line="344" w:lineRule="auto"/>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26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(3) FEDERAL INCOME TAXES, continued</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41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160" w:type="dxa"/>
            <w:vAlign w:val="bottom"/>
          </w:tcPr>
          <w:p>
            <w:pPr>
              <w:ind w:left="280"/>
              <w:spacing w:after="0"/>
              <w:rPr>
                <w:sz w:val="20"/>
                <w:szCs w:val="20"/>
                <w:color w:val="auto"/>
              </w:rPr>
            </w:pPr>
            <w:r>
              <w:rPr>
                <w:rFonts w:ascii="Courier New" w:cs="Courier New" w:eastAsia="Courier New" w:hAnsi="Courier New"/>
                <w:sz w:val="15"/>
                <w:szCs w:val="15"/>
                <w:color w:val="auto"/>
              </w:rPr>
              <w:t>Statutory federal income tax rate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Sales Corporation exempted income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Tax-exempt investment income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Effective Income tax rate</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80" w:right="3759"/>
        <w:spacing w:after="0" w:line="385" w:lineRule="auto"/>
        <w:rPr>
          <w:sz w:val="20"/>
          <w:szCs w:val="20"/>
          <w:color w:val="auto"/>
        </w:rPr>
      </w:pPr>
      <w:r>
        <w:rPr>
          <w:rFonts w:ascii="Courier New" w:cs="Courier New" w:eastAsia="Courier New" w:hAnsi="Courier New"/>
          <w:sz w:val="14"/>
          <w:szCs w:val="14"/>
          <w:color w:val="auto"/>
        </w:rPr>
        <w:t>The tax effect of temporary differences which give rise to deferred tax assets and liabilities at December 31, 1997 and 1996, are as follows:</w:t>
      </w:r>
    </w:p>
    <w:p>
      <w:pPr>
        <w:spacing w:after="0" w:line="200" w:lineRule="exact"/>
        <w:rPr>
          <w:sz w:val="20"/>
          <w:szCs w:val="20"/>
          <w:color w:val="auto"/>
        </w:rPr>
      </w:pPr>
    </w:p>
    <w:p>
      <w:pPr>
        <w:spacing w:after="0" w:line="299"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1997</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32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Current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Non-Current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Current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Non-Current</w:t>
            </w: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500,052</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   100,100</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$412,785</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52,500</w:t>
            </w:r>
          </w:p>
        </w:tc>
        <w:tc>
          <w:tcPr>
            <w:tcW w:w="0" w:type="dxa"/>
            <w:vAlign w:val="bottom"/>
          </w:tcPr>
          <w:p>
            <w:pPr>
              <w:spacing w:after="0"/>
              <w:rPr>
                <w:sz w:val="1"/>
                <w:szCs w:val="1"/>
                <w:color w:val="auto"/>
              </w:rPr>
            </w:pP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Accruals not currently deductible</w:t>
            </w:r>
          </w:p>
        </w:tc>
        <w:tc>
          <w:tcPr>
            <w:tcW w:w="3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407,379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452,023</w:t>
            </w:r>
          </w:p>
        </w:tc>
        <w:tc>
          <w:tcPr>
            <w:tcW w:w="0" w:type="dxa"/>
            <w:vAlign w:val="bottom"/>
          </w:tcPr>
          <w:p>
            <w:pPr>
              <w:spacing w:after="0"/>
              <w:rPr>
                <w:sz w:val="1"/>
                <w:szCs w:val="1"/>
                <w:color w:val="auto"/>
              </w:rPr>
            </w:pP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564,325</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44,241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261,413</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17,340</w:t>
            </w:r>
          </w:p>
        </w:tc>
        <w:tc>
          <w:tcPr>
            <w:tcW w:w="0" w:type="dxa"/>
            <w:vAlign w:val="bottom"/>
          </w:tcPr>
          <w:p>
            <w:pPr>
              <w:spacing w:after="0"/>
              <w:rPr>
                <w:sz w:val="1"/>
                <w:szCs w:val="1"/>
                <w:color w:val="auto"/>
              </w:rPr>
            </w:pPr>
          </w:p>
        </w:tc>
      </w:tr>
      <w:tr>
        <w:trPr>
          <w:trHeight w:val="168"/>
        </w:trPr>
        <w:tc>
          <w:tcPr>
            <w:tcW w:w="33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Total deferred tax assets</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3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1,064,377</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551,720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674,198</w:t>
            </w:r>
          </w:p>
        </w:tc>
        <w:tc>
          <w:tcPr>
            <w:tcW w:w="260" w:type="dxa"/>
            <w:vAlign w:val="bottom"/>
          </w:tcPr>
          <w:p>
            <w:pPr>
              <w:spacing w:after="0"/>
              <w:rPr>
                <w:sz w:val="21"/>
                <w:szCs w:val="21"/>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521,863</w:t>
            </w:r>
          </w:p>
        </w:tc>
        <w:tc>
          <w:tcPr>
            <w:tcW w:w="0" w:type="dxa"/>
            <w:vAlign w:val="bottom"/>
          </w:tcPr>
          <w:p>
            <w:pPr>
              <w:spacing w:after="0"/>
              <w:rPr>
                <w:sz w:val="1"/>
                <w:szCs w:val="1"/>
                <w:color w:val="auto"/>
              </w:rPr>
            </w:pPr>
          </w:p>
        </w:tc>
      </w:tr>
      <w:tr>
        <w:trPr>
          <w:trHeight w:val="259"/>
        </w:trPr>
        <w:tc>
          <w:tcPr>
            <w:tcW w:w="3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40" w:type="dxa"/>
            <w:vAlign w:val="bottom"/>
          </w:tcPr>
          <w:p>
            <w:pPr>
              <w:spacing w:after="0"/>
              <w:rPr>
                <w:sz w:val="22"/>
                <w:szCs w:val="22"/>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(1,486,411)</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10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4"/>
              </w:rPr>
              <w:t>(1,046,618)</w:t>
            </w:r>
          </w:p>
        </w:tc>
        <w:tc>
          <w:tcPr>
            <w:tcW w:w="0" w:type="dxa"/>
            <w:vAlign w:val="bottom"/>
          </w:tcPr>
          <w:p>
            <w:pPr>
              <w:spacing w:after="0"/>
              <w:rPr>
                <w:sz w:val="1"/>
                <w:szCs w:val="1"/>
                <w:color w:val="auto"/>
              </w:rPr>
            </w:pP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Excess tax over book depreciation</w:t>
            </w:r>
          </w:p>
        </w:tc>
        <w:tc>
          <w:tcPr>
            <w:tcW w:w="3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Patent costs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(198,633)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(532,476)</w:t>
            </w:r>
          </w:p>
        </w:tc>
        <w:tc>
          <w:tcPr>
            <w:tcW w:w="0" w:type="dxa"/>
            <w:vAlign w:val="bottom"/>
          </w:tcPr>
          <w:p>
            <w:pPr>
              <w:spacing w:after="0"/>
              <w:rPr>
                <w:sz w:val="1"/>
                <w:szCs w:val="1"/>
                <w:color w:val="auto"/>
              </w:rPr>
            </w:pP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(80,756)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(853,122)</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(56,405)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(156,631)</w:t>
            </w:r>
          </w:p>
        </w:tc>
        <w:tc>
          <w:tcPr>
            <w:tcW w:w="0" w:type="dxa"/>
            <w:vAlign w:val="bottom"/>
          </w:tcPr>
          <w:p>
            <w:pPr>
              <w:spacing w:after="0"/>
              <w:rPr>
                <w:sz w:val="1"/>
                <w:szCs w:val="1"/>
                <w:color w:val="auto"/>
              </w:rPr>
            </w:pPr>
          </w:p>
        </w:tc>
      </w:tr>
      <w:tr>
        <w:trPr>
          <w:trHeight w:val="168"/>
        </w:trPr>
        <w:tc>
          <w:tcPr>
            <w:tcW w:w="33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Net deferred taxes</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vMerge w:val="continue"/>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983,621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$(1,986,446)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$ 617,793</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(1,213,862)</w:t>
            </w: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1"/>
                <w:szCs w:val="21"/>
                <w:color w:val="auto"/>
              </w:rPr>
            </w:pPr>
          </w:p>
        </w:tc>
        <w:tc>
          <w:tcPr>
            <w:tcW w:w="12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80" w:right="3579"/>
        <w:spacing w:after="0" w:line="344" w:lineRule="auto"/>
        <w:rPr>
          <w:sz w:val="20"/>
          <w:szCs w:val="20"/>
          <w:color w:val="auto"/>
        </w:rPr>
      </w:pPr>
      <w:r>
        <w:rPr>
          <w:rFonts w:ascii="Courier New" w:cs="Courier New" w:eastAsia="Courier New" w:hAnsi="Courier New"/>
          <w:sz w:val="15"/>
          <w:szCs w:val="15"/>
          <w:color w:val="auto"/>
        </w:rPr>
        <w:t>Income taxes paid in cash were approximately $14,012,000, $6,930,000, and $4,926,000 in 1997, 1996 and 1995, respectively.</w:t>
      </w:r>
    </w:p>
    <w:p>
      <w:pPr>
        <w:spacing w:after="0" w:line="17"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66" w:lineRule="exact"/>
        <w:rPr>
          <w:rFonts w:ascii="Courier New" w:cs="Courier New" w:eastAsia="Courier New" w:hAnsi="Courier New"/>
          <w:sz w:val="15"/>
          <w:szCs w:val="15"/>
          <w:color w:val="auto"/>
        </w:rPr>
      </w:pPr>
    </w:p>
    <w:p>
      <w:pPr>
        <w:ind w:left="620" w:right="3319" w:hanging="175"/>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1997, 1996 and 1995, the Company's contributions were approximately $293,000, $208,000, and $151,000, respectively.</w:t>
      </w:r>
    </w:p>
    <w:p>
      <w:pPr>
        <w:spacing w:after="0" w:line="8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provide health care benefits to retired employees.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66" w:lineRule="exact"/>
        <w:rPr>
          <w:rFonts w:ascii="Courier New" w:cs="Courier New" w:eastAsia="Courier New" w:hAnsi="Courier New"/>
          <w:sz w:val="15"/>
          <w:szCs w:val="15"/>
          <w:color w:val="auto"/>
        </w:rPr>
      </w:pPr>
    </w:p>
    <w:p>
      <w:pPr>
        <w:ind w:left="620" w:right="3679" w:hanging="175"/>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1991, the Company's Board of Directors adopted a Shareholder Protection Rights Plan (the Plan). The Plan is designed to protect shareholders against unsolicited attempts to acquire control of the Company in a manner that does not offer a fair price to all shareholders.</w:t>
      </w:r>
    </w:p>
    <w:p>
      <w:pPr>
        <w:spacing w:after="0" w:line="74" w:lineRule="exact"/>
        <w:rPr>
          <w:rFonts w:ascii="Courier New" w:cs="Courier New" w:eastAsia="Courier New" w:hAnsi="Courier New"/>
          <w:sz w:val="15"/>
          <w:szCs w:val="15"/>
          <w:color w:val="auto"/>
        </w:rPr>
      </w:pPr>
    </w:p>
    <w:p>
      <w:pPr>
        <w:ind w:left="620" w:right="3319" w:hanging="175"/>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$54,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$.0025 per Right and, unless earlier redeemed, will expire on August 26, 2001. Rights beneficially owned by holders of 15 percent or more of the Company's common stock, or their transferees, automatically become void.</w:t>
      </w:r>
    </w:p>
    <w:p>
      <w:pPr>
        <w:spacing w:after="0" w:line="200" w:lineRule="exact"/>
        <w:rPr>
          <w:sz w:val="20"/>
          <w:szCs w:val="20"/>
          <w:color w:val="auto"/>
        </w:rPr>
      </w:pPr>
    </w:p>
    <w:p>
      <w:pPr>
        <w:spacing w:after="0" w:line="2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61" w:right="1440" w:bottom="20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27</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4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BASED COMPENSATION PLANS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three stock option plans, including two employee stock</w:t>
      </w:r>
    </w:p>
    <w:p>
      <w:pPr>
        <w:spacing w:after="0" w:line="24" w:lineRule="exact"/>
        <w:rPr>
          <w:rFonts w:ascii="Courier New" w:cs="Courier New" w:eastAsia="Courier New" w:hAnsi="Courier New"/>
          <w:sz w:val="15"/>
          <w:szCs w:val="15"/>
          <w:color w:val="auto"/>
        </w:rPr>
      </w:pPr>
    </w:p>
    <w:p>
      <w:pPr>
        <w:ind w:left="620" w:right="331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plans ("Employee Plans") and a non-employee directors stock option plan ("Director Plan"), and an employee stock purchase plan. The Company accounts for these plans under APB Opinion No. 25, under which no compensation cost has been recognized. Had compensation cost for these plans been determined consistent with FASB Statement No. 123, the Company's net income and earnings per share would have been reduced to the follow pro-forma amounts:</w:t>
      </w:r>
    </w:p>
    <w:p>
      <w:pPr>
        <w:spacing w:after="0" w:line="200" w:lineRule="exact"/>
        <w:rPr>
          <w:sz w:val="20"/>
          <w:szCs w:val="20"/>
          <w:color w:val="auto"/>
        </w:rPr>
      </w:pPr>
    </w:p>
    <w:p>
      <w:pPr>
        <w:spacing w:after="0" w:line="388"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245"/>
        </w:trPr>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259"/>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35,230,000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23,963,000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18,895,000</w:t>
            </w:r>
          </w:p>
        </w:tc>
      </w:tr>
      <w:tr>
        <w:trPr>
          <w:trHeight w:val="245"/>
        </w:trPr>
        <w:tc>
          <w:tcPr>
            <w:tcW w:w="1320" w:type="dxa"/>
            <w:vAlign w:val="bottom"/>
          </w:tcPr>
          <w:p>
            <w:pPr>
              <w:spacing w:after="0"/>
              <w:rPr>
                <w:sz w:val="21"/>
                <w:szCs w:val="21"/>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16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32,535,000</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21,863,000</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18,237,000</w:t>
            </w:r>
          </w:p>
        </w:tc>
      </w:tr>
      <w:tr>
        <w:trPr>
          <w:trHeight w:val="259"/>
        </w:trPr>
        <w:tc>
          <w:tcPr>
            <w:tcW w:w="1320" w:type="dxa"/>
            <w:vAlign w:val="bottom"/>
          </w:tcPr>
          <w:p>
            <w:pPr>
              <w:spacing w:after="0"/>
              <w:rPr>
                <w:sz w:val="20"/>
                <w:szCs w:val="20"/>
                <w:color w:val="auto"/>
              </w:rPr>
            </w:pPr>
            <w:r>
              <w:rPr>
                <w:rFonts w:ascii="Courier New" w:cs="Courier New" w:eastAsia="Courier New" w:hAnsi="Courier New"/>
                <w:sz w:val="15"/>
                <w:szCs w:val="15"/>
                <w:color w:val="auto"/>
              </w:rPr>
              <w:t>EPS (diluted):</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245"/>
        </w:trPr>
        <w:tc>
          <w:tcPr>
            <w:tcW w:w="1320" w:type="dxa"/>
            <w:vAlign w:val="bottom"/>
          </w:tcPr>
          <w:p>
            <w:pPr>
              <w:spacing w:after="0"/>
              <w:rPr>
                <w:sz w:val="21"/>
                <w:szCs w:val="21"/>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16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0.90</w:t>
            </w:r>
          </w:p>
        </w:tc>
        <w:tc>
          <w:tcPr>
            <w:tcW w:w="180" w:type="dxa"/>
            <w:vAlign w:val="bottom"/>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0.62</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bl>
    <w:p>
      <w:pPr>
        <w:spacing w:after="0" w:line="200" w:lineRule="exact"/>
        <w:rPr>
          <w:sz w:val="20"/>
          <w:szCs w:val="20"/>
          <w:color w:val="auto"/>
        </w:rPr>
      </w:pPr>
    </w:p>
    <w:p>
      <w:pPr>
        <w:spacing w:after="0" w:line="227" w:lineRule="exact"/>
        <w:rPr>
          <w:sz w:val="20"/>
          <w:szCs w:val="20"/>
          <w:color w:val="auto"/>
        </w:rPr>
      </w:pPr>
    </w:p>
    <w:p>
      <w:pPr>
        <w:ind w:left="620" w:right="3579" w:hanging="174"/>
        <w:spacing w:after="0" w:line="273" w:lineRule="auto"/>
        <w:rPr>
          <w:sz w:val="20"/>
          <w:szCs w:val="20"/>
          <w:color w:val="auto"/>
        </w:rPr>
      </w:pPr>
      <w:r>
        <w:rPr>
          <w:rFonts w:ascii="Courier New" w:cs="Courier New" w:eastAsia="Courier New" w:hAnsi="Courier New"/>
          <w:sz w:val="15"/>
          <w:szCs w:val="15"/>
          <w:color w:val="auto"/>
        </w:rPr>
        <w:t>Because the Statement 123 method of accounting has not been applied to options granted prior to January 1, 1995, the resulting pro forma compensation cost may not be representative of that to be expected in future years.</w:t>
      </w:r>
    </w:p>
    <w:p>
      <w:pPr>
        <w:spacing w:after="0" w:line="68" w:lineRule="exact"/>
        <w:rPr>
          <w:sz w:val="20"/>
          <w:szCs w:val="20"/>
          <w:color w:val="auto"/>
        </w:rPr>
      </w:pPr>
    </w:p>
    <w:p>
      <w:pPr>
        <w:ind w:left="620" w:right="3399" w:hanging="174"/>
        <w:spacing w:after="0" w:line="255" w:lineRule="auto"/>
        <w:rPr>
          <w:sz w:val="20"/>
          <w:szCs w:val="20"/>
          <w:color w:val="auto"/>
        </w:rPr>
      </w:pPr>
      <w:r>
        <w:rPr>
          <w:rFonts w:ascii="Courier New" w:cs="Courier New" w:eastAsia="Courier New" w:hAnsi="Courier New"/>
          <w:sz w:val="15"/>
          <w:szCs w:val="15"/>
          <w:color w:val="auto"/>
        </w:rPr>
        <w:t>The Company may sell up to 800,000 shares of stock to its employees under the Employee Stock Purchase Plan. The Company has sold to employees 35,102 shares, 31,893 shares, and 36,132 shares in 1997, 1996 and 1995, respectively, and has sold a total of 156,197 shares through December 31, 1997. The Company sells shares at 85% of the stock's market price at date of purchase. The weighted average fair value of shares sold in 1997 was approximately $22.</w:t>
      </w:r>
    </w:p>
    <w:p>
      <w:pPr>
        <w:spacing w:after="0" w:line="82" w:lineRule="exact"/>
        <w:rPr>
          <w:sz w:val="20"/>
          <w:szCs w:val="20"/>
          <w:color w:val="auto"/>
        </w:rPr>
      </w:pPr>
    </w:p>
    <w:p>
      <w:pPr>
        <w:ind w:left="620" w:right="3499" w:hanging="174"/>
        <w:spacing w:after="0" w:line="258" w:lineRule="auto"/>
        <w:rPr>
          <w:sz w:val="20"/>
          <w:szCs w:val="20"/>
          <w:color w:val="auto"/>
        </w:rPr>
      </w:pPr>
      <w:r>
        <w:rPr>
          <w:rFonts w:ascii="Courier New" w:cs="Courier New" w:eastAsia="Courier New" w:hAnsi="Courier New"/>
          <w:sz w:val="15"/>
          <w:szCs w:val="15"/>
          <w:color w:val="auto"/>
        </w:rPr>
        <w:t>The Company may grant options for up to 9,708,000 shares under the Employee Plans. The Company has granted options on 6,864,500 shares through December 31, 1997. Under the Plans, the option exercise price equals the stock's market price on date of grant. The Employee Plan options vest after one to five years, and expire after five to seven years.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gridSpan w:val="6"/>
          </w:tcPr>
          <w:p>
            <w:pPr>
              <w:ind w:left="440"/>
              <w:spacing w:after="0"/>
              <w:rPr>
                <w:sz w:val="20"/>
                <w:szCs w:val="20"/>
                <w:color w:val="auto"/>
              </w:rPr>
            </w:pPr>
            <w:r>
              <w:rPr>
                <w:rFonts w:ascii="Courier New" w:cs="Courier New" w:eastAsia="Courier New" w:hAnsi="Courier New"/>
                <w:sz w:val="15"/>
                <w:szCs w:val="15"/>
                <w:color w:val="auto"/>
                <w:w w:val="97"/>
              </w:rPr>
              <w:t>A summary of the status of the Company's two employee stock option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7"/>
              </w:rPr>
              <w:t>plans at December 31, 1997,</w:t>
            </w:r>
          </w:p>
        </w:tc>
        <w:tc>
          <w:tcPr>
            <w:tcW w:w="3940" w:type="dxa"/>
            <w:vAlign w:val="bottom"/>
            <w:gridSpan w:val="6"/>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1996 and 1995, and changes during the years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6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then ended is presented in the table and narrative below:</w:t>
            </w: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1997</w:t>
            </w:r>
          </w:p>
        </w:tc>
        <w:tc>
          <w:tcPr>
            <w:tcW w:w="660" w:type="dxa"/>
            <w:vAlign w:val="bottom"/>
          </w:tcPr>
          <w:p>
            <w:pPr>
              <w:spacing w:after="0"/>
              <w:rPr>
                <w:sz w:val="24"/>
                <w:szCs w:val="24"/>
                <w:color w:val="auto"/>
              </w:rPr>
            </w:pP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1996</w:t>
            </w:r>
          </w:p>
        </w:tc>
        <w:tc>
          <w:tcPr>
            <w:tcW w:w="660" w:type="dxa"/>
            <w:vAlign w:val="bottom"/>
          </w:tcPr>
          <w:p>
            <w:pPr>
              <w:spacing w:after="0"/>
              <w:rPr>
                <w:sz w:val="24"/>
                <w:szCs w:val="24"/>
                <w:color w:val="auto"/>
              </w:rPr>
            </w:pPr>
          </w:p>
        </w:tc>
        <w:tc>
          <w:tcPr>
            <w:tcW w:w="15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68"/>
        </w:trPr>
        <w:tc>
          <w:tcPr>
            <w:tcW w:w="4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3500" w:type="dxa"/>
            <w:vAlign w:val="bottom"/>
            <w:gridSpan w:val="2"/>
          </w:tcPr>
          <w:p>
            <w:pPr>
              <w:ind w:left="2980"/>
              <w:spacing w:after="0" w:line="168" w:lineRule="exact"/>
              <w:rPr>
                <w:sz w:val="20"/>
                <w:szCs w:val="20"/>
                <w:color w:val="auto"/>
              </w:rPr>
            </w:pPr>
            <w:r>
              <w:rPr>
                <w:rFonts w:ascii="Courier New" w:cs="Courier New" w:eastAsia="Courier New" w:hAnsi="Courier New"/>
                <w:sz w:val="15"/>
                <w:szCs w:val="15"/>
                <w:color w:val="auto"/>
                <w:w w:val="92"/>
              </w:rPr>
              <w:t>Shares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Wtd. Avg.</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Wtd. Avg.</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Wtd. Avg.</w:t>
            </w:r>
          </w:p>
        </w:tc>
        <w:tc>
          <w:tcPr>
            <w:tcW w:w="0" w:type="dxa"/>
            <w:vAlign w:val="bottom"/>
          </w:tcPr>
          <w:p>
            <w:pPr>
              <w:spacing w:after="0"/>
              <w:rPr>
                <w:sz w:val="1"/>
                <w:szCs w:val="1"/>
                <w:color w:val="auto"/>
              </w:rPr>
            </w:pPr>
          </w:p>
        </w:tc>
      </w:tr>
      <w:tr>
        <w:trPr>
          <w:trHeight w:val="168"/>
        </w:trPr>
        <w:tc>
          <w:tcPr>
            <w:tcW w:w="3500" w:type="dxa"/>
            <w:vAlign w:val="bottom"/>
            <w:gridSpan w:val="2"/>
          </w:tcPr>
          <w:p>
            <w:pPr>
              <w:ind w:left="2980"/>
              <w:spacing w:after="0" w:line="168" w:lineRule="exact"/>
              <w:rPr>
                <w:sz w:val="20"/>
                <w:szCs w:val="20"/>
                <w:color w:val="auto"/>
              </w:rPr>
            </w:pPr>
            <w:r>
              <w:rPr>
                <w:rFonts w:ascii="Courier New" w:cs="Courier New" w:eastAsia="Courier New" w:hAnsi="Courier New"/>
                <w:sz w:val="15"/>
                <w:szCs w:val="15"/>
                <w:color w:val="auto"/>
              </w:rPr>
              <w:t>(000)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 price</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10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Ex price</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(000)</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 price</w:t>
            </w:r>
          </w:p>
        </w:tc>
        <w:tc>
          <w:tcPr>
            <w:tcW w:w="0" w:type="dxa"/>
            <w:vAlign w:val="bottom"/>
          </w:tcPr>
          <w:p>
            <w:pPr>
              <w:spacing w:after="0"/>
              <w:rPr>
                <w:sz w:val="1"/>
                <w:szCs w:val="1"/>
                <w:color w:val="auto"/>
              </w:rPr>
            </w:pPr>
          </w:p>
        </w:tc>
      </w:tr>
      <w:tr>
        <w:trPr>
          <w:trHeight w:val="245"/>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0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2,529</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2,910</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18</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642</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15</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6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11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2,353</w:t>
            </w:r>
          </w:p>
        </w:tc>
        <w:tc>
          <w:tcPr>
            <w:tcW w:w="1020" w:type="dxa"/>
            <w:vAlign w:val="bottom"/>
            <w:vMerge w:val="continue"/>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2,529</w:t>
            </w:r>
          </w:p>
        </w:tc>
        <w:tc>
          <w:tcPr>
            <w:tcW w:w="4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2,899</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6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w:t>
            </w:r>
          </w:p>
        </w:tc>
        <w:tc>
          <w:tcPr>
            <w:tcW w:w="1020" w:type="dxa"/>
            <w:vAlign w:val="bottom"/>
            <w:vMerge w:val="continue"/>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1,010</w:t>
            </w:r>
          </w:p>
        </w:tc>
        <w:tc>
          <w:tcPr>
            <w:tcW w:w="4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1,204</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Avg. Fair Value</w:t>
            </w:r>
          </w:p>
        </w:tc>
        <w:tc>
          <w:tcPr>
            <w:tcW w:w="480" w:type="dxa"/>
            <w:vAlign w:val="bottom"/>
          </w:tcPr>
          <w:p>
            <w:pPr>
              <w:spacing w:after="0"/>
              <w:rPr>
                <w:sz w:val="14"/>
                <w:szCs w:val="1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rPr>
                <w:sz w:val="14"/>
                <w:szCs w:val="14"/>
                <w:color w:val="auto"/>
              </w:rPr>
            </w:pPr>
          </w:p>
        </w:tc>
        <w:tc>
          <w:tcPr>
            <w:tcW w:w="8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$ 6</w:t>
            </w:r>
          </w:p>
        </w:tc>
        <w:tc>
          <w:tcPr>
            <w:tcW w:w="0" w:type="dxa"/>
            <w:vAlign w:val="bottom"/>
          </w:tcPr>
          <w:p>
            <w:pPr>
              <w:spacing w:after="0"/>
              <w:rPr>
                <w:sz w:val="1"/>
                <w:szCs w:val="1"/>
                <w:color w:val="auto"/>
              </w:rPr>
            </w:pPr>
          </w:p>
        </w:tc>
      </w:tr>
      <w:tr>
        <w:trPr>
          <w:trHeight w:val="245"/>
        </w:trPr>
        <w:tc>
          <w:tcPr>
            <w:tcW w:w="3020" w:type="dxa"/>
            <w:vAlign w:val="bottom"/>
          </w:tcPr>
          <w:p>
            <w:pPr>
              <w:ind w:left="100"/>
              <w:spacing w:after="0"/>
              <w:rPr>
                <w:sz w:val="20"/>
                <w:szCs w:val="20"/>
                <w:color w:val="auto"/>
              </w:rPr>
            </w:pPr>
            <w:r>
              <w:rPr>
                <w:rFonts w:ascii="Courier New" w:cs="Courier New" w:eastAsia="Courier New" w:hAnsi="Courier New"/>
                <w:sz w:val="15"/>
                <w:szCs w:val="15"/>
                <w:color w:val="auto"/>
              </w:rPr>
              <w:t>of Options Granted</w:t>
            </w:r>
          </w:p>
        </w:tc>
        <w:tc>
          <w:tcPr>
            <w:tcW w:w="4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20" w:right="3319" w:hanging="436"/>
        <w:spacing w:after="0" w:line="273" w:lineRule="auto"/>
        <w:rPr>
          <w:sz w:val="20"/>
          <w:szCs w:val="20"/>
          <w:color w:val="auto"/>
        </w:rPr>
      </w:pPr>
      <w:r>
        <w:rPr>
          <w:rFonts w:ascii="Courier New" w:cs="Courier New" w:eastAsia="Courier New" w:hAnsi="Courier New"/>
          <w:sz w:val="14"/>
          <w:szCs w:val="14"/>
          <w:color w:val="auto"/>
        </w:rPr>
        <w:t>1,362 of the 2,353 options outstanding at December 31, 1997, have exercise prices between $1 and $14, with a weighted average exercise price of $11 and a weighted average remaining contractual life of 2 years. 871 of these options are exercisable; their weighted average exercise price is $10. The remaining 991 options have exercise prices between $15 and $26, with a weighted average exercise price of $20 and a weighted average remaining contractual life of 4 years. 161 of these options are exercisable; their weighted average exercise price is $18.</w:t>
      </w:r>
    </w:p>
    <w:p>
      <w:pPr>
        <w:spacing w:after="0" w:line="71" w:lineRule="exact"/>
        <w:rPr>
          <w:sz w:val="20"/>
          <w:szCs w:val="20"/>
          <w:color w:val="auto"/>
        </w:rPr>
      </w:pPr>
    </w:p>
    <w:p>
      <w:pPr>
        <w:ind w:left="620" w:right="3679" w:hanging="436"/>
        <w:spacing w:after="0" w:line="25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weighted-average assumptions used for grants in 1997, 1996 and 1995, respectively: risk-free interest rates of 6.2, 6.4 and 6.2 percent; expected dividend yields of 0.0, 0.0 and 0.0 percent; expected lives ranging from 5 to 7 years, 5 to 7 years and 4 to 7 years; expected volatility of 118, 47 and 54 percent.</w:t>
      </w:r>
    </w:p>
    <w:p>
      <w:pPr>
        <w:spacing w:after="0" w:line="8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61" w:right="1440" w:bottom="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28</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BASED COMPENSATION PLANS</w:t>
      </w:r>
    </w:p>
    <w:p>
      <w:pPr>
        <w:spacing w:after="0" w:line="166" w:lineRule="exact"/>
        <w:rPr>
          <w:rFonts w:ascii="Courier New" w:cs="Courier New" w:eastAsia="Courier New" w:hAnsi="Courier New"/>
          <w:sz w:val="15"/>
          <w:szCs w:val="15"/>
          <w:color w:val="auto"/>
        </w:rPr>
      </w:pPr>
    </w:p>
    <w:p>
      <w:pPr>
        <w:ind w:left="620" w:right="3679" w:hanging="175"/>
        <w:spacing w:after="0" w:line="28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may grant options for up to 1,000,000 shares under the Director Plan. The Company has granted options on 508,000 shares through December 31, 1997. Under the plan the option exercise price equals the stock's market price on date of grant. The Director Plan options vest after six months, and all expire after ten years.</w:t>
      </w:r>
    </w:p>
    <w:p>
      <w:pPr>
        <w:spacing w:after="0" w:line="60" w:lineRule="exact"/>
        <w:rPr>
          <w:rFonts w:ascii="Courier New" w:cs="Courier New" w:eastAsia="Courier New" w:hAnsi="Courier New"/>
          <w:sz w:val="15"/>
          <w:szCs w:val="15"/>
          <w:color w:val="auto"/>
        </w:rPr>
      </w:pPr>
    </w:p>
    <w:p>
      <w:pPr>
        <w:ind w:left="620" w:right="3579" w:hanging="175"/>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Director Plan at December 31, 1997, 1996 and 1995, and changes during the years then ended is presented in the table and narrative below:</w:t>
      </w:r>
    </w:p>
    <w:p>
      <w:pPr>
        <w:spacing w:after="0" w:line="200" w:lineRule="exact"/>
        <w:rPr>
          <w:sz w:val="20"/>
          <w:szCs w:val="20"/>
          <w:color w:val="auto"/>
        </w:rPr>
      </w:pPr>
    </w:p>
    <w:p>
      <w:pPr>
        <w:spacing w:after="0" w:line="360" w:lineRule="exact"/>
        <w:rPr>
          <w:sz w:val="20"/>
          <w:szCs w:val="20"/>
          <w:color w:val="auto"/>
        </w:rPr>
      </w:pPr>
    </w:p>
    <w:tbl>
      <w:tblPr>
        <w:tblLayout w:type="fixed"/>
        <w:tblInd w:w="3680" w:type="dxa"/>
        <w:tblCellMar>
          <w:top w:w="0" w:type="dxa"/>
          <w:left w:w="0" w:type="dxa"/>
          <w:bottom w:w="0" w:type="dxa"/>
          <w:right w:w="0" w:type="dxa"/>
        </w:tblCellMar>
      </w:tblPr>
      <w:tr>
        <w:trPr>
          <w:trHeight w:val="170"/>
        </w:trPr>
        <w:tc>
          <w:tcPr>
            <w:tcW w:w="1580" w:type="dxa"/>
            <w:vAlign w:val="bottom"/>
          </w:tcPr>
          <w:p>
            <w:pPr>
              <w:jc w:val="right"/>
              <w:ind w:right="717"/>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68"/>
        </w:trPr>
        <w:tc>
          <w:tcPr>
            <w:tcW w:w="15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75"/>
                <w:vertAlign w:val="subscript"/>
              </w:rPr>
              <w:t>Shares</w:t>
            </w:r>
            <w:r>
              <w:rPr>
                <w:rFonts w:ascii="Courier New" w:cs="Courier New" w:eastAsia="Courier New" w:hAnsi="Courier New"/>
                <w:sz w:val="10"/>
                <w:szCs w:val="10"/>
                <w:color w:val="auto"/>
                <w:w w:val="75"/>
              </w:rPr>
              <w:t>-----------------</w:t>
            </w:r>
            <w:r>
              <w:rPr>
                <w:rFonts w:ascii="Courier New" w:cs="Courier New" w:eastAsia="Courier New" w:hAnsi="Courier New"/>
                <w:sz w:val="17"/>
                <w:szCs w:val="17"/>
                <w:color w:val="auto"/>
                <w:w w:val="75"/>
                <w:vertAlign w:val="subscript"/>
              </w:rPr>
              <w:t>Wtd.Avg.</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94"/>
        </w:trPr>
        <w:tc>
          <w:tcPr>
            <w:tcW w:w="1580" w:type="dxa"/>
            <w:vAlign w:val="bottom"/>
            <w:vMerge w:val="continue"/>
          </w:tcPr>
          <w:p>
            <w:pPr>
              <w:spacing w:after="0"/>
              <w:rPr>
                <w:sz w:val="16"/>
                <w:szCs w:val="16"/>
                <w:color w:val="auto"/>
              </w:rPr>
            </w:pP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Shares  Wtd. Avg.</w:t>
            </w:r>
          </w:p>
        </w:tc>
        <w:tc>
          <w:tcPr>
            <w:tcW w:w="1580" w:type="dxa"/>
            <w:vAlign w:val="bottom"/>
          </w:tcPr>
          <w:p>
            <w:pPr>
              <w:ind w:left="80"/>
              <w:spacing w:after="0"/>
              <w:rPr>
                <w:sz w:val="20"/>
                <w:szCs w:val="20"/>
                <w:color w:val="auto"/>
              </w:rPr>
            </w:pPr>
            <w:r>
              <w:rPr>
                <w:rFonts w:ascii="Courier New" w:cs="Courier New" w:eastAsia="Courier New" w:hAnsi="Courier New"/>
                <w:sz w:val="15"/>
                <w:szCs w:val="15"/>
                <w:color w:val="auto"/>
                <w:w w:val="96"/>
              </w:rPr>
              <w:t>Shares  Wtd. Avg.</w:t>
            </w:r>
          </w:p>
        </w:tc>
        <w:tc>
          <w:tcPr>
            <w:tcW w:w="0" w:type="dxa"/>
            <w:vAlign w:val="bottom"/>
          </w:tcPr>
          <w:p>
            <w:pPr>
              <w:spacing w:after="0"/>
              <w:rPr>
                <w:sz w:val="1"/>
                <w:szCs w:val="1"/>
                <w:color w:val="auto"/>
              </w:rPr>
            </w:pPr>
          </w:p>
        </w:tc>
      </w:tr>
    </w:tbl>
    <w:p>
      <w:pPr>
        <w:ind w:left="4480" w:hanging="709"/>
        <w:spacing w:after="0"/>
        <w:tabs>
          <w:tab w:leader="none" w:pos="44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 price   (000)   Ex price   (000)   Ex price</w:t>
      </w:r>
    </w:p>
    <w:p>
      <w:pPr>
        <w:spacing w:after="0" w:line="9" w:lineRule="exact"/>
        <w:rPr>
          <w:rFonts w:ascii="Courier New" w:cs="Courier New" w:eastAsia="Courier New" w:hAnsi="Courier New"/>
          <w:sz w:val="14"/>
          <w:szCs w:val="14"/>
          <w:color w:val="auto"/>
        </w:rPr>
      </w:pPr>
    </w:p>
    <w:p>
      <w:pPr>
        <w:ind w:left="3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5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Outstanding at Beginning of Year</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284</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$ 6</w:t>
            </w:r>
          </w:p>
        </w:tc>
        <w:tc>
          <w:tcPr>
            <w:tcW w:w="0" w:type="dxa"/>
            <w:vAlign w:val="bottom"/>
          </w:tcPr>
          <w:p>
            <w:pPr>
              <w:spacing w:after="0"/>
              <w:rPr>
                <w:sz w:val="1"/>
                <w:szCs w:val="1"/>
                <w:color w:val="auto"/>
              </w:rPr>
            </w:pP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4"/>
                <w:szCs w:val="14"/>
                <w:color w:val="auto"/>
              </w:rPr>
            </w:pP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77"/>
              </w:rPr>
              <w:t>18</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4"/>
                <w:szCs w:val="14"/>
                <w:color w:val="auto"/>
              </w:rPr>
            </w:pP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80" w:type="dxa"/>
            <w:vAlign w:val="bottom"/>
            <w:vMerge w:val="restart"/>
          </w:tcPr>
          <w:p>
            <w:pPr>
              <w:spacing w:after="0"/>
              <w:rPr>
                <w:sz w:val="20"/>
                <w:szCs w:val="20"/>
                <w:color w:val="auto"/>
              </w:rPr>
            </w:pPr>
            <w:r>
              <w:rPr>
                <w:rFonts w:ascii="Courier New" w:cs="Courier New" w:eastAsia="Courier New" w:hAnsi="Courier New"/>
                <w:sz w:val="15"/>
                <w:szCs w:val="15"/>
                <w:color w:val="auto"/>
              </w:rPr>
              <w:t>Outstanding at End of Year</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2880" w:type="dxa"/>
            <w:vAlign w:val="bottom"/>
            <w:vMerge w:val="continue"/>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w:t>
            </w:r>
          </w:p>
        </w:tc>
        <w:tc>
          <w:tcPr>
            <w:tcW w:w="740" w:type="dxa"/>
            <w:vAlign w:val="bottom"/>
            <w:vMerge w:val="continue"/>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w:t>
            </w:r>
          </w:p>
        </w:tc>
        <w:tc>
          <w:tcPr>
            <w:tcW w:w="3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vMerge w:val="restart"/>
          </w:tcPr>
          <w:p>
            <w:pPr>
              <w:spacing w:after="0"/>
              <w:rPr>
                <w:sz w:val="20"/>
                <w:szCs w:val="20"/>
                <w:color w:val="auto"/>
              </w:rPr>
            </w:pPr>
            <w:r>
              <w:rPr>
                <w:rFonts w:ascii="Courier New" w:cs="Courier New" w:eastAsia="Courier New" w:hAnsi="Courier New"/>
                <w:sz w:val="15"/>
                <w:szCs w:val="15"/>
                <w:color w:val="auto"/>
              </w:rPr>
              <w:t>Exercisable at End of Year</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2880" w:type="dxa"/>
            <w:vAlign w:val="bottom"/>
            <w:vMerge w:val="continue"/>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w:t>
            </w:r>
          </w:p>
        </w:tc>
        <w:tc>
          <w:tcPr>
            <w:tcW w:w="740" w:type="dxa"/>
            <w:vAlign w:val="bottom"/>
            <w:vMerge w:val="continue"/>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w:t>
            </w:r>
          </w:p>
        </w:tc>
        <w:tc>
          <w:tcPr>
            <w:tcW w:w="3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Avg. Fair Value</w:t>
            </w:r>
          </w:p>
        </w:tc>
        <w:tc>
          <w:tcPr>
            <w:tcW w:w="980" w:type="dxa"/>
            <w:vAlign w:val="bottom"/>
          </w:tcPr>
          <w:p>
            <w:pPr>
              <w:spacing w:after="0"/>
              <w:rPr>
                <w:sz w:val="14"/>
                <w:szCs w:val="14"/>
                <w:color w:val="auto"/>
              </w:rPr>
            </w:pPr>
          </w:p>
        </w:tc>
        <w:tc>
          <w:tcPr>
            <w:tcW w:w="7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86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77"/>
              </w:rPr>
              <w:t>13</w:t>
            </w:r>
          </w:p>
        </w:tc>
        <w:tc>
          <w:tcPr>
            <w:tcW w:w="9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$ 7</w:t>
            </w:r>
          </w:p>
        </w:tc>
        <w:tc>
          <w:tcPr>
            <w:tcW w:w="0" w:type="dxa"/>
            <w:vAlign w:val="bottom"/>
          </w:tcPr>
          <w:p>
            <w:pPr>
              <w:spacing w:after="0"/>
              <w:rPr>
                <w:sz w:val="1"/>
                <w:szCs w:val="1"/>
                <w:color w:val="auto"/>
              </w:rPr>
            </w:pPr>
          </w:p>
        </w:tc>
      </w:tr>
      <w:tr>
        <w:trPr>
          <w:trHeight w:val="245"/>
        </w:trPr>
        <w:tc>
          <w:tcPr>
            <w:tcW w:w="2880" w:type="dxa"/>
            <w:vAlign w:val="bottom"/>
          </w:tcPr>
          <w:p>
            <w:pPr>
              <w:ind w:left="80"/>
              <w:spacing w:after="0"/>
              <w:rPr>
                <w:sz w:val="20"/>
                <w:szCs w:val="20"/>
                <w:color w:val="auto"/>
              </w:rPr>
            </w:pPr>
            <w:r>
              <w:rPr>
                <w:rFonts w:ascii="Courier New" w:cs="Courier New" w:eastAsia="Courier New" w:hAnsi="Courier New"/>
                <w:sz w:val="15"/>
                <w:szCs w:val="15"/>
                <w:color w:val="auto"/>
              </w:rPr>
              <w:t>of Options Granted</w:t>
            </w:r>
          </w:p>
        </w:tc>
        <w:tc>
          <w:tcPr>
            <w:tcW w:w="9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620" w:right="3579" w:hanging="339"/>
        <w:spacing w:after="0" w:line="273" w:lineRule="auto"/>
        <w:tabs>
          <w:tab w:leader="none" w:pos="600" w:val="left"/>
        </w:tabs>
        <w:rPr>
          <w:sz w:val="20"/>
          <w:szCs w:val="20"/>
          <w:color w:val="auto"/>
        </w:rPr>
      </w:pPr>
      <w:r>
        <w:rPr>
          <w:rFonts w:ascii="Courier New" w:cs="Courier New" w:eastAsia="Courier New" w:hAnsi="Courier New"/>
          <w:sz w:val="15"/>
          <w:szCs w:val="15"/>
          <w:color w:val="auto"/>
        </w:rPr>
        <w:t>The</w:t>
        <w:tab/>
        <w:t>274 options outstanding at December 31, 1997, have exercise prices between $1 and $19 with a weighted average exercise price of $9 and a weighted average remaining contractual life of 5 years. All of these options are exercisable.</w:t>
      </w:r>
    </w:p>
    <w:p>
      <w:pPr>
        <w:spacing w:after="0" w:line="68" w:lineRule="exact"/>
        <w:rPr>
          <w:sz w:val="20"/>
          <w:szCs w:val="20"/>
          <w:color w:val="auto"/>
        </w:rPr>
      </w:pPr>
    </w:p>
    <w:p>
      <w:pPr>
        <w:ind w:left="620" w:right="3399" w:hanging="339"/>
        <w:spacing w:after="0" w:line="258" w:lineRule="auto"/>
        <w:tabs>
          <w:tab w:leader="none" w:pos="600" w:val="left"/>
        </w:tabs>
        <w:rPr>
          <w:sz w:val="20"/>
          <w:szCs w:val="20"/>
          <w:color w:val="auto"/>
        </w:rPr>
      </w:pPr>
      <w:r>
        <w:rPr>
          <w:rFonts w:ascii="Courier New" w:cs="Courier New" w:eastAsia="Courier New" w:hAnsi="Courier New"/>
          <w:sz w:val="15"/>
          <w:szCs w:val="15"/>
          <w:color w:val="auto"/>
        </w:rPr>
        <w:t>The</w:t>
        <w:tab/>
        <w:t>fair value of each option grant is estimated on the date of grant using the Black-Scholes option pricing model with the following weighted-average assumptions used for grants in 1997, 1996 and 1995, respectively: risk-free interest rates of 6.7, 6.8 and 6.7 percent; expected dividend yields of 0.0, 0.0 and 0.0 percent; expected lives of 5, 10 and 10 years; expected volatility of 118, 47 and 54 percent.</w:t>
      </w:r>
    </w:p>
    <w:p>
      <w:pPr>
        <w:spacing w:after="0" w:line="81" w:lineRule="exact"/>
        <w:rPr>
          <w:sz w:val="20"/>
          <w:szCs w:val="20"/>
          <w:color w:val="auto"/>
        </w:rPr>
      </w:pPr>
    </w:p>
    <w:p>
      <w:pPr>
        <w:ind w:left="620" w:right="3399" w:hanging="339"/>
        <w:spacing w:after="0" w:line="244" w:lineRule="auto"/>
        <w:tabs>
          <w:tab w:leader="none" w:pos="600" w:val="left"/>
        </w:tabs>
        <w:rPr>
          <w:sz w:val="20"/>
          <w:szCs w:val="20"/>
          <w:color w:val="auto"/>
        </w:rPr>
      </w:pPr>
      <w:r>
        <w:rPr>
          <w:rFonts w:ascii="Courier New" w:cs="Courier New" w:eastAsia="Courier New" w:hAnsi="Courier New"/>
          <w:sz w:val="15"/>
          <w:szCs w:val="15"/>
          <w:color w:val="auto"/>
        </w:rPr>
        <w:t>The</w:t>
        <w:tab/>
        <w:t>Company has a restricted stock plan covering 800,000 shares of common stock, the purpose of which is to permit grants of shares, subject to restrictions, to key employees of the Company as a means of retaining and rewarding them for long-term performance and to increase their ownership in the Company. Shares awarded under the plans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1997, 1996 and 1995, 37,500, 35,000 and 101,600 shares, respectively, were granted with restriction periods of four to six years at market prices ranging from $20.125 to $25.875 in 1997, $20.125 to $21.875 in 1996, and $9.75 to $11.94 in 1995. The related expense is reflected as deferred compensation in the accompanying consolidated financial statements and is being amortized over the applicable restriction periods.</w:t>
      </w:r>
    </w:p>
    <w:p>
      <w:pPr>
        <w:spacing w:after="0" w:line="95"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166" w:lineRule="exact"/>
        <w:rPr>
          <w:rFonts w:ascii="Courier New" w:cs="Courier New" w:eastAsia="Courier New" w:hAnsi="Courier New"/>
          <w:sz w:val="15"/>
          <w:szCs w:val="15"/>
          <w:color w:val="auto"/>
        </w:rPr>
      </w:pPr>
    </w:p>
    <w:p>
      <w:pPr>
        <w:ind w:left="620" w:right="3319" w:hanging="175"/>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May 9, 1996, the Company's Board of Directors declared a two-for-one stock split effected in the form of a 100% common stock dividend to shareholders of record on May 31, 1996. The stock split increased the number of shares of common stock then outstanding from 17,219,669 to 34,439,338. Earnings per share and all share data have been restated in all prior periods to reflect this stock split.</w:t>
      </w:r>
    </w:p>
    <w:p>
      <w:pPr>
        <w:spacing w:after="0" w:line="81"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66" w:lineRule="exact"/>
        <w:rPr>
          <w:rFonts w:ascii="Courier New" w:cs="Courier New" w:eastAsia="Courier New" w:hAnsi="Courier New"/>
          <w:sz w:val="15"/>
          <w:szCs w:val="15"/>
          <w:color w:val="auto"/>
        </w:rPr>
      </w:pPr>
    </w:p>
    <w:p>
      <w:pPr>
        <w:ind w:left="620" w:right="3939" w:hanging="175"/>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involved in patent litigation with Donnelly Corporation since 1990 concerning a number of patents relating to electrochromic mirrors owned by the Company and Donnelly.</w:t>
      </w:r>
    </w:p>
    <w:p>
      <w:pPr>
        <w:spacing w:after="0" w:line="56" w:lineRule="exact"/>
        <w:rPr>
          <w:rFonts w:ascii="Courier New" w:cs="Courier New" w:eastAsia="Courier New" w:hAnsi="Courier New"/>
          <w:sz w:val="15"/>
          <w:szCs w:val="15"/>
          <w:color w:val="auto"/>
        </w:rPr>
      </w:pPr>
    </w:p>
    <w:p>
      <w:pPr>
        <w:ind w:left="620" w:right="3239" w:hanging="175"/>
        <w:spacing w:after="0" w:line="38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1996, the Company reached an agreement with Donnelly to resolve all of the patent litigation between the two companies. Under the agreement:</w:t>
      </w:r>
    </w:p>
    <w:p>
      <w:pPr>
        <w:spacing w:after="0" w:line="1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61" w:right="1440" w:bottom="536"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29</w:t>
      </w:r>
    </w:p>
    <w:p>
      <w:pPr>
        <w:spacing w:after="0" w:line="335"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7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30" w:hanging="430"/>
        <w:spacing w:after="0"/>
        <w:tabs>
          <w:tab w:leader="none" w:pos="4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continued</w:t>
      </w:r>
    </w:p>
    <w:p>
      <w:pPr>
        <w:spacing w:after="0" w:line="166" w:lineRule="exact"/>
        <w:rPr>
          <w:rFonts w:ascii="Courier New" w:cs="Courier New" w:eastAsia="Courier New" w:hAnsi="Courier New"/>
          <w:sz w:val="15"/>
          <w:szCs w:val="15"/>
          <w:color w:val="auto"/>
        </w:rPr>
      </w:pPr>
    </w:p>
    <w:p>
      <w:pPr>
        <w:ind w:left="610" w:right="3839" w:hanging="173"/>
        <w:spacing w:after="0" w:line="290" w:lineRule="auto"/>
        <w:tabs>
          <w:tab w:leader="none" w:pos="61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have cross-licensed certain patents (for the life of the patents) that each company may practice within its own "core" electrochromic mirror technology area.</w:t>
      </w:r>
    </w:p>
    <w:p>
      <w:pPr>
        <w:spacing w:after="0" w:line="56" w:lineRule="exact"/>
        <w:rPr>
          <w:rFonts w:ascii="Courier New" w:cs="Courier New" w:eastAsia="Courier New" w:hAnsi="Courier New"/>
          <w:sz w:val="15"/>
          <w:szCs w:val="15"/>
          <w:color w:val="auto"/>
        </w:rPr>
      </w:pPr>
    </w:p>
    <w:p>
      <w:pPr>
        <w:ind w:left="610" w:right="3579" w:hanging="173"/>
        <w:spacing w:after="0" w:line="273" w:lineRule="auto"/>
        <w:tabs>
          <w:tab w:leader="none" w:pos="61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paid Donnelly $6 million in April 1996 (plus a $200,000 contingent payment if Donnelly prevails in its lighted mirror patent appeal) as full and complete satisfaction of all of Donnelly's patent infringement claims.</w:t>
      </w:r>
    </w:p>
    <w:p>
      <w:pPr>
        <w:spacing w:after="0" w:line="67" w:lineRule="exact"/>
        <w:rPr>
          <w:rFonts w:ascii="Courier New" w:cs="Courier New" w:eastAsia="Courier New" w:hAnsi="Courier New"/>
          <w:sz w:val="15"/>
          <w:szCs w:val="15"/>
          <w:color w:val="auto"/>
        </w:rPr>
      </w:pPr>
    </w:p>
    <w:p>
      <w:pPr>
        <w:ind w:left="610" w:right="3759" w:hanging="173"/>
        <w:spacing w:after="0" w:line="344" w:lineRule="auto"/>
        <w:tabs>
          <w:tab w:leader="none" w:pos="61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agreed not to pursue litigation against each other on certain other patents for a period of four years.</w:t>
      </w:r>
    </w:p>
    <w:p>
      <w:pPr>
        <w:spacing w:after="0" w:line="17" w:lineRule="exact"/>
        <w:rPr>
          <w:sz w:val="20"/>
          <w:szCs w:val="20"/>
          <w:color w:val="auto"/>
        </w:rPr>
      </w:pPr>
    </w:p>
    <w:p>
      <w:pPr>
        <w:ind w:left="610" w:right="3399" w:hanging="174"/>
        <w:spacing w:after="0" w:line="344" w:lineRule="auto"/>
        <w:rPr>
          <w:sz w:val="20"/>
          <w:szCs w:val="20"/>
          <w:color w:val="auto"/>
        </w:rPr>
      </w:pPr>
      <w:r>
        <w:rPr>
          <w:rFonts w:ascii="Courier New" w:cs="Courier New" w:eastAsia="Courier New" w:hAnsi="Courier New"/>
          <w:sz w:val="15"/>
          <w:szCs w:val="15"/>
          <w:color w:val="auto"/>
        </w:rPr>
        <w:t>The Company recorded a one-time charge of $4,000,000 ($6,000,000 payment, net of accrued reserves) in connection with this settlement.</w:t>
      </w:r>
    </w:p>
    <w:p>
      <w:pPr>
        <w:spacing w:after="0" w:line="17" w:lineRule="exact"/>
        <w:rPr>
          <w:sz w:val="20"/>
          <w:szCs w:val="20"/>
          <w:color w:val="auto"/>
        </w:rPr>
      </w:pPr>
    </w:p>
    <w:p>
      <w:pPr>
        <w:ind w:left="610" w:right="3679" w:hanging="174"/>
        <w:spacing w:after="0" w:line="273" w:lineRule="auto"/>
        <w:rPr>
          <w:sz w:val="20"/>
          <w:szCs w:val="20"/>
          <w:color w:val="auto"/>
        </w:rPr>
      </w:pPr>
      <w:r>
        <w:rPr>
          <w:rFonts w:ascii="Courier New" w:cs="Courier New" w:eastAsia="Courier New" w:hAnsi="Courier New"/>
          <w:sz w:val="15"/>
          <w:szCs w:val="15"/>
          <w:color w:val="auto"/>
        </w:rPr>
        <w:t>To date, the $200,000 contingent payment related to Donnelly's lighted mirror patent appeal is still contingent. On January 9, 1998, oral arguments were presented to the Court of Appeals for the Federal Circuit.</w:t>
      </w:r>
    </w:p>
    <w:p>
      <w:pPr>
        <w:spacing w:after="0" w:line="68" w:lineRule="exact"/>
        <w:rPr>
          <w:sz w:val="20"/>
          <w:szCs w:val="20"/>
          <w:color w:val="auto"/>
        </w:rPr>
      </w:pPr>
    </w:p>
    <w:p>
      <w:pPr>
        <w:ind w:left="610" w:right="3319" w:hanging="174"/>
        <w:spacing w:after="0" w:line="264" w:lineRule="auto"/>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these actions will not materially affect the financial position or results of operations of the Company.</w:t>
      </w:r>
    </w:p>
    <w:p>
      <w:pPr>
        <w:spacing w:after="0" w:line="75" w:lineRule="exact"/>
        <w:rPr>
          <w:sz w:val="20"/>
          <w:szCs w:val="20"/>
          <w:color w:val="auto"/>
        </w:rPr>
      </w:pPr>
    </w:p>
    <w:p>
      <w:pPr>
        <w:ind w:left="430" w:hanging="430"/>
        <w:spacing w:after="0"/>
        <w:tabs>
          <w:tab w:leader="none" w:pos="4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66" w:lineRule="exact"/>
        <w:rPr>
          <w:rFonts w:ascii="Courier New" w:cs="Courier New" w:eastAsia="Courier New" w:hAnsi="Courier New"/>
          <w:sz w:val="15"/>
          <w:szCs w:val="15"/>
          <w:color w:val="auto"/>
        </w:rPr>
      </w:pPr>
    </w:p>
    <w:p>
      <w:pPr>
        <w:ind w:left="610" w:right="3319" w:hanging="175"/>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operates in two reportable business segments: automatic rearview mirrors for the automotive industry and fire protection products for the commercial building industry. Corporate assets are principally cash, investments, deferred income taxes, and corporate fixed assets. Information by business segment and geographic area is as follows: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$ 98,229,000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$ 81,115,000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$65,853,000</w:t>
            </w:r>
          </w:p>
        </w:tc>
        <w:tc>
          <w:tcPr>
            <w:tcW w:w="0" w:type="dxa"/>
            <w:vAlign w:val="bottom"/>
          </w:tcPr>
          <w:p>
            <w:pPr>
              <w:spacing w:after="0"/>
              <w:rPr>
                <w:sz w:val="1"/>
                <w:szCs w:val="1"/>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w:t>
            </w: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Europe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41,366,000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25,434,000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14,693,000</w:t>
            </w:r>
          </w:p>
        </w:tc>
        <w:tc>
          <w:tcPr>
            <w:tcW w:w="0" w:type="dxa"/>
            <w:vAlign w:val="bottom"/>
          </w:tcPr>
          <w:p>
            <w:pPr>
              <w:spacing w:after="0"/>
              <w:rPr>
                <w:sz w:val="1"/>
                <w:szCs w:val="1"/>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26,538,000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23,065,000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13,751,000</w:t>
            </w: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$166,133,000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$129,614,000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$94,297,000</w:t>
            </w:r>
          </w:p>
        </w:tc>
        <w:tc>
          <w:tcPr>
            <w:tcW w:w="0" w:type="dxa"/>
            <w:vAlign w:val="bottom"/>
          </w:tcPr>
          <w:p>
            <w:pPr>
              <w:spacing w:after="0"/>
              <w:rPr>
                <w:sz w:val="1"/>
                <w:szCs w:val="1"/>
                <w:color w:val="auto"/>
              </w:rPr>
            </w:pPr>
          </w:p>
        </w:tc>
      </w:tr>
      <w:tr>
        <w:trPr>
          <w:trHeight w:val="336"/>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w w:val="99"/>
              </w:rPr>
              <w:t>Fire Protection Products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$ 20,195,000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$ 19,094,000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$17,269,000</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$ 43,490,000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$ 31,998,000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$21,600,000</w:t>
            </w:r>
          </w:p>
        </w:tc>
        <w:tc>
          <w:tcPr>
            <w:tcW w:w="0" w:type="dxa"/>
            <w:vAlign w:val="bottom"/>
          </w:tcPr>
          <w:p>
            <w:pPr>
              <w:spacing w:after="0"/>
              <w:rPr>
                <w:sz w:val="1"/>
                <w:szCs w:val="1"/>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Fire Protection Products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4,091,000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3,658,000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3,362,000</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$ 71,636,000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$ 52,702,000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$37,268,000</w:t>
            </w:r>
          </w:p>
        </w:tc>
        <w:tc>
          <w:tcPr>
            <w:tcW w:w="0" w:type="dxa"/>
            <w:vAlign w:val="bottom"/>
          </w:tcPr>
          <w:p>
            <w:pPr>
              <w:spacing w:after="0"/>
              <w:rPr>
                <w:sz w:val="1"/>
                <w:szCs w:val="1"/>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Fire Protection Products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4,671,000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3,961,000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3,960,000</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Depreciation &amp; Amortization:</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5,867,000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3,673,000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$ 2,793,000</w:t>
            </w:r>
          </w:p>
        </w:tc>
        <w:tc>
          <w:tcPr>
            <w:tcW w:w="0" w:type="dxa"/>
            <w:vAlign w:val="bottom"/>
          </w:tcPr>
          <w:p>
            <w:pPr>
              <w:spacing w:after="0"/>
              <w:rPr>
                <w:sz w:val="1"/>
                <w:szCs w:val="1"/>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Fire Protection Products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247,000</w:t>
            </w: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2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$ 13,974,000</w:t>
            </w:r>
          </w:p>
        </w:tc>
        <w:tc>
          <w:tcPr>
            <w:tcW w:w="12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$ 13,354,000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$ 4,721,000</w:t>
            </w:r>
          </w:p>
        </w:tc>
        <w:tc>
          <w:tcPr>
            <w:tcW w:w="0" w:type="dxa"/>
            <w:vAlign w:val="bottom"/>
          </w:tcPr>
          <w:p>
            <w:pPr>
              <w:spacing w:after="0"/>
              <w:rPr>
                <w:sz w:val="1"/>
                <w:szCs w:val="1"/>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Fire Protection Products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309,000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26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30</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 continued</w:t>
      </w:r>
    </w:p>
    <w:p>
      <w:pPr>
        <w:spacing w:after="0" w:line="166" w:lineRule="exact"/>
        <w:rPr>
          <w:rFonts w:ascii="Courier New" w:cs="Courier New" w:eastAsia="Courier New" w:hAnsi="Courier New"/>
          <w:sz w:val="15"/>
          <w:szCs w:val="15"/>
          <w:color w:val="auto"/>
        </w:rPr>
      </w:pPr>
    </w:p>
    <w:p>
      <w:pPr>
        <w:ind w:left="620" w:right="3319" w:hanging="175"/>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 1998, the Company will be required to adopt Statement of Financial Accounting Standards No. 131: "Disclosures About Segments of an Enterprise and Related Information" (SFAS No. 131). This statement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 In addition to the Company's current segment information, it is anticipated that upon adoption Gentex will be required to disclose revenues, if material, attributed to individual foreign countries.</w:t>
      </w:r>
    </w:p>
    <w:p>
      <w:pPr>
        <w:spacing w:after="0" w:line="90" w:lineRule="exact"/>
        <w:rPr>
          <w:rFonts w:ascii="Courier New" w:cs="Courier New" w:eastAsia="Courier New" w:hAnsi="Courier New"/>
          <w:sz w:val="15"/>
          <w:szCs w:val="15"/>
          <w:color w:val="auto"/>
        </w:rPr>
      </w:pPr>
    </w:p>
    <w:p>
      <w:pPr>
        <w:ind w:left="620" w:right="3239" w:hanging="175"/>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Automotive Products revenues in the "Other" category are primarily sales to U.S. automotive manufacturing plants in Canada and Mexico. All non-U.S. sales are invoiced and paid in U.S. dollars.</w:t>
      </w:r>
    </w:p>
    <w:p>
      <w:pPr>
        <w:spacing w:after="0" w:line="56" w:lineRule="exact"/>
        <w:rPr>
          <w:rFonts w:ascii="Courier New" w:cs="Courier New" w:eastAsia="Courier New" w:hAnsi="Courier New"/>
          <w:sz w:val="15"/>
          <w:szCs w:val="15"/>
          <w:color w:val="auto"/>
        </w:rPr>
      </w:pPr>
    </w:p>
    <w:p>
      <w:pPr>
        <w:ind w:left="620" w:right="3239" w:hanging="175"/>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years presented, the Company had four automotive customers which individually accounted for 10% or more of net sales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Customer</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39"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245"/>
        </w:trPr>
        <w:tc>
          <w:tcPr>
            <w:tcW w:w="66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1997</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1995</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14%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6"/>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*Less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than</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6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720" w:type="dxa"/>
            <w:vAlign w:val="bottom"/>
          </w:tcPr>
          <w:p>
            <w:pPr>
              <w:ind w:left="820"/>
              <w:spacing w:after="0"/>
              <w:rPr>
                <w:sz w:val="20"/>
                <w:szCs w:val="20"/>
                <w:color w:val="auto"/>
              </w:rPr>
            </w:pPr>
            <w:r>
              <w:rPr>
                <w:rFonts w:ascii="Courier New" w:cs="Courier New" w:eastAsia="Courier New" w:hAnsi="Courier New"/>
                <w:sz w:val="15"/>
                <w:szCs w:val="15"/>
                <w:color w:val="auto"/>
              </w:rPr>
              <w:t>DESCRIPTION</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PAGE</w:t>
            </w:r>
          </w:p>
        </w:tc>
      </w:tr>
      <w:tr>
        <w:trPr>
          <w:trHeight w:val="245"/>
        </w:trPr>
        <w:tc>
          <w:tcPr>
            <w:tcW w:w="1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72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Registrant's Articles of Incorporation were filed in 1981 as</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2(a) to a Registration Statement on Form S-18</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(Registration No. 2-74226C), an Amendment to those Articles was</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filed as Exhibit 3 to Registrant's Report on Form 10-Q in August</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of 1985, an additional Amendment to those Articles was filed as</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Exhibit 3(a)(i) to Registrant's Report on Form 10-Q in August of</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1987, and an additional Amendment to those Articles was filed as</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3(a)(2) to Registrant's Report on Form 10-K dated</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March 10, 1992, all of which are hereby incorporated herein by</w:t>
            </w:r>
          </w:p>
        </w:tc>
        <w:tc>
          <w:tcPr>
            <w:tcW w:w="700" w:type="dxa"/>
            <w:vAlign w:val="bottom"/>
          </w:tcPr>
          <w:p>
            <w:pPr>
              <w:spacing w:after="0"/>
              <w:rPr>
                <w:sz w:val="14"/>
                <w:szCs w:val="14"/>
                <w:color w:val="auto"/>
              </w:rPr>
            </w:pP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3(a)(2)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8"/>
              </w:rPr>
              <w:t>Amendment to Articles of Incorporation, adopted on May 9, 1996,</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was filed as Exhibit 3(a)(2) to Registrant's Report on Form 10-Q</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dated July 31, 1996, and the same is hereby incorporated herein by</w:t>
            </w: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Registrant's Bylaws as amended and restated August 18, 1995,</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were filed as Exhibit 3(b) to Registrant's Report on Form 10-Q</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dated November 1, 1995, and the same is hereby incorporated herein</w:t>
            </w: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by 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3(b)(2)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First Amendment to Bylaws, adopted on August 25, 1997, was</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filed as Exhibit 3(c) to Registrant's Report on Form 10-Q dated</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October 31, 1997, and the same is hereby incorporated herein by</w:t>
            </w:r>
          </w:p>
        </w:tc>
        <w:tc>
          <w:tcPr>
            <w:tcW w:w="700" w:type="dxa"/>
            <w:vAlign w:val="bottom"/>
          </w:tcPr>
          <w:p>
            <w:pPr>
              <w:spacing w:after="0"/>
              <w:rPr>
                <w:sz w:val="14"/>
                <w:szCs w:val="14"/>
                <w:color w:val="auto"/>
              </w:rPr>
            </w:pP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6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 specimen form of certificate for the Registrant's common stock,</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par value $.06 per share, was filed as part of a Registration</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Statement (Registration Number 2-74226C) as Exhibit 3(a), as</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amended by Amendment No. 3 to such Registration Statement, and the</w:t>
            </w: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8"/>
              </w:rPr>
              <w:t>Shareholder Protection Rights Agreement, dated as of August 26,</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1991, including as Exhibit A the form of Certificate of Adoption</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Resolution Establishing Series of Shares of Junior</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Participating Preferred Stock of the Company, and as Exhibit B the</w:t>
            </w: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form of Rights Certificate and of Election to Exercise, was filed</w:t>
            </w: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as Exhibit 4(b) to Registrant's Report on Form 8-K on August 1991,</w:t>
            </w: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and the same is hereby incorporated herein by 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First Amendment to Shareholder Protection Rights Agreement,</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effective April 1, 1994, was filed as Exhibit 4(b)(1) to</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Registrant's Report on Form 10-Q dated April 29, 1994, and the</w:t>
            </w:r>
          </w:p>
        </w:tc>
        <w:tc>
          <w:tcPr>
            <w:tcW w:w="700" w:type="dxa"/>
            <w:vAlign w:val="bottom"/>
          </w:tcPr>
          <w:p>
            <w:pPr>
              <w:spacing w:after="0"/>
              <w:rPr>
                <w:sz w:val="14"/>
                <w:szCs w:val="14"/>
                <w:color w:val="auto"/>
              </w:rPr>
            </w:pP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same is hereby incorporated herein by 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Second Amendment to Shareholder Protection Rights Agreement,</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effective November 8, 1996, was filed as Exhibit 4(b)(2) to</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Registrant's Report on Form 10-K dated March 7, 1997, and the same</w:t>
            </w: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is hereby incorporated herein by 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A Lease, dated August 15, 1981, was filed as part of a</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Registration Statement (Registration Number 2-74226C) as Exhibit</w:t>
            </w:r>
          </w:p>
        </w:tc>
        <w:tc>
          <w:tcPr>
            <w:tcW w:w="700" w:type="dxa"/>
            <w:vAlign w:val="bottom"/>
          </w:tcPr>
          <w:p>
            <w:pPr>
              <w:spacing w:after="0"/>
              <w:rPr>
                <w:sz w:val="14"/>
                <w:szCs w:val="14"/>
                <w:color w:val="auto"/>
              </w:rPr>
            </w:pPr>
          </w:p>
        </w:tc>
      </w:tr>
      <w:tr>
        <w:trPr>
          <w:trHeight w:val="245"/>
        </w:trPr>
        <w:tc>
          <w:tcPr>
            <w:tcW w:w="1280" w:type="dxa"/>
            <w:vAlign w:val="bottom"/>
          </w:tcPr>
          <w:p>
            <w:pPr>
              <w:spacing w:after="0"/>
              <w:rPr>
                <w:sz w:val="21"/>
                <w:szCs w:val="21"/>
                <w:color w:val="auto"/>
              </w:rPr>
            </w:pPr>
          </w:p>
        </w:tc>
        <w:tc>
          <w:tcPr>
            <w:tcW w:w="6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9(a)(1), and the same is hereby incorporated herein by reference.</w:t>
            </w: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A First Amendment to Lease, dated June 28, 1985, was filed as</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10(m) to Registrant's Report on Form 10-K dated</w:t>
            </w:r>
          </w:p>
        </w:tc>
        <w:tc>
          <w:tcPr>
            <w:tcW w:w="700" w:type="dxa"/>
            <w:vAlign w:val="bottom"/>
          </w:tcPr>
          <w:p>
            <w:pPr>
              <w:spacing w:after="0"/>
              <w:rPr>
                <w:sz w:val="14"/>
                <w:szCs w:val="14"/>
                <w:color w:val="auto"/>
              </w:rPr>
            </w:pPr>
          </w:p>
        </w:tc>
      </w:tr>
      <w:tr>
        <w:trPr>
          <w:trHeight w:val="245"/>
        </w:trPr>
        <w:tc>
          <w:tcPr>
            <w:tcW w:w="1280" w:type="dxa"/>
            <w:vAlign w:val="bottom"/>
          </w:tcPr>
          <w:p>
            <w:pPr>
              <w:spacing w:after="0"/>
              <w:rPr>
                <w:sz w:val="21"/>
                <w:szCs w:val="21"/>
                <w:color w:val="auto"/>
              </w:rPr>
            </w:pPr>
          </w:p>
        </w:tc>
        <w:tc>
          <w:tcPr>
            <w:tcW w:w="64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March 18, 1986, and the same is hereby incorporated herein by reference.</w:t>
            </w: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9"/>
              </w:rPr>
              <w:t>Gentex Corporation Qualified Stock Option Plan (as amended and</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restated, effective March 7, 1997) was filed as Exhibit 10(b)(1) to</w:t>
            </w: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Registrant's Report on Form 10-K dated March 7, 1997, and the same</w:t>
            </w: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is hereby incorporated herein by reference.</w:t>
            </w:r>
          </w:p>
        </w:tc>
        <w:tc>
          <w:tcPr>
            <w:tcW w:w="700" w:type="dxa"/>
            <w:vAlign w:val="bottom"/>
          </w:tcPr>
          <w:p>
            <w:pPr>
              <w:spacing w:after="0"/>
              <w:rPr>
                <w:sz w:val="21"/>
                <w:szCs w:val="21"/>
                <w:color w:val="auto"/>
              </w:rPr>
            </w:pPr>
          </w:p>
        </w:tc>
      </w:tr>
      <w:tr>
        <w:trPr>
          <w:trHeight w:val="259"/>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8"/>
              </w:rPr>
              <w:t>Gentex Corporation 1987 Incentive Stock Option Plan (as amended</w:t>
            </w:r>
          </w:p>
        </w:tc>
        <w:tc>
          <w:tcPr>
            <w:tcW w:w="700" w:type="dxa"/>
            <w:vAlign w:val="bottom"/>
          </w:tcPr>
          <w:p>
            <w:pPr>
              <w:spacing w:after="0"/>
              <w:rPr>
                <w:sz w:val="22"/>
                <w:szCs w:val="22"/>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through May 24, 1989), was filed as Exhibit 10(g)(3) to Registrant's</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Report on Form 10-K dated March 1, 1990, and the same is hereby</w:t>
            </w:r>
          </w:p>
        </w:tc>
        <w:tc>
          <w:tcPr>
            <w:tcW w:w="700" w:type="dxa"/>
            <w:vAlign w:val="bottom"/>
          </w:tcPr>
          <w:p>
            <w:pPr>
              <w:spacing w:after="0"/>
              <w:rPr>
                <w:sz w:val="14"/>
                <w:szCs w:val="14"/>
                <w:color w:val="auto"/>
              </w:rPr>
            </w:pPr>
          </w:p>
        </w:tc>
      </w:tr>
      <w:tr>
        <w:trPr>
          <w:trHeight w:val="245"/>
        </w:trPr>
        <w:tc>
          <w:tcPr>
            <w:tcW w:w="128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incorporated herein by reference.</w:t>
            </w:r>
          </w:p>
        </w:tc>
        <w:tc>
          <w:tcPr>
            <w:tcW w:w="7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61"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5"/>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32</w:t>
            </w:r>
          </w:p>
        </w:tc>
        <w:tc>
          <w:tcPr>
            <w:tcW w:w="35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27"/>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540" w:type="dxa"/>
            <w:vAlign w:val="bottom"/>
          </w:tcPr>
          <w:p>
            <w:pPr>
              <w:ind w:left="1560"/>
              <w:spacing w:after="0"/>
              <w:rPr>
                <w:sz w:val="20"/>
                <w:szCs w:val="20"/>
                <w:color w:val="auto"/>
              </w:rPr>
            </w:pPr>
            <w:r>
              <w:rPr>
                <w:rFonts w:ascii="Courier New" w:cs="Courier New" w:eastAsia="Courier New" w:hAnsi="Courier New"/>
                <w:sz w:val="15"/>
                <w:szCs w:val="15"/>
                <w:color w:val="auto"/>
              </w:rPr>
              <w:t>DESCRIPTION</w:t>
            </w:r>
          </w:p>
        </w:tc>
        <w:tc>
          <w:tcPr>
            <w:tcW w:w="236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245"/>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40" w:type="dxa"/>
            <w:vAlign w:val="bottom"/>
          </w:tcPr>
          <w:p>
            <w:pPr>
              <w:ind w:left="1740"/>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427"/>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5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Gentex Corporation Restricted Stock Plan was filed as Exhibit</w:t>
            </w:r>
          </w:p>
        </w:tc>
        <w:tc>
          <w:tcPr>
            <w:tcW w:w="7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10(b)(3) to Registrant's Report on Form</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10-K dated March 10,</w:t>
            </w:r>
          </w:p>
        </w:tc>
        <w:tc>
          <w:tcPr>
            <w:tcW w:w="740" w:type="dxa"/>
            <w:vAlign w:val="bottom"/>
          </w:tcPr>
          <w:p>
            <w:pPr>
              <w:spacing w:after="0"/>
              <w:rPr>
                <w:sz w:val="14"/>
                <w:szCs w:val="14"/>
                <w:color w:val="auto"/>
              </w:rPr>
            </w:pPr>
          </w:p>
        </w:tc>
      </w:tr>
      <w:tr>
        <w:trPr>
          <w:trHeight w:val="245"/>
        </w:trPr>
        <w:tc>
          <w:tcPr>
            <w:tcW w:w="1240" w:type="dxa"/>
            <w:vAlign w:val="bottom"/>
          </w:tcPr>
          <w:p>
            <w:pPr>
              <w:spacing w:after="0"/>
              <w:rPr>
                <w:sz w:val="21"/>
                <w:szCs w:val="21"/>
                <w:color w:val="auto"/>
              </w:rPr>
            </w:pPr>
          </w:p>
        </w:tc>
        <w:tc>
          <w:tcPr>
            <w:tcW w:w="5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1992, and the same is hereby incorporated herein by reference.</w:t>
            </w:r>
          </w:p>
        </w:tc>
        <w:tc>
          <w:tcPr>
            <w:tcW w:w="740" w:type="dxa"/>
            <w:vAlign w:val="bottom"/>
          </w:tcPr>
          <w:p>
            <w:pPr>
              <w:spacing w:after="0"/>
              <w:rPr>
                <w:sz w:val="21"/>
                <w:szCs w:val="21"/>
                <w:color w:val="auto"/>
              </w:rPr>
            </w:pPr>
          </w:p>
        </w:tc>
      </w:tr>
      <w:tr>
        <w:trPr>
          <w:trHeight w:val="259"/>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*10(b)(4)</w:t>
            </w:r>
          </w:p>
        </w:tc>
        <w:tc>
          <w:tcPr>
            <w:tcW w:w="5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Gentex Corporation Non-Employee Director Stock Option Plan (as</w:t>
            </w:r>
          </w:p>
        </w:tc>
        <w:tc>
          <w:tcPr>
            <w:tcW w:w="740" w:type="dxa"/>
            <w:vAlign w:val="bottom"/>
          </w:tcPr>
          <w:p>
            <w:pPr>
              <w:spacing w:after="0"/>
              <w:rPr>
                <w:sz w:val="22"/>
                <w:szCs w:val="22"/>
                <w:color w:val="auto"/>
              </w:rPr>
            </w:pPr>
          </w:p>
        </w:tc>
      </w:tr>
      <w:tr>
        <w:trPr>
          <w:trHeight w:val="168"/>
        </w:trPr>
        <w:tc>
          <w:tcPr>
            <w:tcW w:w="1240" w:type="dxa"/>
            <w:vAlign w:val="bottom"/>
          </w:tcPr>
          <w:p>
            <w:pPr>
              <w:spacing w:after="0"/>
              <w:rPr>
                <w:sz w:val="14"/>
                <w:szCs w:val="14"/>
                <w:color w:val="auto"/>
              </w:rPr>
            </w:pPr>
          </w:p>
        </w:tc>
        <w:tc>
          <w:tcPr>
            <w:tcW w:w="59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amended and restated, effective March 7, 1997) was filed as</w:t>
            </w:r>
          </w:p>
        </w:tc>
        <w:tc>
          <w:tcPr>
            <w:tcW w:w="7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Exhibit 10(b)(4) to Registrant's Report</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 Form 10-K dated March</w:t>
            </w:r>
          </w:p>
        </w:tc>
        <w:tc>
          <w:tcPr>
            <w:tcW w:w="7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9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7, 1997, and the same is hereby incorporated herein by</w:t>
            </w:r>
          </w:p>
        </w:tc>
        <w:tc>
          <w:tcPr>
            <w:tcW w:w="740" w:type="dxa"/>
            <w:vAlign w:val="bottom"/>
          </w:tcPr>
          <w:p>
            <w:pPr>
              <w:spacing w:after="0"/>
              <w:rPr>
                <w:sz w:val="14"/>
                <w:szCs w:val="14"/>
                <w:color w:val="auto"/>
              </w:rPr>
            </w:pPr>
          </w:p>
        </w:tc>
      </w:tr>
      <w:tr>
        <w:trPr>
          <w:trHeight w:val="245"/>
        </w:trPr>
        <w:tc>
          <w:tcPr>
            <w:tcW w:w="1240" w:type="dxa"/>
            <w:vAlign w:val="bottom"/>
          </w:tcPr>
          <w:p>
            <w:pPr>
              <w:spacing w:after="0"/>
              <w:rPr>
                <w:sz w:val="21"/>
                <w:szCs w:val="21"/>
                <w:color w:val="auto"/>
              </w:rPr>
            </w:pPr>
          </w:p>
        </w:tc>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c>
          <w:tcPr>
            <w:tcW w:w="2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9"/>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3540" w:type="dxa"/>
            <w:vAlign w:val="bottom"/>
          </w:tcPr>
          <w:p>
            <w:pPr>
              <w:ind w:left="80"/>
              <w:spacing w:after="0"/>
              <w:rPr>
                <w:sz w:val="20"/>
                <w:szCs w:val="20"/>
                <w:color w:val="auto"/>
              </w:rPr>
            </w:pPr>
            <w:r>
              <w:rPr>
                <w:rFonts w:ascii="Courier New" w:cs="Courier New" w:eastAsia="Courier New" w:hAnsi="Courier New"/>
                <w:sz w:val="15"/>
                <w:szCs w:val="15"/>
                <w:color w:val="auto"/>
                <w:w w:val="97"/>
              </w:rPr>
              <w:t>The form of Indemnity Agreement between</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Registrant and each of</w:t>
            </w:r>
          </w:p>
        </w:tc>
        <w:tc>
          <w:tcPr>
            <w:tcW w:w="740" w:type="dxa"/>
            <w:vAlign w:val="bottom"/>
          </w:tcPr>
          <w:p>
            <w:pPr>
              <w:spacing w:after="0"/>
              <w:rPr>
                <w:sz w:val="22"/>
                <w:szCs w:val="22"/>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the Registrant's directors was filed as</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part of a Registration</w:t>
            </w:r>
          </w:p>
        </w:tc>
        <w:tc>
          <w:tcPr>
            <w:tcW w:w="7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5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Statement on Form S-2 (Registration No.</w:t>
            </w:r>
          </w:p>
        </w:tc>
        <w:tc>
          <w:tcPr>
            <w:tcW w:w="2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33-30353) as Exhibit 10</w:t>
            </w:r>
          </w:p>
        </w:tc>
        <w:tc>
          <w:tcPr>
            <w:tcW w:w="740" w:type="dxa"/>
            <w:vAlign w:val="bottom"/>
          </w:tcPr>
          <w:p>
            <w:pPr>
              <w:spacing w:after="0"/>
              <w:rPr>
                <w:sz w:val="14"/>
                <w:szCs w:val="14"/>
                <w:color w:val="auto"/>
              </w:rPr>
            </w:pPr>
          </w:p>
        </w:tc>
      </w:tr>
      <w:tr>
        <w:trPr>
          <w:trHeight w:val="245"/>
        </w:trPr>
        <w:tc>
          <w:tcPr>
            <w:tcW w:w="1240" w:type="dxa"/>
            <w:vAlign w:val="bottom"/>
          </w:tcPr>
          <w:p>
            <w:pPr>
              <w:spacing w:after="0"/>
              <w:rPr>
                <w:sz w:val="21"/>
                <w:szCs w:val="21"/>
                <w:color w:val="auto"/>
              </w:rPr>
            </w:pPr>
          </w:p>
        </w:tc>
        <w:tc>
          <w:tcPr>
            <w:tcW w:w="3540" w:type="dxa"/>
            <w:vAlign w:val="bottom"/>
          </w:tcPr>
          <w:p>
            <w:pPr>
              <w:ind w:left="80"/>
              <w:spacing w:after="0"/>
              <w:rPr>
                <w:sz w:val="20"/>
                <w:szCs w:val="20"/>
                <w:color w:val="auto"/>
              </w:rPr>
            </w:pPr>
            <w:r>
              <w:rPr>
                <w:rFonts w:ascii="Courier New" w:cs="Courier New" w:eastAsia="Courier New" w:hAnsi="Courier New"/>
                <w:sz w:val="15"/>
                <w:szCs w:val="15"/>
                <w:color w:val="auto"/>
                <w:w w:val="97"/>
              </w:rPr>
              <w:t>(k) and the same is hereby incorporated</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c>
          <w:tcPr>
            <w:tcW w:w="740" w:type="dxa"/>
            <w:vAlign w:val="bottom"/>
          </w:tcPr>
          <w:p>
            <w:pPr>
              <w:spacing w:after="0"/>
              <w:rPr>
                <w:sz w:val="21"/>
                <w:szCs w:val="21"/>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List of Company Subsidiaries</w:t>
            </w:r>
          </w:p>
        </w:tc>
        <w:tc>
          <w:tcPr>
            <w:tcW w:w="2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Consent of Independent Public Accountants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bl>
    <w:p>
      <w:pPr>
        <w:spacing w:after="0" w:line="91" w:lineRule="exact"/>
        <w:rPr>
          <w:sz w:val="20"/>
          <w:szCs w:val="20"/>
          <w:color w:val="auto"/>
        </w:rPr>
      </w:pPr>
    </w:p>
    <w:p>
      <w:pPr>
        <w:ind w:left="1320" w:hanging="1310"/>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a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6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60" w:hanging="431"/>
        <w:spacing w:after="0" w:line="290" w:lineRule="auto"/>
        <w:tabs>
          <w:tab w:leader="none" w:pos="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56" w:lineRule="exact"/>
        <w:rPr>
          <w:rFonts w:ascii="Courier New" w:cs="Courier New" w:eastAsia="Courier New" w:hAnsi="Courier New"/>
          <w:sz w:val="15"/>
          <w:szCs w:val="15"/>
          <w:color w:val="auto"/>
        </w:rPr>
      </w:pPr>
    </w:p>
    <w:p>
      <w:pPr>
        <w:ind w:left="860" w:right="260" w:hanging="431"/>
        <w:spacing w:after="0" w:line="320"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International Corporation, a Foreign Sales Corporation incorporated in Barbados, is a wholly-owned subsidiary of Gentex Corporation.</w:t>
      </w:r>
    </w:p>
    <w:p>
      <w:pPr>
        <w:spacing w:after="0" w:line="38" w:lineRule="exact"/>
        <w:rPr>
          <w:rFonts w:ascii="Courier New" w:cs="Courier New" w:eastAsia="Courier New" w:hAnsi="Courier New"/>
          <w:sz w:val="14"/>
          <w:szCs w:val="14"/>
          <w:color w:val="auto"/>
        </w:rPr>
      </w:pPr>
    </w:p>
    <w:p>
      <w:pPr>
        <w:ind w:left="860" w:hanging="431"/>
        <w:spacing w:after="0"/>
        <w:tabs>
          <w:tab w:leader="none" w:pos="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w:t>
      </w:r>
    </w:p>
    <w:p>
      <w:pPr>
        <w:spacing w:after="0" w:line="24"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is a wholly-owned subsidiary of Gentex Corporation.</w:t>
      </w:r>
    </w:p>
    <w:p>
      <w:pPr>
        <w:spacing w:after="0" w:line="151" w:lineRule="exact"/>
        <w:rPr>
          <w:rFonts w:ascii="Courier New" w:cs="Courier New" w:eastAsia="Courier New" w:hAnsi="Courier New"/>
          <w:sz w:val="15"/>
          <w:szCs w:val="15"/>
          <w:color w:val="auto"/>
        </w:rPr>
      </w:pPr>
    </w:p>
    <w:p>
      <w:pPr>
        <w:ind w:left="860" w:right="80" w:hanging="431"/>
        <w:spacing w:after="0" w:line="290" w:lineRule="auto"/>
        <w:tabs>
          <w:tab w:leader="none" w:pos="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GmbH, a German limited liability company, is a subsidiary 50% owned by Gentex Corporation and 50% owned by Gentex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21</w:t>
      </w:r>
    </w:p>
    <w:p>
      <w:pPr>
        <w:sectPr>
          <w:pgSz w:w="11900" w:h="16838" w:orient="portrait"/>
          <w:cols w:equalWidth="0" w:num="2">
            <w:col w:w="5320" w:space="440"/>
            <w:col w:w="4199"/>
          </w:cols>
          <w:pgMar w:left="500" w:top="115" w:right="1440" w:bottom="1440" w:gutter="0" w:footer="0" w:header="0"/>
        </w:sectPr>
      </w:pPr>
    </w:p>
    <w:bookmarkStart w:id="36" w:name="page37"/>
    <w:bookmarkEnd w:id="36"/>
    <w:p>
      <w:pPr>
        <w:ind w:left="10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As independent public accounts, we hereby consent to</w:t>
      </w:r>
    </w:p>
    <w:p>
      <w:pPr>
        <w:spacing w:after="0" w:line="2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incorporation of our report included in this Form</w:t>
      </w:r>
    </w:p>
    <w:p>
      <w:pPr>
        <w:ind w:left="700"/>
        <w:spacing w:after="0" w:line="237" w:lineRule="auto"/>
        <w:rPr>
          <w:sz w:val="20"/>
          <w:szCs w:val="20"/>
          <w:color w:val="auto"/>
        </w:rPr>
      </w:pPr>
      <w:r>
        <w:rPr>
          <w:rFonts w:ascii="Courier New" w:cs="Courier New" w:eastAsia="Courier New" w:hAnsi="Courier New"/>
          <w:sz w:val="15"/>
          <w:szCs w:val="15"/>
          <w:color w:val="auto"/>
        </w:rPr>
        <w:t>10-K, into the Company's previously filed</w:t>
      </w:r>
    </w:p>
    <w:p>
      <w:pPr>
        <w:ind w:left="700"/>
        <w:spacing w:after="0" w:line="238" w:lineRule="auto"/>
        <w:rPr>
          <w:sz w:val="20"/>
          <w:szCs w:val="20"/>
          <w:color w:val="auto"/>
        </w:rPr>
      </w:pPr>
      <w:r>
        <w:rPr>
          <w:rFonts w:ascii="Courier New" w:cs="Courier New" w:eastAsia="Courier New" w:hAnsi="Courier New"/>
          <w:sz w:val="15"/>
          <w:szCs w:val="15"/>
          <w:color w:val="auto"/>
        </w:rPr>
        <w:t>Registration Statement File Nos. 33-31408, 33-50396,</w:t>
      </w:r>
    </w:p>
    <w:p>
      <w:pPr>
        <w:ind w:left="700"/>
        <w:spacing w:after="0"/>
        <w:rPr>
          <w:sz w:val="20"/>
          <w:szCs w:val="20"/>
          <w:color w:val="auto"/>
        </w:rPr>
      </w:pPr>
      <w:r>
        <w:rPr>
          <w:rFonts w:ascii="Courier New" w:cs="Courier New" w:eastAsia="Courier New" w:hAnsi="Courier New"/>
          <w:sz w:val="15"/>
          <w:szCs w:val="15"/>
          <w:color w:val="auto"/>
        </w:rPr>
        <w:t>33-64504 and 33-65321.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0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Grand Rapids, Michigan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059"/>
          </w:cols>
          <w:pgMar w:left="400" w:top="115"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spacing w:after="0" w:line="2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DEC-31-1997</w:t>
      </w:r>
    </w:p>
    <w:p>
      <w:pPr>
        <w:ind w:left="2620"/>
        <w:spacing w:after="0" w:line="237" w:lineRule="auto"/>
        <w:rPr>
          <w:sz w:val="20"/>
          <w:szCs w:val="20"/>
          <w:color w:val="auto"/>
        </w:rPr>
      </w:pPr>
      <w:r>
        <w:rPr>
          <w:rFonts w:ascii="Courier New" w:cs="Courier New" w:eastAsia="Courier New" w:hAnsi="Courier New"/>
          <w:sz w:val="15"/>
          <w:szCs w:val="15"/>
          <w:color w:val="auto"/>
        </w:rPr>
        <w:t>DEC-31-1997</w:t>
      </w:r>
    </w:p>
    <w:p>
      <w:pPr>
        <w:ind w:left="3240"/>
        <w:spacing w:after="0" w:line="238" w:lineRule="auto"/>
        <w:rPr>
          <w:sz w:val="20"/>
          <w:szCs w:val="20"/>
          <w:color w:val="auto"/>
        </w:rPr>
      </w:pPr>
      <w:r>
        <w:rPr>
          <w:rFonts w:ascii="Courier New" w:cs="Courier New" w:eastAsia="Courier New" w:hAnsi="Courier New"/>
          <w:sz w:val="15"/>
          <w:szCs w:val="15"/>
          <w:color w:val="auto"/>
        </w:rPr>
        <w:t>26,768,647</w:t>
      </w:r>
    </w:p>
    <w:p>
      <w:pPr>
        <w:ind w:left="2700"/>
        <w:spacing w:after="0" w:line="237" w:lineRule="auto"/>
        <w:rPr>
          <w:sz w:val="20"/>
          <w:szCs w:val="20"/>
          <w:color w:val="auto"/>
        </w:rPr>
      </w:pPr>
      <w:r>
        <w:rPr>
          <w:rFonts w:ascii="Courier New" w:cs="Courier New" w:eastAsia="Courier New" w:hAnsi="Courier New"/>
          <w:sz w:val="15"/>
          <w:szCs w:val="15"/>
          <w:color w:val="auto"/>
        </w:rPr>
        <w:t>14,362,736</w:t>
      </w:r>
    </w:p>
    <w:p>
      <w:pPr>
        <w:ind w:left="2620"/>
        <w:spacing w:after="0" w:line="238" w:lineRule="auto"/>
        <w:rPr>
          <w:sz w:val="20"/>
          <w:szCs w:val="20"/>
          <w:color w:val="auto"/>
        </w:rPr>
      </w:pPr>
      <w:r>
        <w:rPr>
          <w:rFonts w:ascii="Courier New" w:cs="Courier New" w:eastAsia="Courier New" w:hAnsi="Courier New"/>
          <w:sz w:val="15"/>
          <w:szCs w:val="15"/>
          <w:color w:val="auto"/>
        </w:rPr>
        <w:t>24,515,525</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880"/>
        <w:spacing w:after="0" w:line="238" w:lineRule="auto"/>
        <w:rPr>
          <w:sz w:val="20"/>
          <w:szCs w:val="20"/>
          <w:color w:val="auto"/>
        </w:rPr>
      </w:pPr>
      <w:r>
        <w:rPr>
          <w:rFonts w:ascii="Courier New" w:cs="Courier New" w:eastAsia="Courier New" w:hAnsi="Courier New"/>
          <w:sz w:val="15"/>
          <w:szCs w:val="15"/>
          <w:color w:val="auto"/>
        </w:rPr>
        <w:t>8,787,689</w:t>
      </w:r>
    </w:p>
    <w:p>
      <w:pPr>
        <w:ind w:left="2360"/>
        <w:spacing w:after="0" w:line="237" w:lineRule="auto"/>
        <w:rPr>
          <w:sz w:val="20"/>
          <w:szCs w:val="20"/>
          <w:color w:val="auto"/>
        </w:rPr>
      </w:pPr>
      <w:r>
        <w:rPr>
          <w:rFonts w:ascii="Courier New" w:cs="Courier New" w:eastAsia="Courier New" w:hAnsi="Courier New"/>
          <w:sz w:val="15"/>
          <w:szCs w:val="15"/>
          <w:color w:val="auto"/>
        </w:rPr>
        <w:t>75,919,436</w:t>
      </w:r>
    </w:p>
    <w:p>
      <w:pPr>
        <w:ind w:left="3240"/>
        <w:spacing w:after="0" w:line="238" w:lineRule="auto"/>
        <w:rPr>
          <w:sz w:val="20"/>
          <w:szCs w:val="20"/>
          <w:color w:val="auto"/>
        </w:rPr>
      </w:pPr>
      <w:r>
        <w:rPr>
          <w:rFonts w:ascii="Courier New" w:cs="Courier New" w:eastAsia="Courier New" w:hAnsi="Courier New"/>
          <w:sz w:val="15"/>
          <w:szCs w:val="15"/>
          <w:color w:val="auto"/>
        </w:rPr>
        <w:t>63,015,604</w:t>
      </w:r>
    </w:p>
    <w:p>
      <w:pPr>
        <w:ind w:left="2360"/>
        <w:spacing w:after="0" w:line="238" w:lineRule="auto"/>
        <w:rPr>
          <w:sz w:val="20"/>
          <w:szCs w:val="20"/>
          <w:color w:val="auto"/>
        </w:rPr>
      </w:pPr>
      <w:r>
        <w:rPr>
          <w:rFonts w:ascii="Courier New" w:cs="Courier New" w:eastAsia="Courier New" w:hAnsi="Courier New"/>
          <w:sz w:val="15"/>
          <w:szCs w:val="15"/>
          <w:color w:val="auto"/>
        </w:rPr>
        <w:t>(20,776,719)</w:t>
      </w:r>
    </w:p>
    <w:p>
      <w:pPr>
        <w:ind w:left="2440"/>
        <w:spacing w:after="0" w:line="237" w:lineRule="auto"/>
        <w:rPr>
          <w:sz w:val="20"/>
          <w:szCs w:val="20"/>
          <w:color w:val="auto"/>
        </w:rPr>
      </w:pPr>
      <w:r>
        <w:rPr>
          <w:rFonts w:ascii="Courier New" w:cs="Courier New" w:eastAsia="Courier New" w:hAnsi="Courier New"/>
          <w:sz w:val="15"/>
          <w:szCs w:val="15"/>
          <w:color w:val="auto"/>
        </w:rPr>
        <w:t>189,782,847</w:t>
      </w:r>
    </w:p>
    <w:p>
      <w:pPr>
        <w:ind w:left="1920"/>
        <w:spacing w:after="0" w:line="238" w:lineRule="auto"/>
        <w:rPr>
          <w:sz w:val="20"/>
          <w:szCs w:val="20"/>
          <w:color w:val="auto"/>
        </w:rPr>
      </w:pPr>
      <w:r>
        <w:rPr>
          <w:rFonts w:ascii="Courier New" w:cs="Courier New" w:eastAsia="Courier New" w:hAnsi="Courier New"/>
          <w:sz w:val="15"/>
          <w:szCs w:val="15"/>
          <w:color w:val="auto"/>
        </w:rPr>
        <w:t>14,591,224</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000"/>
        <w:spacing w:after="0" w:line="238" w:lineRule="auto"/>
        <w:rPr>
          <w:sz w:val="20"/>
          <w:szCs w:val="20"/>
          <w:color w:val="auto"/>
        </w:rPr>
      </w:pPr>
      <w:r>
        <w:rPr>
          <w:rFonts w:ascii="Courier New" w:cs="Courier New" w:eastAsia="Courier New" w:hAnsi="Courier New"/>
          <w:sz w:val="15"/>
          <w:szCs w:val="15"/>
          <w:color w:val="auto"/>
        </w:rPr>
        <w:t>2,123,949</w:t>
      </w:r>
    </w:p>
    <w:p>
      <w:pPr>
        <w:ind w:left="3580"/>
        <w:spacing w:after="0" w:line="237" w:lineRule="auto"/>
        <w:rPr>
          <w:sz w:val="20"/>
          <w:szCs w:val="20"/>
          <w:color w:val="auto"/>
        </w:rPr>
      </w:pPr>
      <w:r>
        <w:rPr>
          <w:rFonts w:ascii="Courier New" w:cs="Courier New" w:eastAsia="Courier New" w:hAnsi="Courier New"/>
          <w:sz w:val="15"/>
          <w:szCs w:val="15"/>
          <w:color w:val="auto"/>
        </w:rPr>
        <w:t>0</w:t>
      </w:r>
    </w:p>
    <w:p>
      <w:pPr>
        <w:ind w:left="384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171,081,228</w:t>
      </w:r>
    </w:p>
    <w:p>
      <w:pPr>
        <w:ind w:left="1220"/>
        <w:spacing w:after="0" w:line="237" w:lineRule="auto"/>
        <w:rPr>
          <w:sz w:val="20"/>
          <w:szCs w:val="20"/>
          <w:color w:val="auto"/>
        </w:rPr>
      </w:pPr>
      <w:r>
        <w:rPr>
          <w:rFonts w:ascii="Courier New" w:cs="Courier New" w:eastAsia="Courier New" w:hAnsi="Courier New"/>
          <w:sz w:val="15"/>
          <w:szCs w:val="15"/>
          <w:color w:val="auto"/>
        </w:rPr>
        <w:t>189,782,847</w:t>
      </w:r>
    </w:p>
    <w:p>
      <w:pPr>
        <w:ind w:left="3060"/>
        <w:spacing w:after="0" w:line="238" w:lineRule="auto"/>
        <w:rPr>
          <w:sz w:val="20"/>
          <w:szCs w:val="20"/>
          <w:color w:val="auto"/>
        </w:rPr>
      </w:pPr>
      <w:r>
        <w:rPr>
          <w:rFonts w:ascii="Courier New" w:cs="Courier New" w:eastAsia="Courier New" w:hAnsi="Courier New"/>
          <w:sz w:val="15"/>
          <w:szCs w:val="15"/>
          <w:color w:val="auto"/>
        </w:rPr>
        <w:t>186,327,877</w:t>
      </w:r>
    </w:p>
    <w:p>
      <w:pPr>
        <w:ind w:left="2280"/>
        <w:spacing w:after="0" w:line="237" w:lineRule="auto"/>
        <w:rPr>
          <w:sz w:val="20"/>
          <w:szCs w:val="20"/>
          <w:color w:val="auto"/>
        </w:rPr>
      </w:pPr>
      <w:r>
        <w:rPr>
          <w:rFonts w:ascii="Courier New" w:cs="Courier New" w:eastAsia="Courier New" w:hAnsi="Courier New"/>
          <w:sz w:val="15"/>
          <w:szCs w:val="15"/>
          <w:color w:val="auto"/>
        </w:rPr>
        <w:t>186,327,877</w:t>
      </w:r>
    </w:p>
    <w:p>
      <w:pPr>
        <w:jc w:val="right"/>
        <w:ind w:right="5939"/>
        <w:spacing w:after="0" w:line="238" w:lineRule="auto"/>
        <w:rPr>
          <w:sz w:val="20"/>
          <w:szCs w:val="20"/>
          <w:color w:val="auto"/>
        </w:rPr>
      </w:pPr>
      <w:r>
        <w:rPr>
          <w:rFonts w:ascii="Courier New" w:cs="Courier New" w:eastAsia="Courier New" w:hAnsi="Courier New"/>
          <w:sz w:val="15"/>
          <w:szCs w:val="15"/>
          <w:color w:val="auto"/>
        </w:rPr>
        <w:t>118,941,030</w:t>
      </w:r>
    </w:p>
    <w:p>
      <w:pPr>
        <w:ind w:left="2540"/>
        <w:spacing w:after="0" w:line="237" w:lineRule="auto"/>
        <w:rPr>
          <w:sz w:val="20"/>
          <w:szCs w:val="20"/>
          <w:color w:val="auto"/>
        </w:rPr>
      </w:pPr>
      <w:r>
        <w:rPr>
          <w:rFonts w:ascii="Courier New" w:cs="Courier New" w:eastAsia="Courier New" w:hAnsi="Courier New"/>
          <w:sz w:val="15"/>
          <w:szCs w:val="15"/>
          <w:color w:val="auto"/>
        </w:rPr>
        <w:t>118,941,030</w:t>
      </w:r>
    </w:p>
    <w:p>
      <w:pPr>
        <w:ind w:left="2280"/>
        <w:spacing w:after="0" w:line="238" w:lineRule="auto"/>
        <w:rPr>
          <w:sz w:val="20"/>
          <w:szCs w:val="20"/>
          <w:color w:val="auto"/>
        </w:rPr>
      </w:pPr>
      <w:r>
        <w:rPr>
          <w:rFonts w:ascii="Courier New" w:cs="Courier New" w:eastAsia="Courier New" w:hAnsi="Courier New"/>
          <w:sz w:val="15"/>
          <w:szCs w:val="15"/>
          <w:color w:val="auto"/>
        </w:rPr>
        <w:t>(4,707,238)</w:t>
      </w:r>
    </w:p>
    <w:p>
      <w:pPr>
        <w:ind w:left="314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0</w:t>
      </w:r>
    </w:p>
    <w:p>
      <w:pPr>
        <w:ind w:left="2440"/>
        <w:spacing w:after="0" w:line="238" w:lineRule="auto"/>
        <w:rPr>
          <w:sz w:val="20"/>
          <w:szCs w:val="20"/>
          <w:color w:val="auto"/>
        </w:rPr>
      </w:pPr>
      <w:r>
        <w:rPr>
          <w:rFonts w:ascii="Courier New" w:cs="Courier New" w:eastAsia="Courier New" w:hAnsi="Courier New"/>
          <w:sz w:val="15"/>
          <w:szCs w:val="15"/>
          <w:color w:val="auto"/>
        </w:rPr>
        <w:t>52,189,224</w:t>
      </w:r>
    </w:p>
    <w:p>
      <w:pPr>
        <w:ind w:left="2700"/>
        <w:spacing w:after="0" w:line="237" w:lineRule="auto"/>
        <w:rPr>
          <w:sz w:val="20"/>
          <w:szCs w:val="20"/>
          <w:color w:val="auto"/>
        </w:rPr>
      </w:pPr>
      <w:r>
        <w:rPr>
          <w:rFonts w:ascii="Courier New" w:cs="Courier New" w:eastAsia="Courier New" w:hAnsi="Courier New"/>
          <w:sz w:val="15"/>
          <w:szCs w:val="15"/>
          <w:color w:val="auto"/>
        </w:rPr>
        <w:t>16,959,000</w:t>
      </w:r>
    </w:p>
    <w:p>
      <w:pPr>
        <w:ind w:left="2100"/>
        <w:spacing w:after="0" w:line="238" w:lineRule="auto"/>
        <w:rPr>
          <w:sz w:val="20"/>
          <w:szCs w:val="20"/>
          <w:color w:val="auto"/>
        </w:rPr>
      </w:pPr>
      <w:r>
        <w:rPr>
          <w:rFonts w:ascii="Courier New" w:cs="Courier New" w:eastAsia="Courier New" w:hAnsi="Courier New"/>
          <w:sz w:val="15"/>
          <w:szCs w:val="15"/>
          <w:color w:val="auto"/>
        </w:rPr>
        <w:t>35,230,224</w:t>
      </w:r>
    </w:p>
    <w:p>
      <w:pPr>
        <w:ind w:left="332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2700"/>
        <w:spacing w:after="0" w:line="237" w:lineRule="auto"/>
        <w:rPr>
          <w:sz w:val="20"/>
          <w:szCs w:val="20"/>
          <w:color w:val="auto"/>
        </w:rPr>
      </w:pPr>
      <w:r>
        <w:rPr>
          <w:rFonts w:ascii="Courier New" w:cs="Courier New" w:eastAsia="Courier New" w:hAnsi="Courier New"/>
          <w:sz w:val="15"/>
          <w:szCs w:val="15"/>
          <w:color w:val="auto"/>
        </w:rPr>
        <w:t>35,230,224</w:t>
      </w:r>
    </w:p>
    <w:p>
      <w:pPr>
        <w:ind w:left="3140"/>
        <w:spacing w:after="0" w:line="238" w:lineRule="auto"/>
        <w:rPr>
          <w:sz w:val="20"/>
          <w:szCs w:val="20"/>
          <w:color w:val="auto"/>
        </w:rPr>
      </w:pPr>
      <w:r>
        <w:rPr>
          <w:rFonts w:ascii="Courier New" w:cs="Courier New" w:eastAsia="Courier New" w:hAnsi="Courier New"/>
          <w:sz w:val="15"/>
          <w:szCs w:val="15"/>
          <w:color w:val="auto"/>
        </w:rPr>
        <w:t>1.01</w:t>
      </w:r>
    </w:p>
    <w:p>
      <w:pPr>
        <w:ind w:left="3140"/>
        <w:spacing w:after="0"/>
        <w:rPr>
          <w:sz w:val="20"/>
          <w:szCs w:val="20"/>
          <w:color w:val="auto"/>
        </w:rPr>
      </w:pPr>
      <w:r>
        <w:rPr>
          <w:rFonts w:ascii="Courier New" w:cs="Courier New" w:eastAsia="Courier New" w:hAnsi="Courier New"/>
          <w:sz w:val="15"/>
          <w:szCs w:val="15"/>
          <w:color w:val="auto"/>
        </w:rPr>
        <w:t>0.98</w:t>
      </w:r>
    </w:p>
    <w:sectPr>
      <w:pgSz w:w="11900" w:h="16838" w:orient="portrait"/>
      <w:cols w:equalWidth="0" w:num="1">
        <w:col w:w="10139"/>
      </w:cols>
      <w:pgMar w:left="32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1"/>
    </w:lvl>
    <w:lvl w:ilvl="1">
      <w:lvlJc w:val="left"/>
      <w:lvlText w:val="%2."/>
      <w:numFmt w:val="decimal"/>
      <w:start w:val="2"/>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4"/>
    </w:lvl>
  </w:abstractNum>
  <w:abstractNum w:abstractNumId="19">
    <w:nsid w:val="75A2A8D4"/>
    <w:multiLevelType w:val="hybridMultilevel"/>
    <w:lvl w:ilvl="0">
      <w:lvlJc w:val="left"/>
      <w:lvlText w:val="(%1)"/>
      <w:numFmt w:val="decimal"/>
      <w:start w:val="6"/>
    </w:lvl>
  </w:abstractNum>
  <w:abstractNum w:abstractNumId="20">
    <w:nsid w:val="8EDBDAB"/>
    <w:multiLevelType w:val="hybridMultilevel"/>
    <w:lvl w:ilvl="0">
      <w:lvlJc w:val="left"/>
      <w:lvlText w:val="(%1)"/>
      <w:numFmt w:val="decimal"/>
      <w:start w:val="6"/>
    </w:lvl>
  </w:abstractNum>
  <w:abstractNum w:abstractNumId="21">
    <w:nsid w:val="79838CB2"/>
    <w:multiLevelType w:val="hybridMultilevel"/>
    <w:lvl w:ilvl="0">
      <w:lvlJc w:val="left"/>
      <w:lvlText w:val="(%1)"/>
      <w:numFmt w:val="decimal"/>
    </w:lvl>
  </w:abstractNum>
  <w:abstractNum w:abstractNumId="22">
    <w:nsid w:val="4353D0CD"/>
    <w:multiLevelType w:val="hybridMultilevel"/>
    <w:lvl w:ilvl="0">
      <w:lvlJc w:val="left"/>
      <w:lvlText w:val="(%1)"/>
      <w:numFmt w:val="decimal"/>
      <w:start w:val="7"/>
    </w:lvl>
  </w:abstractNum>
  <w:abstractNum w:abstractNumId="23">
    <w:nsid w:val="B03E0C6"/>
    <w:multiLevelType w:val="hybridMultilevel"/>
    <w:lvl w:ilvl="0">
      <w:lvlJc w:val="left"/>
      <w:lvlText w:val="(%1)"/>
      <w:numFmt w:val="decimal"/>
      <w:start w:val="8"/>
    </w:lvl>
    <w:lvl w:ilvl="1">
      <w:lvlJc w:val="left"/>
      <w:lvlText w:val="-"/>
      <w:numFmt w:val="bullet"/>
      <w:start w:val="1"/>
    </w:lvl>
  </w:abstractNum>
  <w:abstractNum w:abstractNumId="24">
    <w:nsid w:val="189A769B"/>
    <w:multiLevelType w:val="hybridMultilevel"/>
    <w:lvl w:ilvl="0">
      <w:lvlJc w:val="left"/>
      <w:lvlText w:val="(%1)"/>
      <w:numFmt w:val="decimal"/>
      <w:start w:val="9"/>
    </w:lvl>
  </w:abstractNum>
  <w:abstractNum w:abstractNumId="25">
    <w:nsid w:val="54E49EB4"/>
    <w:multiLevelType w:val="hybridMultilevel"/>
    <w:lvl w:ilvl="0">
      <w:lvlJc w:val="left"/>
      <w:lvlText w:val="(%1)"/>
      <w:numFmt w:val="decimal"/>
      <w:start w:val="9"/>
    </w:lvl>
  </w:abstractNum>
  <w:abstractNum w:abstractNumId="26">
    <w:nsid w:val="71F32454"/>
    <w:multiLevelType w:val="hybridMultilevel"/>
    <w:lvl w:ilvl="0">
      <w:lvlJc w:val="left"/>
      <w:lvlText w:val="%1"/>
      <w:numFmt w:val="decimal"/>
      <w:start w:val="27"/>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2019-12-12T07:09:58Z</dcterms:created>
  <dcterms:modified xsi:type="dcterms:W3CDTF">2019-12-12T07:09:58Z</dcterms:modified>
</cp:coreProperties>
</file>