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2 0 2 3 | A n n u a l R e p o r t</w:t>
      </w:r>
    </w:p>
    <w:p>
      <w:pPr>
        <w:sectPr>
          <w:pgSz w:w="12240" w:h="15840" w:orient="portrait"/>
          <w:cols w:equalWidth="0" w:num="1">
            <w:col w:w="9360"/>
          </w:cols>
          <w:pgMar w:left="1440" w:top="1440" w:right="1440" w:bottom="95"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FFFFFF"/>
        </w:rPr>
        <w:t>SAFE HARBOR FOR FORWARD-LOOKING STATEMENTS</w:t>
      </w:r>
    </w:p>
    <w:p>
      <w:pPr>
        <w:spacing w:after="0" w:line="170" w:lineRule="exact"/>
        <w:rPr>
          <w:sz w:val="20"/>
          <w:szCs w:val="20"/>
          <w:color w:val="auto"/>
        </w:rPr>
      </w:pPr>
    </w:p>
    <w:p>
      <w:pPr>
        <w:ind w:left="80"/>
        <w:spacing w:after="0" w:line="392" w:lineRule="auto"/>
        <w:rPr>
          <w:sz w:val="20"/>
          <w:szCs w:val="20"/>
          <w:color w:val="auto"/>
        </w:rPr>
      </w:pPr>
      <w:r>
        <w:rPr>
          <w:rFonts w:ascii="Times New Roman" w:cs="Times New Roman" w:eastAsia="Times New Roman" w:hAnsi="Times New Roman"/>
          <w:sz w:val="13"/>
          <w:szCs w:val="13"/>
          <w:color w:val="FFFFFF"/>
        </w:rPr>
        <w:t>This Annual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369" w:lineRule="auto"/>
        <w:rPr>
          <w:sz w:val="20"/>
          <w:szCs w:val="20"/>
          <w:color w:val="auto"/>
        </w:rPr>
      </w:pPr>
      <w:r>
        <w:rPr>
          <w:rFonts w:ascii="Times New Roman" w:cs="Times New Roman" w:eastAsia="Times New Roman" w:hAnsi="Times New Roman"/>
          <w:sz w:val="14"/>
          <w:szCs w:val="14"/>
          <w:color w:val="FFFFFF"/>
        </w:rPr>
        <w:t>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and the length and severity of the COVID-19 (coronavirus) pandemic, including its impact across our business on demand, operations, and the global supply chain. Readers are cautioned not to place undue reliance on these forward-looking statements, which speak only as of the date they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-7642860</wp:posOffset>
            </wp:positionV>
            <wp:extent cx="7772400" cy="10057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145" w:lineRule="exact"/>
        <w:rPr>
          <w:sz w:val="20"/>
          <w:szCs w:val="20"/>
          <w:color w:val="auto"/>
        </w:rPr>
      </w:pPr>
    </w:p>
    <w:p>
      <w:pPr>
        <w:ind w:right="40"/>
        <w:spacing w:after="0" w:line="368" w:lineRule="auto"/>
        <w:rPr>
          <w:sz w:val="20"/>
          <w:szCs w:val="20"/>
          <w:color w:val="auto"/>
        </w:rPr>
      </w:pPr>
      <w:r>
        <w:rPr>
          <w:rFonts w:ascii="Times New Roman" w:cs="Times New Roman" w:eastAsia="Times New Roman" w:hAnsi="Times New Roman"/>
          <w:sz w:val="14"/>
          <w:szCs w:val="14"/>
          <w:color w:val="FFFFFF"/>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now include the impacts of COVID-19 (coronavirus) pandemic and supply chain constraints that have affected, are affecting, and will continue to affect, general economic and industry conditions, customers, suppliers, and the regulatory environment in which the Company operates. Includes content supplied by S&amp;P Global Mobility Light Vehicle Production Forecast (http://www.gentex.com/forecast-disclaimer).</w:t>
      </w:r>
    </w:p>
    <w:p>
      <w:pPr>
        <w:spacing w:after="0" w:line="200" w:lineRule="exact"/>
        <w:rPr>
          <w:sz w:val="20"/>
          <w:szCs w:val="20"/>
          <w:color w:val="auto"/>
        </w:rPr>
      </w:pPr>
    </w:p>
    <w:p>
      <w:pPr>
        <w:sectPr>
          <w:pgSz w:w="12240" w:h="15840" w:orient="portrait"/>
          <w:cols w:equalWidth="0" w:num="2">
            <w:col w:w="5260" w:space="340"/>
            <w:col w:w="5240"/>
          </w:cols>
          <w:pgMar w:left="640" w:top="1440" w:right="760" w:bottom="0" w:gutter="0" w:footer="0" w:header="0"/>
        </w:sectPr>
      </w:pPr>
    </w:p>
    <w:p>
      <w:pPr>
        <w:spacing w:after="0" w:line="12" w:lineRule="exact"/>
        <w:rPr>
          <w:sz w:val="20"/>
          <w:szCs w:val="20"/>
          <w:color w:val="auto"/>
        </w:rPr>
      </w:pPr>
    </w:p>
    <w:p>
      <w:pPr>
        <w:spacing w:after="0"/>
        <w:tabs>
          <w:tab w:leader="none" w:pos="340" w:val="left"/>
        </w:tabs>
        <w:rPr>
          <w:sz w:val="20"/>
          <w:szCs w:val="20"/>
          <w:color w:val="auto"/>
        </w:rPr>
      </w:pPr>
      <w:r>
        <w:rPr>
          <w:rFonts w:ascii="Arial" w:cs="Arial" w:eastAsia="Arial" w:hAnsi="Arial"/>
          <w:sz w:val="24"/>
          <w:szCs w:val="24"/>
          <w:b w:val="1"/>
          <w:bCs w:val="1"/>
          <w:color w:val="FFFFFF"/>
        </w:rPr>
        <w:t>2</w:t>
      </w:r>
      <w:r>
        <w:rPr>
          <w:sz w:val="20"/>
          <w:szCs w:val="20"/>
          <w:color w:val="auto"/>
        </w:rPr>
        <w:tab/>
      </w:r>
      <w:r>
        <w:rPr>
          <w:rFonts w:ascii="Times New Roman" w:cs="Times New Roman" w:eastAsia="Times New Roman" w:hAnsi="Times New Roman"/>
          <w:sz w:val="10"/>
          <w:szCs w:val="10"/>
          <w:color w:val="FFFFFF"/>
        </w:rPr>
        <w:t>GENTEX CORPORATION</w:t>
      </w:r>
    </w:p>
    <w:p>
      <w:pPr>
        <w:spacing w:after="0" w:line="20" w:lineRule="exact"/>
        <w:rPr>
          <w:sz w:val="20"/>
          <w:szCs w:val="20"/>
          <w:color w:val="auto"/>
        </w:rPr>
      </w:pPr>
    </w:p>
    <w:p>
      <w:pPr>
        <w:sectPr>
          <w:pgSz w:w="12240" w:h="15840" w:orient="portrait"/>
          <w:cols w:equalWidth="0" w:num="1">
            <w:col w:w="10840"/>
          </w:cols>
          <w:pgMar w:left="640" w:top="1440" w:right="760" w:bottom="0" w:gutter="0" w:footer="0" w:header="0"/>
          <w:type w:val="continuous"/>
        </w:sectPr>
      </w:pPr>
    </w:p>
    <w:bookmarkStart w:id="2" w:name="page3"/>
    <w:bookmarkEnd w:id="2"/>
    <w:p>
      <w:pPr>
        <w:jc w:val="right"/>
        <w:ind w:right="30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900"/>
        <w:spacing w:after="0"/>
        <w:rPr>
          <w:sz w:val="20"/>
          <w:szCs w:val="20"/>
          <w:color w:val="auto"/>
        </w:rPr>
      </w:pPr>
      <w:r>
        <w:rPr>
          <w:rFonts w:ascii="Arial" w:cs="Arial" w:eastAsia="Arial" w:hAnsi="Arial"/>
          <w:sz w:val="24"/>
          <w:szCs w:val="24"/>
          <w:b w:val="1"/>
          <w:bCs w:val="1"/>
          <w:color w:val="FB8A38"/>
        </w:rPr>
        <w:t>ABOUT GENTEX</w:t>
      </w:r>
    </w:p>
    <w:p>
      <w:pPr>
        <w:spacing w:after="0" w:line="221" w:lineRule="exact"/>
        <w:rPr>
          <w:sz w:val="20"/>
          <w:szCs w:val="20"/>
          <w:color w:val="auto"/>
        </w:rPr>
      </w:pPr>
    </w:p>
    <w:tbl>
      <w:tblPr>
        <w:tblLayout w:type="fixed"/>
        <w:tblInd w:w="5900" w:type="dxa"/>
        <w:tblCellMar>
          <w:top w:w="0" w:type="dxa"/>
          <w:left w:w="0" w:type="dxa"/>
          <w:bottom w:w="0" w:type="dxa"/>
          <w:right w:w="0" w:type="dxa"/>
        </w:tblCellMar>
      </w:tblPr>
      <w:tr>
        <w:trPr>
          <w:trHeight w:val="304"/>
        </w:trPr>
        <w:tc>
          <w:tcPr>
            <w:tcW w:w="1780" w:type="dxa"/>
            <w:vAlign w:val="bottom"/>
          </w:tcPr>
          <w:p>
            <w:pPr>
              <w:spacing w:after="0"/>
              <w:rPr>
                <w:sz w:val="20"/>
                <w:szCs w:val="20"/>
                <w:color w:val="auto"/>
              </w:rPr>
            </w:pPr>
            <w:r>
              <w:rPr>
                <w:rFonts w:ascii="Arial" w:cs="Arial" w:eastAsia="Arial" w:hAnsi="Arial"/>
                <w:sz w:val="24"/>
                <w:szCs w:val="24"/>
                <w:b w:val="1"/>
                <w:bCs w:val="1"/>
                <w:color w:val="FFFFFF"/>
              </w:rPr>
              <w:t>OVERVIEW</w:t>
            </w:r>
          </w:p>
        </w:tc>
        <w:tc>
          <w:tcPr>
            <w:tcW w:w="240" w:type="dxa"/>
            <w:vAlign w:val="bottom"/>
          </w:tcPr>
          <w:p>
            <w:pPr>
              <w:jc w:val="right"/>
              <w:spacing w:after="0"/>
              <w:rPr>
                <w:sz w:val="20"/>
                <w:szCs w:val="20"/>
                <w:color w:val="auto"/>
              </w:rPr>
            </w:pPr>
            <w:r>
              <w:rPr>
                <w:rFonts w:ascii="Arial" w:cs="Arial" w:eastAsia="Arial" w:hAnsi="Arial"/>
                <w:sz w:val="24"/>
                <w:szCs w:val="24"/>
                <w:b w:val="1"/>
                <w:bCs w:val="1"/>
                <w:color w:val="FFFFFF"/>
              </w:rPr>
              <w:t>4</w:t>
            </w:r>
          </w:p>
        </w:tc>
      </w:tr>
      <w:tr>
        <w:trPr>
          <w:trHeight w:val="410"/>
        </w:trPr>
        <w:tc>
          <w:tcPr>
            <w:tcW w:w="1780" w:type="dxa"/>
            <w:vAlign w:val="bottom"/>
          </w:tcPr>
          <w:p>
            <w:pPr>
              <w:spacing w:after="0"/>
              <w:rPr>
                <w:sz w:val="20"/>
                <w:szCs w:val="20"/>
                <w:color w:val="auto"/>
              </w:rPr>
            </w:pPr>
            <w:r>
              <w:rPr>
                <w:rFonts w:ascii="Arial" w:cs="Arial" w:eastAsia="Arial" w:hAnsi="Arial"/>
                <w:sz w:val="24"/>
                <w:szCs w:val="24"/>
                <w:b w:val="1"/>
                <w:bCs w:val="1"/>
                <w:color w:val="FFFFFF"/>
              </w:rPr>
              <w:t>FAST FACTS</w:t>
            </w:r>
          </w:p>
        </w:tc>
        <w:tc>
          <w:tcPr>
            <w:tcW w:w="240" w:type="dxa"/>
            <w:vAlign w:val="bottom"/>
          </w:tcPr>
          <w:p>
            <w:pPr>
              <w:jc w:val="right"/>
              <w:spacing w:after="0"/>
              <w:rPr>
                <w:sz w:val="20"/>
                <w:szCs w:val="20"/>
                <w:color w:val="auto"/>
              </w:rPr>
            </w:pPr>
            <w:r>
              <w:rPr>
                <w:rFonts w:ascii="Arial" w:cs="Arial" w:eastAsia="Arial" w:hAnsi="Arial"/>
                <w:sz w:val="24"/>
                <w:szCs w:val="24"/>
                <w:b w:val="1"/>
                <w:bCs w:val="1"/>
                <w:color w:val="FFFFFF"/>
              </w:rPr>
              <w:t>5</w:t>
            </w:r>
          </w:p>
        </w:tc>
      </w:tr>
      <w:tr>
        <w:trPr>
          <w:trHeight w:val="410"/>
        </w:trPr>
        <w:tc>
          <w:tcPr>
            <w:tcW w:w="1780" w:type="dxa"/>
            <w:vAlign w:val="bottom"/>
          </w:tcPr>
          <w:p>
            <w:pPr>
              <w:spacing w:after="0"/>
              <w:rPr>
                <w:sz w:val="20"/>
                <w:szCs w:val="20"/>
                <w:color w:val="auto"/>
              </w:rPr>
            </w:pPr>
            <w:r>
              <w:rPr>
                <w:rFonts w:ascii="Arial" w:cs="Arial" w:eastAsia="Arial" w:hAnsi="Arial"/>
                <w:sz w:val="21"/>
                <w:szCs w:val="21"/>
                <w:b w:val="1"/>
                <w:bCs w:val="1"/>
                <w:color w:val="FFFFFF"/>
                <w:w w:val="70"/>
              </w:rPr>
              <w:t>LETTER FROM THE CEO</w:t>
            </w:r>
          </w:p>
        </w:tc>
        <w:tc>
          <w:tcPr>
            <w:tcW w:w="240" w:type="dxa"/>
            <w:vAlign w:val="bottom"/>
          </w:tcPr>
          <w:p>
            <w:pPr>
              <w:jc w:val="right"/>
              <w:spacing w:after="0"/>
              <w:rPr>
                <w:sz w:val="20"/>
                <w:szCs w:val="20"/>
                <w:color w:val="auto"/>
              </w:rPr>
            </w:pPr>
            <w:r>
              <w:rPr>
                <w:rFonts w:ascii="Arial" w:cs="Arial" w:eastAsia="Arial" w:hAnsi="Arial"/>
                <w:sz w:val="24"/>
                <w:szCs w:val="24"/>
                <w:b w:val="1"/>
                <w:bCs w:val="1"/>
                <w:color w:val="FFFFFF"/>
              </w:rPr>
              <w:t>6</w:t>
            </w:r>
          </w:p>
        </w:tc>
      </w:tr>
      <w:tr>
        <w:trPr>
          <w:trHeight w:val="410"/>
        </w:trPr>
        <w:tc>
          <w:tcPr>
            <w:tcW w:w="1780" w:type="dxa"/>
            <w:vAlign w:val="bottom"/>
          </w:tcPr>
          <w:p>
            <w:pPr>
              <w:spacing w:after="0"/>
              <w:rPr>
                <w:sz w:val="20"/>
                <w:szCs w:val="20"/>
                <w:color w:val="auto"/>
              </w:rPr>
            </w:pPr>
            <w:r>
              <w:rPr>
                <w:rFonts w:ascii="Arial" w:cs="Arial" w:eastAsia="Arial" w:hAnsi="Arial"/>
                <w:sz w:val="18"/>
                <w:szCs w:val="18"/>
                <w:b w:val="1"/>
                <w:bCs w:val="1"/>
                <w:color w:val="FFFFFF"/>
                <w:w w:val="72"/>
              </w:rPr>
              <w:t>FINANCIAL PERFORMANCE</w:t>
            </w:r>
          </w:p>
        </w:tc>
        <w:tc>
          <w:tcPr>
            <w:tcW w:w="240" w:type="dxa"/>
            <w:vAlign w:val="bottom"/>
          </w:tcPr>
          <w:p>
            <w:pPr>
              <w:jc w:val="right"/>
              <w:spacing w:after="0"/>
              <w:rPr>
                <w:sz w:val="20"/>
                <w:szCs w:val="20"/>
                <w:color w:val="auto"/>
              </w:rPr>
            </w:pPr>
            <w:r>
              <w:rPr>
                <w:rFonts w:ascii="Arial" w:cs="Arial" w:eastAsia="Arial" w:hAnsi="Arial"/>
                <w:sz w:val="24"/>
                <w:szCs w:val="24"/>
                <w:b w:val="1"/>
                <w:bCs w:val="1"/>
                <w:color w:val="FFFFFF"/>
              </w:rPr>
              <w:t>8</w:t>
            </w:r>
          </w:p>
        </w:tc>
      </w:tr>
    </w:tbl>
    <w:p>
      <w:pPr>
        <w:spacing w:after="0" w:line="249" w:lineRule="exact"/>
        <w:rPr>
          <w:sz w:val="20"/>
          <w:szCs w:val="20"/>
          <w:color w:val="auto"/>
        </w:rPr>
      </w:pPr>
    </w:p>
    <w:p>
      <w:pPr>
        <w:ind w:left="5900"/>
        <w:spacing w:after="0"/>
        <w:rPr>
          <w:sz w:val="20"/>
          <w:szCs w:val="20"/>
          <w:color w:val="auto"/>
        </w:rPr>
      </w:pPr>
      <w:r>
        <w:rPr>
          <w:rFonts w:ascii="Arial" w:cs="Arial" w:eastAsia="Arial" w:hAnsi="Arial"/>
          <w:sz w:val="24"/>
          <w:szCs w:val="24"/>
          <w:b w:val="1"/>
          <w:bCs w:val="1"/>
          <w:color w:val="FB8A38"/>
        </w:rPr>
        <w:t>PRODUCT &amp; STRATEGY</w:t>
      </w:r>
    </w:p>
    <w:p>
      <w:pPr>
        <w:spacing w:after="0" w:line="221" w:lineRule="exact"/>
        <w:rPr>
          <w:sz w:val="20"/>
          <w:szCs w:val="20"/>
          <w:color w:val="auto"/>
        </w:rPr>
      </w:pPr>
    </w:p>
    <w:tbl>
      <w:tblPr>
        <w:tblLayout w:type="fixed"/>
        <w:tblInd w:w="5900" w:type="dxa"/>
        <w:tblCellMar>
          <w:top w:w="0" w:type="dxa"/>
          <w:left w:w="0" w:type="dxa"/>
          <w:bottom w:w="0" w:type="dxa"/>
          <w:right w:w="0" w:type="dxa"/>
        </w:tblCellMar>
      </w:tblPr>
      <w:tr>
        <w:trPr>
          <w:trHeight w:val="304"/>
        </w:trPr>
        <w:tc>
          <w:tcPr>
            <w:tcW w:w="1740" w:type="dxa"/>
            <w:vAlign w:val="bottom"/>
          </w:tcPr>
          <w:p>
            <w:pPr>
              <w:spacing w:after="0"/>
              <w:rPr>
                <w:sz w:val="20"/>
                <w:szCs w:val="20"/>
                <w:color w:val="auto"/>
              </w:rPr>
            </w:pPr>
            <w:r>
              <w:rPr>
                <w:rFonts w:ascii="Arial" w:cs="Arial" w:eastAsia="Arial" w:hAnsi="Arial"/>
                <w:sz w:val="24"/>
                <w:szCs w:val="24"/>
                <w:b w:val="1"/>
                <w:bCs w:val="1"/>
                <w:color w:val="FFFFFF"/>
                <w:w w:val="71"/>
              </w:rPr>
              <w:t>DIMMABLE DEVICES</w:t>
            </w:r>
          </w:p>
        </w:tc>
        <w:tc>
          <w:tcPr>
            <w:tcW w:w="360" w:type="dxa"/>
            <w:vAlign w:val="bottom"/>
          </w:tcPr>
          <w:p>
            <w:pPr>
              <w:jc w:val="right"/>
              <w:spacing w:after="0"/>
              <w:rPr>
                <w:sz w:val="20"/>
                <w:szCs w:val="20"/>
                <w:color w:val="auto"/>
              </w:rPr>
            </w:pPr>
            <w:r>
              <w:rPr>
                <w:rFonts w:ascii="Arial" w:cs="Arial" w:eastAsia="Arial" w:hAnsi="Arial"/>
                <w:sz w:val="24"/>
                <w:szCs w:val="24"/>
                <w:b w:val="1"/>
                <w:bCs w:val="1"/>
                <w:color w:val="FFFFFF"/>
              </w:rPr>
              <w:t>10</w:t>
            </w:r>
          </w:p>
        </w:tc>
      </w:tr>
      <w:tr>
        <w:trPr>
          <w:trHeight w:val="410"/>
        </w:trPr>
        <w:tc>
          <w:tcPr>
            <w:tcW w:w="1740" w:type="dxa"/>
            <w:vAlign w:val="bottom"/>
          </w:tcPr>
          <w:p>
            <w:pPr>
              <w:spacing w:after="0"/>
              <w:rPr>
                <w:sz w:val="20"/>
                <w:szCs w:val="20"/>
                <w:color w:val="auto"/>
              </w:rPr>
            </w:pPr>
            <w:r>
              <w:rPr>
                <w:rFonts w:ascii="Arial" w:cs="Arial" w:eastAsia="Arial" w:hAnsi="Arial"/>
                <w:sz w:val="24"/>
                <w:szCs w:val="24"/>
                <w:b w:val="1"/>
                <w:bCs w:val="1"/>
                <w:color w:val="FFFFFF"/>
                <w:w w:val="93"/>
              </w:rPr>
              <w:t>DIGITAL VISION</w:t>
            </w:r>
          </w:p>
        </w:tc>
        <w:tc>
          <w:tcPr>
            <w:tcW w:w="360" w:type="dxa"/>
            <w:vAlign w:val="bottom"/>
          </w:tcPr>
          <w:p>
            <w:pPr>
              <w:jc w:val="right"/>
              <w:spacing w:after="0"/>
              <w:rPr>
                <w:sz w:val="20"/>
                <w:szCs w:val="20"/>
                <w:color w:val="auto"/>
              </w:rPr>
            </w:pPr>
            <w:r>
              <w:rPr>
                <w:rFonts w:ascii="Arial" w:cs="Arial" w:eastAsia="Arial" w:hAnsi="Arial"/>
                <w:sz w:val="24"/>
                <w:szCs w:val="24"/>
                <w:b w:val="1"/>
                <w:bCs w:val="1"/>
                <w:color w:val="FFFFFF"/>
              </w:rPr>
              <w:t>12</w:t>
            </w:r>
          </w:p>
        </w:tc>
      </w:tr>
      <w:tr>
        <w:trPr>
          <w:trHeight w:val="410"/>
        </w:trPr>
        <w:tc>
          <w:tcPr>
            <w:tcW w:w="1740" w:type="dxa"/>
            <w:vAlign w:val="bottom"/>
          </w:tcPr>
          <w:p>
            <w:pPr>
              <w:spacing w:after="0"/>
              <w:rPr>
                <w:sz w:val="20"/>
                <w:szCs w:val="20"/>
                <w:color w:val="auto"/>
              </w:rPr>
            </w:pPr>
            <w:r>
              <w:rPr>
                <w:rFonts w:ascii="Arial" w:cs="Arial" w:eastAsia="Arial" w:hAnsi="Arial"/>
                <w:sz w:val="24"/>
                <w:szCs w:val="24"/>
                <w:b w:val="1"/>
                <w:bCs w:val="1"/>
                <w:color w:val="FFFFFF"/>
                <w:w w:val="96"/>
              </w:rPr>
              <w:t>CONNECTIVITY</w:t>
            </w:r>
          </w:p>
        </w:tc>
        <w:tc>
          <w:tcPr>
            <w:tcW w:w="360" w:type="dxa"/>
            <w:vAlign w:val="bottom"/>
          </w:tcPr>
          <w:p>
            <w:pPr>
              <w:jc w:val="right"/>
              <w:spacing w:after="0"/>
              <w:rPr>
                <w:sz w:val="20"/>
                <w:szCs w:val="20"/>
                <w:color w:val="auto"/>
              </w:rPr>
            </w:pPr>
            <w:r>
              <w:rPr>
                <w:rFonts w:ascii="Arial" w:cs="Arial" w:eastAsia="Arial" w:hAnsi="Arial"/>
                <w:sz w:val="24"/>
                <w:szCs w:val="24"/>
                <w:b w:val="1"/>
                <w:bCs w:val="1"/>
                <w:color w:val="FFFFFF"/>
              </w:rPr>
              <w:t>14</w:t>
            </w:r>
          </w:p>
        </w:tc>
      </w:tr>
      <w:tr>
        <w:trPr>
          <w:trHeight w:val="410"/>
        </w:trPr>
        <w:tc>
          <w:tcPr>
            <w:tcW w:w="1740" w:type="dxa"/>
            <w:vAlign w:val="bottom"/>
          </w:tcPr>
          <w:p>
            <w:pPr>
              <w:spacing w:after="0"/>
              <w:rPr>
                <w:sz w:val="20"/>
                <w:szCs w:val="20"/>
                <w:color w:val="auto"/>
              </w:rPr>
            </w:pPr>
            <w:r>
              <w:rPr>
                <w:rFonts w:ascii="Arial" w:cs="Arial" w:eastAsia="Arial" w:hAnsi="Arial"/>
                <w:sz w:val="24"/>
                <w:szCs w:val="24"/>
                <w:b w:val="1"/>
                <w:bCs w:val="1"/>
                <w:color w:val="FFFFFF"/>
              </w:rPr>
              <w:t>SENSING</w:t>
            </w:r>
          </w:p>
        </w:tc>
        <w:tc>
          <w:tcPr>
            <w:tcW w:w="360" w:type="dxa"/>
            <w:vAlign w:val="bottom"/>
          </w:tcPr>
          <w:p>
            <w:pPr>
              <w:jc w:val="right"/>
              <w:spacing w:after="0"/>
              <w:rPr>
                <w:sz w:val="20"/>
                <w:szCs w:val="20"/>
                <w:color w:val="auto"/>
              </w:rPr>
            </w:pPr>
            <w:r>
              <w:rPr>
                <w:rFonts w:ascii="Arial" w:cs="Arial" w:eastAsia="Arial" w:hAnsi="Arial"/>
                <w:sz w:val="24"/>
                <w:szCs w:val="24"/>
                <w:b w:val="1"/>
                <w:bCs w:val="1"/>
                <w:color w:val="FFFFFF"/>
              </w:rPr>
              <w:t>16</w:t>
            </w:r>
          </w:p>
        </w:tc>
      </w:tr>
      <w:tr>
        <w:trPr>
          <w:trHeight w:val="410"/>
        </w:trPr>
        <w:tc>
          <w:tcPr>
            <w:tcW w:w="1740" w:type="dxa"/>
            <w:vAlign w:val="bottom"/>
          </w:tcPr>
          <w:p>
            <w:pPr>
              <w:spacing w:after="0"/>
              <w:rPr>
                <w:sz w:val="20"/>
                <w:szCs w:val="20"/>
                <w:color w:val="auto"/>
              </w:rPr>
            </w:pPr>
            <w:r>
              <w:rPr>
                <w:rFonts w:ascii="Arial" w:cs="Arial" w:eastAsia="Arial" w:hAnsi="Arial"/>
                <w:sz w:val="21"/>
                <w:szCs w:val="21"/>
                <w:b w:val="1"/>
                <w:bCs w:val="1"/>
                <w:color w:val="FFFFFF"/>
                <w:w w:val="70"/>
              </w:rPr>
              <w:t>COMMUNITY IN ACTION</w:t>
            </w:r>
          </w:p>
        </w:tc>
        <w:tc>
          <w:tcPr>
            <w:tcW w:w="360" w:type="dxa"/>
            <w:vAlign w:val="bottom"/>
          </w:tcPr>
          <w:p>
            <w:pPr>
              <w:jc w:val="right"/>
              <w:spacing w:after="0"/>
              <w:rPr>
                <w:sz w:val="20"/>
                <w:szCs w:val="20"/>
                <w:color w:val="auto"/>
              </w:rPr>
            </w:pPr>
            <w:r>
              <w:rPr>
                <w:rFonts w:ascii="Arial" w:cs="Arial" w:eastAsia="Arial" w:hAnsi="Arial"/>
                <w:sz w:val="24"/>
                <w:szCs w:val="24"/>
                <w:b w:val="1"/>
                <w:bCs w:val="1"/>
                <w:color w:val="FFFFFF"/>
              </w:rPr>
              <w:t>18</w:t>
            </w:r>
          </w:p>
        </w:tc>
      </w:tr>
      <w:tr>
        <w:trPr>
          <w:trHeight w:val="410"/>
        </w:trPr>
        <w:tc>
          <w:tcPr>
            <w:tcW w:w="1740" w:type="dxa"/>
            <w:vAlign w:val="bottom"/>
          </w:tcPr>
          <w:p>
            <w:pPr>
              <w:spacing w:after="0"/>
              <w:rPr>
                <w:sz w:val="20"/>
                <w:szCs w:val="20"/>
                <w:color w:val="auto"/>
              </w:rPr>
            </w:pPr>
            <w:r>
              <w:rPr>
                <w:rFonts w:ascii="Arial" w:cs="Arial" w:eastAsia="Arial" w:hAnsi="Arial"/>
                <w:sz w:val="24"/>
                <w:szCs w:val="24"/>
                <w:b w:val="1"/>
                <w:bCs w:val="1"/>
                <w:color w:val="FFFFFF"/>
                <w:w w:val="86"/>
              </w:rPr>
              <w:t>SUSTAINABILITY</w:t>
            </w:r>
          </w:p>
        </w:tc>
        <w:tc>
          <w:tcPr>
            <w:tcW w:w="360" w:type="dxa"/>
            <w:vAlign w:val="bottom"/>
          </w:tcPr>
          <w:p>
            <w:pPr>
              <w:jc w:val="right"/>
              <w:spacing w:after="0"/>
              <w:rPr>
                <w:sz w:val="20"/>
                <w:szCs w:val="20"/>
                <w:color w:val="auto"/>
              </w:rPr>
            </w:pPr>
            <w:r>
              <w:rPr>
                <w:rFonts w:ascii="Arial" w:cs="Arial" w:eastAsia="Arial" w:hAnsi="Arial"/>
                <w:sz w:val="24"/>
                <w:szCs w:val="24"/>
                <w:b w:val="1"/>
                <w:bCs w:val="1"/>
                <w:color w:val="FFFFFF"/>
              </w:rPr>
              <w:t>20</w:t>
            </w:r>
          </w:p>
        </w:tc>
      </w:tr>
      <w:tr>
        <w:trPr>
          <w:trHeight w:val="570"/>
        </w:trPr>
        <w:tc>
          <w:tcPr>
            <w:tcW w:w="1740" w:type="dxa"/>
            <w:vAlign w:val="bottom"/>
          </w:tcPr>
          <w:p>
            <w:pPr>
              <w:spacing w:after="0"/>
              <w:rPr>
                <w:sz w:val="20"/>
                <w:szCs w:val="20"/>
                <w:color w:val="auto"/>
              </w:rPr>
            </w:pPr>
            <w:r>
              <w:rPr>
                <w:rFonts w:ascii="Arial" w:cs="Arial" w:eastAsia="Arial" w:hAnsi="Arial"/>
                <w:sz w:val="24"/>
                <w:szCs w:val="24"/>
                <w:b w:val="1"/>
                <w:bCs w:val="1"/>
                <w:color w:val="FB8A38"/>
              </w:rPr>
              <w:t>FINANCIALS</w:t>
            </w:r>
          </w:p>
        </w:tc>
        <w:tc>
          <w:tcPr>
            <w:tcW w:w="360" w:type="dxa"/>
            <w:vAlign w:val="bottom"/>
          </w:tcPr>
          <w:p>
            <w:pPr>
              <w:spacing w:after="0"/>
              <w:rPr>
                <w:sz w:val="24"/>
                <w:szCs w:val="24"/>
                <w:color w:val="auto"/>
              </w:rPr>
            </w:pPr>
          </w:p>
        </w:tc>
      </w:tr>
      <w:tr>
        <w:trPr>
          <w:trHeight w:val="480"/>
        </w:trPr>
        <w:tc>
          <w:tcPr>
            <w:tcW w:w="1740" w:type="dxa"/>
            <w:vAlign w:val="bottom"/>
          </w:tcPr>
          <w:p>
            <w:pPr>
              <w:spacing w:after="0"/>
              <w:rPr>
                <w:sz w:val="20"/>
                <w:szCs w:val="20"/>
                <w:color w:val="auto"/>
              </w:rPr>
            </w:pPr>
            <w:r>
              <w:rPr>
                <w:rFonts w:ascii="Arial" w:cs="Arial" w:eastAsia="Arial" w:hAnsi="Arial"/>
                <w:sz w:val="24"/>
                <w:szCs w:val="24"/>
                <w:b w:val="1"/>
                <w:bCs w:val="1"/>
                <w:color w:val="FFFFFF"/>
              </w:rPr>
              <w:t>10K</w:t>
            </w:r>
          </w:p>
        </w:tc>
        <w:tc>
          <w:tcPr>
            <w:tcW w:w="360" w:type="dxa"/>
            <w:vAlign w:val="bottom"/>
          </w:tcPr>
          <w:p>
            <w:pPr>
              <w:jc w:val="right"/>
              <w:spacing w:after="0"/>
              <w:rPr>
                <w:sz w:val="20"/>
                <w:szCs w:val="20"/>
                <w:color w:val="auto"/>
              </w:rPr>
            </w:pPr>
            <w:r>
              <w:rPr>
                <w:rFonts w:ascii="Arial" w:cs="Arial" w:eastAsia="Arial" w:hAnsi="Arial"/>
                <w:sz w:val="24"/>
                <w:szCs w:val="24"/>
                <w:b w:val="1"/>
                <w:bCs w:val="1"/>
                <w:color w:val="FFFFFF"/>
              </w:rPr>
              <w:t>22</w:t>
            </w:r>
          </w:p>
        </w:tc>
      </w:tr>
      <w:tr>
        <w:trPr>
          <w:trHeight w:val="410"/>
        </w:trPr>
        <w:tc>
          <w:tcPr>
            <w:tcW w:w="1740" w:type="dxa"/>
            <w:vAlign w:val="bottom"/>
          </w:tcPr>
          <w:p>
            <w:pPr>
              <w:spacing w:after="0"/>
              <w:rPr>
                <w:sz w:val="20"/>
                <w:szCs w:val="20"/>
                <w:color w:val="auto"/>
              </w:rPr>
            </w:pPr>
            <w:r>
              <w:rPr>
                <w:rFonts w:ascii="Arial" w:cs="Arial" w:eastAsia="Arial" w:hAnsi="Arial"/>
                <w:sz w:val="24"/>
                <w:szCs w:val="24"/>
                <w:b w:val="1"/>
                <w:bCs w:val="1"/>
                <w:color w:val="FFFFFF"/>
                <w:w w:val="74"/>
              </w:rPr>
              <w:t>15 YEAR SUMMARY</w:t>
            </w:r>
          </w:p>
        </w:tc>
        <w:tc>
          <w:tcPr>
            <w:tcW w:w="360" w:type="dxa"/>
            <w:vAlign w:val="bottom"/>
          </w:tcPr>
          <w:p>
            <w:pPr>
              <w:jc w:val="right"/>
              <w:spacing w:after="0"/>
              <w:rPr>
                <w:sz w:val="20"/>
                <w:szCs w:val="20"/>
                <w:color w:val="auto"/>
              </w:rPr>
            </w:pPr>
            <w:r>
              <w:rPr>
                <w:rFonts w:ascii="Arial" w:cs="Arial" w:eastAsia="Arial" w:hAnsi="Arial"/>
                <w:sz w:val="24"/>
                <w:szCs w:val="24"/>
                <w:b w:val="1"/>
                <w:bCs w:val="1"/>
                <w:color w:val="FFFFFF"/>
              </w:rPr>
              <w:t>96</w:t>
            </w:r>
          </w:p>
        </w:tc>
      </w:tr>
    </w:tbl>
    <w:p>
      <w:pPr>
        <w:spacing w:after="0" w:line="249" w:lineRule="exact"/>
        <w:rPr>
          <w:sz w:val="20"/>
          <w:szCs w:val="20"/>
          <w:color w:val="auto"/>
        </w:rPr>
      </w:pPr>
    </w:p>
    <w:p>
      <w:pPr>
        <w:ind w:left="5900"/>
        <w:spacing w:after="0"/>
        <w:rPr>
          <w:sz w:val="20"/>
          <w:szCs w:val="20"/>
          <w:color w:val="auto"/>
        </w:rPr>
      </w:pPr>
      <w:r>
        <w:rPr>
          <w:rFonts w:ascii="Arial" w:cs="Arial" w:eastAsia="Arial" w:hAnsi="Arial"/>
          <w:sz w:val="24"/>
          <w:szCs w:val="24"/>
          <w:b w:val="1"/>
          <w:bCs w:val="1"/>
          <w:color w:val="FB8A38"/>
        </w:rPr>
        <w:t>CORPORATE &amp; LEADERSHIP</w:t>
      </w:r>
    </w:p>
    <w:p>
      <w:pPr>
        <w:spacing w:after="0" w:line="221" w:lineRule="exact"/>
        <w:rPr>
          <w:sz w:val="20"/>
          <w:szCs w:val="20"/>
          <w:color w:val="auto"/>
        </w:rPr>
      </w:pPr>
    </w:p>
    <w:tbl>
      <w:tblPr>
        <w:tblLayout w:type="fixed"/>
        <w:tblInd w:w="5900" w:type="dxa"/>
        <w:tblCellMar>
          <w:top w:w="0" w:type="dxa"/>
          <w:left w:w="0" w:type="dxa"/>
          <w:bottom w:w="0" w:type="dxa"/>
          <w:right w:w="0" w:type="dxa"/>
        </w:tblCellMar>
      </w:tblPr>
      <w:tr>
        <w:trPr>
          <w:trHeight w:val="304"/>
        </w:trPr>
        <w:tc>
          <w:tcPr>
            <w:tcW w:w="1640" w:type="dxa"/>
            <w:vAlign w:val="bottom"/>
          </w:tcPr>
          <w:p>
            <w:pPr>
              <w:spacing w:after="0"/>
              <w:rPr>
                <w:sz w:val="20"/>
                <w:szCs w:val="20"/>
                <w:color w:val="auto"/>
              </w:rPr>
            </w:pPr>
            <w:r>
              <w:rPr>
                <w:rFonts w:ascii="Arial" w:cs="Arial" w:eastAsia="Arial" w:hAnsi="Arial"/>
                <w:sz w:val="24"/>
                <w:szCs w:val="24"/>
                <w:b w:val="1"/>
                <w:bCs w:val="1"/>
                <w:color w:val="FFFFFF"/>
                <w:w w:val="71"/>
              </w:rPr>
              <w:t>CORPORATE DATA</w:t>
            </w:r>
          </w:p>
        </w:tc>
        <w:tc>
          <w:tcPr>
            <w:tcW w:w="460" w:type="dxa"/>
            <w:vAlign w:val="bottom"/>
          </w:tcPr>
          <w:p>
            <w:pPr>
              <w:jc w:val="right"/>
              <w:spacing w:after="0"/>
              <w:rPr>
                <w:sz w:val="20"/>
                <w:szCs w:val="20"/>
                <w:color w:val="auto"/>
              </w:rPr>
            </w:pPr>
            <w:r>
              <w:rPr>
                <w:rFonts w:ascii="Arial" w:cs="Arial" w:eastAsia="Arial" w:hAnsi="Arial"/>
                <w:sz w:val="24"/>
                <w:szCs w:val="24"/>
                <w:b w:val="1"/>
                <w:bCs w:val="1"/>
                <w:color w:val="FFFFFF"/>
              </w:rPr>
              <w:t>98</w:t>
            </w:r>
          </w:p>
        </w:tc>
      </w:tr>
      <w:tr>
        <w:trPr>
          <w:trHeight w:val="410"/>
        </w:trPr>
        <w:tc>
          <w:tcPr>
            <w:tcW w:w="1640" w:type="dxa"/>
            <w:vAlign w:val="bottom"/>
          </w:tcPr>
          <w:p>
            <w:pPr>
              <w:spacing w:after="0"/>
              <w:rPr>
                <w:sz w:val="20"/>
                <w:szCs w:val="20"/>
                <w:color w:val="auto"/>
              </w:rPr>
            </w:pPr>
            <w:r>
              <w:rPr>
                <w:rFonts w:ascii="Arial" w:cs="Arial" w:eastAsia="Arial" w:hAnsi="Arial"/>
                <w:sz w:val="20"/>
                <w:szCs w:val="20"/>
                <w:b w:val="1"/>
                <w:bCs w:val="1"/>
                <w:color w:val="FFFFFF"/>
                <w:w w:val="70"/>
              </w:rPr>
              <w:t>BOARD OF DIRECTORS</w:t>
            </w:r>
          </w:p>
        </w:tc>
        <w:tc>
          <w:tcPr>
            <w:tcW w:w="460" w:type="dxa"/>
            <w:vAlign w:val="bottom"/>
          </w:tcPr>
          <w:p>
            <w:pPr>
              <w:jc w:val="right"/>
              <w:spacing w:after="0"/>
              <w:rPr>
                <w:sz w:val="20"/>
                <w:szCs w:val="20"/>
                <w:color w:val="auto"/>
              </w:rPr>
            </w:pPr>
            <w:r>
              <w:rPr>
                <w:rFonts w:ascii="Arial" w:cs="Arial" w:eastAsia="Arial" w:hAnsi="Arial"/>
                <w:sz w:val="24"/>
                <w:szCs w:val="24"/>
                <w:b w:val="1"/>
                <w:bCs w:val="1"/>
                <w:color w:val="FFFFFF"/>
              </w:rPr>
              <w:t>99</w:t>
            </w:r>
          </w:p>
        </w:tc>
      </w:tr>
    </w:tbl>
    <w:p>
      <w:pPr>
        <w:spacing w:after="0" w:line="200" w:lineRule="exact"/>
        <w:rPr>
          <w:sz w:val="20"/>
          <w:szCs w:val="20"/>
          <w:color w:val="auto"/>
        </w:rPr>
      </w:pPr>
    </w:p>
    <w:p>
      <w:pPr>
        <w:sectPr>
          <w:pgSz w:w="12240" w:h="15840" w:orient="portrait"/>
          <w:cols w:equalWidth="0" w:num="1">
            <w:col w:w="10160"/>
          </w:cols>
          <w:pgMar w:left="1440" w:top="454"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500"/>
        <w:spacing w:after="0"/>
        <w:tabs>
          <w:tab w:leader="none" w:pos="10060" w:val="left"/>
        </w:tabs>
        <w:rPr>
          <w:sz w:val="20"/>
          <w:szCs w:val="20"/>
          <w:color w:val="auto"/>
        </w:rPr>
      </w:pPr>
      <w:r>
        <w:rPr>
          <w:rFonts w:ascii="Times New Roman" w:cs="Times New Roman" w:eastAsia="Times New Roman" w:hAnsi="Times New Roman"/>
          <w:sz w:val="10"/>
          <w:szCs w:val="10"/>
          <w:color w:val="FFFFFF"/>
        </w:rPr>
        <w:t>2023 ANNUAL REPORT</w:t>
      </w:r>
      <w:r>
        <w:rPr>
          <w:sz w:val="20"/>
          <w:szCs w:val="20"/>
          <w:color w:val="auto"/>
        </w:rPr>
        <w:tab/>
      </w:r>
      <w:r>
        <w:rPr>
          <w:rFonts w:ascii="Arial" w:cs="Arial" w:eastAsia="Arial" w:hAnsi="Arial"/>
          <w:sz w:val="14"/>
          <w:szCs w:val="14"/>
          <w:b w:val="1"/>
          <w:bCs w:val="1"/>
          <w:color w:val="FFFFFF"/>
        </w:rPr>
        <w:t>3</w:t>
      </w:r>
    </w:p>
    <w:p>
      <w:pPr>
        <w:sectPr>
          <w:pgSz w:w="12240" w:h="15840" w:orient="portrait"/>
          <w:cols w:equalWidth="0" w:num="1">
            <w:col w:w="10160"/>
          </w:cols>
          <w:pgMar w:left="1440" w:top="454" w:right="640" w:bottom="0" w:gutter="0" w:footer="0" w:header="0"/>
          <w:type w:val="continuous"/>
        </w:sectPr>
      </w:pPr>
    </w:p>
    <w:bookmarkStart w:id="3" w:name="page4"/>
    <w:bookmarkEnd w:id="3"/>
    <w:p>
      <w:pPr>
        <w:ind w:left="300"/>
        <w:spacing w:after="0"/>
        <w:rPr>
          <w:sz w:val="20"/>
          <w:szCs w:val="20"/>
          <w:color w:val="auto"/>
        </w:rPr>
      </w:pPr>
      <w:r>
        <w:rPr>
          <w:rFonts w:ascii="Arial" w:cs="Arial" w:eastAsia="Arial" w:hAnsi="Arial"/>
          <w:sz w:val="24"/>
          <w:szCs w:val="24"/>
          <w:b w:val="1"/>
          <w:bCs w:val="1"/>
          <w:color w:val="404040"/>
        </w:rPr>
        <w:drawing>
          <wp:anchor simplePos="0" relativeHeight="251657728" behindDoc="1" locked="0" layoutInCell="0" allowOverlap="1">
            <wp:simplePos x="0" y="0"/>
            <wp:positionH relativeFrom="page">
              <wp:posOffset>0</wp:posOffset>
            </wp:positionH>
            <wp:positionV relativeFrom="page">
              <wp:posOffset>0</wp:posOffset>
            </wp:positionV>
            <wp:extent cx="7772400" cy="9372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72400" cy="9372600"/>
                    </a:xfrm>
                    <a:prstGeom prst="rect">
                      <a:avLst/>
                    </a:prstGeom>
                    <a:noFill/>
                  </pic:spPr>
                </pic:pic>
              </a:graphicData>
            </a:graphic>
          </wp:anchor>
        </w:drawing>
        <w:t>OVERVIEW</w:t>
      </w:r>
    </w:p>
    <w:p>
      <w:pPr>
        <w:spacing w:after="0" w:line="200" w:lineRule="exact"/>
        <w:rPr>
          <w:sz w:val="20"/>
          <w:szCs w:val="20"/>
          <w:color w:val="auto"/>
        </w:rPr>
      </w:pPr>
    </w:p>
    <w:p>
      <w:pPr>
        <w:spacing w:after="0" w:line="357" w:lineRule="exact"/>
        <w:rPr>
          <w:sz w:val="20"/>
          <w:szCs w:val="20"/>
          <w:color w:val="auto"/>
        </w:rPr>
      </w:pPr>
    </w:p>
    <w:p>
      <w:pPr>
        <w:ind w:left="80"/>
        <w:spacing w:after="0" w:line="289" w:lineRule="auto"/>
        <w:rPr>
          <w:sz w:val="20"/>
          <w:szCs w:val="20"/>
          <w:color w:val="auto"/>
        </w:rPr>
      </w:pPr>
      <w:r>
        <w:rPr>
          <w:rFonts w:ascii="Arial" w:cs="Arial" w:eastAsia="Arial" w:hAnsi="Arial"/>
          <w:sz w:val="46"/>
          <w:szCs w:val="46"/>
          <w:color w:val="404040"/>
        </w:rPr>
        <w:t>Gentex is a leading technology supplier of dimmable devices, vision systems, sensors and advanced electronic products for the global automotive, aerospace, and fire protection industries.</w:t>
      </w:r>
    </w:p>
    <w:p>
      <w:pPr>
        <w:sectPr>
          <w:pgSz w:w="12240" w:h="15840" w:orient="portrait"/>
          <w:cols w:equalWidth="0" w:num="1">
            <w:col w:w="10880"/>
          </w:cols>
          <w:pgMar w:left="640" w:top="45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80" w:right="220"/>
        <w:spacing w:after="0" w:line="381" w:lineRule="auto"/>
        <w:rPr>
          <w:sz w:val="20"/>
          <w:szCs w:val="20"/>
          <w:color w:val="auto"/>
        </w:rPr>
      </w:pPr>
      <w:r>
        <w:rPr>
          <w:rFonts w:ascii="Times New Roman" w:cs="Times New Roman" w:eastAsia="Times New Roman" w:hAnsi="Times New Roman"/>
          <w:sz w:val="18"/>
          <w:szCs w:val="18"/>
          <w:color w:val="404040"/>
        </w:rPr>
        <w:t>Through our core competencies, new partnerships, acquisitions, and ongoing research, Gentex is enabling new technologies and creating market-leading positions in new verticals.</w:t>
      </w:r>
    </w:p>
    <w:p>
      <w:pPr>
        <w:spacing w:after="0" w:line="34" w:lineRule="exact"/>
        <w:rPr>
          <w:sz w:val="20"/>
          <w:szCs w:val="20"/>
          <w:color w:val="auto"/>
        </w:rPr>
      </w:pPr>
    </w:p>
    <w:p>
      <w:pPr>
        <w:ind w:left="80"/>
        <w:spacing w:after="0" w:line="312" w:lineRule="auto"/>
        <w:rPr>
          <w:sz w:val="20"/>
          <w:szCs w:val="20"/>
          <w:color w:val="auto"/>
        </w:rPr>
      </w:pPr>
      <w:r>
        <w:rPr>
          <w:rFonts w:ascii="Times New Roman" w:cs="Times New Roman" w:eastAsia="Times New Roman" w:hAnsi="Times New Roman"/>
          <w:sz w:val="18"/>
          <w:szCs w:val="18"/>
          <w:color w:val="404040"/>
        </w:rPr>
        <w:t xml:space="preserve">Within the automotive market we continue to expand our global presence with increasing adoption rates of our core mirror product lines onto new vehicle platforms, while adding additional revenue with our advanced electronic content. We continue to expand our dimmable device offerings, with interior and exterior mirrors, visors, sunroofs, and small surface solutions for camera and sensor concealment. Our electronic content, ranging from cameras and displays to infrared sensors and detection devices, provide automakers with profitable optional content for their vehicle trim package upgrade paths. </w:t>
      </w:r>
      <w:r>
        <w:rPr>
          <w:rFonts w:ascii="PMingLiU" w:cs="PMingLiU" w:eastAsia="PMingLiU" w:hAnsi="PMingLiU"/>
          <w:sz w:val="26"/>
          <w:szCs w:val="26"/>
          <w:color w:val="404040"/>
        </w:rPr>
        <w:t></w:t>
      </w:r>
      <w:r>
        <w:rPr>
          <w:rFonts w:ascii="Arial" w:cs="Arial" w:eastAsia="Arial" w:hAnsi="Arial"/>
          <w:sz w:val="36"/>
          <w:szCs w:val="36"/>
          <w:b w:val="1"/>
          <w:bCs w:val="1"/>
          <w:color w:val="FFFFFF"/>
          <w:vertAlign w:val="superscript"/>
        </w:rPr>
        <w:t>1</w:t>
      </w:r>
    </w:p>
    <w:p>
      <w:pPr>
        <w:spacing w:after="0" w:line="7" w:lineRule="exact"/>
        <w:rPr>
          <w:sz w:val="20"/>
          <w:szCs w:val="20"/>
          <w:color w:val="auto"/>
        </w:rPr>
      </w:pPr>
    </w:p>
    <w:p>
      <w:pPr>
        <w:ind w:left="80"/>
        <w:spacing w:after="0" w:line="326" w:lineRule="auto"/>
        <w:rPr>
          <w:sz w:val="20"/>
          <w:szCs w:val="20"/>
          <w:color w:val="auto"/>
        </w:rPr>
      </w:pPr>
      <w:r>
        <w:rPr>
          <w:rFonts w:ascii="Times New Roman" w:cs="Times New Roman" w:eastAsia="Times New Roman" w:hAnsi="Times New Roman"/>
          <w:sz w:val="17"/>
          <w:szCs w:val="17"/>
          <w:color w:val="404040"/>
        </w:rPr>
        <w:t xml:space="preserve">In the Aerospace industry, Gentex is the world’s leading supplier of Electronically Dimmable Windows that give passengers and crew additional control over cabin lighting. From cabin partitions and airborne particulate sensors to passenger smart lighting and biometric identification systems for personalization and safety, Gentex continues to work to develop additional technologies to improve the in-flight experience. </w:t>
      </w:r>
      <w:r>
        <w:rPr>
          <w:rFonts w:ascii="PMingLiU" w:cs="PMingLiU" w:eastAsia="PMingLiU" w:hAnsi="PMingLiU"/>
          <w:sz w:val="25"/>
          <w:szCs w:val="25"/>
          <w:color w:val="404040"/>
        </w:rPr>
        <w:t></w:t>
      </w:r>
      <w:r>
        <w:rPr>
          <w:rFonts w:ascii="Arial" w:cs="Arial" w:eastAsia="Arial" w:hAnsi="Arial"/>
          <w:sz w:val="34"/>
          <w:szCs w:val="34"/>
          <w:b w:val="1"/>
          <w:bCs w:val="1"/>
          <w:color w:val="FFFFFF"/>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ind w:right="60"/>
        <w:spacing w:after="0" w:line="308" w:lineRule="auto"/>
        <w:rPr>
          <w:sz w:val="20"/>
          <w:szCs w:val="20"/>
          <w:color w:val="auto"/>
        </w:rPr>
      </w:pPr>
      <w:r>
        <w:rPr>
          <w:rFonts w:ascii="Times New Roman" w:cs="Times New Roman" w:eastAsia="Times New Roman" w:hAnsi="Times New Roman"/>
          <w:sz w:val="18"/>
          <w:szCs w:val="18"/>
          <w:color w:val="404040"/>
        </w:rPr>
        <w:t xml:space="preserve">Gentex has over 50 years of experience in the commercial fire protection industry, and is preparing to introduce a line of smart home devices called PLACE, an innovative suite of smart home safety products with room-specific functionality. PLACE will be a holistic solution that blends smart home safety, comfort, and security features into one sophisticated system, all controlled from a single, user-friendly app that leverages HomeLink® brand and connectivity to the car. </w:t>
      </w:r>
      <w:r>
        <w:rPr>
          <w:rFonts w:ascii="PMingLiU" w:cs="PMingLiU" w:eastAsia="PMingLiU" w:hAnsi="PMingLiU"/>
          <w:sz w:val="26"/>
          <w:szCs w:val="26"/>
          <w:color w:val="404040"/>
        </w:rPr>
        <w:t></w:t>
      </w:r>
      <w:r>
        <w:rPr>
          <w:rFonts w:ascii="Arial" w:cs="Arial" w:eastAsia="Arial" w:hAnsi="Arial"/>
          <w:sz w:val="36"/>
          <w:szCs w:val="36"/>
          <w:b w:val="1"/>
          <w:bCs w:val="1"/>
          <w:color w:val="FFFFFF"/>
          <w:vertAlign w:val="superscript"/>
        </w:rPr>
        <w:t>3</w:t>
      </w:r>
    </w:p>
    <w:p>
      <w:pPr>
        <w:spacing w:after="0" w:line="13" w:lineRule="exact"/>
        <w:rPr>
          <w:sz w:val="20"/>
          <w:szCs w:val="20"/>
          <w:color w:val="auto"/>
        </w:rPr>
      </w:pPr>
    </w:p>
    <w:p>
      <w:pPr>
        <w:ind w:right="20"/>
        <w:spacing w:after="0" w:line="315" w:lineRule="auto"/>
        <w:rPr>
          <w:sz w:val="20"/>
          <w:szCs w:val="20"/>
          <w:color w:val="auto"/>
        </w:rPr>
      </w:pPr>
      <w:r>
        <w:rPr>
          <w:rFonts w:ascii="Times New Roman" w:cs="Times New Roman" w:eastAsia="Times New Roman" w:hAnsi="Times New Roman"/>
          <w:sz w:val="18"/>
          <w:szCs w:val="18"/>
          <w:color w:val="404040"/>
        </w:rPr>
        <w:t xml:space="preserve">Our momentum in the medical industry has been underpinned by partnerships with Mayo Clinic and Retispec, and with the recent acquisition of eSight, Gentex is moving forward as a technology provider in this space. eSight is a wearable designed to assist individuals with severe vision impairments or centralized vision loss, and utilizes our skillsets within cameras, displays, engineering and proprietary algorithms to dramatically improve the daily lives of users. </w:t>
      </w:r>
      <w:r>
        <w:rPr>
          <w:rFonts w:ascii="PMingLiU" w:cs="PMingLiU" w:eastAsia="PMingLiU" w:hAnsi="PMingLiU"/>
          <w:sz w:val="26"/>
          <w:szCs w:val="26"/>
          <w:color w:val="404040"/>
        </w:rPr>
        <w:t></w:t>
      </w:r>
      <w:r>
        <w:rPr>
          <w:rFonts w:ascii="Arial" w:cs="Arial" w:eastAsia="Arial" w:hAnsi="Arial"/>
          <w:sz w:val="18"/>
          <w:szCs w:val="18"/>
          <w:b w:val="1"/>
          <w:bCs w:val="1"/>
          <w:color w:val="FFFFFF"/>
        </w:rPr>
        <w:t>4</w:t>
      </w:r>
    </w:p>
    <w:p>
      <w:pPr>
        <w:spacing w:after="0" w:line="95" w:lineRule="exact"/>
        <w:rPr>
          <w:sz w:val="20"/>
          <w:szCs w:val="20"/>
          <w:color w:val="auto"/>
        </w:rPr>
      </w:pPr>
    </w:p>
    <w:p>
      <w:pPr>
        <w:jc w:val="both"/>
        <w:ind w:right="220"/>
        <w:spacing w:after="0" w:line="381" w:lineRule="auto"/>
        <w:rPr>
          <w:sz w:val="20"/>
          <w:szCs w:val="20"/>
          <w:color w:val="auto"/>
        </w:rPr>
      </w:pPr>
      <w:r>
        <w:rPr>
          <w:rFonts w:ascii="Times New Roman" w:cs="Times New Roman" w:eastAsia="Times New Roman" w:hAnsi="Times New Roman"/>
          <w:sz w:val="18"/>
          <w:szCs w:val="18"/>
          <w:color w:val="404040"/>
        </w:rPr>
        <w:t>While our automotive performance drove the majority of our revenues in 2023, each of these segments represent long term opportunities for Gentex to continue to grow above the market.</w:t>
      </w:r>
    </w:p>
    <w:p>
      <w:pPr>
        <w:spacing w:after="0" w:line="514" w:lineRule="exact"/>
        <w:rPr>
          <w:sz w:val="20"/>
          <w:szCs w:val="20"/>
          <w:color w:val="auto"/>
        </w:rPr>
      </w:pPr>
    </w:p>
    <w:p>
      <w:pPr>
        <w:sectPr>
          <w:pgSz w:w="12240" w:h="15840" w:orient="portrait"/>
          <w:cols w:equalWidth="0" w:num="2">
            <w:col w:w="5320" w:space="280"/>
            <w:col w:w="5280"/>
          </w:cols>
          <w:pgMar w:left="640" w:top="454"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200" w:type="dxa"/>
            <w:vAlign w:val="bottom"/>
            <w:shd w:val="clear" w:color="auto" w:fill="404040"/>
          </w:tcPr>
          <w:p>
            <w:pPr>
              <w:jc w:val="right"/>
              <w:spacing w:after="0"/>
              <w:rPr>
                <w:sz w:val="20"/>
                <w:szCs w:val="20"/>
                <w:color w:val="auto"/>
              </w:rPr>
            </w:pPr>
            <w:r>
              <w:rPr>
                <w:rFonts w:ascii="Arial" w:cs="Arial" w:eastAsia="Arial" w:hAnsi="Arial"/>
                <w:sz w:val="18"/>
                <w:szCs w:val="18"/>
                <w:b w:val="1"/>
                <w:bCs w:val="1"/>
                <w:color w:val="FFFFFF"/>
                <w:w w:val="99"/>
              </w:rPr>
              <w:t>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shd w:val="clear" w:color="auto" w:fill="404040"/>
          </w:tcPr>
          <w:p>
            <w:pPr>
              <w:jc w:val="right"/>
              <w:spacing w:after="0"/>
              <w:rPr>
                <w:sz w:val="20"/>
                <w:szCs w:val="20"/>
                <w:color w:val="auto"/>
              </w:rPr>
            </w:pPr>
            <w:r>
              <w:rPr>
                <w:rFonts w:ascii="Arial" w:cs="Arial" w:eastAsia="Arial" w:hAnsi="Arial"/>
                <w:sz w:val="18"/>
                <w:szCs w:val="18"/>
                <w:b w:val="1"/>
                <w:bCs w:val="1"/>
                <w:color w:val="FFFFFF"/>
              </w:rPr>
              <w:t>2</w:t>
            </w:r>
          </w:p>
        </w:tc>
        <w:tc>
          <w:tcPr>
            <w:tcW w:w="2560" w:type="dxa"/>
            <w:vAlign w:val="bottom"/>
          </w:tcPr>
          <w:p>
            <w:pPr>
              <w:spacing w:after="0"/>
              <w:rPr>
                <w:sz w:val="18"/>
                <w:szCs w:val="18"/>
                <w:color w:val="auto"/>
              </w:rPr>
            </w:pPr>
          </w:p>
        </w:tc>
        <w:tc>
          <w:tcPr>
            <w:tcW w:w="200" w:type="dxa"/>
            <w:vAlign w:val="bottom"/>
            <w:shd w:val="clear" w:color="auto" w:fill="404040"/>
          </w:tcPr>
          <w:p>
            <w:pPr>
              <w:jc w:val="right"/>
              <w:spacing w:after="0"/>
              <w:rPr>
                <w:sz w:val="20"/>
                <w:szCs w:val="20"/>
                <w:color w:val="auto"/>
              </w:rPr>
            </w:pPr>
            <w:r>
              <w:rPr>
                <w:rFonts w:ascii="Arial" w:cs="Arial" w:eastAsia="Arial" w:hAnsi="Arial"/>
                <w:sz w:val="18"/>
                <w:szCs w:val="18"/>
                <w:b w:val="1"/>
                <w:bCs w:val="1"/>
                <w:color w:val="FFFFFF"/>
              </w:rPr>
              <w:t>3</w:t>
            </w:r>
          </w:p>
        </w:tc>
        <w:tc>
          <w:tcPr>
            <w:tcW w:w="2560" w:type="dxa"/>
            <w:vAlign w:val="bottom"/>
          </w:tcPr>
          <w:p>
            <w:pPr>
              <w:spacing w:after="0"/>
              <w:rPr>
                <w:sz w:val="18"/>
                <w:szCs w:val="18"/>
                <w:color w:val="auto"/>
              </w:rPr>
            </w:pPr>
          </w:p>
        </w:tc>
        <w:tc>
          <w:tcPr>
            <w:tcW w:w="200" w:type="dxa"/>
            <w:vAlign w:val="bottom"/>
            <w:shd w:val="clear" w:color="auto" w:fill="404040"/>
          </w:tcPr>
          <w:p>
            <w:pPr>
              <w:jc w:val="right"/>
              <w:spacing w:after="0"/>
              <w:rPr>
                <w:sz w:val="20"/>
                <w:szCs w:val="20"/>
                <w:color w:val="auto"/>
              </w:rPr>
            </w:pPr>
            <w:r>
              <w:rPr>
                <w:rFonts w:ascii="Arial" w:cs="Arial" w:eastAsia="Arial" w:hAnsi="Arial"/>
                <w:sz w:val="18"/>
                <w:szCs w:val="18"/>
                <w:b w:val="1"/>
                <w:bCs w:val="1"/>
                <w:color w:val="FFFFFF"/>
              </w:rPr>
              <w:t>4</w:t>
            </w:r>
          </w:p>
        </w:tc>
        <w:tc>
          <w:tcPr>
            <w:tcW w:w="1160" w:type="dxa"/>
            <w:vAlign w:val="bottom"/>
          </w:tcPr>
          <w:p>
            <w:pPr>
              <w:spacing w:after="0"/>
              <w:rPr>
                <w:sz w:val="18"/>
                <w:szCs w:val="18"/>
                <w:color w:val="auto"/>
              </w:rPr>
            </w:pPr>
          </w:p>
        </w:tc>
      </w:tr>
      <w:tr>
        <w:trPr>
          <w:trHeight w:val="905"/>
        </w:trPr>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94"/>
        </w:trPr>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10880"/>
          </w:cols>
          <w:pgMar w:left="640" w:top="454"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340" w:val="left"/>
        </w:tabs>
        <w:rPr>
          <w:sz w:val="20"/>
          <w:szCs w:val="20"/>
          <w:color w:val="auto"/>
        </w:rPr>
      </w:pPr>
      <w:r>
        <w:rPr>
          <w:rFonts w:ascii="Arial" w:cs="Arial" w:eastAsia="Arial" w:hAnsi="Arial"/>
          <w:sz w:val="24"/>
          <w:szCs w:val="24"/>
          <w:b w:val="1"/>
          <w:bCs w:val="1"/>
          <w:color w:val="404040"/>
        </w:rPr>
        <w:t>4</w:t>
      </w:r>
      <w:r>
        <w:rPr>
          <w:sz w:val="20"/>
          <w:szCs w:val="20"/>
          <w:color w:val="auto"/>
        </w:rPr>
        <w:tab/>
      </w:r>
      <w:r>
        <w:rPr>
          <w:rFonts w:ascii="Times New Roman" w:cs="Times New Roman" w:eastAsia="Times New Roman" w:hAnsi="Times New Roman"/>
          <w:sz w:val="10"/>
          <w:szCs w:val="10"/>
          <w:color w:val="404040"/>
        </w:rPr>
        <w:t>GENTEX CORPORATION</w:t>
      </w:r>
    </w:p>
    <w:p>
      <w:pPr>
        <w:sectPr>
          <w:pgSz w:w="12240" w:h="15840" w:orient="portrait"/>
          <w:cols w:equalWidth="0" w:num="1">
            <w:col w:w="10880"/>
          </w:cols>
          <w:pgMar w:left="640" w:top="454" w:right="720"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265"/>
        </w:trPr>
        <w:tc>
          <w:tcPr>
            <w:tcW w:w="2860" w:type="dxa"/>
            <w:vAlign w:val="bottom"/>
          </w:tcPr>
          <w:p>
            <w:pPr>
              <w:spacing w:after="0"/>
              <w:rPr>
                <w:sz w:val="20"/>
                <w:szCs w:val="20"/>
                <w:color w:val="auto"/>
              </w:rPr>
            </w:pPr>
            <w:r>
              <w:rPr>
                <w:rFonts w:ascii="Arial" w:cs="Arial" w:eastAsia="Arial" w:hAnsi="Arial"/>
                <w:sz w:val="110"/>
                <w:szCs w:val="110"/>
                <w:color w:val="4CA5CD"/>
              </w:rPr>
              <w:t>6,245</w:t>
            </w:r>
          </w:p>
        </w:tc>
        <w:tc>
          <w:tcPr>
            <w:tcW w:w="3040" w:type="dxa"/>
            <w:vAlign w:val="bottom"/>
          </w:tcPr>
          <w:p>
            <w:pPr>
              <w:ind w:left="880"/>
              <w:spacing w:after="0"/>
              <w:rPr>
                <w:sz w:val="20"/>
                <w:szCs w:val="20"/>
                <w:color w:val="auto"/>
              </w:rPr>
            </w:pPr>
            <w:r>
              <w:rPr>
                <w:rFonts w:ascii="Arial" w:cs="Arial" w:eastAsia="Arial" w:hAnsi="Arial"/>
                <w:sz w:val="110"/>
                <w:szCs w:val="110"/>
                <w:color w:val="4CA5CD"/>
                <w:w w:val="70"/>
              </w:rPr>
              <w:t xml:space="preserve">50.6 </w:t>
            </w:r>
            <w:r>
              <w:rPr>
                <w:rFonts w:ascii="Arial" w:cs="Arial" w:eastAsia="Arial" w:hAnsi="Arial"/>
                <w:sz w:val="70"/>
                <w:szCs w:val="70"/>
                <w:color w:val="4CA5CD"/>
                <w:w w:val="70"/>
              </w:rPr>
              <w:t>M</w:t>
            </w:r>
          </w:p>
        </w:tc>
      </w:tr>
      <w:tr>
        <w:trPr>
          <w:trHeight w:val="30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404040"/>
              </w:rPr>
              <w:t>Full-time Employees</w:t>
            </w:r>
          </w:p>
        </w:tc>
        <w:tc>
          <w:tcPr>
            <w:tcW w:w="3040" w:type="dxa"/>
            <w:vAlign w:val="bottom"/>
          </w:tcPr>
          <w:p>
            <w:pPr>
              <w:ind w:left="880"/>
              <w:spacing w:after="0"/>
              <w:rPr>
                <w:sz w:val="20"/>
                <w:szCs w:val="20"/>
                <w:color w:val="auto"/>
              </w:rPr>
            </w:pPr>
            <w:r>
              <w:rPr>
                <w:rFonts w:ascii="Times New Roman" w:cs="Times New Roman" w:eastAsia="Times New Roman" w:hAnsi="Times New Roman"/>
                <w:sz w:val="18"/>
                <w:szCs w:val="18"/>
                <w:color w:val="404040"/>
              </w:rPr>
              <w:t>Auto-Dimming Mirror Units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-914400</wp:posOffset>
            </wp:positionV>
            <wp:extent cx="7319645" cy="8458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9645" cy="845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780"/>
        <w:spacing w:after="0"/>
        <w:rPr>
          <w:sz w:val="20"/>
          <w:szCs w:val="20"/>
          <w:color w:val="auto"/>
        </w:rPr>
      </w:pPr>
      <w:r>
        <w:rPr>
          <w:rFonts w:ascii="Arial" w:cs="Arial" w:eastAsia="Arial" w:hAnsi="Arial"/>
          <w:sz w:val="110"/>
          <w:szCs w:val="110"/>
          <w:color w:val="4CA5CD"/>
        </w:rPr>
        <w:t>36+</w:t>
      </w:r>
    </w:p>
    <w:p>
      <w:pPr>
        <w:ind w:left="3780"/>
        <w:spacing w:after="0"/>
        <w:rPr>
          <w:sz w:val="20"/>
          <w:szCs w:val="20"/>
          <w:color w:val="auto"/>
        </w:rPr>
      </w:pPr>
      <w:r>
        <w:rPr>
          <w:rFonts w:ascii="Times New Roman" w:cs="Times New Roman" w:eastAsia="Times New Roman" w:hAnsi="Times New Roman"/>
          <w:sz w:val="18"/>
          <w:szCs w:val="18"/>
          <w:color w:val="404040"/>
        </w:rPr>
        <w:t>OEM Customers Shipped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0"/>
        <w:spacing w:after="0"/>
        <w:rPr>
          <w:sz w:val="20"/>
          <w:szCs w:val="20"/>
          <w:color w:val="auto"/>
        </w:rPr>
      </w:pPr>
      <w:r>
        <w:rPr>
          <w:rFonts w:ascii="Arial" w:cs="Arial" w:eastAsia="Arial" w:hAnsi="Arial"/>
          <w:sz w:val="24"/>
          <w:szCs w:val="24"/>
          <w:b w:val="1"/>
          <w:bCs w:val="1"/>
          <w:color w:val="404040"/>
        </w:rPr>
        <w:t>SALES &amp; ENGINEERING OFFICES</w:t>
      </w:r>
    </w:p>
    <w:p>
      <w:pPr>
        <w:spacing w:after="0" w:line="193" w:lineRule="exact"/>
        <w:rPr>
          <w:sz w:val="20"/>
          <w:szCs w:val="20"/>
          <w:color w:val="auto"/>
        </w:rPr>
      </w:pPr>
    </w:p>
    <w:p>
      <w:pPr>
        <w:ind w:left="140" w:right="20"/>
        <w:spacing w:after="0" w:line="409" w:lineRule="auto"/>
        <w:rPr>
          <w:sz w:val="20"/>
          <w:szCs w:val="20"/>
          <w:color w:val="auto"/>
        </w:rPr>
      </w:pPr>
      <w:r>
        <w:rPr>
          <w:rFonts w:ascii="Times New Roman" w:cs="Times New Roman" w:eastAsia="Times New Roman" w:hAnsi="Times New Roman"/>
          <w:sz w:val="18"/>
          <w:szCs w:val="18"/>
          <w:color w:val="404040"/>
        </w:rPr>
        <w:t>United States (</w:t>
      </w:r>
      <w:r>
        <w:rPr>
          <w:rFonts w:ascii="Arial" w:cs="Arial" w:eastAsia="Arial" w:hAnsi="Arial"/>
          <w:sz w:val="18"/>
          <w:szCs w:val="18"/>
          <w:i w:val="1"/>
          <w:iCs w:val="1"/>
          <w:color w:val="404040"/>
        </w:rPr>
        <w:t>Headqua</w:t>
      </w:r>
      <w:r>
        <w:rPr>
          <w:rFonts w:ascii="Times New Roman" w:cs="Times New Roman" w:eastAsia="Times New Roman" w:hAnsi="Times New Roman"/>
          <w:sz w:val="18"/>
          <w:szCs w:val="18"/>
          <w:color w:val="404040"/>
        </w:rPr>
        <w:t>rters), Canada, China, France, Germany, Israel, Japan, Korea, Sweden, United Kingdom</w:t>
      </w:r>
    </w:p>
    <w:tbl>
      <w:tblPr>
        <w:tblLayout w:type="fixed"/>
        <w:tblInd w:w="0" w:type="dxa"/>
        <w:tblCellMar>
          <w:top w:w="0" w:type="dxa"/>
          <w:left w:w="0" w:type="dxa"/>
          <w:bottom w:w="0" w:type="dxa"/>
          <w:right w:w="0" w:type="dxa"/>
        </w:tblCellMar>
      </w:tblPr>
      <w:tr>
        <w:trPr>
          <w:trHeight w:val="1253"/>
        </w:trPr>
        <w:tc>
          <w:tcPr>
            <w:tcW w:w="3440" w:type="dxa"/>
            <w:vAlign w:val="bottom"/>
            <w:tcBorders>
              <w:right w:val="single" w:sz="8" w:color="404040"/>
            </w:tcBorders>
          </w:tcPr>
          <w:p>
            <w:pPr>
              <w:spacing w:after="0" w:line="1250" w:lineRule="exact"/>
              <w:rPr>
                <w:sz w:val="20"/>
                <w:szCs w:val="20"/>
                <w:color w:val="auto"/>
              </w:rPr>
            </w:pPr>
            <w:r>
              <w:rPr>
                <w:rFonts w:ascii="Arial" w:cs="Arial" w:eastAsia="Arial" w:hAnsi="Arial"/>
                <w:sz w:val="110"/>
                <w:szCs w:val="110"/>
                <w:color w:val="4CA5CD"/>
              </w:rPr>
              <w:t>660+</w:t>
            </w:r>
          </w:p>
        </w:tc>
        <w:tc>
          <w:tcPr>
            <w:tcW w:w="3080" w:type="dxa"/>
            <w:vAlign w:val="bottom"/>
          </w:tcPr>
          <w:p>
            <w:pPr>
              <w:ind w:left="220"/>
              <w:spacing w:after="0" w:line="1250" w:lineRule="exact"/>
              <w:rPr>
                <w:sz w:val="20"/>
                <w:szCs w:val="20"/>
                <w:color w:val="auto"/>
              </w:rPr>
            </w:pPr>
            <w:r>
              <w:rPr>
                <w:rFonts w:ascii="Arial" w:cs="Arial" w:eastAsia="Arial" w:hAnsi="Arial"/>
                <w:sz w:val="110"/>
                <w:szCs w:val="110"/>
                <w:color w:val="4CA5CD"/>
              </w:rPr>
              <w:t>89%</w:t>
            </w:r>
          </w:p>
        </w:tc>
      </w:tr>
      <w:tr>
        <w:trPr>
          <w:trHeight w:val="374"/>
        </w:trPr>
        <w:tc>
          <w:tcPr>
            <w:tcW w:w="3440" w:type="dxa"/>
            <w:vAlign w:val="bottom"/>
            <w:tcBorders>
              <w:right w:val="single" w:sz="8" w:color="404040"/>
            </w:tcBorders>
          </w:tcPr>
          <w:p>
            <w:pPr>
              <w:ind w:left="40"/>
              <w:spacing w:after="0"/>
              <w:rPr>
                <w:sz w:val="20"/>
                <w:szCs w:val="20"/>
                <w:color w:val="auto"/>
              </w:rPr>
            </w:pPr>
            <w:r>
              <w:rPr>
                <w:rFonts w:ascii="Times New Roman" w:cs="Times New Roman" w:eastAsia="Times New Roman" w:hAnsi="Times New Roman"/>
                <w:sz w:val="18"/>
                <w:szCs w:val="18"/>
                <w:color w:val="404040"/>
              </w:rPr>
              <w:t>Nameplates our Content Appears On</w:t>
            </w:r>
          </w:p>
        </w:tc>
        <w:tc>
          <w:tcPr>
            <w:tcW w:w="3080" w:type="dxa"/>
            <w:vAlign w:val="bottom"/>
          </w:tcPr>
          <w:p>
            <w:pPr>
              <w:ind w:left="220"/>
              <w:spacing w:after="0"/>
              <w:rPr>
                <w:sz w:val="20"/>
                <w:szCs w:val="20"/>
                <w:color w:val="auto"/>
              </w:rPr>
            </w:pPr>
            <w:r>
              <w:rPr>
                <w:rFonts w:ascii="Arial" w:cs="Arial" w:eastAsia="Arial" w:hAnsi="Arial"/>
                <w:sz w:val="28"/>
                <w:szCs w:val="28"/>
                <w:b w:val="1"/>
                <w:bCs w:val="1"/>
                <w:color w:val="404040"/>
              </w:rPr>
              <w:t>MARKET SHARE</w:t>
            </w:r>
          </w:p>
        </w:tc>
      </w:tr>
      <w:tr>
        <w:trPr>
          <w:trHeight w:val="400"/>
        </w:trPr>
        <w:tc>
          <w:tcPr>
            <w:tcW w:w="3440" w:type="dxa"/>
            <w:vAlign w:val="bottom"/>
            <w:tcBorders>
              <w:right w:val="single" w:sz="8" w:color="404040"/>
            </w:tcBorders>
          </w:tcPr>
          <w:p>
            <w:pPr>
              <w:spacing w:after="0"/>
              <w:rPr>
                <w:sz w:val="24"/>
                <w:szCs w:val="24"/>
                <w:color w:val="auto"/>
              </w:rPr>
            </w:pPr>
          </w:p>
        </w:tc>
        <w:tc>
          <w:tcPr>
            <w:tcW w:w="3080" w:type="dxa"/>
            <w:vAlign w:val="bottom"/>
          </w:tcPr>
          <w:p>
            <w:pPr>
              <w:ind w:left="220"/>
              <w:spacing w:after="0"/>
              <w:rPr>
                <w:sz w:val="20"/>
                <w:szCs w:val="20"/>
                <w:color w:val="auto"/>
              </w:rPr>
            </w:pPr>
            <w:r>
              <w:rPr>
                <w:rFonts w:ascii="Arial" w:cs="Arial" w:eastAsia="Arial" w:hAnsi="Arial"/>
                <w:sz w:val="28"/>
                <w:szCs w:val="28"/>
                <w:b w:val="1"/>
                <w:bCs w:val="1"/>
                <w:color w:val="404040"/>
              </w:rPr>
              <w:t>OF INTERIOR AUTO</w:t>
            </w:r>
          </w:p>
        </w:tc>
      </w:tr>
      <w:tr>
        <w:trPr>
          <w:trHeight w:val="400"/>
        </w:trPr>
        <w:tc>
          <w:tcPr>
            <w:tcW w:w="3440" w:type="dxa"/>
            <w:vAlign w:val="bottom"/>
            <w:tcBorders>
              <w:right w:val="single" w:sz="8" w:color="404040"/>
            </w:tcBorders>
          </w:tcPr>
          <w:p>
            <w:pPr>
              <w:spacing w:after="0"/>
              <w:rPr>
                <w:sz w:val="24"/>
                <w:szCs w:val="24"/>
                <w:color w:val="auto"/>
              </w:rPr>
            </w:pPr>
          </w:p>
        </w:tc>
        <w:tc>
          <w:tcPr>
            <w:tcW w:w="3080" w:type="dxa"/>
            <w:vAlign w:val="bottom"/>
          </w:tcPr>
          <w:p>
            <w:pPr>
              <w:ind w:left="220"/>
              <w:spacing w:after="0"/>
              <w:rPr>
                <w:sz w:val="20"/>
                <w:szCs w:val="20"/>
                <w:color w:val="auto"/>
              </w:rPr>
            </w:pPr>
            <w:r>
              <w:rPr>
                <w:rFonts w:ascii="Arial" w:cs="Arial" w:eastAsia="Arial" w:hAnsi="Arial"/>
                <w:sz w:val="28"/>
                <w:szCs w:val="28"/>
                <w:b w:val="1"/>
                <w:bCs w:val="1"/>
                <w:color w:val="404040"/>
              </w:rPr>
              <w:t>DIMMING MIRRORS</w:t>
            </w:r>
          </w:p>
        </w:tc>
      </w:tr>
      <w:tr>
        <w:trPr>
          <w:trHeight w:val="926"/>
        </w:trPr>
        <w:tc>
          <w:tcPr>
            <w:tcW w:w="3440" w:type="dxa"/>
            <w:vAlign w:val="bottom"/>
            <w:tcBorders>
              <w:right w:val="single" w:sz="8" w:color="404040"/>
            </w:tcBorders>
          </w:tcPr>
          <w:p>
            <w:pPr>
              <w:spacing w:after="0"/>
              <w:rPr>
                <w:sz w:val="24"/>
                <w:szCs w:val="24"/>
                <w:color w:val="auto"/>
              </w:rPr>
            </w:pPr>
          </w:p>
        </w:tc>
        <w:tc>
          <w:tcPr>
            <w:tcW w:w="3080" w:type="dxa"/>
            <w:vAlign w:val="bottom"/>
          </w:tcPr>
          <w:p>
            <w:pPr>
              <w:ind w:left="1380"/>
              <w:spacing w:after="0"/>
              <w:rPr>
                <w:sz w:val="20"/>
                <w:szCs w:val="20"/>
                <w:color w:val="auto"/>
              </w:rPr>
            </w:pPr>
            <w:r>
              <w:rPr>
                <w:rFonts w:ascii="Arial" w:cs="Arial" w:eastAsia="Arial" w:hAnsi="Arial"/>
                <w:sz w:val="36"/>
                <w:szCs w:val="36"/>
                <w:color w:val="404040"/>
              </w:rPr>
              <w:t>(IEC)</w:t>
            </w:r>
          </w:p>
        </w:tc>
      </w:tr>
      <w:tr>
        <w:trPr>
          <w:trHeight w:val="348"/>
        </w:trPr>
        <w:tc>
          <w:tcPr>
            <w:tcW w:w="3440" w:type="dxa"/>
            <w:vAlign w:val="bottom"/>
            <w:tcBorders>
              <w:right w:val="single" w:sz="8" w:color="404040"/>
            </w:tcBorders>
          </w:tcPr>
          <w:p>
            <w:pPr>
              <w:spacing w:after="0"/>
              <w:rPr>
                <w:sz w:val="24"/>
                <w:szCs w:val="24"/>
                <w:color w:val="auto"/>
              </w:rPr>
            </w:pPr>
          </w:p>
        </w:tc>
        <w:tc>
          <w:tcPr>
            <w:tcW w:w="3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left="2560"/>
        <w:spacing w:after="0"/>
        <w:rPr>
          <w:sz w:val="20"/>
          <w:szCs w:val="20"/>
          <w:color w:val="auto"/>
        </w:rPr>
      </w:pPr>
      <w:r>
        <w:rPr>
          <w:rFonts w:ascii="Arial" w:cs="Arial" w:eastAsia="Arial" w:hAnsi="Arial"/>
          <w:sz w:val="15"/>
          <w:szCs w:val="15"/>
          <w:b w:val="1"/>
          <w:bCs w:val="1"/>
          <w:color w:val="404040"/>
        </w:rPr>
        <w:t>FAST FACTS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2218055</wp:posOffset>
            </wp:positionH>
            <wp:positionV relativeFrom="paragraph">
              <wp:posOffset>-397510</wp:posOffset>
            </wp:positionV>
            <wp:extent cx="12700" cy="457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404040"/>
        </w:rPr>
        <w:t>TRADEMARKS</w:t>
      </w:r>
    </w:p>
    <w:p>
      <w:pPr>
        <w:ind w:left="40"/>
        <w:spacing w:after="0" w:line="180" w:lineRule="auto"/>
        <w:rPr>
          <w:sz w:val="20"/>
          <w:szCs w:val="20"/>
          <w:color w:val="auto"/>
        </w:rPr>
      </w:pPr>
      <w:r>
        <w:rPr>
          <w:rFonts w:ascii="Arial" w:cs="Arial" w:eastAsia="Arial" w:hAnsi="Arial"/>
          <w:sz w:val="78"/>
          <w:szCs w:val="78"/>
          <w:color w:val="4CA5CD"/>
        </w:rPr>
        <w:t xml:space="preserve">449 </w:t>
      </w:r>
      <w:r>
        <w:rPr>
          <w:rFonts w:ascii="Times New Roman" w:cs="Times New Roman" w:eastAsia="Times New Roman" w:hAnsi="Times New Roman"/>
          <w:sz w:val="17"/>
          <w:szCs w:val="17"/>
          <w:color w:val="404040"/>
        </w:rPr>
        <w:t>50  US Registered</w:t>
      </w:r>
    </w:p>
    <w:p>
      <w:pPr>
        <w:spacing w:after="0" w:line="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404040"/>
        </w:rPr>
        <w:t>399 Foreign Registered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680"/>
        <w:spacing w:after="0"/>
        <w:rPr>
          <w:sz w:val="20"/>
          <w:szCs w:val="20"/>
          <w:color w:val="auto"/>
        </w:rPr>
      </w:pPr>
      <w:r>
        <w:rPr>
          <w:rFonts w:ascii="Arial" w:cs="Arial" w:eastAsia="Arial" w:hAnsi="Arial"/>
          <w:sz w:val="78"/>
          <w:szCs w:val="78"/>
          <w:color w:val="4CA5CD"/>
        </w:rPr>
        <w:t>New 2023</w:t>
      </w:r>
    </w:p>
    <w:p>
      <w:pPr>
        <w:spacing w:after="0" w:line="268" w:lineRule="exact"/>
        <w:rPr>
          <w:sz w:val="20"/>
          <w:szCs w:val="20"/>
          <w:color w:val="auto"/>
        </w:rPr>
      </w:pPr>
    </w:p>
    <w:p>
      <w:pPr>
        <w:jc w:val="center"/>
        <w:ind w:right="700"/>
        <w:spacing w:after="0"/>
        <w:rPr>
          <w:sz w:val="20"/>
          <w:szCs w:val="20"/>
          <w:color w:val="auto"/>
        </w:rPr>
      </w:pPr>
      <w:r>
        <w:rPr>
          <w:rFonts w:ascii="Arial" w:cs="Arial" w:eastAsia="Arial" w:hAnsi="Arial"/>
          <w:sz w:val="26"/>
          <w:szCs w:val="26"/>
          <w:b w:val="1"/>
          <w:bCs w:val="1"/>
          <w:color w:val="FFFFFF"/>
        </w:rPr>
        <w:t>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FFFFFF"/>
        </w:rPr>
        <w:t>PATENTS GRANTED</w:t>
      </w:r>
    </w:p>
    <w:p>
      <w:pPr>
        <w:ind w:left="40"/>
        <w:spacing w:after="0" w:line="181" w:lineRule="auto"/>
        <w:rPr>
          <w:sz w:val="20"/>
          <w:szCs w:val="20"/>
          <w:color w:val="auto"/>
        </w:rPr>
      </w:pPr>
      <w:r>
        <w:rPr>
          <w:rFonts w:ascii="Arial" w:cs="Arial" w:eastAsia="Arial" w:hAnsi="Arial"/>
          <w:sz w:val="83"/>
          <w:szCs w:val="83"/>
          <w:color w:val="4CA5CD"/>
        </w:rPr>
        <w:t xml:space="preserve">190 </w:t>
      </w:r>
      <w:r>
        <w:rPr>
          <w:rFonts w:ascii="Times New Roman" w:cs="Times New Roman" w:eastAsia="Times New Roman" w:hAnsi="Times New Roman"/>
          <w:sz w:val="17"/>
          <w:szCs w:val="17"/>
          <w:color w:val="FFFFFF"/>
        </w:rPr>
        <w:t>41  US Patents</w:t>
      </w:r>
    </w:p>
    <w:p>
      <w:pPr>
        <w:spacing w:after="0" w:line="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FFFFFF"/>
        </w:rPr>
        <w:t>149 Foreign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FFFFFF"/>
        </w:rPr>
        <w:t>NEW APPLICATIONS: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608"/>
        </w:trPr>
        <w:tc>
          <w:tcPr>
            <w:tcW w:w="1480" w:type="dxa"/>
            <w:vAlign w:val="bottom"/>
            <w:gridSpan w:val="2"/>
            <w:vMerge w:val="restart"/>
          </w:tcPr>
          <w:p>
            <w:pPr>
              <w:jc w:val="right"/>
              <w:ind w:right="260"/>
              <w:spacing w:after="0"/>
              <w:rPr>
                <w:sz w:val="20"/>
                <w:szCs w:val="20"/>
                <w:color w:val="auto"/>
              </w:rPr>
            </w:pPr>
            <w:r>
              <w:rPr>
                <w:rFonts w:ascii="Arial" w:cs="Arial" w:eastAsia="Arial" w:hAnsi="Arial"/>
                <w:sz w:val="102"/>
                <w:szCs w:val="102"/>
                <w:color w:val="4CA5CD"/>
                <w:w w:val="70"/>
              </w:rPr>
              <w:t>178</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FFFFFF"/>
              </w:rPr>
              <w:t>109</w:t>
            </w:r>
          </w:p>
        </w:tc>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FFFFFF"/>
              </w:rPr>
              <w:t>US Patents</w:t>
            </w:r>
          </w:p>
        </w:tc>
        <w:tc>
          <w:tcPr>
            <w:tcW w:w="0" w:type="dxa"/>
            <w:vAlign w:val="bottom"/>
          </w:tcPr>
          <w:p>
            <w:pPr>
              <w:spacing w:after="0"/>
              <w:rPr>
                <w:sz w:val="1"/>
                <w:szCs w:val="1"/>
                <w:color w:val="auto"/>
              </w:rPr>
            </w:pPr>
          </w:p>
        </w:tc>
      </w:tr>
      <w:tr>
        <w:trPr>
          <w:trHeight w:val="588"/>
        </w:trPr>
        <w:tc>
          <w:tcPr>
            <w:tcW w:w="1480" w:type="dxa"/>
            <w:vAlign w:val="bottom"/>
            <w:gridSpan w:val="2"/>
            <w:vMerge w:val="continue"/>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FFFFFF"/>
              </w:rPr>
              <w:t>69</w:t>
            </w:r>
          </w:p>
        </w:tc>
        <w:tc>
          <w:tcPr>
            <w:tcW w:w="2360" w:type="dxa"/>
            <w:vAlign w:val="bottom"/>
          </w:tcPr>
          <w:p>
            <w:pPr>
              <w:ind w:left="40"/>
              <w:spacing w:after="0"/>
              <w:rPr>
                <w:sz w:val="20"/>
                <w:szCs w:val="20"/>
                <w:color w:val="auto"/>
              </w:rPr>
            </w:pPr>
            <w:r>
              <w:rPr>
                <w:rFonts w:ascii="Times New Roman" w:cs="Times New Roman" w:eastAsia="Times New Roman" w:hAnsi="Times New Roman"/>
                <w:sz w:val="18"/>
                <w:szCs w:val="18"/>
                <w:color w:val="FFFFFF"/>
              </w:rPr>
              <w:t>Foreign Patents</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460" w:type="dxa"/>
            <w:vAlign w:val="bottom"/>
            <w:tcBorders>
              <w:bottom w:val="single" w:sz="8" w:color="FB8A38"/>
            </w:tcBorders>
          </w:tcPr>
          <w:p>
            <w:pPr>
              <w:spacing w:after="0"/>
              <w:rPr>
                <w:sz w:val="23"/>
                <w:szCs w:val="23"/>
                <w:color w:val="auto"/>
              </w:rPr>
            </w:pPr>
          </w:p>
        </w:tc>
        <w:tc>
          <w:tcPr>
            <w:tcW w:w="340" w:type="dxa"/>
            <w:vAlign w:val="bottom"/>
            <w:tcBorders>
              <w:bottom w:val="single" w:sz="8" w:color="FB8A38"/>
            </w:tcBorders>
          </w:tcPr>
          <w:p>
            <w:pPr>
              <w:spacing w:after="0"/>
              <w:rPr>
                <w:sz w:val="23"/>
                <w:szCs w:val="23"/>
                <w:color w:val="auto"/>
              </w:rPr>
            </w:pPr>
          </w:p>
        </w:tc>
        <w:tc>
          <w:tcPr>
            <w:tcW w:w="2360" w:type="dxa"/>
            <w:vAlign w:val="bottom"/>
            <w:tcBorders>
              <w:bottom w:val="single" w:sz="8" w:color="FB8A38"/>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28"/>
          <w:szCs w:val="28"/>
          <w:b w:val="1"/>
          <w:bCs w:val="1"/>
          <w:color w:val="FFFFFF"/>
        </w:rPr>
        <w:t>ESIGHT ACQUISITION:</w:t>
      </w:r>
    </w:p>
    <w:tbl>
      <w:tblPr>
        <w:tblLayout w:type="fixed"/>
        <w:tblInd w:w="20" w:type="dxa"/>
        <w:tblCellMar>
          <w:top w:w="0" w:type="dxa"/>
          <w:left w:w="0" w:type="dxa"/>
          <w:bottom w:w="0" w:type="dxa"/>
          <w:right w:w="0" w:type="dxa"/>
        </w:tblCellMar>
      </w:tblPr>
      <w:tr>
        <w:trPr>
          <w:trHeight w:val="658"/>
        </w:trPr>
        <w:tc>
          <w:tcPr>
            <w:tcW w:w="1500" w:type="dxa"/>
            <w:vAlign w:val="bottom"/>
            <w:gridSpan w:val="2"/>
            <w:vMerge w:val="restart"/>
          </w:tcPr>
          <w:p>
            <w:pPr>
              <w:jc w:val="right"/>
              <w:ind w:right="580"/>
              <w:spacing w:after="0" w:line="1244" w:lineRule="exact"/>
              <w:rPr>
                <w:sz w:val="20"/>
                <w:szCs w:val="20"/>
                <w:color w:val="auto"/>
              </w:rPr>
            </w:pPr>
            <w:r>
              <w:rPr>
                <w:rFonts w:ascii="Arial" w:cs="Arial" w:eastAsia="Arial" w:hAnsi="Arial"/>
                <w:sz w:val="110"/>
                <w:szCs w:val="110"/>
                <w:color w:val="4CA5CD"/>
                <w:w w:val="73"/>
              </w:rPr>
              <w:t>68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FFFF"/>
                <w:w w:val="99"/>
              </w:rPr>
              <w:t>27</w:t>
            </w:r>
          </w:p>
        </w:tc>
        <w:tc>
          <w:tcPr>
            <w:tcW w:w="2420" w:type="dxa"/>
            <w:vAlign w:val="bottom"/>
          </w:tcPr>
          <w:p>
            <w:pPr>
              <w:ind w:left="100"/>
              <w:spacing w:after="0"/>
              <w:rPr>
                <w:sz w:val="20"/>
                <w:szCs w:val="20"/>
                <w:color w:val="auto"/>
              </w:rPr>
            </w:pPr>
            <w:r>
              <w:rPr>
                <w:rFonts w:ascii="Times New Roman" w:cs="Times New Roman" w:eastAsia="Times New Roman" w:hAnsi="Times New Roman"/>
                <w:sz w:val="18"/>
                <w:szCs w:val="18"/>
                <w:color w:val="FFFFFF"/>
              </w:rPr>
              <w:t>US Patents</w:t>
            </w:r>
          </w:p>
        </w:tc>
        <w:tc>
          <w:tcPr>
            <w:tcW w:w="0" w:type="dxa"/>
            <w:vAlign w:val="bottom"/>
          </w:tcPr>
          <w:p>
            <w:pPr>
              <w:spacing w:after="0"/>
              <w:rPr>
                <w:sz w:val="1"/>
                <w:szCs w:val="1"/>
                <w:color w:val="auto"/>
              </w:rPr>
            </w:pPr>
          </w:p>
        </w:tc>
      </w:tr>
      <w:tr>
        <w:trPr>
          <w:trHeight w:val="589"/>
        </w:trPr>
        <w:tc>
          <w:tcPr>
            <w:tcW w:w="1500" w:type="dxa"/>
            <w:vAlign w:val="bottom"/>
            <w:gridSpan w:val="2"/>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FFFF"/>
                <w:w w:val="99"/>
              </w:rPr>
              <w:t>41</w:t>
            </w:r>
          </w:p>
        </w:tc>
        <w:tc>
          <w:tcPr>
            <w:tcW w:w="2420" w:type="dxa"/>
            <w:vAlign w:val="bottom"/>
          </w:tcPr>
          <w:p>
            <w:pPr>
              <w:ind w:left="100"/>
              <w:spacing w:after="0"/>
              <w:rPr>
                <w:sz w:val="20"/>
                <w:szCs w:val="20"/>
                <w:color w:val="auto"/>
              </w:rPr>
            </w:pPr>
            <w:r>
              <w:rPr>
                <w:rFonts w:ascii="Times New Roman" w:cs="Times New Roman" w:eastAsia="Times New Roman" w:hAnsi="Times New Roman"/>
                <w:sz w:val="18"/>
                <w:szCs w:val="18"/>
                <w:color w:val="FFFFFF"/>
              </w:rPr>
              <w:t>Foreign Patents</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1460" w:type="dxa"/>
            <w:vAlign w:val="bottom"/>
            <w:tcBorders>
              <w:bottom w:val="single" w:sz="8" w:color="FB8A38"/>
            </w:tcBorders>
          </w:tcPr>
          <w:p>
            <w:pPr>
              <w:spacing w:after="0"/>
              <w:rPr>
                <w:sz w:val="23"/>
                <w:szCs w:val="23"/>
                <w:color w:val="auto"/>
              </w:rPr>
            </w:pPr>
          </w:p>
        </w:tc>
        <w:tc>
          <w:tcPr>
            <w:tcW w:w="280" w:type="dxa"/>
            <w:vAlign w:val="bottom"/>
            <w:tcBorders>
              <w:bottom w:val="single" w:sz="8" w:color="FB8A38"/>
            </w:tcBorders>
          </w:tcPr>
          <w:p>
            <w:pPr>
              <w:spacing w:after="0"/>
              <w:rPr>
                <w:sz w:val="23"/>
                <w:szCs w:val="23"/>
                <w:color w:val="auto"/>
              </w:rPr>
            </w:pPr>
          </w:p>
        </w:tc>
        <w:tc>
          <w:tcPr>
            <w:tcW w:w="2420" w:type="dxa"/>
            <w:vAlign w:val="bottom"/>
            <w:tcBorders>
              <w:bottom w:val="single" w:sz="8" w:color="FB8A38"/>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28"/>
          <w:szCs w:val="28"/>
          <w:b w:val="1"/>
          <w:bCs w:val="1"/>
          <w:color w:val="FFFFFF"/>
        </w:rPr>
        <w:t>APPLICATIONS</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28"/>
          <w:szCs w:val="28"/>
          <w:b w:val="1"/>
          <w:bCs w:val="1"/>
          <w:color w:val="FFFFFF"/>
        </w:rPr>
        <w:t>IN PROCESS</w:t>
      </w:r>
    </w:p>
    <w:tbl>
      <w:tblPr>
        <w:tblLayout w:type="fixed"/>
        <w:tblInd w:w="40" w:type="dxa"/>
        <w:tblCellMar>
          <w:top w:w="0" w:type="dxa"/>
          <w:left w:w="0" w:type="dxa"/>
          <w:bottom w:w="0" w:type="dxa"/>
          <w:right w:w="0" w:type="dxa"/>
        </w:tblCellMar>
      </w:tblPr>
      <w:tr>
        <w:trPr>
          <w:trHeight w:val="472"/>
        </w:trPr>
        <w:tc>
          <w:tcPr>
            <w:tcW w:w="1400" w:type="dxa"/>
            <w:vAlign w:val="bottom"/>
            <w:vMerge w:val="restart"/>
          </w:tcPr>
          <w:p>
            <w:pPr>
              <w:jc w:val="right"/>
              <w:spacing w:after="0" w:line="1243" w:lineRule="exact"/>
              <w:rPr>
                <w:sz w:val="20"/>
                <w:szCs w:val="20"/>
                <w:color w:val="auto"/>
              </w:rPr>
            </w:pPr>
            <w:r>
              <w:rPr>
                <w:rFonts w:ascii="Arial" w:cs="Arial" w:eastAsia="Arial" w:hAnsi="Arial"/>
                <w:sz w:val="109"/>
                <w:szCs w:val="109"/>
                <w:color w:val="4CA5CD"/>
                <w:w w:val="70"/>
              </w:rPr>
              <w:t>461</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FFFFFF"/>
              </w:rPr>
              <w:t>169</w:t>
            </w: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FFFFFF"/>
              </w:rPr>
              <w:t>Pending US Patents</w:t>
            </w:r>
          </w:p>
        </w:tc>
        <w:tc>
          <w:tcPr>
            <w:tcW w:w="0" w:type="dxa"/>
            <w:vAlign w:val="bottom"/>
          </w:tcPr>
          <w:p>
            <w:pPr>
              <w:spacing w:after="0"/>
              <w:rPr>
                <w:sz w:val="1"/>
                <w:szCs w:val="1"/>
                <w:color w:val="auto"/>
              </w:rPr>
            </w:pPr>
          </w:p>
        </w:tc>
      </w:tr>
      <w:tr>
        <w:trPr>
          <w:trHeight w:val="320"/>
        </w:trPr>
        <w:tc>
          <w:tcPr>
            <w:tcW w:w="1400" w:type="dxa"/>
            <w:vAlign w:val="bottom"/>
            <w:vMerge w:val="continue"/>
          </w:tcPr>
          <w:p>
            <w:pPr>
              <w:spacing w:after="0"/>
              <w:rPr>
                <w:sz w:val="24"/>
                <w:szCs w:val="24"/>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FFFFFF"/>
              </w:rPr>
              <w:t>257</w:t>
            </w: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FFFFFF"/>
                <w:w w:val="99"/>
              </w:rPr>
              <w:t>Pending Foreign Patents</w:t>
            </w:r>
          </w:p>
        </w:tc>
        <w:tc>
          <w:tcPr>
            <w:tcW w:w="0" w:type="dxa"/>
            <w:vAlign w:val="bottom"/>
          </w:tcPr>
          <w:p>
            <w:pPr>
              <w:spacing w:after="0"/>
              <w:rPr>
                <w:sz w:val="1"/>
                <w:szCs w:val="1"/>
                <w:color w:val="auto"/>
              </w:rPr>
            </w:pPr>
          </w:p>
        </w:tc>
      </w:tr>
      <w:tr>
        <w:trPr>
          <w:trHeight w:val="455"/>
        </w:trPr>
        <w:tc>
          <w:tcPr>
            <w:tcW w:w="1400" w:type="dxa"/>
            <w:vAlign w:val="bottom"/>
            <w:vMerge w:val="continue"/>
          </w:tcPr>
          <w:p>
            <w:pPr>
              <w:spacing w:after="0"/>
              <w:rPr>
                <w:sz w:val="24"/>
                <w:szCs w:val="24"/>
                <w:color w:val="auto"/>
              </w:rPr>
            </w:pP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FFFFFF"/>
              </w:rPr>
              <w:t>35 Trademark Applications</w:t>
            </w:r>
          </w:p>
        </w:tc>
        <w:tc>
          <w:tcPr>
            <w:tcW w:w="0" w:type="dxa"/>
            <w:vAlign w:val="bottom"/>
          </w:tcPr>
          <w:p>
            <w:pPr>
              <w:spacing w:after="0"/>
              <w:rPr>
                <w:sz w:val="1"/>
                <w:szCs w:val="1"/>
                <w:color w:val="auto"/>
              </w:rPr>
            </w:pPr>
          </w:p>
        </w:tc>
      </w:tr>
    </w:tbl>
    <w:p>
      <w:pPr>
        <w:spacing w:after="0" w:line="463" w:lineRule="exact"/>
        <w:rPr>
          <w:sz w:val="20"/>
          <w:szCs w:val="20"/>
          <w:color w:val="auto"/>
        </w:rPr>
      </w:pPr>
    </w:p>
    <w:p>
      <w:pPr>
        <w:sectPr>
          <w:pgSz w:w="12240" w:h="15840" w:orient="portrait"/>
          <w:cols w:equalWidth="0" w:num="2">
            <w:col w:w="6520" w:space="720"/>
            <w:col w:w="4220"/>
          </w:cols>
          <w:pgMar w:left="780" w:top="454" w:right="0" w:bottom="0" w:gutter="0" w:footer="0" w:header="0"/>
        </w:sectPr>
      </w:pPr>
    </w:p>
    <w:p>
      <w:pPr>
        <w:spacing w:after="0" w:line="277" w:lineRule="exact"/>
        <w:rPr>
          <w:sz w:val="20"/>
          <w:szCs w:val="20"/>
          <w:color w:val="auto"/>
        </w:rPr>
      </w:pPr>
    </w:p>
    <w:p>
      <w:pPr>
        <w:ind w:left="9160"/>
        <w:spacing w:after="0"/>
        <w:tabs>
          <w:tab w:leader="none" w:pos="10720" w:val="left"/>
        </w:tabs>
        <w:rPr>
          <w:sz w:val="20"/>
          <w:szCs w:val="20"/>
          <w:color w:val="auto"/>
        </w:rPr>
      </w:pPr>
      <w:r>
        <w:rPr>
          <w:rFonts w:ascii="Times New Roman" w:cs="Times New Roman" w:eastAsia="Times New Roman" w:hAnsi="Times New Roman"/>
          <w:sz w:val="10"/>
          <w:szCs w:val="10"/>
          <w:color w:val="404040"/>
        </w:rPr>
        <w:t>2023 ANNUAL REPORT</w:t>
      </w:r>
      <w:r>
        <w:rPr>
          <w:sz w:val="20"/>
          <w:szCs w:val="20"/>
          <w:color w:val="auto"/>
        </w:rPr>
        <w:tab/>
      </w:r>
      <w:r>
        <w:rPr>
          <w:rFonts w:ascii="Arial" w:cs="Arial" w:eastAsia="Arial" w:hAnsi="Arial"/>
          <w:sz w:val="14"/>
          <w:szCs w:val="14"/>
          <w:b w:val="1"/>
          <w:bCs w:val="1"/>
          <w:color w:val="404040"/>
        </w:rPr>
        <w:t>5</w:t>
      </w:r>
    </w:p>
    <w:p>
      <w:pPr>
        <w:sectPr>
          <w:pgSz w:w="12240" w:h="15840" w:orient="portrait"/>
          <w:cols w:equalWidth="0" w:num="1">
            <w:col w:w="11460"/>
          </w:cols>
          <w:pgMar w:left="780" w:top="454" w:right="0" w:bottom="0" w:gutter="0" w:footer="0" w:header="0"/>
          <w:type w:val="continuous"/>
        </w:sectPr>
      </w:pPr>
    </w:p>
    <w:bookmarkStart w:id="5" w:name="page6"/>
    <w:bookmarkEnd w:id="5"/>
    <w:p>
      <w:pPr>
        <w:ind w:left="30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LETTER FROM THE CEO</w:t>
      </w:r>
    </w:p>
    <w:p>
      <w:pPr>
        <w:spacing w:after="0" w:line="200" w:lineRule="exact"/>
        <w:rPr>
          <w:sz w:val="20"/>
          <w:szCs w:val="20"/>
          <w:color w:val="auto"/>
        </w:rPr>
      </w:pPr>
    </w:p>
    <w:p>
      <w:pPr>
        <w:spacing w:after="0" w:line="326" w:lineRule="exact"/>
        <w:rPr>
          <w:sz w:val="20"/>
          <w:szCs w:val="20"/>
          <w:color w:val="auto"/>
        </w:rPr>
      </w:pPr>
    </w:p>
    <w:p>
      <w:pPr>
        <w:ind w:left="260" w:right="1120"/>
        <w:spacing w:after="0" w:line="246" w:lineRule="auto"/>
        <w:rPr>
          <w:sz w:val="20"/>
          <w:szCs w:val="20"/>
          <w:color w:val="auto"/>
        </w:rPr>
      </w:pPr>
      <w:r>
        <w:rPr>
          <w:rFonts w:ascii="Arial" w:cs="Arial" w:eastAsia="Arial" w:hAnsi="Arial"/>
          <w:sz w:val="105"/>
          <w:szCs w:val="105"/>
          <w:color w:val="FFFFFF"/>
        </w:rPr>
        <w:t>Calendar year 2023 turned out to be a remarkable year for the company!</w:t>
      </w:r>
    </w:p>
    <w:p>
      <w:pPr>
        <w:spacing w:after="0" w:line="316" w:lineRule="exact"/>
        <w:rPr>
          <w:sz w:val="20"/>
          <w:szCs w:val="20"/>
          <w:color w:val="auto"/>
        </w:rPr>
      </w:pPr>
    </w:p>
    <w:p>
      <w:pPr>
        <w:ind w:left="360"/>
        <w:spacing w:after="0" w:line="351" w:lineRule="auto"/>
        <w:rPr>
          <w:sz w:val="20"/>
          <w:szCs w:val="20"/>
          <w:color w:val="auto"/>
        </w:rPr>
      </w:pPr>
      <w:r>
        <w:rPr>
          <w:rFonts w:ascii="Times New Roman" w:cs="Times New Roman" w:eastAsia="Times New Roman" w:hAnsi="Times New Roman"/>
          <w:sz w:val="17"/>
          <w:szCs w:val="17"/>
          <w:color w:val="FFFFFF"/>
        </w:rPr>
        <w:t>Net sales increased by $380.3 million (20%) compared to 2022, and marked the first time that Gentex exceeded $2 billion in annual revenue. The majority of this growth in 2023 was driven by the adoption of our Full Display Mirror® (FDM®), driver- and passenger-side electrochromic mirrors (OEC), and continued proliferation of our base and advanced feature mirrors. We experienced a 15% year-over-year increase in our auto-dimming mirror shipments, growing from 44.2 million units in 2022 to 50.6 million units in 2023. This increase was a continuation</w:t>
      </w:r>
    </w:p>
    <w:p>
      <w:pPr>
        <w:spacing w:after="0" w:line="3" w:lineRule="exact"/>
        <w:rPr>
          <w:sz w:val="20"/>
          <w:szCs w:val="20"/>
          <w:color w:val="auto"/>
        </w:rPr>
      </w:pPr>
    </w:p>
    <w:p>
      <w:pPr>
        <w:ind w:left="360" w:right="40"/>
        <w:spacing w:after="0" w:line="352" w:lineRule="auto"/>
        <w:rPr>
          <w:sz w:val="20"/>
          <w:szCs w:val="20"/>
          <w:color w:val="auto"/>
        </w:rPr>
      </w:pPr>
      <w:r>
        <w:rPr>
          <w:rFonts w:ascii="Times New Roman" w:cs="Times New Roman" w:eastAsia="Times New Roman" w:hAnsi="Times New Roman"/>
          <w:sz w:val="18"/>
          <w:szCs w:val="18"/>
          <w:color w:val="FFFFFF"/>
        </w:rPr>
        <w:t>of the growth over market we’ve seen for the past few years. From 2018 through 2023, our revenue grew by over 26%, in spite of light vehicle production environments in North America, Europe, Japan, and Korea that shrunk by more than 11% during the same period. We believe this revenue outperformance compared to our underlying market is evidence that our product strategy is effective, and can continue to drive growth in the coming years.</w:t>
      </w:r>
    </w:p>
    <w:p>
      <w:pPr>
        <w:spacing w:after="0" w:line="111" w:lineRule="exact"/>
        <w:rPr>
          <w:sz w:val="20"/>
          <w:szCs w:val="20"/>
          <w:color w:val="auto"/>
        </w:rPr>
      </w:pPr>
    </w:p>
    <w:p>
      <w:pPr>
        <w:ind w:left="360"/>
        <w:spacing w:after="0"/>
        <w:tabs>
          <w:tab w:leader="none" w:pos="5800" w:val="left"/>
        </w:tabs>
        <w:rPr>
          <w:sz w:val="20"/>
          <w:szCs w:val="20"/>
          <w:color w:val="auto"/>
        </w:rPr>
      </w:pPr>
      <w:r>
        <w:rPr>
          <w:rFonts w:ascii="Arial" w:cs="Arial" w:eastAsia="Arial" w:hAnsi="Arial"/>
          <w:sz w:val="24"/>
          <w:szCs w:val="24"/>
          <w:b w:val="1"/>
          <w:bCs w:val="1"/>
          <w:color w:val="FFFFFF"/>
        </w:rPr>
        <w:t>MARGIN RECOVERY</w:t>
      </w:r>
      <w:r>
        <w:rPr>
          <w:sz w:val="20"/>
          <w:szCs w:val="20"/>
          <w:color w:val="auto"/>
        </w:rPr>
        <w:tab/>
      </w:r>
      <w:r>
        <w:rPr>
          <w:rFonts w:ascii="Arial" w:cs="Arial" w:eastAsia="Arial" w:hAnsi="Arial"/>
          <w:sz w:val="21"/>
          <w:szCs w:val="21"/>
          <w:b w:val="1"/>
          <w:bCs w:val="1"/>
          <w:color w:val="FFFFFF"/>
        </w:rPr>
        <w:t>DEVELOPMENT &amp; OPPORTUNITIES</w:t>
      </w:r>
    </w:p>
    <w:p>
      <w:pPr>
        <w:sectPr>
          <w:pgSz w:w="12240" w:h="15840" w:orient="portrait"/>
          <w:cols w:equalWidth="0" w:num="1">
            <w:col w:w="10620"/>
          </w:cols>
          <w:pgMar w:left="640" w:top="454" w:right="980" w:bottom="0" w:gutter="0" w:footer="0" w:header="0"/>
        </w:sectPr>
      </w:pPr>
    </w:p>
    <w:p>
      <w:pPr>
        <w:spacing w:after="0" w:line="172" w:lineRule="exact"/>
        <w:rPr>
          <w:sz w:val="20"/>
          <w:szCs w:val="20"/>
          <w:color w:val="auto"/>
        </w:rPr>
      </w:pPr>
    </w:p>
    <w:p>
      <w:pPr>
        <w:ind w:left="360"/>
        <w:spacing w:after="0" w:line="347" w:lineRule="auto"/>
        <w:rPr>
          <w:sz w:val="20"/>
          <w:szCs w:val="20"/>
          <w:color w:val="auto"/>
        </w:rPr>
      </w:pPr>
      <w:r>
        <w:rPr>
          <w:rFonts w:ascii="Times New Roman" w:cs="Times New Roman" w:eastAsia="Times New Roman" w:hAnsi="Times New Roman"/>
          <w:sz w:val="17"/>
          <w:szCs w:val="17"/>
          <w:color w:val="FFFFFF"/>
        </w:rPr>
        <w:t>In spite of persistent supply chain and component shortage issues, Gentex was able to avoid shutting down any of our customers. We took on the additional work required to transition away from unavailable components, redesigning and revalidating our products quickly while striving to maintain our reputation for quality and reliability. This often resulted in a more expensive billl of materials and lower margins, but protected our customers during this chaotic time. Our margin recovery process has not been easy, but the sales, purchasing, manufacturing, and engineering teams</w:t>
      </w:r>
    </w:p>
    <w:p>
      <w:pPr>
        <w:spacing w:after="0" w:line="3" w:lineRule="exact"/>
        <w:rPr>
          <w:sz w:val="20"/>
          <w:szCs w:val="20"/>
          <w:color w:val="auto"/>
        </w:rPr>
      </w:pPr>
    </w:p>
    <w:p>
      <w:pPr>
        <w:ind w:left="360" w:right="20"/>
        <w:spacing w:after="0" w:line="338" w:lineRule="auto"/>
        <w:rPr>
          <w:sz w:val="20"/>
          <w:szCs w:val="20"/>
          <w:color w:val="auto"/>
        </w:rPr>
      </w:pPr>
      <w:r>
        <w:rPr>
          <w:rFonts w:ascii="Times New Roman" w:cs="Times New Roman" w:eastAsia="Times New Roman" w:hAnsi="Times New Roman"/>
          <w:sz w:val="18"/>
          <w:szCs w:val="18"/>
          <w:color w:val="FFFFFF"/>
        </w:rPr>
        <w:t>at Gentex have done an incredible job over the last few years. In 2023, we had difficult conversations with our customers to isolate the additional costs we’d taken on, and renegotiated pricing with suppliers and customers where necessary. Through this process, we were able to rebuild our margins in 2023 from 31.7% in Q1 to 34.5% in Q4, and set the stage for continued margin improvement in 2024.</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80"/>
        <w:spacing w:after="0" w:line="346" w:lineRule="auto"/>
        <w:rPr>
          <w:sz w:val="20"/>
          <w:szCs w:val="20"/>
          <w:color w:val="auto"/>
        </w:rPr>
      </w:pPr>
      <w:r>
        <w:rPr>
          <w:rFonts w:ascii="Times New Roman" w:cs="Times New Roman" w:eastAsia="Times New Roman" w:hAnsi="Times New Roman"/>
          <w:sz w:val="17"/>
          <w:szCs w:val="17"/>
          <w:color w:val="FFFFFF"/>
        </w:rPr>
        <w:t>As we look ahead to the next 3, 5, and 10 year challenges and opportunities, I truly believe that Gentex is in an ideal position to continue growing both our share of the market and our product portfolio and adoption rates with our customers. As we expand our capabilities, markets, facilities, and teams, it is an exciting time to be leading Gentex. Our teams are dedicated, focused, and capable. With our internal research and development, partnerships, and acquisitions, Gentex will continue to fill our pipeline with exciting new products and technologies. Our ongoing product adoption at OEMs, improving margin profile, and dedication to our capital allocation plan should enable us to continue</w:t>
      </w:r>
    </w:p>
    <w:p>
      <w:pPr>
        <w:spacing w:after="0" w:line="7" w:lineRule="exact"/>
        <w:rPr>
          <w:sz w:val="20"/>
          <w:szCs w:val="20"/>
          <w:color w:val="auto"/>
        </w:rPr>
      </w:pPr>
    </w:p>
    <w:p>
      <w:pPr>
        <w:ind w:right="360"/>
        <w:spacing w:after="0" w:line="407" w:lineRule="auto"/>
        <w:rPr>
          <w:sz w:val="20"/>
          <w:szCs w:val="20"/>
          <w:color w:val="auto"/>
        </w:rPr>
      </w:pPr>
      <w:r>
        <w:rPr>
          <w:rFonts w:ascii="Times New Roman" w:cs="Times New Roman" w:eastAsia="Times New Roman" w:hAnsi="Times New Roman"/>
          <w:sz w:val="18"/>
          <w:szCs w:val="18"/>
          <w:color w:val="FFFFFF"/>
        </w:rPr>
        <w:t>to outperform our underlying markets and drive significant shareholder value over the coming years.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FFFF"/>
        </w:rPr>
        <w:t>As always, we appreciate your continued support,</w:t>
      </w:r>
    </w:p>
    <w:p>
      <w:pPr>
        <w:spacing w:after="0" w:line="278" w:lineRule="exact"/>
        <w:rPr>
          <w:sz w:val="20"/>
          <w:szCs w:val="20"/>
          <w:color w:val="auto"/>
        </w:rPr>
      </w:pPr>
    </w:p>
    <w:p>
      <w:pPr>
        <w:ind w:left="2780" w:right="680"/>
        <w:spacing w:after="0" w:line="559" w:lineRule="auto"/>
        <w:rPr>
          <w:sz w:val="20"/>
          <w:szCs w:val="20"/>
          <w:color w:val="auto"/>
        </w:rPr>
      </w:pPr>
      <w:r>
        <w:rPr>
          <w:rFonts w:ascii="Times New Roman" w:cs="Times New Roman" w:eastAsia="Times New Roman" w:hAnsi="Times New Roman"/>
          <w:sz w:val="15"/>
          <w:szCs w:val="15"/>
          <w:color w:val="FFFFFF"/>
        </w:rPr>
        <w:t xml:space="preserve">Steve Downing </w:t>
      </w:r>
      <w:r>
        <w:rPr>
          <w:rFonts w:ascii="Arial" w:cs="Arial" w:eastAsia="Arial" w:hAnsi="Arial"/>
          <w:sz w:val="15"/>
          <w:szCs w:val="15"/>
          <w:i w:val="1"/>
          <w:iCs w:val="1"/>
          <w:color w:val="FFFFFF"/>
        </w:rPr>
        <w:t>President and CEO</w:t>
      </w:r>
    </w:p>
    <w:p>
      <w:pPr>
        <w:spacing w:after="0" w:line="200" w:lineRule="exact"/>
        <w:rPr>
          <w:sz w:val="20"/>
          <w:szCs w:val="20"/>
          <w:color w:val="auto"/>
        </w:rPr>
      </w:pPr>
    </w:p>
    <w:p>
      <w:pPr>
        <w:sectPr>
          <w:pgSz w:w="12240" w:h="15840" w:orient="portrait"/>
          <w:cols w:equalWidth="0" w:num="2">
            <w:col w:w="5180" w:space="640"/>
            <w:col w:w="4800"/>
          </w:cols>
          <w:pgMar w:left="640" w:top="454" w:right="980" w:bottom="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spacing w:after="0"/>
        <w:tabs>
          <w:tab w:leader="none" w:pos="340" w:val="left"/>
        </w:tabs>
        <w:rPr>
          <w:sz w:val="20"/>
          <w:szCs w:val="20"/>
          <w:color w:val="auto"/>
        </w:rPr>
      </w:pPr>
      <w:r>
        <w:rPr>
          <w:rFonts w:ascii="Arial" w:cs="Arial" w:eastAsia="Arial" w:hAnsi="Arial"/>
          <w:sz w:val="24"/>
          <w:szCs w:val="24"/>
          <w:b w:val="1"/>
          <w:bCs w:val="1"/>
          <w:color w:val="auto"/>
          <w:highlight w:val="black"/>
        </w:rPr>
        <w:t>6</w:t>
      </w:r>
      <w:r>
        <w:rPr>
          <w:rFonts w:ascii="Arial" w:cs="Arial" w:eastAsia="Arial" w:hAnsi="Arial"/>
          <w:sz w:val="24"/>
          <w:szCs w:val="24"/>
          <w:b w:val="1"/>
          <w:bCs w:val="1"/>
          <w:color w:val="FFFFFF"/>
          <w:highlight w:val="black"/>
        </w:rPr>
        <w:t>6</w:t>
      </w:r>
      <w:r>
        <w:rPr>
          <w:sz w:val="20"/>
          <w:szCs w:val="20"/>
          <w:color w:val="auto"/>
        </w:rPr>
        <w:tab/>
      </w:r>
      <w:r>
        <w:rPr>
          <w:rFonts w:ascii="Times New Roman" w:cs="Times New Roman" w:eastAsia="Times New Roman" w:hAnsi="Times New Roman"/>
          <w:sz w:val="6"/>
          <w:szCs w:val="6"/>
          <w:color w:val="auto"/>
        </w:rPr>
        <w:t>GENTEX</w:t>
      </w:r>
      <w:r>
        <w:rPr>
          <w:rFonts w:ascii="Times New Roman" w:cs="Times New Roman" w:eastAsia="Times New Roman" w:hAnsi="Times New Roman"/>
          <w:sz w:val="6"/>
          <w:szCs w:val="6"/>
          <w:color w:val="FFFFFF"/>
        </w:rPr>
        <w:t>GENTEX</w:t>
      </w:r>
      <w:r>
        <w:rPr>
          <w:rFonts w:ascii="Times New Roman" w:cs="Times New Roman" w:eastAsia="Times New Roman" w:hAnsi="Times New Roman"/>
          <w:sz w:val="6"/>
          <w:szCs w:val="6"/>
          <w:color w:val="auto"/>
        </w:rPr>
        <w:t xml:space="preserve"> CORPORATION</w:t>
      </w:r>
      <w:r>
        <w:rPr>
          <w:rFonts w:ascii="Times New Roman" w:cs="Times New Roman" w:eastAsia="Times New Roman" w:hAnsi="Times New Roman"/>
          <w:sz w:val="6"/>
          <w:szCs w:val="6"/>
          <w:color w:val="FFFFFF"/>
        </w:rPr>
        <w:t>CORPORATION</w:t>
      </w:r>
    </w:p>
    <w:p>
      <w:pPr>
        <w:sectPr>
          <w:pgSz w:w="12240" w:h="15840" w:orient="portrait"/>
          <w:cols w:equalWidth="0" w:num="1">
            <w:col w:w="10620"/>
          </w:cols>
          <w:pgMar w:left="640" w:top="454" w:right="980" w:bottom="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500"/>
        <w:spacing w:after="0"/>
        <w:tabs>
          <w:tab w:leader="none" w:pos="10060" w:val="left"/>
        </w:tabs>
        <w:rPr>
          <w:sz w:val="20"/>
          <w:szCs w:val="20"/>
          <w:color w:val="auto"/>
        </w:rPr>
      </w:pPr>
      <w:r>
        <w:rPr>
          <w:rFonts w:ascii="Times New Roman" w:cs="Times New Roman" w:eastAsia="Times New Roman" w:hAnsi="Times New Roman"/>
          <w:sz w:val="8"/>
          <w:szCs w:val="8"/>
          <w:color w:val="auto"/>
        </w:rPr>
        <w:t>2022</w:t>
      </w:r>
      <w:r>
        <w:rPr>
          <w:rFonts w:ascii="Times New Roman" w:cs="Times New Roman" w:eastAsia="Times New Roman" w:hAnsi="Times New Roman"/>
          <w:sz w:val="8"/>
          <w:szCs w:val="8"/>
          <w:color w:val="FFFFFF"/>
        </w:rPr>
        <w:t>2023</w:t>
      </w:r>
      <w:r>
        <w:rPr>
          <w:rFonts w:ascii="Times New Roman" w:cs="Times New Roman" w:eastAsia="Times New Roman" w:hAnsi="Times New Roman"/>
          <w:sz w:val="8"/>
          <w:szCs w:val="8"/>
          <w:color w:val="auto"/>
        </w:rPr>
        <w:t xml:space="preserve"> ANNUAL</w:t>
      </w:r>
      <w:r>
        <w:rPr>
          <w:rFonts w:ascii="Times New Roman" w:cs="Times New Roman" w:eastAsia="Times New Roman" w:hAnsi="Times New Roman"/>
          <w:sz w:val="8"/>
          <w:szCs w:val="8"/>
          <w:color w:val="FFFFFF"/>
        </w:rPr>
        <w:t>ANNUAL</w:t>
      </w:r>
      <w:r>
        <w:rPr>
          <w:rFonts w:ascii="Times New Roman" w:cs="Times New Roman" w:eastAsia="Times New Roman" w:hAnsi="Times New Roman"/>
          <w:sz w:val="8"/>
          <w:szCs w:val="8"/>
          <w:color w:val="auto"/>
        </w:rPr>
        <w:t xml:space="preserve"> REPORT</w:t>
      </w:r>
      <w:r>
        <w:rPr>
          <w:rFonts w:ascii="Times New Roman" w:cs="Times New Roman" w:eastAsia="Times New Roman" w:hAnsi="Times New Roman"/>
          <w:sz w:val="8"/>
          <w:szCs w:val="8"/>
          <w:color w:val="FFFFFF"/>
        </w:rPr>
        <w:t>REPORT</w:t>
      </w:r>
      <w:r>
        <w:rPr>
          <w:sz w:val="20"/>
          <w:szCs w:val="20"/>
          <w:color w:val="auto"/>
        </w:rPr>
        <w:tab/>
      </w:r>
      <w:r>
        <w:rPr>
          <w:rFonts w:ascii="Arial" w:cs="Arial" w:eastAsia="Arial" w:hAnsi="Arial"/>
          <w:sz w:val="7"/>
          <w:szCs w:val="7"/>
          <w:b w:val="1"/>
          <w:bCs w:val="1"/>
          <w:color w:val="auto"/>
        </w:rPr>
        <w:t>7</w:t>
      </w:r>
      <w:r>
        <w:rPr>
          <w:rFonts w:ascii="Arial" w:cs="Arial" w:eastAsia="Arial" w:hAnsi="Arial"/>
          <w:sz w:val="7"/>
          <w:szCs w:val="7"/>
          <w:b w:val="1"/>
          <w:bCs w:val="1"/>
          <w:color w:val="FFFFFF"/>
        </w:rPr>
        <w:t>7</w:t>
      </w:r>
    </w:p>
    <w:p>
      <w:pPr>
        <w:sectPr>
          <w:pgSz w:w="12240" w:h="15840" w:orient="portrait"/>
          <w:cols w:equalWidth="0" w:num="1">
            <w:col w:w="10160"/>
          </w:cols>
          <w:pgMar w:left="1440" w:top="1440" w:right="640" w:bottom="0" w:gutter="0" w:footer="0" w:header="0"/>
        </w:sectPr>
      </w:pPr>
    </w:p>
    <w:bookmarkStart w:id="7" w:name="page8"/>
    <w:bookmarkEnd w:id="7"/>
    <w:p>
      <w:pPr>
        <w:ind w:left="44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FINANCIAL PERFORMANCE</w:t>
      </w:r>
    </w:p>
    <w:p>
      <w:pPr>
        <w:spacing w:after="0" w:line="367" w:lineRule="exact"/>
        <w:rPr>
          <w:sz w:val="20"/>
          <w:szCs w:val="20"/>
          <w:color w:val="auto"/>
        </w:rPr>
      </w:pPr>
    </w:p>
    <w:p>
      <w:pPr>
        <w:ind w:left="440"/>
        <w:spacing w:after="0"/>
        <w:rPr>
          <w:sz w:val="20"/>
          <w:szCs w:val="20"/>
          <w:color w:val="auto"/>
        </w:rPr>
      </w:pPr>
      <w:r>
        <w:rPr>
          <w:rFonts w:ascii="Arial" w:cs="Arial" w:eastAsia="Arial" w:hAnsi="Arial"/>
          <w:sz w:val="115"/>
          <w:szCs w:val="115"/>
          <w:color w:val="auto"/>
        </w:rPr>
        <w:t>Our Best Year</w:t>
      </w:r>
    </w:p>
    <w:p>
      <w:pPr>
        <w:spacing w:after="0" w:line="133" w:lineRule="exact"/>
        <w:rPr>
          <w:sz w:val="20"/>
          <w:szCs w:val="20"/>
          <w:color w:val="auto"/>
        </w:rPr>
      </w:pPr>
    </w:p>
    <w:p>
      <w:pPr>
        <w:ind w:left="3980" w:right="560" w:hanging="3529"/>
        <w:spacing w:after="0" w:line="181" w:lineRule="auto"/>
        <w:rPr>
          <w:sz w:val="20"/>
          <w:szCs w:val="20"/>
          <w:color w:val="auto"/>
        </w:rPr>
      </w:pPr>
      <w:r>
        <w:rPr>
          <w:rFonts w:ascii="Arial" w:cs="Arial" w:eastAsia="Arial" w:hAnsi="Arial"/>
          <w:sz w:val="91"/>
          <w:szCs w:val="91"/>
          <w:color w:val="auto"/>
        </w:rPr>
        <w:t xml:space="preserve">So Far </w:t>
      </w:r>
      <w:r>
        <w:rPr>
          <w:rFonts w:ascii="Times New Roman" w:cs="Times New Roman" w:eastAsia="Times New Roman" w:hAnsi="Times New Roman"/>
          <w:sz w:val="17"/>
          <w:szCs w:val="17"/>
          <w:color w:val="auto"/>
        </w:rPr>
        <w:t>Gentex continues to outpace our markets and our peers. Our product portfolio,</w:t>
      </w:r>
      <w:r>
        <w:rPr>
          <w:rFonts w:ascii="Arial" w:cs="Arial" w:eastAsia="Arial" w:hAnsi="Arial"/>
          <w:sz w:val="91"/>
          <w:szCs w:val="91"/>
          <w:color w:val="auto"/>
        </w:rPr>
        <w:t xml:space="preserve"> </w:t>
      </w:r>
      <w:r>
        <w:rPr>
          <w:rFonts w:ascii="Times New Roman" w:cs="Times New Roman" w:eastAsia="Times New Roman" w:hAnsi="Times New Roman"/>
          <w:sz w:val="17"/>
          <w:szCs w:val="17"/>
          <w:color w:val="auto"/>
        </w:rPr>
        <w:t>quality, patents, manufacturing, engineering capabilities, new features, and product innovation help us defend our 89% market share of interior electrochromic mirrors.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805"/>
        </w:trPr>
        <w:tc>
          <w:tcPr>
            <w:tcW w:w="220" w:type="dxa"/>
            <w:vAlign w:val="bottom"/>
          </w:tcPr>
          <w:p>
            <w:pPr>
              <w:spacing w:after="0"/>
              <w:rPr>
                <w:sz w:val="24"/>
                <w:szCs w:val="24"/>
                <w:color w:val="auto"/>
              </w:rPr>
            </w:pPr>
          </w:p>
        </w:tc>
        <w:tc>
          <w:tcPr>
            <w:tcW w:w="3400" w:type="dxa"/>
            <w:vAlign w:val="bottom"/>
            <w:gridSpan w:val="2"/>
          </w:tcPr>
          <w:p>
            <w:pPr>
              <w:ind w:left="240"/>
              <w:spacing w:after="0"/>
              <w:rPr>
                <w:sz w:val="20"/>
                <w:szCs w:val="20"/>
                <w:color w:val="auto"/>
              </w:rPr>
            </w:pPr>
            <w:r>
              <w:rPr>
                <w:rFonts w:ascii="Arial" w:cs="Arial" w:eastAsia="Arial" w:hAnsi="Arial"/>
                <w:sz w:val="70"/>
                <w:szCs w:val="70"/>
                <w:color w:val="auto"/>
              </w:rPr>
              <w:t>2023</w:t>
            </w:r>
          </w:p>
        </w:tc>
        <w:tc>
          <w:tcPr>
            <w:tcW w:w="3420" w:type="dxa"/>
            <w:vAlign w:val="bottom"/>
          </w:tcPr>
          <w:p>
            <w:pPr>
              <w:spacing w:after="0"/>
              <w:rPr>
                <w:sz w:val="24"/>
                <w:szCs w:val="24"/>
                <w:color w:val="auto"/>
              </w:rPr>
            </w:pPr>
          </w:p>
        </w:tc>
        <w:tc>
          <w:tcPr>
            <w:tcW w:w="3480" w:type="dxa"/>
            <w:vAlign w:val="bottom"/>
            <w:gridSpan w:val="2"/>
          </w:tcPr>
          <w:p>
            <w:pPr>
              <w:ind w:left="460"/>
              <w:spacing w:after="0"/>
              <w:rPr>
                <w:sz w:val="20"/>
                <w:szCs w:val="20"/>
                <w:color w:val="auto"/>
              </w:rPr>
            </w:pPr>
            <w:r>
              <w:rPr>
                <w:rFonts w:ascii="Arial" w:cs="Arial" w:eastAsia="Arial" w:hAnsi="Arial"/>
                <w:sz w:val="70"/>
                <w:szCs w:val="70"/>
                <w:color w:val="FFFFFF"/>
              </w:rPr>
              <w:t>2024</w:t>
            </w:r>
          </w:p>
        </w:tc>
      </w:tr>
      <w:tr>
        <w:trPr>
          <w:trHeight w:val="67"/>
        </w:trPr>
        <w:tc>
          <w:tcPr>
            <w:tcW w:w="220" w:type="dxa"/>
            <w:vAlign w:val="bottom"/>
          </w:tcPr>
          <w:p>
            <w:pPr>
              <w:spacing w:after="0"/>
              <w:rPr>
                <w:sz w:val="5"/>
                <w:szCs w:val="5"/>
                <w:color w:val="auto"/>
              </w:rPr>
            </w:pPr>
          </w:p>
        </w:tc>
        <w:tc>
          <w:tcPr>
            <w:tcW w:w="3400" w:type="dxa"/>
            <w:vAlign w:val="bottom"/>
            <w:gridSpan w:val="2"/>
          </w:tcPr>
          <w:p>
            <w:pPr>
              <w:spacing w:after="0"/>
              <w:rPr>
                <w:sz w:val="5"/>
                <w:szCs w:val="5"/>
                <w:color w:val="auto"/>
              </w:rPr>
            </w:pPr>
          </w:p>
        </w:tc>
        <w:tc>
          <w:tcPr>
            <w:tcW w:w="34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920" w:type="dxa"/>
            <w:vAlign w:val="bottom"/>
          </w:tcPr>
          <w:p>
            <w:pPr>
              <w:spacing w:after="0"/>
              <w:rPr>
                <w:sz w:val="5"/>
                <w:szCs w:val="5"/>
                <w:color w:val="auto"/>
              </w:rPr>
            </w:pPr>
          </w:p>
        </w:tc>
      </w:tr>
      <w:tr>
        <w:trPr>
          <w:trHeight w:val="101"/>
        </w:trPr>
        <w:tc>
          <w:tcPr>
            <w:tcW w:w="220" w:type="dxa"/>
            <w:vAlign w:val="bottom"/>
            <w:shd w:val="clear" w:color="auto" w:fill="FB8A38"/>
          </w:tcPr>
          <w:p>
            <w:pPr>
              <w:spacing w:after="0"/>
              <w:rPr>
                <w:sz w:val="8"/>
                <w:szCs w:val="8"/>
                <w:color w:val="auto"/>
              </w:rPr>
            </w:pPr>
          </w:p>
        </w:tc>
        <w:tc>
          <w:tcPr>
            <w:tcW w:w="1340" w:type="dxa"/>
            <w:vAlign w:val="bottom"/>
            <w:shd w:val="clear" w:color="auto" w:fill="FB8A38"/>
          </w:tcPr>
          <w:p>
            <w:pPr>
              <w:spacing w:after="0"/>
              <w:rPr>
                <w:sz w:val="8"/>
                <w:szCs w:val="8"/>
                <w:color w:val="auto"/>
              </w:rPr>
            </w:pPr>
          </w:p>
        </w:tc>
        <w:tc>
          <w:tcPr>
            <w:tcW w:w="206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560" w:type="dxa"/>
            <w:vAlign w:val="bottom"/>
            <w:shd w:val="clear" w:color="auto" w:fill="FB8A38"/>
          </w:tcPr>
          <w:p>
            <w:pPr>
              <w:spacing w:after="0"/>
              <w:rPr>
                <w:sz w:val="8"/>
                <w:szCs w:val="8"/>
                <w:color w:val="auto"/>
              </w:rPr>
            </w:pPr>
          </w:p>
        </w:tc>
        <w:tc>
          <w:tcPr>
            <w:tcW w:w="1920" w:type="dxa"/>
            <w:vAlign w:val="bottom"/>
          </w:tcPr>
          <w:p>
            <w:pPr>
              <w:spacing w:after="0"/>
              <w:rPr>
                <w:sz w:val="8"/>
                <w:szCs w:val="8"/>
                <w:color w:val="auto"/>
              </w:rPr>
            </w:pPr>
          </w:p>
        </w:tc>
      </w:tr>
      <w:tr>
        <w:trPr>
          <w:trHeight w:val="575"/>
        </w:trPr>
        <w:tc>
          <w:tcPr>
            <w:tcW w:w="220" w:type="dxa"/>
            <w:vAlign w:val="bottom"/>
          </w:tcPr>
          <w:p>
            <w:pPr>
              <w:spacing w:after="0"/>
              <w:rPr>
                <w:sz w:val="24"/>
                <w:szCs w:val="24"/>
                <w:color w:val="auto"/>
              </w:rPr>
            </w:pPr>
          </w:p>
        </w:tc>
        <w:tc>
          <w:tcPr>
            <w:tcW w:w="3400" w:type="dxa"/>
            <w:vAlign w:val="bottom"/>
            <w:gridSpan w:val="2"/>
          </w:tcPr>
          <w:p>
            <w:pPr>
              <w:ind w:left="240"/>
              <w:spacing w:after="0"/>
              <w:rPr>
                <w:sz w:val="20"/>
                <w:szCs w:val="20"/>
                <w:color w:val="auto"/>
              </w:rPr>
            </w:pPr>
            <w:r>
              <w:rPr>
                <w:rFonts w:ascii="Arial" w:cs="Arial" w:eastAsia="Arial" w:hAnsi="Arial"/>
                <w:sz w:val="22"/>
                <w:szCs w:val="22"/>
                <w:b w:val="1"/>
                <w:bCs w:val="1"/>
                <w:color w:val="auto"/>
                <w:w w:val="98"/>
              </w:rPr>
              <w:t>RETURN TO SHAREHOLDERS</w:t>
            </w:r>
          </w:p>
        </w:tc>
        <w:tc>
          <w:tcPr>
            <w:tcW w:w="3420" w:type="dxa"/>
            <w:vAlign w:val="bottom"/>
          </w:tcPr>
          <w:p>
            <w:pPr>
              <w:ind w:left="360"/>
              <w:spacing w:after="0"/>
              <w:rPr>
                <w:sz w:val="20"/>
                <w:szCs w:val="20"/>
                <w:color w:val="auto"/>
              </w:rPr>
            </w:pPr>
            <w:r>
              <w:rPr>
                <w:rFonts w:ascii="Arial" w:cs="Arial" w:eastAsia="Arial" w:hAnsi="Arial"/>
                <w:sz w:val="22"/>
                <w:szCs w:val="22"/>
                <w:b w:val="1"/>
                <w:bCs w:val="1"/>
                <w:color w:val="auto"/>
              </w:rPr>
              <w:t>PERFORMANCE</w:t>
            </w:r>
          </w:p>
        </w:tc>
        <w:tc>
          <w:tcPr>
            <w:tcW w:w="3480" w:type="dxa"/>
            <w:vAlign w:val="bottom"/>
            <w:gridSpan w:val="2"/>
          </w:tcPr>
          <w:p>
            <w:pPr>
              <w:ind w:left="460"/>
              <w:spacing w:after="0"/>
              <w:rPr>
                <w:sz w:val="20"/>
                <w:szCs w:val="20"/>
                <w:color w:val="auto"/>
              </w:rPr>
            </w:pPr>
            <w:r>
              <w:rPr>
                <w:rFonts w:ascii="Arial" w:cs="Arial" w:eastAsia="Arial" w:hAnsi="Arial"/>
                <w:sz w:val="22"/>
                <w:szCs w:val="22"/>
                <w:b w:val="1"/>
                <w:bCs w:val="1"/>
                <w:color w:val="FFFFFF"/>
                <w:w w:val="99"/>
              </w:rPr>
              <w:t xml:space="preserve">GUIDANCE </w:t>
            </w:r>
            <w:r>
              <w:rPr>
                <w:rFonts w:ascii="Times New Roman" w:cs="Times New Roman" w:eastAsia="Times New Roman" w:hAnsi="Times New Roman"/>
                <w:sz w:val="18"/>
                <w:szCs w:val="18"/>
                <w:color w:val="FFFFFF"/>
                <w:w w:val="99"/>
              </w:rPr>
              <w:t>(As of January 27, 2024)</w:t>
            </w:r>
          </w:p>
        </w:tc>
      </w:tr>
      <w:tr>
        <w:trPr>
          <w:trHeight w:val="640"/>
        </w:trPr>
        <w:tc>
          <w:tcPr>
            <w:tcW w:w="220" w:type="dxa"/>
            <w:vAlign w:val="bottom"/>
          </w:tcPr>
          <w:p>
            <w:pPr>
              <w:spacing w:after="0"/>
              <w:rPr>
                <w:sz w:val="24"/>
                <w:szCs w:val="24"/>
                <w:color w:val="auto"/>
              </w:rPr>
            </w:pPr>
          </w:p>
        </w:tc>
        <w:tc>
          <w:tcPr>
            <w:tcW w:w="3400" w:type="dxa"/>
            <w:vAlign w:val="bottom"/>
            <w:gridSpan w:val="2"/>
          </w:tcPr>
          <w:p>
            <w:pPr>
              <w:ind w:left="240"/>
              <w:spacing w:after="0"/>
              <w:rPr>
                <w:sz w:val="20"/>
                <w:szCs w:val="20"/>
                <w:color w:val="auto"/>
              </w:rPr>
            </w:pPr>
            <w:r>
              <w:rPr>
                <w:rFonts w:ascii="Arial" w:cs="Arial" w:eastAsia="Arial" w:hAnsi="Arial"/>
                <w:sz w:val="44"/>
                <w:szCs w:val="44"/>
                <w:color w:val="auto"/>
              </w:rPr>
              <w:t xml:space="preserve">$112.2 </w:t>
            </w:r>
            <w:r>
              <w:rPr>
                <w:rFonts w:ascii="Arial" w:cs="Arial" w:eastAsia="Arial" w:hAnsi="Arial"/>
                <w:sz w:val="32"/>
                <w:szCs w:val="32"/>
                <w:color w:val="auto"/>
              </w:rPr>
              <w:t>M</w:t>
            </w:r>
          </w:p>
        </w:tc>
        <w:tc>
          <w:tcPr>
            <w:tcW w:w="3420" w:type="dxa"/>
            <w:vAlign w:val="bottom"/>
          </w:tcPr>
          <w:p>
            <w:pPr>
              <w:ind w:left="360"/>
              <w:spacing w:after="0"/>
              <w:rPr>
                <w:sz w:val="20"/>
                <w:szCs w:val="20"/>
                <w:color w:val="auto"/>
              </w:rPr>
            </w:pPr>
            <w:r>
              <w:rPr>
                <w:rFonts w:ascii="Arial" w:cs="Arial" w:eastAsia="Arial" w:hAnsi="Arial"/>
                <w:sz w:val="44"/>
                <w:szCs w:val="44"/>
                <w:color w:val="auto"/>
              </w:rPr>
              <w:t xml:space="preserve">$2.3 </w:t>
            </w:r>
            <w:r>
              <w:rPr>
                <w:rFonts w:ascii="Arial" w:cs="Arial" w:eastAsia="Arial" w:hAnsi="Arial"/>
                <w:sz w:val="32"/>
                <w:szCs w:val="32"/>
                <w:color w:val="auto"/>
              </w:rPr>
              <w:t>B</w:t>
            </w:r>
            <w:r>
              <w:rPr>
                <w:rFonts w:ascii="Arial" w:cs="Arial" w:eastAsia="Arial" w:hAnsi="Arial"/>
                <w:sz w:val="44"/>
                <w:szCs w:val="44"/>
                <w:color w:val="auto"/>
              </w:rPr>
              <w:t xml:space="preserve"> </w:t>
            </w:r>
            <w:r>
              <w:rPr>
                <w:rFonts w:ascii="Arial" w:cs="Arial" w:eastAsia="Arial" w:hAnsi="Arial"/>
                <w:sz w:val="18"/>
                <w:szCs w:val="18"/>
                <w:i w:val="1"/>
                <w:iCs w:val="1"/>
                <w:color w:val="auto"/>
              </w:rPr>
              <w:t>(+20%)</w:t>
            </w:r>
          </w:p>
        </w:tc>
        <w:tc>
          <w:tcPr>
            <w:tcW w:w="3480" w:type="dxa"/>
            <w:vAlign w:val="bottom"/>
            <w:gridSpan w:val="2"/>
          </w:tcPr>
          <w:p>
            <w:pPr>
              <w:ind w:left="460"/>
              <w:spacing w:after="0"/>
              <w:rPr>
                <w:sz w:val="20"/>
                <w:szCs w:val="20"/>
                <w:color w:val="auto"/>
              </w:rPr>
            </w:pPr>
            <w:r>
              <w:rPr>
                <w:rFonts w:ascii="Arial" w:cs="Arial" w:eastAsia="Arial" w:hAnsi="Arial"/>
                <w:sz w:val="44"/>
                <w:szCs w:val="44"/>
                <w:color w:val="FFFFFF"/>
              </w:rPr>
              <w:t xml:space="preserve">$2.45–$2.55 </w:t>
            </w:r>
            <w:r>
              <w:rPr>
                <w:rFonts w:ascii="Arial" w:cs="Arial" w:eastAsia="Arial" w:hAnsi="Arial"/>
                <w:sz w:val="32"/>
                <w:szCs w:val="32"/>
                <w:color w:val="FFFFFF"/>
              </w:rPr>
              <w:t>b</w:t>
            </w:r>
          </w:p>
        </w:tc>
      </w:tr>
      <w:tr>
        <w:trPr>
          <w:trHeight w:val="304"/>
        </w:trPr>
        <w:tc>
          <w:tcPr>
            <w:tcW w:w="220" w:type="dxa"/>
            <w:vAlign w:val="bottom"/>
          </w:tcPr>
          <w:p>
            <w:pPr>
              <w:spacing w:after="0"/>
              <w:rPr>
                <w:sz w:val="24"/>
                <w:szCs w:val="24"/>
                <w:color w:val="auto"/>
              </w:rPr>
            </w:pPr>
          </w:p>
        </w:tc>
        <w:tc>
          <w:tcPr>
            <w:tcW w:w="3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Dividends Paid</w:t>
            </w:r>
          </w:p>
        </w:tc>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3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FFFFFF"/>
              </w:rPr>
              <w:t>Revenue</w:t>
            </w:r>
          </w:p>
        </w:tc>
      </w:tr>
      <w:tr>
        <w:trPr>
          <w:trHeight w:val="550"/>
        </w:trPr>
        <w:tc>
          <w:tcPr>
            <w:tcW w:w="220" w:type="dxa"/>
            <w:vAlign w:val="bottom"/>
          </w:tcPr>
          <w:p>
            <w:pPr>
              <w:spacing w:after="0"/>
              <w:rPr>
                <w:sz w:val="24"/>
                <w:szCs w:val="24"/>
                <w:color w:val="auto"/>
              </w:rPr>
            </w:pPr>
          </w:p>
        </w:tc>
        <w:tc>
          <w:tcPr>
            <w:tcW w:w="3400" w:type="dxa"/>
            <w:vAlign w:val="bottom"/>
            <w:gridSpan w:val="2"/>
          </w:tcPr>
          <w:p>
            <w:pPr>
              <w:ind w:left="240"/>
              <w:spacing w:after="0"/>
              <w:rPr>
                <w:sz w:val="20"/>
                <w:szCs w:val="20"/>
                <w:color w:val="auto"/>
              </w:rPr>
            </w:pPr>
            <w:r>
              <w:rPr>
                <w:rFonts w:ascii="Arial" w:cs="Arial" w:eastAsia="Arial" w:hAnsi="Arial"/>
                <w:sz w:val="44"/>
                <w:szCs w:val="44"/>
                <w:color w:val="auto"/>
              </w:rPr>
              <w:t>$.48/</w:t>
            </w:r>
            <w:r>
              <w:rPr>
                <w:rFonts w:ascii="Arial" w:cs="Arial" w:eastAsia="Arial" w:hAnsi="Arial"/>
                <w:sz w:val="32"/>
                <w:szCs w:val="32"/>
                <w:color w:val="auto"/>
              </w:rPr>
              <w:t>share</w:t>
            </w:r>
          </w:p>
        </w:tc>
        <w:tc>
          <w:tcPr>
            <w:tcW w:w="3420" w:type="dxa"/>
            <w:vAlign w:val="bottom"/>
          </w:tcPr>
          <w:p>
            <w:pPr>
              <w:ind w:left="360"/>
              <w:spacing w:after="0"/>
              <w:rPr>
                <w:sz w:val="20"/>
                <w:szCs w:val="20"/>
                <w:color w:val="auto"/>
              </w:rPr>
            </w:pPr>
            <w:r>
              <w:rPr>
                <w:rFonts w:ascii="Arial" w:cs="Arial" w:eastAsia="Arial" w:hAnsi="Arial"/>
                <w:sz w:val="44"/>
                <w:szCs w:val="44"/>
                <w:color w:val="auto"/>
              </w:rPr>
              <w:t xml:space="preserve">33.2% </w:t>
            </w:r>
            <w:r>
              <w:rPr>
                <w:rFonts w:ascii="Arial" w:cs="Arial" w:eastAsia="Arial" w:hAnsi="Arial"/>
                <w:sz w:val="18"/>
                <w:szCs w:val="18"/>
                <w:i w:val="1"/>
                <w:iCs w:val="1"/>
                <w:color w:val="auto"/>
              </w:rPr>
              <w:t>(+1.4%)</w:t>
            </w:r>
          </w:p>
        </w:tc>
        <w:tc>
          <w:tcPr>
            <w:tcW w:w="3480" w:type="dxa"/>
            <w:vAlign w:val="bottom"/>
            <w:gridSpan w:val="2"/>
          </w:tcPr>
          <w:p>
            <w:pPr>
              <w:ind w:left="460"/>
              <w:spacing w:after="0"/>
              <w:rPr>
                <w:sz w:val="20"/>
                <w:szCs w:val="20"/>
                <w:color w:val="auto"/>
              </w:rPr>
            </w:pPr>
            <w:r>
              <w:rPr>
                <w:rFonts w:ascii="Arial" w:cs="Arial" w:eastAsia="Arial" w:hAnsi="Arial"/>
                <w:sz w:val="44"/>
                <w:szCs w:val="44"/>
                <w:color w:val="FFFFFF"/>
              </w:rPr>
              <w:t>34%–35%</w:t>
            </w:r>
          </w:p>
        </w:tc>
      </w:tr>
      <w:tr>
        <w:trPr>
          <w:trHeight w:val="306"/>
        </w:trPr>
        <w:tc>
          <w:tcPr>
            <w:tcW w:w="220" w:type="dxa"/>
            <w:vAlign w:val="bottom"/>
          </w:tcPr>
          <w:p>
            <w:pPr>
              <w:spacing w:after="0"/>
              <w:rPr>
                <w:sz w:val="24"/>
                <w:szCs w:val="24"/>
                <w:color w:val="auto"/>
              </w:rPr>
            </w:pPr>
          </w:p>
        </w:tc>
        <w:tc>
          <w:tcPr>
            <w:tcW w:w="3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Dividend</w:t>
            </w:r>
          </w:p>
        </w:tc>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3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FFFFFF"/>
              </w:rPr>
              <w:t>Gross Margin</w:t>
            </w:r>
          </w:p>
        </w:tc>
      </w:tr>
      <w:tr>
        <w:trPr>
          <w:trHeight w:val="542"/>
        </w:trPr>
        <w:tc>
          <w:tcPr>
            <w:tcW w:w="220" w:type="dxa"/>
            <w:vAlign w:val="bottom"/>
          </w:tcPr>
          <w:p>
            <w:pPr>
              <w:spacing w:after="0"/>
              <w:rPr>
                <w:sz w:val="24"/>
                <w:szCs w:val="24"/>
                <w:color w:val="auto"/>
              </w:rPr>
            </w:pPr>
          </w:p>
        </w:tc>
        <w:tc>
          <w:tcPr>
            <w:tcW w:w="3400" w:type="dxa"/>
            <w:vAlign w:val="bottom"/>
            <w:gridSpan w:val="2"/>
          </w:tcPr>
          <w:p>
            <w:pPr>
              <w:ind w:left="240"/>
              <w:spacing w:after="0"/>
              <w:rPr>
                <w:sz w:val="20"/>
                <w:szCs w:val="20"/>
                <w:color w:val="auto"/>
              </w:rPr>
            </w:pPr>
            <w:r>
              <w:rPr>
                <w:rFonts w:ascii="Arial" w:cs="Arial" w:eastAsia="Arial" w:hAnsi="Arial"/>
                <w:sz w:val="44"/>
                <w:szCs w:val="44"/>
                <w:color w:val="auto"/>
              </w:rPr>
              <w:t xml:space="preserve">$144.7 </w:t>
            </w:r>
            <w:r>
              <w:rPr>
                <w:rFonts w:ascii="Arial" w:cs="Arial" w:eastAsia="Arial" w:hAnsi="Arial"/>
                <w:sz w:val="32"/>
                <w:szCs w:val="32"/>
                <w:color w:val="auto"/>
              </w:rPr>
              <w:t>M</w:t>
            </w:r>
          </w:p>
        </w:tc>
        <w:tc>
          <w:tcPr>
            <w:tcW w:w="3420" w:type="dxa"/>
            <w:vAlign w:val="bottom"/>
          </w:tcPr>
          <w:p>
            <w:pPr>
              <w:ind w:left="360"/>
              <w:spacing w:after="0"/>
              <w:rPr>
                <w:sz w:val="20"/>
                <w:szCs w:val="20"/>
                <w:color w:val="auto"/>
              </w:rPr>
            </w:pPr>
            <w:r>
              <w:rPr>
                <w:rFonts w:ascii="Arial" w:cs="Arial" w:eastAsia="Arial" w:hAnsi="Arial"/>
                <w:sz w:val="44"/>
                <w:szCs w:val="44"/>
                <w:color w:val="auto"/>
              </w:rPr>
              <w:t xml:space="preserve">$266.9 </w:t>
            </w:r>
            <w:r>
              <w:rPr>
                <w:rFonts w:ascii="Arial" w:cs="Arial" w:eastAsia="Arial" w:hAnsi="Arial"/>
                <w:sz w:val="32"/>
                <w:szCs w:val="32"/>
                <w:color w:val="auto"/>
              </w:rPr>
              <w:t>m</w:t>
            </w:r>
          </w:p>
        </w:tc>
        <w:tc>
          <w:tcPr>
            <w:tcW w:w="3480" w:type="dxa"/>
            <w:vAlign w:val="bottom"/>
            <w:gridSpan w:val="2"/>
          </w:tcPr>
          <w:p>
            <w:pPr>
              <w:ind w:left="460"/>
              <w:spacing w:after="0"/>
              <w:rPr>
                <w:sz w:val="20"/>
                <w:szCs w:val="20"/>
                <w:color w:val="auto"/>
              </w:rPr>
            </w:pPr>
            <w:r>
              <w:rPr>
                <w:rFonts w:ascii="Arial" w:cs="Arial" w:eastAsia="Arial" w:hAnsi="Arial"/>
                <w:sz w:val="44"/>
                <w:szCs w:val="44"/>
                <w:color w:val="FFFFFF"/>
              </w:rPr>
              <w:t xml:space="preserve">$295–$305 </w:t>
            </w:r>
            <w:r>
              <w:rPr>
                <w:rFonts w:ascii="Arial" w:cs="Arial" w:eastAsia="Arial" w:hAnsi="Arial"/>
                <w:sz w:val="32"/>
                <w:szCs w:val="32"/>
                <w:color w:val="FFFFFF"/>
              </w:rPr>
              <w:t>m</w:t>
            </w:r>
          </w:p>
        </w:tc>
      </w:tr>
      <w:tr>
        <w:trPr>
          <w:trHeight w:val="312"/>
        </w:trPr>
        <w:tc>
          <w:tcPr>
            <w:tcW w:w="220" w:type="dxa"/>
            <w:vAlign w:val="bottom"/>
          </w:tcPr>
          <w:p>
            <w:pPr>
              <w:spacing w:after="0"/>
              <w:rPr>
                <w:sz w:val="24"/>
                <w:szCs w:val="24"/>
                <w:color w:val="auto"/>
              </w:rPr>
            </w:pPr>
          </w:p>
        </w:tc>
        <w:tc>
          <w:tcPr>
            <w:tcW w:w="3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 Repurchases</w:t>
            </w:r>
          </w:p>
        </w:tc>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4"/>
              </w:rPr>
              <w:t xml:space="preserve">Operating Expenses </w:t>
            </w:r>
            <w:r>
              <w:rPr>
                <w:rFonts w:ascii="Arial" w:cs="Arial" w:eastAsia="Arial" w:hAnsi="Arial"/>
                <w:sz w:val="18"/>
                <w:szCs w:val="18"/>
                <w:i w:val="1"/>
                <w:iCs w:val="1"/>
                <w:color w:val="auto"/>
                <w:w w:val="94"/>
              </w:rPr>
              <w:t>(E, R&amp;D and S, G&amp;A)</w:t>
            </w:r>
          </w:p>
        </w:tc>
        <w:tc>
          <w:tcPr>
            <w:tcW w:w="3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FFFFFF"/>
                <w:w w:val="93"/>
              </w:rPr>
              <w:t xml:space="preserve">Operating Expenses </w:t>
            </w:r>
            <w:r>
              <w:rPr>
                <w:rFonts w:ascii="Arial" w:cs="Arial" w:eastAsia="Arial" w:hAnsi="Arial"/>
                <w:sz w:val="18"/>
                <w:szCs w:val="18"/>
                <w:i w:val="1"/>
                <w:iCs w:val="1"/>
                <w:color w:val="FFFFFF"/>
                <w:w w:val="93"/>
              </w:rPr>
              <w:t>(E, R&amp;D and S, G&amp;A)</w:t>
            </w:r>
          </w:p>
        </w:tc>
      </w:tr>
      <w:tr>
        <w:trPr>
          <w:trHeight w:val="542"/>
        </w:trPr>
        <w:tc>
          <w:tcPr>
            <w:tcW w:w="220" w:type="dxa"/>
            <w:vAlign w:val="bottom"/>
          </w:tcPr>
          <w:p>
            <w:pPr>
              <w:spacing w:after="0"/>
              <w:rPr>
                <w:sz w:val="24"/>
                <w:szCs w:val="24"/>
                <w:color w:val="auto"/>
              </w:rPr>
            </w:pPr>
          </w:p>
        </w:tc>
        <w:tc>
          <w:tcPr>
            <w:tcW w:w="3400" w:type="dxa"/>
            <w:vAlign w:val="bottom"/>
            <w:gridSpan w:val="2"/>
          </w:tcPr>
          <w:p>
            <w:pPr>
              <w:ind w:left="240"/>
              <w:spacing w:after="0"/>
              <w:rPr>
                <w:sz w:val="20"/>
                <w:szCs w:val="20"/>
                <w:color w:val="auto"/>
              </w:rPr>
            </w:pPr>
            <w:r>
              <w:rPr>
                <w:rFonts w:ascii="Arial" w:cs="Arial" w:eastAsia="Arial" w:hAnsi="Arial"/>
                <w:sz w:val="44"/>
                <w:szCs w:val="44"/>
                <w:color w:val="auto"/>
              </w:rPr>
              <w:t xml:space="preserve">4.93 </w:t>
            </w:r>
            <w:r>
              <w:rPr>
                <w:rFonts w:ascii="Arial" w:cs="Arial" w:eastAsia="Arial" w:hAnsi="Arial"/>
                <w:sz w:val="32"/>
                <w:szCs w:val="32"/>
                <w:color w:val="auto"/>
              </w:rPr>
              <w:t>M</w:t>
            </w:r>
          </w:p>
        </w:tc>
        <w:tc>
          <w:tcPr>
            <w:tcW w:w="3420" w:type="dxa"/>
            <w:vAlign w:val="bottom"/>
          </w:tcPr>
          <w:p>
            <w:pPr>
              <w:ind w:left="360"/>
              <w:spacing w:after="0"/>
              <w:rPr>
                <w:sz w:val="20"/>
                <w:szCs w:val="20"/>
                <w:color w:val="auto"/>
              </w:rPr>
            </w:pPr>
            <w:r>
              <w:rPr>
                <w:rFonts w:ascii="Arial" w:cs="Arial" w:eastAsia="Arial" w:hAnsi="Arial"/>
                <w:sz w:val="44"/>
                <w:szCs w:val="44"/>
                <w:color w:val="auto"/>
              </w:rPr>
              <w:t>15.2%</w:t>
            </w:r>
          </w:p>
        </w:tc>
        <w:tc>
          <w:tcPr>
            <w:tcW w:w="3480" w:type="dxa"/>
            <w:vAlign w:val="bottom"/>
            <w:gridSpan w:val="2"/>
          </w:tcPr>
          <w:p>
            <w:pPr>
              <w:ind w:left="460"/>
              <w:spacing w:after="0"/>
              <w:rPr>
                <w:sz w:val="20"/>
                <w:szCs w:val="20"/>
                <w:color w:val="auto"/>
              </w:rPr>
            </w:pPr>
            <w:r>
              <w:rPr>
                <w:rFonts w:ascii="Arial" w:cs="Arial" w:eastAsia="Arial" w:hAnsi="Arial"/>
                <w:sz w:val="44"/>
                <w:szCs w:val="44"/>
                <w:color w:val="FFFFFF"/>
              </w:rPr>
              <w:t>16%–18%</w:t>
            </w:r>
          </w:p>
        </w:tc>
      </w:tr>
      <w:tr>
        <w:trPr>
          <w:trHeight w:val="312"/>
        </w:trPr>
        <w:tc>
          <w:tcPr>
            <w:tcW w:w="220" w:type="dxa"/>
            <w:vAlign w:val="bottom"/>
          </w:tcPr>
          <w:p>
            <w:pPr>
              <w:spacing w:after="0"/>
              <w:rPr>
                <w:sz w:val="24"/>
                <w:szCs w:val="24"/>
                <w:color w:val="auto"/>
              </w:rPr>
            </w:pPr>
          </w:p>
        </w:tc>
        <w:tc>
          <w:tcPr>
            <w:tcW w:w="3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Shares Repurchased</w:t>
            </w:r>
          </w:p>
        </w:tc>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Annual Tax Rate</w:t>
            </w:r>
          </w:p>
        </w:tc>
        <w:tc>
          <w:tcPr>
            <w:tcW w:w="3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FFFFFF"/>
              </w:rPr>
              <w:t>Estimated Annual Tax Rate</w:t>
            </w:r>
          </w:p>
        </w:tc>
      </w:tr>
      <w:tr>
        <w:trPr>
          <w:trHeight w:val="542"/>
        </w:trPr>
        <w:tc>
          <w:tcPr>
            <w:tcW w:w="220" w:type="dxa"/>
            <w:vAlign w:val="bottom"/>
          </w:tcPr>
          <w:p>
            <w:pPr>
              <w:spacing w:after="0"/>
              <w:rPr>
                <w:sz w:val="24"/>
                <w:szCs w:val="24"/>
                <w:color w:val="auto"/>
              </w:rPr>
            </w:pPr>
          </w:p>
        </w:tc>
        <w:tc>
          <w:tcPr>
            <w:tcW w:w="3400" w:type="dxa"/>
            <w:vAlign w:val="bottom"/>
            <w:gridSpan w:val="2"/>
          </w:tcPr>
          <w:p>
            <w:pPr>
              <w:ind w:left="240"/>
              <w:spacing w:after="0"/>
              <w:rPr>
                <w:sz w:val="20"/>
                <w:szCs w:val="20"/>
                <w:color w:val="auto"/>
              </w:rPr>
            </w:pPr>
            <w:r>
              <w:rPr>
                <w:rFonts w:ascii="Arial" w:cs="Arial" w:eastAsia="Arial" w:hAnsi="Arial"/>
                <w:sz w:val="44"/>
                <w:szCs w:val="44"/>
                <w:color w:val="auto"/>
              </w:rPr>
              <w:t xml:space="preserve">$256 </w:t>
            </w:r>
            <w:r>
              <w:rPr>
                <w:rFonts w:ascii="Arial" w:cs="Arial" w:eastAsia="Arial" w:hAnsi="Arial"/>
                <w:sz w:val="32"/>
                <w:szCs w:val="32"/>
                <w:color w:val="auto"/>
              </w:rPr>
              <w:t>M</w:t>
            </w:r>
          </w:p>
        </w:tc>
        <w:tc>
          <w:tcPr>
            <w:tcW w:w="3420" w:type="dxa"/>
            <w:vAlign w:val="bottom"/>
          </w:tcPr>
          <w:p>
            <w:pPr>
              <w:ind w:left="360"/>
              <w:spacing w:after="0"/>
              <w:rPr>
                <w:sz w:val="20"/>
                <w:szCs w:val="20"/>
                <w:color w:val="auto"/>
              </w:rPr>
            </w:pPr>
            <w:r>
              <w:rPr>
                <w:rFonts w:ascii="Arial" w:cs="Arial" w:eastAsia="Arial" w:hAnsi="Arial"/>
                <w:sz w:val="44"/>
                <w:szCs w:val="44"/>
                <w:color w:val="auto"/>
              </w:rPr>
              <w:t xml:space="preserve">$183.7 </w:t>
            </w:r>
            <w:r>
              <w:rPr>
                <w:rFonts w:ascii="Arial" w:cs="Arial" w:eastAsia="Arial" w:hAnsi="Arial"/>
                <w:sz w:val="32"/>
                <w:szCs w:val="32"/>
                <w:color w:val="auto"/>
              </w:rPr>
              <w:t>m</w:t>
            </w:r>
          </w:p>
        </w:tc>
        <w:tc>
          <w:tcPr>
            <w:tcW w:w="3480" w:type="dxa"/>
            <w:vAlign w:val="bottom"/>
            <w:gridSpan w:val="2"/>
          </w:tcPr>
          <w:p>
            <w:pPr>
              <w:ind w:left="460"/>
              <w:spacing w:after="0"/>
              <w:rPr>
                <w:sz w:val="20"/>
                <w:szCs w:val="20"/>
                <w:color w:val="auto"/>
              </w:rPr>
            </w:pPr>
            <w:r>
              <w:rPr>
                <w:rFonts w:ascii="Arial" w:cs="Arial" w:eastAsia="Arial" w:hAnsi="Arial"/>
                <w:sz w:val="44"/>
                <w:szCs w:val="44"/>
                <w:color w:val="FFFFFF"/>
              </w:rPr>
              <w:t xml:space="preserve">$225–$250 </w:t>
            </w:r>
            <w:r>
              <w:rPr>
                <w:rFonts w:ascii="Arial" w:cs="Arial" w:eastAsia="Arial" w:hAnsi="Arial"/>
                <w:sz w:val="32"/>
                <w:szCs w:val="32"/>
                <w:color w:val="FFFFFF"/>
              </w:rPr>
              <w:t>m</w:t>
            </w:r>
          </w:p>
        </w:tc>
      </w:tr>
      <w:tr>
        <w:trPr>
          <w:trHeight w:val="308"/>
        </w:trPr>
        <w:tc>
          <w:tcPr>
            <w:tcW w:w="220" w:type="dxa"/>
            <w:vAlign w:val="bottom"/>
          </w:tcPr>
          <w:p>
            <w:pPr>
              <w:spacing w:after="0"/>
              <w:rPr>
                <w:sz w:val="24"/>
                <w:szCs w:val="24"/>
                <w:color w:val="auto"/>
              </w:rPr>
            </w:pPr>
          </w:p>
        </w:tc>
        <w:tc>
          <w:tcPr>
            <w:tcW w:w="3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Returned to Shareholders</w:t>
            </w:r>
          </w:p>
        </w:tc>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FFFFFF"/>
              </w:rPr>
              <w:t>Capital Expenditures</w:t>
            </w:r>
          </w:p>
        </w:tc>
      </w:tr>
      <w:tr>
        <w:trPr>
          <w:trHeight w:val="552"/>
        </w:trPr>
        <w:tc>
          <w:tcPr>
            <w:tcW w:w="220" w:type="dxa"/>
            <w:vAlign w:val="bottom"/>
          </w:tcPr>
          <w:p>
            <w:pPr>
              <w:spacing w:after="0"/>
              <w:rPr>
                <w:sz w:val="24"/>
                <w:szCs w:val="24"/>
                <w:color w:val="auto"/>
              </w:rPr>
            </w:pPr>
          </w:p>
        </w:tc>
        <w:tc>
          <w:tcPr>
            <w:tcW w:w="3400" w:type="dxa"/>
            <w:vAlign w:val="bottom"/>
            <w:gridSpan w:val="2"/>
            <w:shd w:val="clear" w:color="auto" w:fill="FB8A38"/>
          </w:tcPr>
          <w:p>
            <w:pPr>
              <w:ind w:left="240"/>
              <w:spacing w:after="0"/>
              <w:rPr>
                <w:sz w:val="20"/>
                <w:szCs w:val="20"/>
                <w:color w:val="auto"/>
              </w:rPr>
            </w:pPr>
            <w:r>
              <w:rPr>
                <w:rFonts w:ascii="Arial" w:cs="Arial" w:eastAsia="Arial" w:hAnsi="Arial"/>
                <w:sz w:val="44"/>
                <w:szCs w:val="44"/>
                <w:color w:val="auto"/>
              </w:rPr>
              <w:t xml:space="preserve">$1.84 </w:t>
            </w:r>
            <w:r>
              <w:rPr>
                <w:rFonts w:ascii="Arial" w:cs="Arial" w:eastAsia="Arial" w:hAnsi="Arial"/>
                <w:sz w:val="18"/>
                <w:szCs w:val="18"/>
                <w:i w:val="1"/>
                <w:iCs w:val="1"/>
                <w:color w:val="auto"/>
              </w:rPr>
              <w:t>(+.48)</w:t>
            </w:r>
          </w:p>
        </w:tc>
        <w:tc>
          <w:tcPr>
            <w:tcW w:w="3420" w:type="dxa"/>
            <w:vAlign w:val="bottom"/>
          </w:tcPr>
          <w:p>
            <w:pPr>
              <w:ind w:left="360"/>
              <w:spacing w:after="0"/>
              <w:rPr>
                <w:sz w:val="20"/>
                <w:szCs w:val="20"/>
                <w:color w:val="auto"/>
              </w:rPr>
            </w:pPr>
            <w:r>
              <w:rPr>
                <w:rFonts w:ascii="Arial" w:cs="Arial" w:eastAsia="Arial" w:hAnsi="Arial"/>
                <w:sz w:val="44"/>
                <w:szCs w:val="44"/>
                <w:color w:val="auto"/>
              </w:rPr>
              <w:t xml:space="preserve">$93.6 </w:t>
            </w:r>
            <w:r>
              <w:rPr>
                <w:rFonts w:ascii="Arial" w:cs="Arial" w:eastAsia="Arial" w:hAnsi="Arial"/>
                <w:sz w:val="32"/>
                <w:szCs w:val="32"/>
                <w:color w:val="auto"/>
              </w:rPr>
              <w:t>m</w:t>
            </w:r>
          </w:p>
        </w:tc>
        <w:tc>
          <w:tcPr>
            <w:tcW w:w="3480" w:type="dxa"/>
            <w:vAlign w:val="bottom"/>
            <w:gridSpan w:val="2"/>
          </w:tcPr>
          <w:p>
            <w:pPr>
              <w:ind w:left="460"/>
              <w:spacing w:after="0"/>
              <w:rPr>
                <w:sz w:val="20"/>
                <w:szCs w:val="20"/>
                <w:color w:val="auto"/>
              </w:rPr>
            </w:pPr>
            <w:r>
              <w:rPr>
                <w:rFonts w:ascii="Arial" w:cs="Arial" w:eastAsia="Arial" w:hAnsi="Arial"/>
                <w:sz w:val="44"/>
                <w:szCs w:val="44"/>
                <w:color w:val="FFFFFF"/>
              </w:rPr>
              <w:t xml:space="preserve">$95–$105 </w:t>
            </w:r>
            <w:r>
              <w:rPr>
                <w:rFonts w:ascii="Arial" w:cs="Arial" w:eastAsia="Arial" w:hAnsi="Arial"/>
                <w:sz w:val="32"/>
                <w:szCs w:val="32"/>
                <w:color w:val="FFFFFF"/>
              </w:rPr>
              <w:t>m</w:t>
            </w:r>
          </w:p>
        </w:tc>
      </w:tr>
      <w:tr>
        <w:trPr>
          <w:trHeight w:val="306"/>
        </w:trPr>
        <w:tc>
          <w:tcPr>
            <w:tcW w:w="220" w:type="dxa"/>
            <w:vAlign w:val="bottom"/>
          </w:tcPr>
          <w:p>
            <w:pPr>
              <w:spacing w:after="0"/>
              <w:rPr>
                <w:sz w:val="24"/>
                <w:szCs w:val="24"/>
                <w:color w:val="auto"/>
              </w:rPr>
            </w:pPr>
          </w:p>
        </w:tc>
        <w:tc>
          <w:tcPr>
            <w:tcW w:w="3400" w:type="dxa"/>
            <w:vAlign w:val="bottom"/>
            <w:gridSpan w:val="2"/>
            <w:shd w:val="clear" w:color="auto" w:fill="FB8A38"/>
          </w:tcPr>
          <w:p>
            <w:pPr>
              <w:ind w:left="240"/>
              <w:spacing w:after="0"/>
              <w:rPr>
                <w:sz w:val="20"/>
                <w:szCs w:val="20"/>
                <w:color w:val="auto"/>
              </w:rPr>
            </w:pPr>
            <w:r>
              <w:rPr>
                <w:rFonts w:ascii="Times New Roman" w:cs="Times New Roman" w:eastAsia="Times New Roman" w:hAnsi="Times New Roman"/>
                <w:sz w:val="18"/>
                <w:szCs w:val="18"/>
                <w:color w:val="auto"/>
              </w:rPr>
              <w:t>Earnings per Share</w:t>
            </w:r>
          </w:p>
        </w:tc>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FFFFFF"/>
              </w:rPr>
              <w:t>Depreciation &amp; Amortization</w:t>
            </w:r>
          </w:p>
        </w:tc>
      </w:tr>
      <w:tr>
        <w:trPr>
          <w:trHeight w:val="76"/>
        </w:trPr>
        <w:tc>
          <w:tcPr>
            <w:tcW w:w="220" w:type="dxa"/>
            <w:vAlign w:val="bottom"/>
          </w:tcPr>
          <w:p>
            <w:pPr>
              <w:spacing w:after="0"/>
              <w:rPr>
                <w:sz w:val="6"/>
                <w:szCs w:val="6"/>
                <w:color w:val="auto"/>
              </w:rPr>
            </w:pPr>
          </w:p>
        </w:tc>
        <w:tc>
          <w:tcPr>
            <w:tcW w:w="1340" w:type="dxa"/>
            <w:vAlign w:val="bottom"/>
            <w:shd w:val="clear" w:color="auto" w:fill="FB8A38"/>
          </w:tcPr>
          <w:p>
            <w:pPr>
              <w:spacing w:after="0"/>
              <w:rPr>
                <w:sz w:val="6"/>
                <w:szCs w:val="6"/>
                <w:color w:val="auto"/>
              </w:rPr>
            </w:pPr>
          </w:p>
        </w:tc>
        <w:tc>
          <w:tcPr>
            <w:tcW w:w="2060" w:type="dxa"/>
            <w:vAlign w:val="bottom"/>
            <w:shd w:val="clear" w:color="auto" w:fill="FB8A38"/>
          </w:tcPr>
          <w:p>
            <w:pPr>
              <w:spacing w:after="0"/>
              <w:rPr>
                <w:sz w:val="6"/>
                <w:szCs w:val="6"/>
                <w:color w:val="auto"/>
              </w:rPr>
            </w:pPr>
          </w:p>
        </w:tc>
        <w:tc>
          <w:tcPr>
            <w:tcW w:w="34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920" w:type="dxa"/>
            <w:vAlign w:val="bottom"/>
          </w:tcPr>
          <w:p>
            <w:pPr>
              <w:spacing w:after="0"/>
              <w:rPr>
                <w:sz w:val="6"/>
                <w:szCs w:val="6"/>
                <w:color w:val="auto"/>
              </w:rPr>
            </w:pPr>
          </w:p>
        </w:tc>
      </w:tr>
    </w:tbl>
    <w:p>
      <w:pPr>
        <w:spacing w:after="0" w:line="200" w:lineRule="exact"/>
        <w:rPr>
          <w:sz w:val="20"/>
          <w:szCs w:val="20"/>
          <w:color w:val="auto"/>
        </w:rPr>
      </w:pPr>
    </w:p>
    <w:p>
      <w:pPr>
        <w:spacing w:after="0" w:line="297" w:lineRule="exact"/>
        <w:rPr>
          <w:sz w:val="20"/>
          <w:szCs w:val="20"/>
          <w:color w:val="auto"/>
        </w:rPr>
      </w:pPr>
    </w:p>
    <w:p>
      <w:pPr>
        <w:ind w:left="6180"/>
        <w:spacing w:after="0"/>
        <w:rPr>
          <w:sz w:val="20"/>
          <w:szCs w:val="20"/>
          <w:color w:val="auto"/>
        </w:rPr>
      </w:pPr>
      <w:r>
        <w:rPr>
          <w:rFonts w:ascii="Arial" w:cs="Arial" w:eastAsia="Arial" w:hAnsi="Arial"/>
          <w:sz w:val="124"/>
          <w:szCs w:val="124"/>
          <w:color w:val="FFFFFF"/>
          <w:vertAlign w:val="subscript"/>
        </w:rPr>
        <w:t>2025</w:t>
      </w:r>
      <w:r>
        <w:rPr>
          <w:rFonts w:ascii="Arial" w:cs="Arial" w:eastAsia="Arial" w:hAnsi="Arial"/>
          <w:sz w:val="41"/>
          <w:szCs w:val="41"/>
          <w:color w:val="FFFFFF"/>
        </w:rPr>
        <w:t xml:space="preserve"> $2.65–2.75 </w:t>
      </w:r>
      <w:r>
        <w:rPr>
          <w:rFonts w:ascii="Arial" w:cs="Arial" w:eastAsia="Arial" w:hAnsi="Arial"/>
          <w:sz w:val="31"/>
          <w:szCs w:val="31"/>
          <w:color w:val="FFFFFF"/>
        </w:rPr>
        <w:t>B</w:t>
      </w:r>
    </w:p>
    <w:p>
      <w:pPr>
        <w:ind w:left="7520"/>
        <w:spacing w:after="0" w:line="205" w:lineRule="auto"/>
        <w:rPr>
          <w:sz w:val="20"/>
          <w:szCs w:val="20"/>
          <w:color w:val="auto"/>
        </w:rPr>
      </w:pPr>
      <w:r>
        <w:rPr>
          <w:rFonts w:ascii="Arial" w:cs="Arial" w:eastAsia="Arial" w:hAnsi="Arial"/>
          <w:sz w:val="22"/>
          <w:szCs w:val="22"/>
          <w:b w:val="1"/>
          <w:bCs w:val="1"/>
          <w:color w:val="FFFFFF"/>
        </w:rPr>
        <w:t>REVENUE GUIDANCE</w:t>
      </w:r>
    </w:p>
    <w:p>
      <w:pPr>
        <w:sectPr>
          <w:pgSz w:w="12240" w:h="15840" w:orient="portrait"/>
          <w:cols w:equalWidth="0" w:num="1">
            <w:col w:w="10520"/>
          </w:cols>
          <w:pgMar w:left="500" w:top="454"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24"/>
          <w:szCs w:val="24"/>
          <w:b w:val="1"/>
          <w:bCs w:val="1"/>
          <w:color w:val="auto"/>
        </w:rPr>
        <w:t>8</w:t>
      </w:r>
      <w:r>
        <w:rPr>
          <w:rFonts w:ascii="Arial" w:cs="Arial" w:eastAsia="Arial" w:hAnsi="Arial"/>
          <w:sz w:val="24"/>
          <w:szCs w:val="24"/>
          <w:b w:val="1"/>
          <w:bCs w:val="1"/>
          <w:color w:val="FFFFFF"/>
        </w:rPr>
        <w:t>8</w:t>
      </w:r>
      <w:r>
        <w:rPr>
          <w:sz w:val="20"/>
          <w:szCs w:val="20"/>
          <w:color w:val="auto"/>
        </w:rPr>
        <w:tab/>
      </w:r>
      <w:r>
        <w:rPr>
          <w:rFonts w:ascii="Times New Roman" w:cs="Times New Roman" w:eastAsia="Times New Roman" w:hAnsi="Times New Roman"/>
          <w:sz w:val="6"/>
          <w:szCs w:val="6"/>
          <w:color w:val="auto"/>
        </w:rPr>
        <w:t>GENTEX</w:t>
      </w:r>
      <w:r>
        <w:rPr>
          <w:rFonts w:ascii="Times New Roman" w:cs="Times New Roman" w:eastAsia="Times New Roman" w:hAnsi="Times New Roman"/>
          <w:sz w:val="6"/>
          <w:szCs w:val="6"/>
          <w:color w:val="FFFFFF"/>
        </w:rPr>
        <w:t>GENTEX</w:t>
      </w:r>
      <w:r>
        <w:rPr>
          <w:rFonts w:ascii="Times New Roman" w:cs="Times New Roman" w:eastAsia="Times New Roman" w:hAnsi="Times New Roman"/>
          <w:sz w:val="6"/>
          <w:szCs w:val="6"/>
          <w:color w:val="auto"/>
        </w:rPr>
        <w:t xml:space="preserve"> CORPORATION</w:t>
      </w:r>
      <w:r>
        <w:rPr>
          <w:rFonts w:ascii="Times New Roman" w:cs="Times New Roman" w:eastAsia="Times New Roman" w:hAnsi="Times New Roman"/>
          <w:sz w:val="6"/>
          <w:szCs w:val="6"/>
          <w:color w:val="FFFFFF"/>
        </w:rPr>
        <w:t>CORPORATION</w:t>
      </w:r>
    </w:p>
    <w:p>
      <w:pPr>
        <w:sectPr>
          <w:pgSz w:w="12240" w:h="15840" w:orient="portrait"/>
          <w:cols w:equalWidth="0" w:num="1">
            <w:col w:w="10520"/>
          </w:cols>
          <w:pgMar w:left="500" w:top="454" w:right="1220" w:bottom="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FUTURE GUIDANCE</w:t>
      </w:r>
    </w:p>
    <w:p>
      <w:pPr>
        <w:spacing w:after="0" w:line="200" w:lineRule="exact"/>
        <w:rPr>
          <w:sz w:val="20"/>
          <w:szCs w:val="20"/>
          <w:color w:val="auto"/>
        </w:rPr>
      </w:pPr>
    </w:p>
    <w:p>
      <w:pPr>
        <w:spacing w:after="0" w:line="252" w:lineRule="exact"/>
        <w:rPr>
          <w:sz w:val="20"/>
          <w:szCs w:val="20"/>
          <w:color w:val="auto"/>
        </w:rPr>
      </w:pPr>
    </w:p>
    <w:p>
      <w:pPr>
        <w:spacing w:after="0" w:line="376" w:lineRule="auto"/>
        <w:rPr>
          <w:sz w:val="20"/>
          <w:szCs w:val="20"/>
          <w:color w:val="auto"/>
        </w:rPr>
      </w:pPr>
      <w:r>
        <w:rPr>
          <w:rFonts w:ascii="Times New Roman" w:cs="Times New Roman" w:eastAsia="Times New Roman" w:hAnsi="Times New Roman"/>
          <w:sz w:val="18"/>
          <w:szCs w:val="18"/>
          <w:color w:val="auto"/>
        </w:rPr>
        <w:t>Our 2024 and 2025 guidance is based on the S&amp;P Global Mobility mid-January 2024 forecast for light vehicle production in North America, Europe, Japan/Korea, and China and is detailed in the accompanying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LIGHT VEHICLE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-1471930</wp:posOffset>
            </wp:positionV>
            <wp:extent cx="7772400" cy="10057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S&amp;P Global Mobility light vehicle production forecast) —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Actual</w:t>
            </w: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Actual</w:t>
            </w: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Actual</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Forecast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Forecast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Variance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Variance</w:t>
            </w:r>
          </w:p>
        </w:tc>
        <w:tc>
          <w:tcPr>
            <w:tcW w:w="0" w:type="dxa"/>
            <w:vAlign w:val="bottom"/>
          </w:tcPr>
          <w:p>
            <w:pPr>
              <w:spacing w:after="0"/>
              <w:rPr>
                <w:sz w:val="1"/>
                <w:szCs w:val="1"/>
                <w:color w:val="auto"/>
              </w:rPr>
            </w:pPr>
          </w:p>
        </w:tc>
      </w:tr>
      <w:tr>
        <w:trPr>
          <w:trHeight w:val="302"/>
        </w:trPr>
        <w:tc>
          <w:tcPr>
            <w:tcW w:w="1460" w:type="dxa"/>
            <w:vAlign w:val="bottom"/>
            <w:vMerge w:val="continue"/>
          </w:tcPr>
          <w:p>
            <w:pPr>
              <w:spacing w:after="0"/>
              <w:rPr>
                <w:sz w:val="24"/>
                <w:szCs w:val="24"/>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‘24/‘23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‘25/‘24</w:t>
            </w:r>
          </w:p>
        </w:tc>
        <w:tc>
          <w:tcPr>
            <w:tcW w:w="0" w:type="dxa"/>
            <w:vAlign w:val="bottom"/>
          </w:tcPr>
          <w:p>
            <w:pPr>
              <w:spacing w:after="0"/>
              <w:rPr>
                <w:sz w:val="1"/>
                <w:szCs w:val="1"/>
                <w:color w:val="auto"/>
              </w:rPr>
            </w:pPr>
          </w:p>
        </w:tc>
      </w:tr>
      <w:tr>
        <w:trPr>
          <w:trHeight w:val="311"/>
        </w:trPr>
        <w:tc>
          <w:tcPr>
            <w:tcW w:w="14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820" w:type="dxa"/>
            <w:vAlign w:val="bottom"/>
            <w:tcBorders>
              <w:bottom w:val="single" w:sz="8" w:color="808080"/>
            </w:tcBorders>
          </w:tcPr>
          <w:p>
            <w:pPr>
              <w:jc w:val="right"/>
              <w:ind w:right="53"/>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Borders>
              <w:bottom w:val="single" w:sz="8" w:color="808080"/>
            </w:tcBorders>
          </w:tcPr>
          <w:p>
            <w:pPr>
              <w:jc w:val="right"/>
              <w:ind w:right="73"/>
              <w:spacing w:after="0"/>
              <w:rPr>
                <w:sz w:val="20"/>
                <w:szCs w:val="20"/>
                <w:color w:val="auto"/>
              </w:rPr>
            </w:pPr>
            <w:r>
              <w:rPr>
                <w:rFonts w:ascii="Times New Roman" w:cs="Times New Roman" w:eastAsia="Times New Roman" w:hAnsi="Times New Roman"/>
                <w:sz w:val="18"/>
                <w:szCs w:val="18"/>
                <w:color w:val="auto"/>
              </w:rPr>
              <w:t>14.3</w:t>
            </w:r>
          </w:p>
        </w:tc>
        <w:tc>
          <w:tcPr>
            <w:tcW w:w="62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8"/>
                <w:szCs w:val="18"/>
                <w:color w:val="auto"/>
              </w:rPr>
              <w:t>15.6</w:t>
            </w:r>
          </w:p>
        </w:tc>
        <w:tc>
          <w:tcPr>
            <w:tcW w:w="66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8"/>
                <w:szCs w:val="18"/>
                <w:color w:val="auto"/>
              </w:rPr>
              <w:t>15.8</w:t>
            </w:r>
          </w:p>
        </w:tc>
        <w:tc>
          <w:tcPr>
            <w:tcW w:w="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68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40"/>
        </w:trPr>
        <w:tc>
          <w:tcPr>
            <w:tcW w:w="14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Europe</w:t>
            </w:r>
          </w:p>
        </w:tc>
        <w:tc>
          <w:tcPr>
            <w:tcW w:w="820" w:type="dxa"/>
            <w:vAlign w:val="bottom"/>
            <w:tcBorders>
              <w:bottom w:val="single" w:sz="8" w:color="808080"/>
            </w:tcBorders>
          </w:tcPr>
          <w:p>
            <w:pPr>
              <w:jc w:val="right"/>
              <w:ind w:right="53"/>
              <w:spacing w:after="0"/>
              <w:rPr>
                <w:sz w:val="20"/>
                <w:szCs w:val="20"/>
                <w:color w:val="auto"/>
              </w:rPr>
            </w:pPr>
            <w:r>
              <w:rPr>
                <w:rFonts w:ascii="Times New Roman" w:cs="Times New Roman" w:eastAsia="Times New Roman" w:hAnsi="Times New Roman"/>
                <w:sz w:val="18"/>
                <w:szCs w:val="18"/>
                <w:color w:val="auto"/>
              </w:rPr>
              <w:t>15.9</w:t>
            </w:r>
          </w:p>
        </w:tc>
        <w:tc>
          <w:tcPr>
            <w:tcW w:w="680" w:type="dxa"/>
            <w:vAlign w:val="bottom"/>
            <w:tcBorders>
              <w:bottom w:val="single" w:sz="8" w:color="808080"/>
            </w:tcBorders>
          </w:tcPr>
          <w:p>
            <w:pPr>
              <w:jc w:val="right"/>
              <w:ind w:right="73"/>
              <w:spacing w:after="0"/>
              <w:rPr>
                <w:sz w:val="20"/>
                <w:szCs w:val="20"/>
                <w:color w:val="auto"/>
              </w:rPr>
            </w:pPr>
            <w:r>
              <w:rPr>
                <w:rFonts w:ascii="Times New Roman" w:cs="Times New Roman" w:eastAsia="Times New Roman" w:hAnsi="Times New Roman"/>
                <w:sz w:val="18"/>
                <w:szCs w:val="18"/>
                <w:color w:val="auto"/>
              </w:rPr>
              <w:t>15.7</w:t>
            </w:r>
          </w:p>
        </w:tc>
        <w:tc>
          <w:tcPr>
            <w:tcW w:w="62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8"/>
                <w:szCs w:val="18"/>
                <w:color w:val="auto"/>
              </w:rPr>
              <w:t>17.8</w:t>
            </w:r>
          </w:p>
        </w:tc>
        <w:tc>
          <w:tcPr>
            <w:tcW w:w="66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8"/>
                <w:szCs w:val="18"/>
                <w:color w:val="auto"/>
              </w:rPr>
              <w:t>17.4</w:t>
            </w:r>
          </w:p>
        </w:tc>
        <w:tc>
          <w:tcPr>
            <w:tcW w:w="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8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40"/>
        </w:trPr>
        <w:tc>
          <w:tcPr>
            <w:tcW w:w="14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Japan &amp; Korea</w:t>
            </w:r>
          </w:p>
        </w:tc>
        <w:tc>
          <w:tcPr>
            <w:tcW w:w="820" w:type="dxa"/>
            <w:vAlign w:val="bottom"/>
            <w:tcBorders>
              <w:bottom w:val="single" w:sz="8" w:color="808080"/>
            </w:tcBorders>
          </w:tcPr>
          <w:p>
            <w:pPr>
              <w:jc w:val="right"/>
              <w:ind w:right="53"/>
              <w:spacing w:after="0"/>
              <w:rPr>
                <w:sz w:val="20"/>
                <w:szCs w:val="20"/>
                <w:color w:val="auto"/>
              </w:rPr>
            </w:pPr>
            <w:r>
              <w:rPr>
                <w:rFonts w:ascii="Times New Roman" w:cs="Times New Roman" w:eastAsia="Times New Roman" w:hAnsi="Times New Roman"/>
                <w:sz w:val="18"/>
                <w:szCs w:val="18"/>
                <w:color w:val="auto"/>
              </w:rPr>
              <w:t>10.9</w:t>
            </w:r>
          </w:p>
        </w:tc>
        <w:tc>
          <w:tcPr>
            <w:tcW w:w="680" w:type="dxa"/>
            <w:vAlign w:val="bottom"/>
            <w:tcBorders>
              <w:bottom w:val="single" w:sz="8" w:color="808080"/>
            </w:tcBorders>
          </w:tcPr>
          <w:p>
            <w:pPr>
              <w:jc w:val="right"/>
              <w:ind w:right="73"/>
              <w:spacing w:after="0"/>
              <w:rPr>
                <w:sz w:val="20"/>
                <w:szCs w:val="20"/>
                <w:color w:val="auto"/>
              </w:rPr>
            </w:pPr>
            <w:r>
              <w:rPr>
                <w:rFonts w:ascii="Times New Roman" w:cs="Times New Roman" w:eastAsia="Times New Roman" w:hAnsi="Times New Roman"/>
                <w:sz w:val="18"/>
                <w:szCs w:val="18"/>
                <w:color w:val="auto"/>
              </w:rPr>
              <w:t>11.1</w:t>
            </w:r>
          </w:p>
        </w:tc>
        <w:tc>
          <w:tcPr>
            <w:tcW w:w="62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8"/>
                <w:szCs w:val="18"/>
                <w:color w:val="auto"/>
              </w:rPr>
              <w:t>12.7</w:t>
            </w:r>
          </w:p>
        </w:tc>
        <w:tc>
          <w:tcPr>
            <w:tcW w:w="66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8"/>
                <w:szCs w:val="18"/>
                <w:color w:val="auto"/>
              </w:rPr>
              <w:t>12.2</w:t>
            </w:r>
          </w:p>
        </w:tc>
        <w:tc>
          <w:tcPr>
            <w:tcW w:w="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80" w:type="dxa"/>
            <w:vAlign w:val="bottom"/>
            <w:tcBorders>
              <w:bottom w:val="single" w:sz="8" w:color="808080"/>
            </w:tcBorders>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55"/>
        </w:trPr>
        <w:tc>
          <w:tcPr>
            <w:tcW w:w="14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820" w:type="dxa"/>
            <w:vAlign w:val="bottom"/>
            <w:tcBorders>
              <w:bottom w:val="single" w:sz="8" w:color="4CA5CD"/>
            </w:tcBorders>
          </w:tcPr>
          <w:p>
            <w:pPr>
              <w:jc w:val="right"/>
              <w:ind w:right="53"/>
              <w:spacing w:after="0"/>
              <w:rPr>
                <w:sz w:val="20"/>
                <w:szCs w:val="20"/>
                <w:color w:val="auto"/>
              </w:rPr>
            </w:pPr>
            <w:r>
              <w:rPr>
                <w:rFonts w:ascii="Times New Roman" w:cs="Times New Roman" w:eastAsia="Times New Roman" w:hAnsi="Times New Roman"/>
                <w:sz w:val="18"/>
                <w:szCs w:val="18"/>
                <w:color w:val="auto"/>
              </w:rPr>
              <w:t>24.8</w:t>
            </w:r>
          </w:p>
        </w:tc>
        <w:tc>
          <w:tcPr>
            <w:tcW w:w="680" w:type="dxa"/>
            <w:vAlign w:val="bottom"/>
            <w:tcBorders>
              <w:bottom w:val="single" w:sz="8" w:color="4CA5CD"/>
            </w:tcBorders>
          </w:tcPr>
          <w:p>
            <w:pPr>
              <w:jc w:val="right"/>
              <w:ind w:right="53"/>
              <w:spacing w:after="0"/>
              <w:rPr>
                <w:sz w:val="20"/>
                <w:szCs w:val="20"/>
                <w:color w:val="auto"/>
              </w:rPr>
            </w:pPr>
            <w:r>
              <w:rPr>
                <w:rFonts w:ascii="Times New Roman" w:cs="Times New Roman" w:eastAsia="Times New Roman" w:hAnsi="Times New Roman"/>
                <w:sz w:val="18"/>
                <w:szCs w:val="18"/>
                <w:color w:val="auto"/>
              </w:rPr>
              <w:t>26.3</w:t>
            </w:r>
          </w:p>
        </w:tc>
        <w:tc>
          <w:tcPr>
            <w:tcW w:w="620" w:type="dxa"/>
            <w:vAlign w:val="bottom"/>
            <w:tcBorders>
              <w:bottom w:val="single" w:sz="8" w:color="4CA5CD"/>
            </w:tcBorders>
          </w:tcPr>
          <w:p>
            <w:pPr>
              <w:jc w:val="right"/>
              <w:ind w:right="13"/>
              <w:spacing w:after="0"/>
              <w:rPr>
                <w:sz w:val="20"/>
                <w:szCs w:val="20"/>
                <w:color w:val="auto"/>
              </w:rPr>
            </w:pPr>
            <w:r>
              <w:rPr>
                <w:rFonts w:ascii="Times New Roman" w:cs="Times New Roman" w:eastAsia="Times New Roman" w:hAnsi="Times New Roman"/>
                <w:sz w:val="18"/>
                <w:szCs w:val="18"/>
                <w:color w:val="auto"/>
              </w:rPr>
              <w:t>28.9</w:t>
            </w:r>
          </w:p>
        </w:tc>
        <w:tc>
          <w:tcPr>
            <w:tcW w:w="660" w:type="dxa"/>
            <w:vAlign w:val="bottom"/>
            <w:tcBorders>
              <w:bottom w:val="single" w:sz="8" w:color="4CA5CD"/>
            </w:tcBorders>
          </w:tcPr>
          <w:p>
            <w:pPr>
              <w:jc w:val="right"/>
              <w:ind w:right="13"/>
              <w:spacing w:after="0"/>
              <w:rPr>
                <w:sz w:val="20"/>
                <w:szCs w:val="20"/>
                <w:color w:val="auto"/>
              </w:rPr>
            </w:pPr>
            <w:r>
              <w:rPr>
                <w:rFonts w:ascii="Times New Roman" w:cs="Times New Roman" w:eastAsia="Times New Roman" w:hAnsi="Times New Roman"/>
                <w:sz w:val="18"/>
                <w:szCs w:val="18"/>
                <w:color w:val="auto"/>
              </w:rPr>
              <w:t>28.9</w:t>
            </w:r>
          </w:p>
        </w:tc>
        <w:tc>
          <w:tcPr>
            <w:tcW w:w="6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680" w:type="dxa"/>
            <w:vAlign w:val="bottom"/>
            <w:tcBorders>
              <w:bottom w:val="single" w:sz="8" w:color="4CA5CD"/>
            </w:tcBorders>
          </w:tcPr>
          <w:p>
            <w:pPr>
              <w:jc w:val="right"/>
              <w:ind w:right="13"/>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4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Total Light</w:t>
            </w:r>
          </w:p>
        </w:tc>
        <w:tc>
          <w:tcPr>
            <w:tcW w:w="82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64.6</w:t>
            </w:r>
          </w:p>
        </w:tc>
        <w:tc>
          <w:tcPr>
            <w:tcW w:w="68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67.4</w:t>
            </w:r>
          </w:p>
        </w:tc>
        <w:tc>
          <w:tcPr>
            <w:tcW w:w="6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75.0</w:t>
            </w:r>
          </w:p>
        </w:tc>
        <w:tc>
          <w:tcPr>
            <w:tcW w:w="66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74.3</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68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0"/>
        </w:trPr>
        <w:tc>
          <w:tcPr>
            <w:tcW w:w="1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Vehicle Production</w:t>
            </w:r>
          </w:p>
        </w:tc>
        <w:tc>
          <w:tcPr>
            <w:tcW w:w="8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2">
            <w:col w:w="3540" w:space="660"/>
            <w:col w:w="6600"/>
          </w:cols>
          <w:pgMar w:left="940" w:top="1440"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31" w:type="dxa"/>
        <w:tblCellMar>
          <w:top w:w="0" w:type="dxa"/>
          <w:left w:w="0" w:type="dxa"/>
          <w:bottom w:w="0" w:type="dxa"/>
          <w:right w:w="0" w:type="dxa"/>
        </w:tblCellMar>
      </w:tblPr>
      <w:tr>
        <w:trPr>
          <w:trHeight w:val="1400"/>
        </w:trPr>
        <w:tc>
          <w:tcPr>
            <w:tcW w:w="218" w:type="dxa"/>
            <w:vAlign w:val="bottom"/>
            <w:textDirection w:val="btLr"/>
          </w:tcPr>
          <w:p>
            <w:pPr>
              <w:spacing w:after="0"/>
              <w:rPr>
                <w:sz w:val="20"/>
                <w:szCs w:val="20"/>
                <w:color w:val="auto"/>
              </w:rPr>
            </w:pPr>
            <w:r>
              <w:rPr>
                <w:rFonts w:ascii="Arial" w:cs="Arial" w:eastAsia="Arial" w:hAnsi="Arial"/>
                <w:sz w:val="19"/>
                <w:szCs w:val="19"/>
                <w:b w:val="1"/>
                <w:bCs w:val="1"/>
                <w:color w:val="FFFFFF"/>
              </w:rPr>
              <w:t>MILLIONS USD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$800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$700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$600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$500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$400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$300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$200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$100</w:t>
      </w:r>
    </w:p>
    <w:p>
      <w:pPr>
        <w:spacing w:after="0" w:line="200" w:lineRule="exact"/>
        <w:rPr>
          <w:sz w:val="20"/>
          <w:szCs w:val="20"/>
          <w:color w:val="auto"/>
        </w:rPr>
      </w:pPr>
    </w:p>
    <w:p>
      <w:pPr>
        <w:spacing w:after="0" w:line="2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FFFFFF"/>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000"/>
        <w:spacing w:after="0"/>
        <w:rPr>
          <w:sz w:val="20"/>
          <w:szCs w:val="20"/>
          <w:color w:val="auto"/>
        </w:rPr>
      </w:pPr>
      <w:r>
        <w:rPr>
          <w:rFonts w:ascii="Arial" w:cs="Arial" w:eastAsia="Arial" w:hAnsi="Arial"/>
          <w:sz w:val="22"/>
          <w:szCs w:val="22"/>
          <w:color w:val="FFFFFF"/>
        </w:rPr>
        <w:t>Gentex has returned more than 3 billion dollars to shareholders</w:t>
      </w:r>
    </w:p>
    <w:p>
      <w:pPr>
        <w:spacing w:after="0" w:line="57" w:lineRule="exact"/>
        <w:rPr>
          <w:sz w:val="20"/>
          <w:szCs w:val="20"/>
          <w:color w:val="auto"/>
        </w:rPr>
      </w:pPr>
    </w:p>
    <w:p>
      <w:pPr>
        <w:ind w:left="3000" w:right="840" w:hanging="2522"/>
        <w:spacing w:after="0" w:line="352" w:lineRule="auto"/>
        <w:tabs>
          <w:tab w:leader="none" w:pos="2980" w:val="left"/>
        </w:tabs>
        <w:rPr>
          <w:sz w:val="20"/>
          <w:szCs w:val="20"/>
          <w:color w:val="auto"/>
        </w:rPr>
      </w:pPr>
      <w:r>
        <w:rPr>
          <w:rFonts w:ascii="Arial" w:cs="Arial" w:eastAsia="Arial" w:hAnsi="Arial"/>
          <w:sz w:val="44"/>
          <w:szCs w:val="44"/>
          <w:color w:val="FB8A38"/>
        </w:rPr>
        <w:t>Since 2014</w:t>
      </w:r>
      <w:r>
        <w:rPr>
          <w:sz w:val="20"/>
          <w:szCs w:val="20"/>
          <w:color w:val="auto"/>
        </w:rPr>
        <w:tab/>
      </w:r>
      <w:r>
        <w:rPr>
          <w:rFonts w:ascii="Arial" w:cs="Arial" w:eastAsia="Arial" w:hAnsi="Arial"/>
          <w:sz w:val="24"/>
          <w:szCs w:val="24"/>
          <w:color w:val="FFFFFF"/>
        </w:rPr>
        <w:t>through our dividend and share repurchase plans. We have repurchased more than 100 million shares.</w:t>
      </w:r>
    </w:p>
    <w:p>
      <w:pPr>
        <w:spacing w:after="0" w:line="393" w:lineRule="exact"/>
        <w:rPr>
          <w:sz w:val="20"/>
          <w:szCs w:val="20"/>
          <w:color w:val="auto"/>
        </w:rPr>
      </w:pPr>
    </w:p>
    <w:p>
      <w:pPr>
        <w:ind w:left="3000"/>
        <w:spacing w:after="0"/>
        <w:rPr>
          <w:sz w:val="20"/>
          <w:szCs w:val="20"/>
          <w:color w:val="auto"/>
        </w:rPr>
      </w:pPr>
      <w:r>
        <w:rPr>
          <w:rFonts w:ascii="Arial" w:cs="Arial" w:eastAsia="Arial" w:hAnsi="Arial"/>
          <w:sz w:val="34"/>
          <w:szCs w:val="34"/>
          <w:color w:val="FFFFFF"/>
        </w:rPr>
        <w:t>Return of Capital</w:t>
      </w:r>
    </w:p>
    <w:p>
      <w:pPr>
        <w:spacing w:after="0" w:line="200" w:lineRule="exact"/>
        <w:rPr>
          <w:sz w:val="20"/>
          <w:szCs w:val="20"/>
          <w:color w:val="auto"/>
        </w:rPr>
      </w:pPr>
    </w:p>
    <w:p>
      <w:pPr>
        <w:spacing w:after="0" w:line="26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FFFFFF"/>
        </w:rPr>
        <w:t xml:space="preserve">$708.2 </w:t>
      </w:r>
      <w:r>
        <w:rPr>
          <w:rFonts w:ascii="Times New Roman" w:cs="Times New Roman" w:eastAsia="Times New Roman" w:hAnsi="Times New Roman"/>
          <w:sz w:val="12"/>
          <w:szCs w:val="12"/>
          <w:b w:val="1"/>
          <w:bCs w:val="1"/>
          <w:color w:val="FFFFFF"/>
        </w:rPr>
        <w:t>M</w:t>
      </w: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404040"/>
        </w:rPr>
        <w:t>$116.6</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98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11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FFFFFF"/>
              </w:rPr>
              <w:t xml:space="preserve">$447.8 </w:t>
            </w:r>
            <w:r>
              <w:rPr>
                <w:rFonts w:ascii="Times New Roman" w:cs="Times New Roman" w:eastAsia="Times New Roman" w:hAnsi="Times New Roman"/>
                <w:sz w:val="12"/>
                <w:szCs w:val="12"/>
                <w:b w:val="1"/>
                <w:bCs w:val="1"/>
                <w:color w:val="FFFFFF"/>
              </w:rPr>
              <w:t>M</w:t>
            </w:r>
          </w:p>
        </w:tc>
        <w:tc>
          <w:tcPr>
            <w:tcW w:w="9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FFFF"/>
              </w:rPr>
              <w:t xml:space="preserve">$405.7 </w:t>
            </w:r>
            <w:r>
              <w:rPr>
                <w:rFonts w:ascii="Times New Roman" w:cs="Times New Roman" w:eastAsia="Times New Roman" w:hAnsi="Times New Roman"/>
                <w:sz w:val="12"/>
                <w:szCs w:val="12"/>
                <w:b w:val="1"/>
                <w:bCs w:val="1"/>
                <w:color w:val="FFFFFF"/>
              </w:rPr>
              <w:t>M</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FFFFFF"/>
              </w:rPr>
              <w:t xml:space="preserve">$439.9 </w:t>
            </w:r>
            <w:r>
              <w:rPr>
                <w:rFonts w:ascii="Times New Roman" w:cs="Times New Roman" w:eastAsia="Times New Roman" w:hAnsi="Times New Roman"/>
                <w:sz w:val="12"/>
                <w:szCs w:val="12"/>
                <w:b w:val="1"/>
                <w:bCs w:val="1"/>
                <w:color w:val="FFFFFF"/>
              </w:rPr>
              <w:t>M</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shd w:val="clear" w:color="auto" w:fill="E6E6E6"/>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vMerge w:val="restart"/>
            <w:shd w:val="clear" w:color="auto" w:fill="FB8A38"/>
          </w:tcPr>
          <w:p>
            <w:pPr>
              <w:jc w:val="center"/>
              <w:spacing w:after="0"/>
              <w:rPr>
                <w:sz w:val="20"/>
                <w:szCs w:val="20"/>
                <w:color w:val="auto"/>
              </w:rPr>
            </w:pPr>
            <w:r>
              <w:rPr>
                <w:rFonts w:ascii="Times New Roman" w:cs="Times New Roman" w:eastAsia="Times New Roman" w:hAnsi="Times New Roman"/>
                <w:sz w:val="18"/>
                <w:szCs w:val="18"/>
                <w:b w:val="1"/>
                <w:bCs w:val="1"/>
                <w:color w:val="404040"/>
              </w:rPr>
              <w:t>$116.3</w:t>
            </w:r>
          </w:p>
        </w:tc>
        <w:tc>
          <w:tcPr>
            <w:tcW w:w="18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FFFFFF"/>
              </w:rPr>
              <w:t xml:space="preserve">$340.2 </w:t>
            </w:r>
            <w:r>
              <w:rPr>
                <w:rFonts w:ascii="Times New Roman" w:cs="Times New Roman" w:eastAsia="Times New Roman" w:hAnsi="Times New Roman"/>
                <w:sz w:val="12"/>
                <w:szCs w:val="12"/>
                <w:b w:val="1"/>
                <w:bCs w:val="1"/>
                <w:color w:val="FFFFFF"/>
              </w:rPr>
              <w:t>M</w:t>
            </w:r>
          </w:p>
        </w:tc>
        <w:tc>
          <w:tcPr>
            <w:tcW w:w="620" w:type="dxa"/>
            <w:vAlign w:val="bottom"/>
            <w:shd w:val="clear" w:color="auto" w:fill="E6E6E6"/>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vMerge w:val="continue"/>
            <w:shd w:val="clear" w:color="auto" w:fill="FB8A38"/>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shd w:val="clear" w:color="auto" w:fill="FB8A38"/>
          </w:tcPr>
          <w:p>
            <w:pPr>
              <w:jc w:val="center"/>
              <w:spacing w:after="0"/>
              <w:rPr>
                <w:sz w:val="20"/>
                <w:szCs w:val="20"/>
                <w:color w:val="auto"/>
              </w:rPr>
            </w:pPr>
            <w:r>
              <w:rPr>
                <w:rFonts w:ascii="Times New Roman" w:cs="Times New Roman" w:eastAsia="Times New Roman" w:hAnsi="Times New Roman"/>
                <w:sz w:val="18"/>
                <w:szCs w:val="18"/>
                <w:b w:val="1"/>
                <w:bCs w:val="1"/>
                <w:color w:val="404040"/>
              </w:rPr>
              <w:t>$115.3</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620" w:type="dxa"/>
            <w:vAlign w:val="bottom"/>
            <w:shd w:val="clear" w:color="auto" w:fill="E6E6E6"/>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vMerge w:val="continue"/>
            <w:shd w:val="clear" w:color="auto" w:fill="FB8A38"/>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vMerge w:val="continue"/>
            <w:shd w:val="clear" w:color="auto" w:fill="FB8A38"/>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vMerge w:val="continue"/>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vMerge w:val="continue"/>
            <w:shd w:val="clear" w:color="auto" w:fill="FB8A38"/>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vMerge w:val="restart"/>
            <w:shd w:val="clear" w:color="auto" w:fill="FB8A38"/>
          </w:tcPr>
          <w:p>
            <w:pPr>
              <w:jc w:val="center"/>
              <w:spacing w:after="0"/>
              <w:rPr>
                <w:sz w:val="20"/>
                <w:szCs w:val="20"/>
                <w:color w:val="auto"/>
              </w:rPr>
            </w:pPr>
            <w:r>
              <w:rPr>
                <w:rFonts w:ascii="Times New Roman" w:cs="Times New Roman" w:eastAsia="Times New Roman" w:hAnsi="Times New Roman"/>
                <w:sz w:val="18"/>
                <w:szCs w:val="18"/>
                <w:b w:val="1"/>
                <w:bCs w:val="1"/>
                <w:color w:val="404040"/>
              </w:rPr>
              <w:t>$117.2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vMerge w:val="continue"/>
            <w:shd w:val="clear" w:color="auto" w:fill="FB8A38"/>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FFFFFF"/>
                <w:w w:val="97"/>
              </w:rPr>
              <w:t xml:space="preserve">$264.5 </w:t>
            </w:r>
            <w:r>
              <w:rPr>
                <w:rFonts w:ascii="Times New Roman" w:cs="Times New Roman" w:eastAsia="Times New Roman" w:hAnsi="Times New Roman"/>
                <w:sz w:val="12"/>
                <w:szCs w:val="12"/>
                <w:b w:val="1"/>
                <w:bCs w:val="1"/>
                <w:color w:val="FFFFFF"/>
                <w:w w:val="97"/>
              </w:rPr>
              <w:t>M</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404040"/>
              </w:rPr>
              <w:t>$591.6</w:t>
            </w:r>
          </w:p>
        </w:tc>
        <w:tc>
          <w:tcPr>
            <w:tcW w:w="340" w:type="dxa"/>
            <w:vAlign w:val="bottom"/>
          </w:tcPr>
          <w:p>
            <w:pPr>
              <w:spacing w:after="0"/>
              <w:rPr>
                <w:sz w:val="4"/>
                <w:szCs w:val="4"/>
                <w:color w:val="auto"/>
              </w:rPr>
            </w:pPr>
          </w:p>
        </w:tc>
        <w:tc>
          <w:tcPr>
            <w:tcW w:w="620" w:type="dxa"/>
            <w:vAlign w:val="bottom"/>
            <w:shd w:val="clear" w:color="auto" w:fill="FB8A38"/>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vMerge w:val="restart"/>
          </w:tcPr>
          <w:p>
            <w:pPr>
              <w:spacing w:after="0"/>
              <w:rPr>
                <w:sz w:val="4"/>
                <w:szCs w:val="4"/>
                <w:color w:val="auto"/>
              </w:rPr>
            </w:pPr>
          </w:p>
        </w:tc>
        <w:tc>
          <w:tcPr>
            <w:tcW w:w="620" w:type="dxa"/>
            <w:vAlign w:val="bottom"/>
            <w:vMerge w:val="continue"/>
            <w:shd w:val="clear" w:color="auto" w:fill="FB8A38"/>
          </w:tcPr>
          <w:p>
            <w:pPr>
              <w:spacing w:after="0"/>
              <w:rPr>
                <w:sz w:val="4"/>
                <w:szCs w:val="4"/>
                <w:color w:val="auto"/>
              </w:rPr>
            </w:pPr>
          </w:p>
        </w:tc>
        <w:tc>
          <w:tcPr>
            <w:tcW w:w="16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shd w:val="clear" w:color="auto" w:fill="FB8A38"/>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9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FFFFFF"/>
                <w:w w:val="97"/>
              </w:rPr>
              <w:t xml:space="preserve">$256.9 </w:t>
            </w:r>
            <w:r>
              <w:rPr>
                <w:rFonts w:ascii="Times New Roman" w:cs="Times New Roman" w:eastAsia="Times New Roman" w:hAnsi="Times New Roman"/>
                <w:sz w:val="12"/>
                <w:szCs w:val="12"/>
                <w:b w:val="1"/>
                <w:bCs w:val="1"/>
                <w:color w:val="FFFFFF"/>
                <w:w w:val="97"/>
              </w:rPr>
              <w:t>M</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FFFFFF"/>
              </w:rPr>
              <w:t xml:space="preserve">$208.2 </w:t>
            </w:r>
            <w:r>
              <w:rPr>
                <w:rFonts w:ascii="Times New Roman" w:cs="Times New Roman" w:eastAsia="Times New Roman" w:hAnsi="Times New Roman"/>
                <w:sz w:val="12"/>
                <w:szCs w:val="12"/>
                <w:b w:val="1"/>
                <w:bCs w:val="1"/>
                <w:color w:val="FFFFFF"/>
              </w:rPr>
              <w:t>M</w:t>
            </w:r>
          </w:p>
        </w:tc>
        <w:tc>
          <w:tcPr>
            <w:tcW w:w="82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restart"/>
            <w:shd w:val="clear" w:color="auto" w:fill="FB8A38"/>
          </w:tcPr>
          <w:p>
            <w:pPr>
              <w:jc w:val="center"/>
              <w:spacing w:after="0"/>
              <w:rPr>
                <w:sz w:val="20"/>
                <w:szCs w:val="20"/>
                <w:color w:val="auto"/>
              </w:rPr>
            </w:pPr>
            <w:r>
              <w:rPr>
                <w:rFonts w:ascii="Times New Roman" w:cs="Times New Roman" w:eastAsia="Times New Roman" w:hAnsi="Times New Roman"/>
                <w:sz w:val="18"/>
                <w:szCs w:val="18"/>
                <w:b w:val="1"/>
                <w:bCs w:val="1"/>
                <w:color w:val="404040"/>
              </w:rPr>
              <w:t>$108.8</w:t>
            </w:r>
          </w:p>
        </w:tc>
        <w:tc>
          <w:tcPr>
            <w:tcW w:w="320" w:type="dxa"/>
            <w:vAlign w:val="bottom"/>
          </w:tcPr>
          <w:p>
            <w:pPr>
              <w:spacing w:after="0"/>
              <w:rPr>
                <w:sz w:val="8"/>
                <w:szCs w:val="8"/>
                <w:color w:val="auto"/>
              </w:rPr>
            </w:pPr>
          </w:p>
        </w:tc>
        <w:tc>
          <w:tcPr>
            <w:tcW w:w="620" w:type="dxa"/>
            <w:vAlign w:val="bottom"/>
            <w:vMerge w:val="continue"/>
            <w:shd w:val="clear" w:color="auto" w:fill="E6E6E6"/>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shd w:val="clear" w:color="auto" w:fill="FB8A38"/>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20" w:type="dxa"/>
            <w:vAlign w:val="bottom"/>
            <w:vMerge w:val="continue"/>
            <w:shd w:val="clear" w:color="auto" w:fill="FB8A38"/>
          </w:tcPr>
          <w:p>
            <w:pPr>
              <w:spacing w:after="0"/>
              <w:rPr>
                <w:sz w:val="8"/>
                <w:szCs w:val="8"/>
                <w:color w:val="auto"/>
              </w:rPr>
            </w:pPr>
          </w:p>
        </w:tc>
        <w:tc>
          <w:tcPr>
            <w:tcW w:w="1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shd w:val="clear" w:color="auto" w:fill="FB8A38"/>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FFFF"/>
              </w:rPr>
              <w:t xml:space="preserve">$227 </w:t>
            </w:r>
            <w:r>
              <w:rPr>
                <w:rFonts w:ascii="Times New Roman" w:cs="Times New Roman" w:eastAsia="Times New Roman" w:hAnsi="Times New Roman"/>
                <w:sz w:val="12"/>
                <w:szCs w:val="12"/>
                <w:b w:val="1"/>
                <w:bCs w:val="1"/>
                <w:color w:val="FFFFFF"/>
              </w:rPr>
              <w:t>M</w:t>
            </w:r>
          </w:p>
        </w:tc>
        <w:tc>
          <w:tcPr>
            <w:tcW w:w="9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3"/>
            <w:vMerge w:val="continue"/>
          </w:tcPr>
          <w:p>
            <w:pPr>
              <w:spacing w:after="0"/>
              <w:rPr>
                <w:sz w:val="22"/>
                <w:szCs w:val="22"/>
                <w:color w:val="auto"/>
              </w:rPr>
            </w:pPr>
          </w:p>
        </w:tc>
        <w:tc>
          <w:tcPr>
            <w:tcW w:w="820" w:type="dxa"/>
            <w:vAlign w:val="bottom"/>
            <w:gridSpan w:val="4"/>
            <w:vMerge w:val="continue"/>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vMerge w:val="continue"/>
            <w:shd w:val="clear" w:color="auto" w:fill="FB8A38"/>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vMerge w:val="continue"/>
            <w:shd w:val="clear" w:color="auto" w:fill="E6E6E6"/>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shd w:val="clear" w:color="auto" w:fill="E6E6E6"/>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shd w:val="clear" w:color="auto" w:fill="FB8A38"/>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shd w:val="clear" w:color="auto" w:fill="E6E6E6"/>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98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82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shd w:val="clear" w:color="auto" w:fill="FB8A38"/>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continue"/>
            <w:shd w:val="clear" w:color="auto" w:fill="E6E6E6"/>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shd w:val="clear" w:color="auto" w:fill="E6E6E6"/>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shd w:val="clear" w:color="auto" w:fill="E6E6E6"/>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shd w:val="clear" w:color="auto" w:fill="E6E6E6"/>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gridSpan w:val="2"/>
            <w:vMerge w:val="restart"/>
            <w:shd w:val="clear" w:color="auto" w:fill="FB8A38"/>
          </w:tcPr>
          <w:p>
            <w:pPr>
              <w:jc w:val="center"/>
              <w:spacing w:after="0"/>
              <w:rPr>
                <w:sz w:val="20"/>
                <w:szCs w:val="20"/>
                <w:color w:val="auto"/>
              </w:rPr>
            </w:pPr>
            <w:r>
              <w:rPr>
                <w:rFonts w:ascii="Times New Roman" w:cs="Times New Roman" w:eastAsia="Times New Roman" w:hAnsi="Times New Roman"/>
                <w:sz w:val="18"/>
                <w:szCs w:val="18"/>
                <w:b w:val="1"/>
                <w:bCs w:val="1"/>
                <w:color w:val="404040"/>
              </w:rPr>
              <w:t>$101.1</w:t>
            </w: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shd w:val="clear" w:color="auto" w:fill="FB8A38"/>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shd w:val="clear" w:color="auto" w:fill="E6E6E6"/>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shd w:val="clear" w:color="auto" w:fill="E6E6E6"/>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shd w:val="clear" w:color="auto" w:fill="E6E6E6"/>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shd w:val="clear" w:color="auto" w:fill="E6E6E6"/>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vMerge w:val="continue"/>
            <w:shd w:val="clear" w:color="auto" w:fill="FB8A38"/>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shd w:val="clear" w:color="auto" w:fill="FB8A38"/>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shd w:val="clear" w:color="auto" w:fill="E6E6E6"/>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shd w:val="clear" w:color="auto" w:fill="E6E6E6"/>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shd w:val="clear" w:color="auto" w:fill="E6E6E6"/>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shd w:val="clear" w:color="auto" w:fill="E6E6E6"/>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shd w:val="clear" w:color="auto" w:fill="FB8A3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Borders>
              <w:bottom w:val="single" w:sz="8" w:color="FB8A38"/>
            </w:tcBorders>
            <w:gridSpan w:val="2"/>
            <w:vMerge w:val="continue"/>
            <w:shd w:val="clear" w:color="auto" w:fill="FB8A38"/>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bottom w:val="single" w:sz="8" w:color="FB8A38"/>
            </w:tcBorders>
            <w:shd w:val="clear" w:color="auto" w:fill="FB8A38"/>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Borders>
              <w:bottom w:val="single" w:sz="8" w:color="E6E6E6"/>
            </w:tcBorders>
            <w:shd w:val="clear" w:color="auto" w:fill="E6E6E6"/>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Borders>
              <w:bottom w:val="single" w:sz="8" w:color="E6E6E6"/>
            </w:tcBorders>
            <w:shd w:val="clear" w:color="auto" w:fill="E6E6E6"/>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bottom w:val="single" w:sz="8" w:color="E6E6E6"/>
            </w:tcBorders>
            <w:shd w:val="clear" w:color="auto" w:fill="E6E6E6"/>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bottom w:val="single" w:sz="8" w:color="E6E6E6"/>
            </w:tcBorders>
            <w:shd w:val="clear" w:color="auto" w:fill="E6E6E6"/>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Borders>
              <w:bottom w:val="single" w:sz="8" w:color="FB8A38"/>
            </w:tcBorders>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bottom w:val="single" w:sz="8" w:color="FB8A38"/>
            </w:tcBorders>
            <w:shd w:val="clear" w:color="auto" w:fill="FB8A38"/>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640" w:type="dxa"/>
            <w:vAlign w:val="bottom"/>
            <w:gridSpan w:val="2"/>
            <w:vMerge w:val="continue"/>
            <w:shd w:val="clear" w:color="auto" w:fill="FB8A38"/>
          </w:tcPr>
          <w:p>
            <w:pPr>
              <w:spacing w:after="0"/>
              <w:rPr>
                <w:sz w:val="9"/>
                <w:szCs w:val="9"/>
                <w:color w:val="auto"/>
              </w:rPr>
            </w:pPr>
          </w:p>
        </w:tc>
        <w:tc>
          <w:tcPr>
            <w:tcW w:w="16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shd w:val="clear" w:color="auto" w:fill="E6E6E6"/>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shd w:val="clear" w:color="auto" w:fill="E6E6E6"/>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vMerge w:val="restart"/>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404040"/>
              </w:rPr>
              <w:t>$331.5</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shd w:val="clear" w:color="auto" w:fill="E6E6E6"/>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restart"/>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404040"/>
              </w:rPr>
              <w:t>$324.6</w:t>
            </w:r>
          </w:p>
        </w:tc>
        <w:tc>
          <w:tcPr>
            <w:tcW w:w="340" w:type="dxa"/>
            <w:vAlign w:val="bottom"/>
          </w:tcPr>
          <w:p>
            <w:pPr>
              <w:spacing w:after="0"/>
              <w:rPr>
                <w:sz w:val="9"/>
                <w:szCs w:val="9"/>
                <w:color w:val="auto"/>
              </w:rPr>
            </w:pPr>
          </w:p>
        </w:tc>
        <w:tc>
          <w:tcPr>
            <w:tcW w:w="620" w:type="dxa"/>
            <w:vAlign w:val="bottom"/>
            <w:vMerge w:val="restart"/>
            <w:shd w:val="clear" w:color="auto" w:fill="FB8A38"/>
          </w:tcPr>
          <w:p>
            <w:pPr>
              <w:jc w:val="center"/>
              <w:spacing w:after="0"/>
              <w:rPr>
                <w:sz w:val="20"/>
                <w:szCs w:val="20"/>
                <w:color w:val="auto"/>
              </w:rPr>
            </w:pPr>
            <w:r>
              <w:rPr>
                <w:rFonts w:ascii="Times New Roman" w:cs="Times New Roman" w:eastAsia="Times New Roman" w:hAnsi="Times New Roman"/>
                <w:sz w:val="18"/>
                <w:szCs w:val="18"/>
                <w:b w:val="1"/>
                <w:bCs w:val="1"/>
                <w:color w:val="404040"/>
              </w:rPr>
              <w:t>$113.1</w:t>
            </w:r>
          </w:p>
        </w:tc>
        <w:tc>
          <w:tcPr>
            <w:tcW w:w="320" w:type="dxa"/>
            <w:vAlign w:val="bottom"/>
          </w:tcPr>
          <w:p>
            <w:pPr>
              <w:spacing w:after="0"/>
              <w:rPr>
                <w:sz w:val="9"/>
                <w:szCs w:val="9"/>
                <w:color w:val="auto"/>
              </w:rPr>
            </w:pPr>
          </w:p>
        </w:tc>
        <w:tc>
          <w:tcPr>
            <w:tcW w:w="640" w:type="dxa"/>
            <w:vAlign w:val="bottom"/>
            <w:vMerge w:val="restart"/>
            <w:shd w:val="clear" w:color="auto" w:fill="FB8A38"/>
          </w:tcPr>
          <w:p>
            <w:pPr>
              <w:jc w:val="center"/>
              <w:spacing w:after="0"/>
              <w:rPr>
                <w:sz w:val="20"/>
                <w:szCs w:val="20"/>
                <w:color w:val="auto"/>
              </w:rPr>
            </w:pPr>
            <w:r>
              <w:rPr>
                <w:rFonts w:ascii="Times New Roman" w:cs="Times New Roman" w:eastAsia="Times New Roman" w:hAnsi="Times New Roman"/>
                <w:sz w:val="18"/>
                <w:szCs w:val="18"/>
                <w:b w:val="1"/>
                <w:bCs w:val="1"/>
                <w:color w:val="404040"/>
              </w:rPr>
              <w:t>$112.2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shd w:val="clear" w:color="auto" w:fill="FB8A38"/>
          </w:tcPr>
          <w:p>
            <w:pPr>
              <w:jc w:val="right"/>
              <w:ind w:right="30"/>
              <w:spacing w:after="0"/>
              <w:rPr>
                <w:sz w:val="20"/>
                <w:szCs w:val="20"/>
                <w:color w:val="auto"/>
              </w:rPr>
            </w:pPr>
            <w:r>
              <w:rPr>
                <w:rFonts w:ascii="Times New Roman" w:cs="Times New Roman" w:eastAsia="Times New Roman" w:hAnsi="Times New Roman"/>
                <w:sz w:val="18"/>
                <w:szCs w:val="18"/>
                <w:b w:val="1"/>
                <w:bCs w:val="1"/>
                <w:color w:val="404040"/>
              </w:rPr>
              <w:t>$97.0</w:t>
            </w:r>
          </w:p>
        </w:tc>
        <w:tc>
          <w:tcPr>
            <w:tcW w:w="30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640" w:type="dxa"/>
            <w:vAlign w:val="bottom"/>
            <w:gridSpan w:val="2"/>
            <w:vMerge w:val="continue"/>
            <w:shd w:val="clear" w:color="auto" w:fill="FB8A38"/>
          </w:tcPr>
          <w:p>
            <w:pPr>
              <w:spacing w:after="0"/>
              <w:rPr>
                <w:sz w:val="11"/>
                <w:szCs w:val="11"/>
                <w:color w:val="auto"/>
              </w:rPr>
            </w:pPr>
          </w:p>
        </w:tc>
        <w:tc>
          <w:tcPr>
            <w:tcW w:w="1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shd w:val="clear" w:color="auto" w:fill="E6E6E6"/>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shd w:val="clear" w:color="auto" w:fill="E6E6E6"/>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vMerge w:val="continue"/>
            <w:shd w:val="clear" w:color="auto" w:fill="E6E6E6"/>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shd w:val="clear" w:color="auto" w:fill="E6E6E6"/>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shd w:val="clear" w:color="auto" w:fill="E6E6E6"/>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vMerge w:val="continue"/>
            <w:shd w:val="clear" w:color="auto" w:fill="FB8A38"/>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vMerge w:val="continue"/>
            <w:shd w:val="clear" w:color="auto" w:fill="FB8A3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shd w:val="clear" w:color="auto" w:fill="FB8A38"/>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FB8A38"/>
          </w:tcPr>
          <w:p>
            <w:pPr>
              <w:spacing w:after="0"/>
              <w:rPr>
                <w:sz w:val="10"/>
                <w:szCs w:val="10"/>
                <w:color w:val="auto"/>
              </w:rPr>
            </w:pPr>
          </w:p>
        </w:tc>
        <w:tc>
          <w:tcPr>
            <w:tcW w:w="520" w:type="dxa"/>
            <w:vAlign w:val="bottom"/>
            <w:shd w:val="clear" w:color="auto" w:fill="FB8A38"/>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shd w:val="clear" w:color="auto" w:fill="E6E6E6"/>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shd w:val="clear" w:color="auto" w:fill="E6E6E6"/>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vMerge w:val="continue"/>
            <w:shd w:val="clear" w:color="auto" w:fill="E6E6E6"/>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shd w:val="clear" w:color="auto" w:fill="E6E6E6"/>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shd w:val="clear" w:color="auto" w:fill="E6E6E6"/>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vMerge w:val="continue"/>
            <w:shd w:val="clear" w:color="auto" w:fill="FB8A38"/>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vMerge w:val="continue"/>
            <w:shd w:val="clear" w:color="auto" w:fill="FB8A38"/>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FFFFFF"/>
              </w:rPr>
              <w:t xml:space="preserve">$117.6 </w:t>
            </w:r>
            <w:r>
              <w:rPr>
                <w:rFonts w:ascii="Times New Roman" w:cs="Times New Roman" w:eastAsia="Times New Roman" w:hAnsi="Times New Roman"/>
                <w:sz w:val="12"/>
                <w:szCs w:val="12"/>
                <w:b w:val="1"/>
                <w:bCs w:val="1"/>
                <w:color w:val="FFFFFF"/>
              </w:rPr>
              <w:t>M</w:t>
            </w:r>
          </w:p>
        </w:tc>
        <w:tc>
          <w:tcPr>
            <w:tcW w:w="140" w:type="dxa"/>
            <w:vAlign w:val="bottom"/>
          </w:tcPr>
          <w:p>
            <w:pPr>
              <w:spacing w:after="0"/>
              <w:rPr>
                <w:sz w:val="7"/>
                <w:szCs w:val="7"/>
                <w:color w:val="auto"/>
              </w:rPr>
            </w:pPr>
          </w:p>
        </w:tc>
        <w:tc>
          <w:tcPr>
            <w:tcW w:w="640" w:type="dxa"/>
            <w:vAlign w:val="bottom"/>
            <w:vMerge w:val="continue"/>
            <w:shd w:val="clear" w:color="auto" w:fill="FB8A38"/>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FB8A38"/>
          </w:tcPr>
          <w:p>
            <w:pPr>
              <w:spacing w:after="0"/>
              <w:rPr>
                <w:sz w:val="7"/>
                <w:szCs w:val="7"/>
                <w:color w:val="auto"/>
              </w:rPr>
            </w:pPr>
          </w:p>
        </w:tc>
        <w:tc>
          <w:tcPr>
            <w:tcW w:w="520" w:type="dxa"/>
            <w:vAlign w:val="bottom"/>
            <w:shd w:val="clear" w:color="auto" w:fill="FB8A38"/>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shd w:val="clear" w:color="auto" w:fill="E6E6E6"/>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shd w:val="clear" w:color="auto" w:fill="E6E6E6"/>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vMerge w:val="continue"/>
            <w:shd w:val="clear" w:color="auto" w:fill="E6E6E6"/>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restart"/>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404040"/>
              </w:rPr>
              <w:t>$288.5</w:t>
            </w: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shd w:val="clear" w:color="auto" w:fill="E6E6E6"/>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vMerge w:val="continue"/>
            <w:shd w:val="clear" w:color="auto" w:fill="FB8A38"/>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shd w:val="clear" w:color="auto" w:fill="FB8A38"/>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7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shd w:val="clear" w:color="auto" w:fill="FB8A38"/>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gridSpan w:val="2"/>
            <w:vMerge w:val="restart"/>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404040"/>
              </w:rPr>
              <w:t>$163.4</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restart"/>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404040"/>
              </w:rPr>
              <w:t>$231.4</w:t>
            </w:r>
          </w:p>
        </w:tc>
        <w:tc>
          <w:tcPr>
            <w:tcW w:w="320" w:type="dxa"/>
            <w:vAlign w:val="bottom"/>
          </w:tcPr>
          <w:p>
            <w:pPr>
              <w:spacing w:after="0"/>
              <w:rPr>
                <w:sz w:val="8"/>
                <w:szCs w:val="8"/>
                <w:color w:val="auto"/>
              </w:rPr>
            </w:pPr>
          </w:p>
        </w:tc>
        <w:tc>
          <w:tcPr>
            <w:tcW w:w="620" w:type="dxa"/>
            <w:vAlign w:val="bottom"/>
            <w:shd w:val="clear" w:color="auto" w:fill="E6E6E6"/>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vMerge w:val="continue"/>
            <w:shd w:val="clear" w:color="auto" w:fill="E6E6E6"/>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shd w:val="clear" w:color="auto" w:fill="E6E6E6"/>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continue"/>
            <w:shd w:val="clear" w:color="auto" w:fill="E6E6E6"/>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shd w:val="clear" w:color="auto" w:fill="FB8A38"/>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shd w:val="clear" w:color="auto" w:fill="FB8A38"/>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7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vMerge w:val="continue"/>
            <w:shd w:val="clear" w:color="auto" w:fill="FB8A38"/>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vMerge w:val="continue"/>
            <w:shd w:val="clear" w:color="auto" w:fill="E6E6E6"/>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vMerge w:val="continue"/>
            <w:shd w:val="clear" w:color="auto" w:fill="E6E6E6"/>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shd w:val="clear" w:color="auto" w:fill="E6E6E6"/>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shd w:val="clear" w:color="auto" w:fill="E6E6E6"/>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continue"/>
            <w:shd w:val="clear" w:color="auto" w:fill="E6E6E6"/>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continue"/>
            <w:shd w:val="clear" w:color="auto" w:fill="E6E6E6"/>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shd w:val="clear" w:color="auto" w:fill="FB8A38"/>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 w:type="dxa"/>
            <w:vAlign w:val="bottom"/>
            <w:tcBorders>
              <w:top w:val="single" w:sz="8" w:color="FB8A38"/>
            </w:tcBorders>
            <w:vMerge w:val="restart"/>
            <w:shd w:val="clear" w:color="auto" w:fill="FB8A38"/>
          </w:tcPr>
          <w:p>
            <w:pPr>
              <w:jc w:val="center"/>
              <w:spacing w:after="0"/>
              <w:rPr>
                <w:sz w:val="20"/>
                <w:szCs w:val="20"/>
                <w:color w:val="auto"/>
              </w:rPr>
            </w:pPr>
            <w:r>
              <w:rPr>
                <w:rFonts w:ascii="Times New Roman" w:cs="Times New Roman" w:eastAsia="Times New Roman" w:hAnsi="Times New Roman"/>
                <w:sz w:val="18"/>
                <w:szCs w:val="18"/>
                <w:b w:val="1"/>
                <w:bCs w:val="1"/>
                <w:color w:val="404040"/>
              </w:rPr>
              <w:t>$87.6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top w:val="single" w:sz="8" w:color="FB8A38"/>
            </w:tcBorders>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404040"/>
              </w:rPr>
              <w:t>$111.2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top w:val="single" w:sz="8" w:color="E6E6E6"/>
            </w:tcBorders>
            <w:gridSpan w:val="2"/>
            <w:vMerge w:val="continue"/>
            <w:shd w:val="clear" w:color="auto" w:fill="E6E6E6"/>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top w:val="single" w:sz="8" w:color="E6E6E6"/>
            </w:tcBorders>
            <w:vMerge w:val="continue"/>
            <w:shd w:val="clear" w:color="auto" w:fill="E6E6E6"/>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Borders>
              <w:top w:val="single" w:sz="8" w:color="E6E6E6"/>
            </w:tcBorders>
            <w:shd w:val="clear" w:color="auto" w:fill="E6E6E6"/>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top w:val="single" w:sz="8" w:color="E6E6E6"/>
            </w:tcBorders>
            <w:shd w:val="clear" w:color="auto" w:fill="E6E6E6"/>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E6E6E6"/>
            </w:tcBorders>
            <w:shd w:val="clear" w:color="auto" w:fill="E6E6E6"/>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top w:val="single" w:sz="8" w:color="E6E6E6"/>
            </w:tcBorders>
            <w:shd w:val="clear" w:color="auto" w:fill="E6E6E6"/>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top w:val="single" w:sz="8" w:color="FB8A38"/>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404040"/>
              </w:rPr>
              <w:t>$113.9</w:t>
            </w:r>
          </w:p>
        </w:tc>
        <w:tc>
          <w:tcPr>
            <w:tcW w:w="320" w:type="dxa"/>
            <w:vAlign w:val="bottom"/>
          </w:tcPr>
          <w:p>
            <w:pPr>
              <w:spacing w:after="0"/>
              <w:rPr>
                <w:sz w:val="14"/>
                <w:szCs w:val="14"/>
                <w:color w:val="auto"/>
              </w:rPr>
            </w:pPr>
          </w:p>
        </w:tc>
        <w:tc>
          <w:tcPr>
            <w:tcW w:w="640" w:type="dxa"/>
            <w:vAlign w:val="bottom"/>
            <w:tcBorders>
              <w:top w:val="single" w:sz="8" w:color="E6E6E6"/>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404040"/>
              </w:rPr>
              <w:t>$144.7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20" w:type="dxa"/>
            <w:vAlign w:val="bottom"/>
            <w:vMerge w:val="continue"/>
            <w:shd w:val="clear" w:color="auto" w:fill="FB8A38"/>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vMerge w:val="continue"/>
            <w:shd w:val="clear" w:color="auto" w:fill="E6E6E6"/>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vMerge w:val="continue"/>
            <w:shd w:val="clear" w:color="auto" w:fill="E6E6E6"/>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shd w:val="clear" w:color="auto" w:fill="E6E6E6"/>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shd w:val="clear" w:color="auto" w:fill="E6E6E6"/>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vMerge w:val="continue"/>
            <w:shd w:val="clear" w:color="auto" w:fill="E6E6E6"/>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vMerge w:val="continue"/>
            <w:shd w:val="clear" w:color="auto" w:fill="E6E6E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20" w:type="dxa"/>
            <w:vAlign w:val="bottom"/>
            <w:shd w:val="clear" w:color="auto" w:fill="FB8A38"/>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shd w:val="clear" w:color="auto" w:fill="E6E6E6"/>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6E6E6"/>
          </w:tcPr>
          <w:p>
            <w:pPr>
              <w:spacing w:after="0"/>
              <w:rPr>
                <w:sz w:val="9"/>
                <w:szCs w:val="9"/>
                <w:color w:val="auto"/>
              </w:rPr>
            </w:pPr>
          </w:p>
        </w:tc>
        <w:tc>
          <w:tcPr>
            <w:tcW w:w="520" w:type="dxa"/>
            <w:vAlign w:val="bottom"/>
            <w:shd w:val="clear" w:color="auto" w:fill="E6E6E6"/>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shd w:val="clear" w:color="auto" w:fill="E6E6E6"/>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shd w:val="clear" w:color="auto" w:fill="E6E6E6"/>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shd w:val="clear" w:color="auto" w:fill="E6E6E6"/>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shd w:val="clear" w:color="auto" w:fill="E6E6E6"/>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shd w:val="clear" w:color="auto" w:fill="E6E6E6"/>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vMerge w:val="continue"/>
            <w:shd w:val="clear" w:color="auto" w:fill="E6E6E6"/>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shd w:val="clear" w:color="auto" w:fill="E6E6E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0" w:type="dxa"/>
            <w:vAlign w:val="bottom"/>
            <w:shd w:val="clear" w:color="auto" w:fill="E6E6E6"/>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404040"/>
              </w:rPr>
              <w:t>$30.0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520" w:type="dxa"/>
            <w:vAlign w:val="bottom"/>
            <w:shd w:val="clear" w:color="auto" w:fill="E6E6E6"/>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2014</w:t>
            </w:r>
          </w:p>
        </w:tc>
        <w:tc>
          <w:tcPr>
            <w:tcW w:w="140" w:type="dxa"/>
            <w:vAlign w:val="bottom"/>
          </w:tcPr>
          <w:p>
            <w:pPr>
              <w:spacing w:after="0"/>
              <w:rPr>
                <w:sz w:val="24"/>
                <w:szCs w:val="24"/>
                <w:color w:val="auto"/>
              </w:rPr>
            </w:pP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FFFFFF"/>
              </w:rPr>
              <w:t>2015</w:t>
            </w:r>
          </w:p>
        </w:tc>
        <w:tc>
          <w:tcPr>
            <w:tcW w:w="30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FFFFFF"/>
              </w:rPr>
              <w:t>2016</w:t>
            </w:r>
          </w:p>
        </w:tc>
        <w:tc>
          <w:tcPr>
            <w:tcW w:w="160" w:type="dxa"/>
            <w:vAlign w:val="bottom"/>
          </w:tcPr>
          <w:p>
            <w:pPr>
              <w:spacing w:after="0"/>
              <w:rPr>
                <w:sz w:val="24"/>
                <w:szCs w:val="24"/>
                <w:color w:val="auto"/>
              </w:rPr>
            </w:pP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2017</w:t>
            </w:r>
          </w:p>
        </w:tc>
        <w:tc>
          <w:tcPr>
            <w:tcW w:w="320" w:type="dxa"/>
            <w:vAlign w:val="bottom"/>
          </w:tcPr>
          <w:p>
            <w:pPr>
              <w:spacing w:after="0"/>
              <w:rPr>
                <w:sz w:val="24"/>
                <w:szCs w:val="24"/>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FFFFFF"/>
              </w:rPr>
              <w:t>2018</w:t>
            </w:r>
          </w:p>
        </w:tc>
        <w:tc>
          <w:tcPr>
            <w:tcW w:w="96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FFFFFF"/>
                <w:w w:val="99"/>
              </w:rPr>
              <w:t>2019</w:t>
            </w:r>
          </w:p>
        </w:tc>
        <w:tc>
          <w:tcPr>
            <w:tcW w:w="180" w:type="dxa"/>
            <w:vAlign w:val="bottom"/>
          </w:tcPr>
          <w:p>
            <w:pPr>
              <w:spacing w:after="0"/>
              <w:rPr>
                <w:sz w:val="24"/>
                <w:szCs w:val="24"/>
                <w:color w:val="auto"/>
              </w:rPr>
            </w:pPr>
          </w:p>
        </w:tc>
        <w:tc>
          <w:tcPr>
            <w:tcW w:w="7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FFFFFF"/>
                <w:w w:val="99"/>
              </w:rPr>
              <w:t>2020</w:t>
            </w:r>
          </w:p>
        </w:tc>
        <w:tc>
          <w:tcPr>
            <w:tcW w:w="160" w:type="dxa"/>
            <w:vAlign w:val="bottom"/>
          </w:tcPr>
          <w:p>
            <w:pPr>
              <w:spacing w:after="0"/>
              <w:rPr>
                <w:sz w:val="24"/>
                <w:szCs w:val="24"/>
                <w:color w:val="auto"/>
              </w:rPr>
            </w:pPr>
          </w:p>
        </w:tc>
        <w:tc>
          <w:tcPr>
            <w:tcW w:w="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FFFFFF"/>
                <w:w w:val="99"/>
              </w:rPr>
              <w:t>2021</w:t>
            </w:r>
          </w:p>
        </w:tc>
        <w:tc>
          <w:tcPr>
            <w:tcW w:w="3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2022</w:t>
            </w:r>
          </w:p>
        </w:tc>
        <w:tc>
          <w:tcPr>
            <w:tcW w:w="9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FFFFFF"/>
                <w:w w:val="99"/>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840" w:type="dxa"/>
            <w:vAlign w:val="bottom"/>
            <w:gridSpan w:val="5"/>
            <w:vMerge w:val="restart"/>
          </w:tcPr>
          <w:p>
            <w:pPr>
              <w:ind w:left="80"/>
              <w:spacing w:after="0"/>
              <w:rPr>
                <w:sz w:val="20"/>
                <w:szCs w:val="20"/>
                <w:color w:val="auto"/>
              </w:rPr>
            </w:pPr>
            <w:r>
              <w:rPr>
                <w:rFonts w:ascii="Arial" w:cs="Arial" w:eastAsia="Arial" w:hAnsi="Arial"/>
                <w:sz w:val="22"/>
                <w:szCs w:val="22"/>
                <w:color w:val="FFFFFF"/>
                <w:w w:val="89"/>
              </w:rPr>
              <w:t>Share Repurchases</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0" w:type="dxa"/>
            <w:vAlign w:val="bottom"/>
            <w:gridSpan w:val="5"/>
            <w:vMerge w:val="restart"/>
          </w:tcPr>
          <w:p>
            <w:pPr>
              <w:ind w:left="120"/>
              <w:spacing w:after="0"/>
              <w:rPr>
                <w:sz w:val="20"/>
                <w:szCs w:val="20"/>
                <w:color w:val="auto"/>
              </w:rPr>
            </w:pPr>
            <w:r>
              <w:rPr>
                <w:rFonts w:ascii="Arial" w:cs="Arial" w:eastAsia="Arial" w:hAnsi="Arial"/>
                <w:sz w:val="22"/>
                <w:szCs w:val="22"/>
                <w:color w:val="FFFFFF"/>
              </w:rPr>
              <w:t>DIVIDENDS</w:t>
            </w: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gridSpan w:val="5"/>
            <w:vMerge w:val="continue"/>
          </w:tcPr>
          <w:p>
            <w:pPr>
              <w:spacing w:after="0"/>
              <w:rPr>
                <w:sz w:val="11"/>
                <w:szCs w:val="11"/>
                <w:color w:val="auto"/>
              </w:rPr>
            </w:pPr>
          </w:p>
        </w:tc>
        <w:tc>
          <w:tcPr>
            <w:tcW w:w="20" w:type="dxa"/>
            <w:vAlign w:val="bottom"/>
            <w:shd w:val="clear" w:color="auto" w:fill="FB8A38"/>
          </w:tcPr>
          <w:p>
            <w:pPr>
              <w:spacing w:after="0"/>
              <w:rPr>
                <w:sz w:val="11"/>
                <w:szCs w:val="11"/>
                <w:color w:val="auto"/>
              </w:rPr>
            </w:pPr>
          </w:p>
        </w:tc>
        <w:tc>
          <w:tcPr>
            <w:tcW w:w="120" w:type="dxa"/>
            <w:vAlign w:val="bottom"/>
            <w:shd w:val="clear" w:color="auto" w:fill="FB8A38"/>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84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0" w:type="dxa"/>
            <w:vAlign w:val="bottom"/>
            <w:gridSpan w:val="5"/>
            <w:vMerge w:val="continue"/>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ectPr>
          <w:pgSz w:w="12240" w:h="15840" w:orient="portrait"/>
          <w:cols w:equalWidth="0" w:num="3">
            <w:col w:w="250" w:space="210"/>
            <w:col w:w="360" w:space="380"/>
            <w:col w:w="9600"/>
          </w:cols>
          <w:pgMar w:left="940" w:top="1440" w:right="500" w:bottom="0" w:gutter="0" w:footer="0" w:header="0"/>
          <w:type w:val="continuous"/>
        </w:sectPr>
      </w:pPr>
    </w:p>
    <w:p>
      <w:pPr>
        <w:ind w:left="9000"/>
        <w:spacing w:after="0"/>
        <w:tabs>
          <w:tab w:leader="none" w:pos="10700" w:val="left"/>
        </w:tabs>
        <w:rPr>
          <w:sz w:val="20"/>
          <w:szCs w:val="20"/>
          <w:color w:val="auto"/>
        </w:rPr>
      </w:pPr>
      <w:r>
        <w:rPr>
          <w:rFonts w:ascii="Times New Roman" w:cs="Times New Roman" w:eastAsia="Times New Roman" w:hAnsi="Times New Roman"/>
          <w:sz w:val="10"/>
          <w:szCs w:val="10"/>
          <w:color w:val="FFFFFF"/>
        </w:rPr>
        <w:t>2023 ANNUAL REPORT</w:t>
      </w:r>
      <w:r>
        <w:rPr>
          <w:sz w:val="20"/>
          <w:szCs w:val="20"/>
          <w:color w:val="auto"/>
        </w:rPr>
        <w:tab/>
      </w:r>
      <w:r>
        <w:rPr>
          <w:rFonts w:ascii="Arial" w:cs="Arial" w:eastAsia="Arial" w:hAnsi="Arial"/>
          <w:sz w:val="14"/>
          <w:szCs w:val="14"/>
          <w:b w:val="1"/>
          <w:bCs w:val="1"/>
          <w:color w:val="FFFFFF"/>
        </w:rPr>
        <w:t>9</w:t>
      </w:r>
    </w:p>
    <w:p>
      <w:pPr>
        <w:sectPr>
          <w:pgSz w:w="12240" w:h="15840" w:orient="portrait"/>
          <w:cols w:equalWidth="0" w:num="1">
            <w:col w:w="10800"/>
          </w:cols>
          <w:pgMar w:left="940" w:top="1440" w:right="500" w:bottom="0" w:gutter="0" w:footer="0" w:header="0"/>
          <w:type w:val="continuous"/>
        </w:sectPr>
      </w:pPr>
    </w:p>
    <w:bookmarkStart w:id="9" w:name="page10"/>
    <w:bookmarkEnd w:id="9"/>
    <w:p>
      <w:pPr>
        <w:ind w:left="36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DIMMABLE DEVICES</w:t>
      </w:r>
    </w:p>
    <w:p>
      <w:pPr>
        <w:spacing w:after="0" w:line="367" w:lineRule="exact"/>
        <w:rPr>
          <w:sz w:val="20"/>
          <w:szCs w:val="20"/>
          <w:color w:val="auto"/>
        </w:rPr>
      </w:pPr>
    </w:p>
    <w:p>
      <w:pPr>
        <w:ind w:left="140"/>
        <w:spacing w:after="0"/>
        <w:rPr>
          <w:sz w:val="20"/>
          <w:szCs w:val="20"/>
          <w:color w:val="auto"/>
        </w:rPr>
      </w:pPr>
      <w:r>
        <w:rPr>
          <w:rFonts w:ascii="Arial" w:cs="Arial" w:eastAsia="Arial" w:hAnsi="Arial"/>
          <w:sz w:val="110"/>
          <w:szCs w:val="110"/>
          <w:color w:val="FFFFFF"/>
        </w:rPr>
        <w:t>Leading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020" w:type="dxa"/>
        <w:tblCellMar>
          <w:top w:w="0" w:type="dxa"/>
          <w:left w:w="0" w:type="dxa"/>
          <w:bottom w:w="0" w:type="dxa"/>
          <w:right w:w="0" w:type="dxa"/>
        </w:tblCellMar>
      </w:tblPr>
      <w:tr>
        <w:trPr>
          <w:trHeight w:val="368"/>
        </w:trPr>
        <w:tc>
          <w:tcPr>
            <w:tcW w:w="2920" w:type="dxa"/>
            <w:vAlign w:val="bottom"/>
          </w:tcPr>
          <w:p>
            <w:pPr>
              <w:jc w:val="center"/>
              <w:ind w:right="163"/>
              <w:spacing w:after="0"/>
              <w:rPr>
                <w:sz w:val="20"/>
                <w:szCs w:val="20"/>
                <w:color w:val="auto"/>
              </w:rPr>
            </w:pPr>
            <w:r>
              <w:rPr>
                <w:rFonts w:ascii="Arial" w:cs="Arial" w:eastAsia="Arial" w:hAnsi="Arial"/>
                <w:sz w:val="32"/>
                <w:szCs w:val="32"/>
                <w:color w:val="FFFFFF"/>
                <w:w w:val="89"/>
              </w:rPr>
              <w:t>Interior Mirrors (IEC)</w:t>
            </w:r>
          </w:p>
        </w:tc>
        <w:tc>
          <w:tcPr>
            <w:tcW w:w="3440" w:type="dxa"/>
            <w:vAlign w:val="bottom"/>
          </w:tcPr>
          <w:p>
            <w:pPr>
              <w:jc w:val="center"/>
              <w:ind w:right="83"/>
              <w:spacing w:after="0"/>
              <w:rPr>
                <w:sz w:val="20"/>
                <w:szCs w:val="20"/>
                <w:color w:val="auto"/>
              </w:rPr>
            </w:pPr>
            <w:r>
              <w:rPr>
                <w:rFonts w:ascii="Arial" w:cs="Arial" w:eastAsia="Arial" w:hAnsi="Arial"/>
                <w:sz w:val="32"/>
                <w:szCs w:val="32"/>
                <w:color w:val="FFFFFF"/>
                <w:w w:val="80"/>
              </w:rPr>
              <w:t>Outside Mirrors (OEC)</w:t>
            </w:r>
          </w:p>
        </w:tc>
        <w:tc>
          <w:tcPr>
            <w:tcW w:w="2200" w:type="dxa"/>
            <w:vAlign w:val="bottom"/>
          </w:tcPr>
          <w:p>
            <w:pPr>
              <w:jc w:val="center"/>
              <w:ind w:left="410"/>
              <w:spacing w:after="0"/>
              <w:rPr>
                <w:sz w:val="20"/>
                <w:szCs w:val="20"/>
                <w:color w:val="auto"/>
              </w:rPr>
            </w:pPr>
            <w:r>
              <w:rPr>
                <w:rFonts w:ascii="Arial" w:cs="Arial" w:eastAsia="Arial" w:hAnsi="Arial"/>
                <w:sz w:val="28"/>
                <w:szCs w:val="28"/>
                <w:color w:val="FFFFFF"/>
                <w:w w:val="71"/>
              </w:rPr>
              <w:t>TOTAL MIRRORS</w:t>
            </w:r>
          </w:p>
        </w:tc>
      </w:tr>
      <w:tr>
        <w:trPr>
          <w:trHeight w:val="475"/>
        </w:trPr>
        <w:tc>
          <w:tcPr>
            <w:tcW w:w="2920" w:type="dxa"/>
            <w:vAlign w:val="bottom"/>
          </w:tcPr>
          <w:p>
            <w:pPr>
              <w:jc w:val="center"/>
              <w:ind w:right="143"/>
              <w:spacing w:after="0" w:line="475" w:lineRule="exact"/>
              <w:rPr>
                <w:sz w:val="20"/>
                <w:szCs w:val="20"/>
                <w:color w:val="auto"/>
              </w:rPr>
            </w:pPr>
            <w:r>
              <w:rPr>
                <w:rFonts w:ascii="Arial" w:cs="Arial" w:eastAsia="Arial" w:hAnsi="Arial"/>
                <w:sz w:val="44"/>
                <w:szCs w:val="44"/>
                <w:color w:val="FB8A38"/>
                <w:w w:val="72"/>
              </w:rPr>
              <w:t xml:space="preserve">31.8 </w:t>
            </w:r>
            <w:r>
              <w:rPr>
                <w:rFonts w:ascii="Arial" w:cs="Arial" w:eastAsia="Arial" w:hAnsi="Arial"/>
                <w:sz w:val="32"/>
                <w:szCs w:val="32"/>
                <w:color w:val="FB8A38"/>
                <w:w w:val="72"/>
              </w:rPr>
              <w:t>M</w:t>
            </w:r>
          </w:p>
        </w:tc>
        <w:tc>
          <w:tcPr>
            <w:tcW w:w="3440" w:type="dxa"/>
            <w:vAlign w:val="bottom"/>
          </w:tcPr>
          <w:p>
            <w:pPr>
              <w:jc w:val="center"/>
              <w:ind w:right="83"/>
              <w:spacing w:after="0" w:line="475" w:lineRule="exact"/>
              <w:rPr>
                <w:sz w:val="20"/>
                <w:szCs w:val="20"/>
                <w:color w:val="auto"/>
              </w:rPr>
            </w:pPr>
            <w:r>
              <w:rPr>
                <w:rFonts w:ascii="Arial" w:cs="Arial" w:eastAsia="Arial" w:hAnsi="Arial"/>
                <w:sz w:val="44"/>
                <w:szCs w:val="44"/>
                <w:color w:val="FB8A38"/>
                <w:w w:val="70"/>
              </w:rPr>
              <w:t xml:space="preserve">18.8 </w:t>
            </w:r>
            <w:r>
              <w:rPr>
                <w:rFonts w:ascii="Arial" w:cs="Arial" w:eastAsia="Arial" w:hAnsi="Arial"/>
                <w:sz w:val="32"/>
                <w:szCs w:val="32"/>
                <w:color w:val="FB8A38"/>
                <w:w w:val="70"/>
              </w:rPr>
              <w:t>M</w:t>
            </w:r>
          </w:p>
        </w:tc>
        <w:tc>
          <w:tcPr>
            <w:tcW w:w="2200" w:type="dxa"/>
            <w:vAlign w:val="bottom"/>
          </w:tcPr>
          <w:p>
            <w:pPr>
              <w:jc w:val="center"/>
              <w:ind w:left="390"/>
              <w:spacing w:after="0" w:line="475" w:lineRule="exact"/>
              <w:rPr>
                <w:sz w:val="20"/>
                <w:szCs w:val="20"/>
                <w:color w:val="auto"/>
              </w:rPr>
            </w:pPr>
            <w:r>
              <w:rPr>
                <w:rFonts w:ascii="Arial" w:cs="Arial" w:eastAsia="Arial" w:hAnsi="Arial"/>
                <w:sz w:val="44"/>
                <w:szCs w:val="44"/>
                <w:color w:val="FB8A38"/>
                <w:w w:val="75"/>
              </w:rPr>
              <w:t xml:space="preserve">50.6 </w:t>
            </w:r>
            <w:r>
              <w:rPr>
                <w:rFonts w:ascii="Arial" w:cs="Arial" w:eastAsia="Arial" w:hAnsi="Arial"/>
                <w:sz w:val="32"/>
                <w:szCs w:val="32"/>
                <w:color w:val="FB8A38"/>
                <w:w w:val="75"/>
              </w:rPr>
              <w:t>M</w:t>
            </w:r>
          </w:p>
        </w:tc>
      </w:tr>
      <w:tr>
        <w:trPr>
          <w:trHeight w:val="339"/>
        </w:trPr>
        <w:tc>
          <w:tcPr>
            <w:tcW w:w="2920" w:type="dxa"/>
            <w:vAlign w:val="bottom"/>
          </w:tcPr>
          <w:p>
            <w:pPr>
              <w:jc w:val="center"/>
              <w:ind w:right="143"/>
              <w:spacing w:after="0"/>
              <w:rPr>
                <w:sz w:val="20"/>
                <w:szCs w:val="20"/>
                <w:color w:val="auto"/>
              </w:rPr>
            </w:pPr>
            <w:r>
              <w:rPr>
                <w:rFonts w:ascii="Times New Roman" w:cs="Times New Roman" w:eastAsia="Times New Roman" w:hAnsi="Times New Roman"/>
                <w:sz w:val="18"/>
                <w:szCs w:val="18"/>
                <w:b w:val="1"/>
                <w:bCs w:val="1"/>
                <w:color w:val="FFFFFF"/>
                <w:w w:val="96"/>
              </w:rPr>
              <w:t>+11% | 28.7 M in 2022</w:t>
            </w:r>
          </w:p>
        </w:tc>
        <w:tc>
          <w:tcPr>
            <w:tcW w:w="3440" w:type="dxa"/>
            <w:vAlign w:val="bottom"/>
          </w:tcPr>
          <w:p>
            <w:pPr>
              <w:jc w:val="center"/>
              <w:ind w:right="83"/>
              <w:spacing w:after="0"/>
              <w:rPr>
                <w:sz w:val="20"/>
                <w:szCs w:val="20"/>
                <w:color w:val="auto"/>
              </w:rPr>
            </w:pPr>
            <w:r>
              <w:rPr>
                <w:rFonts w:ascii="Times New Roman" w:cs="Times New Roman" w:eastAsia="Times New Roman" w:hAnsi="Times New Roman"/>
                <w:sz w:val="18"/>
                <w:szCs w:val="18"/>
                <w:b w:val="1"/>
                <w:bCs w:val="1"/>
                <w:color w:val="FFFFFF"/>
                <w:w w:val="97"/>
              </w:rPr>
              <w:t>+21% | 15.1 M in 2022</w:t>
            </w:r>
          </w:p>
        </w:tc>
        <w:tc>
          <w:tcPr>
            <w:tcW w:w="22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FFFFFF"/>
                <w:w w:val="97"/>
              </w:rPr>
              <w:t xml:space="preserve">+15% | 44.2 </w:t>
            </w:r>
            <w:r>
              <w:rPr>
                <w:rFonts w:ascii="Times New Roman" w:cs="Times New Roman" w:eastAsia="Times New Roman" w:hAnsi="Times New Roman"/>
                <w:sz w:val="12"/>
                <w:szCs w:val="12"/>
                <w:b w:val="1"/>
                <w:bCs w:val="1"/>
                <w:color w:val="FFFFFF"/>
                <w:w w:val="97"/>
              </w:rPr>
              <w:t>M</w:t>
            </w:r>
            <w:r>
              <w:rPr>
                <w:rFonts w:ascii="Times New Roman" w:cs="Times New Roman" w:eastAsia="Times New Roman" w:hAnsi="Times New Roman"/>
                <w:sz w:val="18"/>
                <w:szCs w:val="18"/>
                <w:b w:val="1"/>
                <w:bCs w:val="1"/>
                <w:color w:val="FFFFFF"/>
                <w:w w:val="97"/>
              </w:rPr>
              <w:t xml:space="preserve"> in 2022</w:t>
            </w:r>
          </w:p>
        </w:tc>
      </w:tr>
    </w:tbl>
    <w:p>
      <w:pPr>
        <w:spacing w:after="0" w:line="200" w:lineRule="exact"/>
        <w:rPr>
          <w:sz w:val="20"/>
          <w:szCs w:val="20"/>
          <w:color w:val="auto"/>
        </w:rPr>
      </w:pPr>
    </w:p>
    <w:p>
      <w:pPr>
        <w:sectPr>
          <w:pgSz w:w="12240" w:h="15840" w:orient="portrait"/>
          <w:cols w:equalWidth="0" w:num="1">
            <w:col w:w="10840"/>
          </w:cols>
          <w:pgMar w:left="580" w:top="45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0"/>
        <w:spacing w:after="0" w:line="429" w:lineRule="auto"/>
        <w:rPr>
          <w:sz w:val="20"/>
          <w:szCs w:val="20"/>
          <w:color w:val="auto"/>
        </w:rPr>
      </w:pPr>
      <w:r>
        <w:rPr>
          <w:rFonts w:ascii="Times New Roman" w:cs="Times New Roman" w:eastAsia="Times New Roman" w:hAnsi="Times New Roman"/>
          <w:sz w:val="18"/>
          <w:szCs w:val="18"/>
          <w:color w:val="FFFFFF"/>
        </w:rPr>
        <w:t>With our 89% share of dimmable mirrors, Gentex continues to dominate the market with our high-quality electrochromic mirrors.</w:t>
      </w:r>
    </w:p>
    <w:p>
      <w:pPr>
        <w:ind w:left="140" w:right="40"/>
        <w:spacing w:after="0" w:line="343" w:lineRule="auto"/>
        <w:rPr>
          <w:sz w:val="20"/>
          <w:szCs w:val="20"/>
          <w:color w:val="auto"/>
        </w:rPr>
      </w:pPr>
      <w:r>
        <w:rPr>
          <w:rFonts w:ascii="Times New Roman" w:cs="Times New Roman" w:eastAsia="Times New Roman" w:hAnsi="Times New Roman"/>
          <w:sz w:val="18"/>
          <w:szCs w:val="18"/>
          <w:color w:val="FFFFFF"/>
        </w:rPr>
        <w:t>We are best known for our advanced electrochromic (EC) technology. This proprietary chemical compound and coating stack are some of the key elements in our devices. Sandwiched between two panels of glass, this EC fluid is clear in normal environments, but can darken when exposed to an electrical charge. Over the years we have continued to develop this technology, improving optical clarity, color, and transition speed between clear and dark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347" w:lineRule="auto"/>
        <w:rPr>
          <w:sz w:val="20"/>
          <w:szCs w:val="20"/>
          <w:color w:val="auto"/>
        </w:rPr>
      </w:pPr>
      <w:r>
        <w:rPr>
          <w:rFonts w:ascii="Times New Roman" w:cs="Times New Roman" w:eastAsia="Times New Roman" w:hAnsi="Times New Roman"/>
          <w:sz w:val="18"/>
          <w:szCs w:val="18"/>
          <w:color w:val="FFFFFF"/>
        </w:rPr>
        <w:t>In 2023 we shipped nearly 31.8 million interior auto-dimming mirrors, accounting for approximately 35% of light vehicles produced globally. While cameras and displays, led by our Full Display Mirror technology, continue to make headway into the market, our most common competition continues to be non-dimming mirrors (or prismatic mirrors), which we continue to gain ground against each year.</w:t>
      </w:r>
    </w:p>
    <w:p>
      <w:pPr>
        <w:spacing w:after="0" w:line="1214" w:lineRule="exact"/>
        <w:rPr>
          <w:sz w:val="20"/>
          <w:szCs w:val="20"/>
          <w:color w:val="auto"/>
        </w:rPr>
      </w:pPr>
    </w:p>
    <w:p>
      <w:pPr>
        <w:sectPr>
          <w:pgSz w:w="12240" w:h="15840" w:orient="portrait"/>
          <w:cols w:equalWidth="0" w:num="2">
            <w:col w:w="5300" w:space="360"/>
            <w:col w:w="5180"/>
          </w:cols>
          <w:pgMar w:left="580" w:top="454" w:right="8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52" w:type="dxa"/>
        <w:tblCellMar>
          <w:top w:w="0" w:type="dxa"/>
          <w:left w:w="0" w:type="dxa"/>
          <w:bottom w:w="0" w:type="dxa"/>
          <w:right w:w="0" w:type="dxa"/>
        </w:tblCellMar>
      </w:tblPr>
      <w:tr>
        <w:trPr>
          <w:trHeight w:val="1800"/>
        </w:trPr>
        <w:tc>
          <w:tcPr>
            <w:tcW w:w="230" w:type="dxa"/>
            <w:vAlign w:val="bottom"/>
            <w:textDirection w:val="btLr"/>
          </w:tcPr>
          <w:p>
            <w:pPr>
              <w:spacing w:after="0"/>
              <w:rPr>
                <w:sz w:val="20"/>
                <w:szCs w:val="20"/>
                <w:color w:val="auto"/>
              </w:rPr>
            </w:pPr>
            <w:r>
              <w:rPr>
                <w:rFonts w:ascii="Arial" w:cs="Arial" w:eastAsia="Arial" w:hAnsi="Arial"/>
                <w:sz w:val="20"/>
                <w:szCs w:val="20"/>
                <w:b w:val="1"/>
                <w:bCs w:val="1"/>
                <w:color w:val="FFFFFF"/>
              </w:rPr>
              <w:t xml:space="preserve">MIRRORS </w:t>
            </w:r>
            <w:r>
              <w:rPr>
                <w:rFonts w:ascii="Times New Roman" w:cs="Times New Roman" w:eastAsia="Times New Roman" w:hAnsi="Times New Roman"/>
                <w:sz w:val="16"/>
                <w:szCs w:val="16"/>
                <w:color w:val="FFFFFF"/>
              </w:rPr>
              <w:t>(thousands)</w:t>
            </w: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3900"/>
        <w:spacing w:after="0"/>
        <w:rPr>
          <w:sz w:val="20"/>
          <w:szCs w:val="20"/>
          <w:color w:val="auto"/>
        </w:rPr>
      </w:pPr>
      <w:r>
        <w:rPr>
          <w:rFonts w:ascii="Arial" w:cs="Arial" w:eastAsia="Arial" w:hAnsi="Arial"/>
          <w:sz w:val="34"/>
          <w:szCs w:val="34"/>
          <w:color w:val="FFFFFF"/>
        </w:rPr>
        <w:t>Mirror Volumes by Quarter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14,000</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12,000</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10,000</w:t>
      </w:r>
    </w:p>
    <w:p>
      <w:pPr>
        <w:spacing w:after="0" w:line="3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FFFFFF"/>
        </w:rPr>
        <w:t>8,000</w:t>
      </w:r>
    </w:p>
    <w:p>
      <w:pPr>
        <w:spacing w:after="0" w:line="3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FFFFFF"/>
        </w:rPr>
        <w:t>6,000</w:t>
      </w:r>
    </w:p>
    <w:p>
      <w:pPr>
        <w:spacing w:after="0" w:line="3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FFFFFF"/>
        </w:rPr>
        <w:t>4,000</w:t>
      </w:r>
    </w:p>
    <w:p>
      <w:pPr>
        <w:spacing w:after="0" w:line="3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FFFFFF"/>
        </w:rPr>
        <w:t>2,000</w:t>
      </w:r>
    </w:p>
    <w:p>
      <w:pPr>
        <w:spacing w:after="0" w:line="3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FFFFFF"/>
        </w:rPr>
        <w:t>0</w:t>
      </w:r>
    </w:p>
    <w:p>
      <w:pPr>
        <w:spacing w:after="0" w:line="66" w:lineRule="exact"/>
        <w:rPr>
          <w:sz w:val="20"/>
          <w:szCs w:val="20"/>
          <w:color w:val="auto"/>
        </w:rPr>
      </w:pPr>
    </w:p>
    <w:tbl>
      <w:tblPr>
        <w:tblLayout w:type="fixed"/>
        <w:tblInd w:w="1060" w:type="dxa"/>
        <w:tblCellMar>
          <w:top w:w="0" w:type="dxa"/>
          <w:left w:w="0" w:type="dxa"/>
          <w:bottom w:w="0" w:type="dxa"/>
          <w:right w:w="0" w:type="dxa"/>
        </w:tblCellMar>
      </w:tblPr>
      <w:tr>
        <w:trPr>
          <w:trHeight w:val="30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FFFFFF"/>
              </w:rPr>
              <w:t>Q1</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FFFFFF"/>
              </w:rPr>
              <w:t>Q2</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FFFFFF"/>
              </w:rPr>
              <w:t>Q3</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FFFFFF"/>
              </w:rPr>
              <w:t>Q4</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FFFFFF"/>
              </w:rPr>
              <w:t>Q1</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FFFFFF"/>
              </w:rPr>
              <w:t>Q2</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FFFFFF"/>
              </w:rPr>
              <w:t>Q3</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FFFFFF"/>
              </w:rPr>
              <w:t>Q4</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FFFFFF"/>
              </w:rPr>
              <w:t>Q1</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FFFFFF"/>
              </w:rPr>
              <w:t>Q2</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FFFFFF"/>
              </w:rPr>
              <w:t>Q3</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FFFFFF"/>
                <w:w w:val="95"/>
              </w:rPr>
              <w:t>Q4</w:t>
            </w:r>
          </w:p>
        </w:tc>
      </w:tr>
    </w:tbl>
    <w:p>
      <w:pPr>
        <w:jc w:val="right"/>
        <w:ind w:right="1260"/>
        <w:spacing w:after="0" w:line="218" w:lineRule="auto"/>
        <w:rPr>
          <w:sz w:val="20"/>
          <w:szCs w:val="20"/>
          <w:color w:val="auto"/>
        </w:rPr>
      </w:pPr>
      <w:r>
        <w:rPr>
          <w:rFonts w:ascii="Arial" w:cs="Arial" w:eastAsia="Arial" w:hAnsi="Arial"/>
          <w:sz w:val="22"/>
          <w:szCs w:val="22"/>
          <w:b w:val="1"/>
          <w:bCs w:val="1"/>
          <w:color w:val="FFFFFF"/>
        </w:rPr>
        <w:t xml:space="preserve">2021  </w:t>
      </w:r>
      <w:r>
        <w:rPr>
          <w:sz w:val="1"/>
          <w:szCs w:val="1"/>
          <w:color w:val="auto"/>
        </w:rPr>
        <w:drawing>
          <wp:inline distT="0" distB="0" distL="0" distR="0">
            <wp:extent cx="1553210" cy="1054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3210" cy="105410"/>
                    </a:xfrm>
                    <a:prstGeom prst="rect">
                      <a:avLst/>
                    </a:prstGeom>
                    <a:noFill/>
                    <a:ln>
                      <a:noFill/>
                    </a:ln>
                  </pic:spPr>
                </pic:pic>
              </a:graphicData>
            </a:graphic>
          </wp:inline>
        </w:drawing>
      </w:r>
      <w:r>
        <w:rPr>
          <w:rFonts w:ascii="Arial" w:cs="Arial" w:eastAsia="Arial" w:hAnsi="Arial"/>
          <w:sz w:val="22"/>
          <w:szCs w:val="22"/>
          <w:b w:val="1"/>
          <w:bCs w:val="1"/>
          <w:color w:val="FFFFFF"/>
        </w:rPr>
        <w:t xml:space="preserve"> 2022 </w:t>
      </w:r>
      <w:r>
        <w:rPr>
          <w:sz w:val="1"/>
          <w:szCs w:val="1"/>
          <w:color w:val="auto"/>
        </w:rPr>
        <w:drawing>
          <wp:inline distT="0" distB="0" distL="0" distR="0">
            <wp:extent cx="1555750" cy="1054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5750" cy="105410"/>
                    </a:xfrm>
                    <a:prstGeom prst="rect">
                      <a:avLst/>
                    </a:prstGeom>
                    <a:noFill/>
                    <a:ln>
                      <a:noFill/>
                    </a:ln>
                  </pic:spPr>
                </pic:pic>
              </a:graphicData>
            </a:graphic>
          </wp:inline>
        </w:drawing>
      </w:r>
      <w:r>
        <w:rPr>
          <w:rFonts w:ascii="Arial" w:cs="Arial" w:eastAsia="Arial" w:hAnsi="Arial"/>
          <w:sz w:val="22"/>
          <w:szCs w:val="22"/>
          <w:b w:val="1"/>
          <w:bCs w:val="1"/>
          <w:color w:val="FFFFFF"/>
        </w:rPr>
        <w:t xml:space="preserve"> 2023</w:t>
      </w:r>
    </w:p>
    <w:p>
      <w:pPr>
        <w:spacing w:after="0" w:line="173" w:lineRule="exact"/>
        <w:rPr>
          <w:sz w:val="20"/>
          <w:szCs w:val="20"/>
          <w:color w:val="auto"/>
        </w:rPr>
      </w:pPr>
    </w:p>
    <w:p>
      <w:pPr>
        <w:sectPr>
          <w:pgSz w:w="12240" w:h="15840" w:orient="portrait"/>
          <w:cols w:equalWidth="0" w:num="2">
            <w:col w:w="382" w:space="238"/>
            <w:col w:w="10220"/>
          </w:cols>
          <w:pgMar w:left="580" w:top="454" w:right="820" w:bottom="0" w:gutter="0" w:footer="0" w:header="0"/>
          <w:type w:val="continuous"/>
        </w:sectPr>
      </w:pPr>
    </w:p>
    <w:tbl>
      <w:tblPr>
        <w:tblLayout w:type="fixed"/>
        <w:tblInd w:w="1620" w:type="dxa"/>
        <w:tblCellMar>
          <w:top w:w="0" w:type="dxa"/>
          <w:left w:w="0" w:type="dxa"/>
          <w:bottom w:w="0" w:type="dxa"/>
          <w:right w:w="0" w:type="dxa"/>
        </w:tblCellMar>
      </w:tblPr>
      <w:tr>
        <w:trPr>
          <w:trHeight w:val="62"/>
        </w:trPr>
        <w:tc>
          <w:tcPr>
            <w:tcW w:w="2020" w:type="dxa"/>
            <w:vAlign w:val="bottom"/>
            <w:vMerge w:val="restart"/>
          </w:tcPr>
          <w:p>
            <w:pPr>
              <w:spacing w:after="0"/>
              <w:rPr>
                <w:sz w:val="20"/>
                <w:szCs w:val="20"/>
                <w:color w:val="auto"/>
              </w:rPr>
            </w:pPr>
            <w:r>
              <w:rPr>
                <w:rFonts w:ascii="Arial" w:cs="Arial" w:eastAsia="Arial" w:hAnsi="Arial"/>
                <w:sz w:val="22"/>
                <w:szCs w:val="22"/>
                <w:color w:val="FFFFFF"/>
                <w:w w:val="99"/>
              </w:rPr>
              <w:t>Interior Mirrors (IEC)</w:t>
            </w:r>
          </w:p>
        </w:tc>
        <w:tc>
          <w:tcPr>
            <w:tcW w:w="120" w:type="dxa"/>
            <w:vAlign w:val="bottom"/>
          </w:tcPr>
          <w:p>
            <w:pPr>
              <w:spacing w:after="0"/>
              <w:rPr>
                <w:sz w:val="5"/>
                <w:szCs w:val="5"/>
                <w:color w:val="auto"/>
              </w:rPr>
            </w:pPr>
          </w:p>
        </w:tc>
        <w:tc>
          <w:tcPr>
            <w:tcW w:w="1800" w:type="dxa"/>
            <w:vAlign w:val="bottom"/>
            <w:vMerge w:val="restart"/>
          </w:tcPr>
          <w:p>
            <w:pPr>
              <w:ind w:left="120"/>
              <w:spacing w:after="0"/>
              <w:rPr>
                <w:sz w:val="20"/>
                <w:szCs w:val="20"/>
                <w:color w:val="auto"/>
              </w:rPr>
            </w:pPr>
            <w:r>
              <w:rPr>
                <w:rFonts w:ascii="Arial" w:cs="Arial" w:eastAsia="Arial" w:hAnsi="Arial"/>
                <w:sz w:val="19"/>
                <w:szCs w:val="19"/>
                <w:color w:val="FFFFFF"/>
                <w:w w:val="72"/>
              </w:rPr>
              <w:t>OUTSIDE MIRROrs (OEC)</w:t>
            </w:r>
          </w:p>
        </w:tc>
        <w:tc>
          <w:tcPr>
            <w:tcW w:w="0" w:type="dxa"/>
            <w:vAlign w:val="bottom"/>
          </w:tcPr>
          <w:p>
            <w:pPr>
              <w:spacing w:after="0"/>
              <w:rPr>
                <w:sz w:val="1"/>
                <w:szCs w:val="1"/>
                <w:color w:val="auto"/>
              </w:rPr>
            </w:pPr>
          </w:p>
        </w:tc>
      </w:tr>
      <w:tr>
        <w:trPr>
          <w:trHeight w:val="130"/>
        </w:trPr>
        <w:tc>
          <w:tcPr>
            <w:tcW w:w="2020" w:type="dxa"/>
            <w:vAlign w:val="bottom"/>
            <w:vMerge w:val="continue"/>
          </w:tcPr>
          <w:p>
            <w:pPr>
              <w:spacing w:after="0"/>
              <w:rPr>
                <w:sz w:val="11"/>
                <w:szCs w:val="11"/>
                <w:color w:val="auto"/>
              </w:rPr>
            </w:pPr>
          </w:p>
        </w:tc>
        <w:tc>
          <w:tcPr>
            <w:tcW w:w="120" w:type="dxa"/>
            <w:vAlign w:val="bottom"/>
            <w:shd w:val="clear" w:color="auto" w:fill="FB8A38"/>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2240" w:h="15840" w:orient="portrait"/>
          <w:cols w:equalWidth="0" w:num="1">
            <w:col w:w="10840"/>
          </w:cols>
          <w:pgMar w:left="580" w:top="454" w:right="820" w:bottom="0" w:gutter="0" w:footer="0" w:header="0"/>
          <w:type w:val="continuous"/>
        </w:sectPr>
      </w:pPr>
    </w:p>
    <w:p>
      <w:pPr>
        <w:spacing w:after="0" w:line="220" w:lineRule="auto"/>
        <w:tabs>
          <w:tab w:leader="none" w:pos="400" w:val="left"/>
        </w:tabs>
        <w:rPr>
          <w:sz w:val="20"/>
          <w:szCs w:val="20"/>
          <w:color w:val="auto"/>
        </w:rPr>
      </w:pPr>
      <w:r>
        <w:rPr>
          <w:rFonts w:ascii="Arial" w:cs="Arial" w:eastAsia="Arial" w:hAnsi="Arial"/>
          <w:sz w:val="24"/>
          <w:szCs w:val="24"/>
          <w:b w:val="1"/>
          <w:bCs w:val="1"/>
          <w:color w:val="FFFFFF"/>
        </w:rPr>
        <w:t>10</w:t>
      </w:r>
      <w:r>
        <w:rPr>
          <w:sz w:val="20"/>
          <w:szCs w:val="20"/>
          <w:color w:val="auto"/>
        </w:rPr>
        <w:tab/>
      </w:r>
      <w:r>
        <w:rPr>
          <w:rFonts w:ascii="Times New Roman" w:cs="Times New Roman" w:eastAsia="Times New Roman" w:hAnsi="Times New Roman"/>
          <w:sz w:val="10"/>
          <w:szCs w:val="10"/>
          <w:color w:val="FFFFFF"/>
        </w:rPr>
        <w:t>GENTEX CORPORATION</w:t>
      </w:r>
    </w:p>
    <w:p>
      <w:pPr>
        <w:sectPr>
          <w:pgSz w:w="12240" w:h="15840" w:orient="portrait"/>
          <w:cols w:equalWidth="0" w:num="1">
            <w:col w:w="10840"/>
          </w:cols>
          <w:pgMar w:left="580" w:top="454" w:right="820" w:bottom="0" w:gutter="0" w:footer="0" w:header="0"/>
          <w:type w:val="continuous"/>
        </w:sectPr>
      </w:pPr>
    </w:p>
    <w:bookmarkStart w:id="10" w:name="page11"/>
    <w:bookmarkEnd w:id="10"/>
    <w:p>
      <w:pP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LARGE AREA DIMMABLE DEVICES</w:t>
      </w:r>
    </w:p>
    <w:p>
      <w:pPr>
        <w:spacing w:after="0" w:line="262" w:lineRule="exact"/>
        <w:rPr>
          <w:sz w:val="20"/>
          <w:szCs w:val="20"/>
          <w:color w:val="auto"/>
        </w:rPr>
      </w:pPr>
    </w:p>
    <w:p>
      <w:pPr>
        <w:ind w:right="5960"/>
        <w:spacing w:after="0" w:line="356" w:lineRule="auto"/>
        <w:rPr>
          <w:sz w:val="20"/>
          <w:szCs w:val="20"/>
          <w:color w:val="auto"/>
        </w:rPr>
      </w:pPr>
      <w:r>
        <w:rPr>
          <w:rFonts w:ascii="Times New Roman" w:cs="Times New Roman" w:eastAsia="Times New Roman" w:hAnsi="Times New Roman"/>
          <w:sz w:val="17"/>
          <w:szCs w:val="17"/>
          <w:color w:val="auto"/>
        </w:rPr>
        <w:t>Our development of large area dimmable devices continues to progress through critical milestones as we work to develop this product for longevity and performance. With a market focused on panoramic sunroofs, we have been developing a film-based application of our electrochromic technology which we believe will be a critical component in the car, and relevent in either a driver-based or autonomous vehicle. With large area dimmable devices, drivers will be able to completely control cabin lighting for privacy, in-vehicle display contrast, HVAC optimization, and passenger preference. We believe our technology provides superior clarity, darkening, and longevity, while also improving potential aerodynamics of the vehicle by removing the need for movable head liners.</w:t>
      </w:r>
    </w:p>
    <w:p>
      <w:pPr>
        <w:spacing w:after="0" w:line="29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AEROSPACE</w:t>
      </w:r>
    </w:p>
    <w:p>
      <w:pPr>
        <w:spacing w:after="0" w:line="262" w:lineRule="exact"/>
        <w:rPr>
          <w:sz w:val="20"/>
          <w:szCs w:val="20"/>
          <w:color w:val="auto"/>
        </w:rPr>
      </w:pPr>
    </w:p>
    <w:p>
      <w:pPr>
        <w:ind w:right="5800"/>
        <w:spacing w:after="0" w:line="366" w:lineRule="auto"/>
        <w:rPr>
          <w:sz w:val="20"/>
          <w:szCs w:val="20"/>
          <w:color w:val="auto"/>
        </w:rPr>
      </w:pPr>
      <w:r>
        <w:rPr>
          <w:rFonts w:ascii="Times New Roman" w:cs="Times New Roman" w:eastAsia="Times New Roman" w:hAnsi="Times New Roman"/>
          <w:sz w:val="17"/>
          <w:szCs w:val="17"/>
          <w:color w:val="auto"/>
        </w:rPr>
        <w:t>Within the aerospace market, our dimmable windows are an exceptional alternative to manual shades, and improve the aesthetics, performance, and reliability of the cabin windows. Our relationships and opportunities with Boeing and Airbus continue to expand. We believe that our product portfolio and technological approach to solving problems will help us add additional value for our aerospace customers. Our dimmable windows are now available on the Boeing 787, 777x, and Airbus A350.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 xml:space="preserve">MIRROR VOLUMES </w:t>
      </w:r>
      <w:r>
        <w:rPr>
          <w:rFonts w:ascii="Arial" w:cs="Arial" w:eastAsia="Arial" w:hAnsi="Arial"/>
          <w:sz w:val="18"/>
          <w:szCs w:val="18"/>
          <w:i w:val="1"/>
          <w:iCs w:val="1"/>
          <w:color w:val="auto"/>
        </w:rPr>
        <w:t>(thousands)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2580" w:type="dxa"/>
            <w:vAlign w:val="bottom"/>
          </w:tcPr>
          <w:p>
            <w:pPr>
              <w:spacing w:after="0"/>
              <w:rPr>
                <w:sz w:val="24"/>
                <w:szCs w:val="24"/>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345"/>
        </w:trPr>
        <w:tc>
          <w:tcPr>
            <w:tcW w:w="2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North American Interior Mirrors</w:t>
            </w:r>
          </w:p>
        </w:tc>
        <w:tc>
          <w:tcPr>
            <w:tcW w:w="110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8,384</w:t>
            </w:r>
          </w:p>
        </w:tc>
        <w:tc>
          <w:tcPr>
            <w:tcW w:w="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8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40"/>
        </w:trPr>
        <w:tc>
          <w:tcPr>
            <w:tcW w:w="2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North American Exterior Mirrors</w:t>
            </w:r>
          </w:p>
        </w:tc>
        <w:tc>
          <w:tcPr>
            <w:tcW w:w="110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5,986</w:t>
            </w:r>
          </w:p>
        </w:tc>
        <w:tc>
          <w:tcPr>
            <w:tcW w:w="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8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40"/>
        </w:trPr>
        <w:tc>
          <w:tcPr>
            <w:tcW w:w="2580" w:type="dxa"/>
            <w:vAlign w:val="bottom"/>
          </w:tcPr>
          <w:p>
            <w:pPr>
              <w:spacing w:after="0"/>
              <w:rPr>
                <w:sz w:val="20"/>
                <w:szCs w:val="20"/>
                <w:color w:val="auto"/>
              </w:rPr>
            </w:pPr>
            <w:r>
              <w:rPr>
                <w:rFonts w:ascii="Arial" w:cs="Arial" w:eastAsia="Arial" w:hAnsi="Arial"/>
                <w:sz w:val="18"/>
                <w:szCs w:val="18"/>
                <w:b w:val="1"/>
                <w:bCs w:val="1"/>
                <w:color w:val="808080"/>
              </w:rPr>
              <w:t>TOTAL NORTH AMERICAN</w:t>
            </w:r>
          </w:p>
        </w:tc>
        <w:tc>
          <w:tcPr>
            <w:tcW w:w="11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14,369</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15,993</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1"/>
        </w:trPr>
        <w:tc>
          <w:tcPr>
            <w:tcW w:w="2580" w:type="dxa"/>
            <w:vAlign w:val="bottom"/>
          </w:tcPr>
          <w:p>
            <w:pPr>
              <w:spacing w:after="0"/>
              <w:rPr>
                <w:sz w:val="20"/>
                <w:szCs w:val="20"/>
                <w:color w:val="auto"/>
              </w:rPr>
            </w:pPr>
            <w:r>
              <w:rPr>
                <w:rFonts w:ascii="Arial" w:cs="Arial" w:eastAsia="Arial" w:hAnsi="Arial"/>
                <w:sz w:val="18"/>
                <w:szCs w:val="18"/>
                <w:b w:val="1"/>
                <w:bCs w:val="1"/>
                <w:color w:val="808080"/>
              </w:rPr>
              <w:t>MIRROR UNITS</w:t>
            </w:r>
          </w:p>
        </w:tc>
        <w:tc>
          <w:tcPr>
            <w:tcW w:w="110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5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0"/>
        </w:trPr>
        <w:tc>
          <w:tcPr>
            <w:tcW w:w="2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International Interior Mirrors</w:t>
            </w:r>
          </w:p>
        </w:tc>
        <w:tc>
          <w:tcPr>
            <w:tcW w:w="110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20,303</w:t>
            </w:r>
          </w:p>
        </w:tc>
        <w:tc>
          <w:tcPr>
            <w:tcW w:w="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22,554</w:t>
            </w:r>
          </w:p>
        </w:tc>
        <w:tc>
          <w:tcPr>
            <w:tcW w:w="8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40"/>
        </w:trPr>
        <w:tc>
          <w:tcPr>
            <w:tcW w:w="2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International Exterior Mirrors</w:t>
            </w:r>
          </w:p>
        </w:tc>
        <w:tc>
          <w:tcPr>
            <w:tcW w:w="110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9,516</w:t>
            </w:r>
          </w:p>
        </w:tc>
        <w:tc>
          <w:tcPr>
            <w:tcW w:w="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12,048</w:t>
            </w:r>
          </w:p>
        </w:tc>
        <w:tc>
          <w:tcPr>
            <w:tcW w:w="8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40"/>
        </w:trPr>
        <w:tc>
          <w:tcPr>
            <w:tcW w:w="2580" w:type="dxa"/>
            <w:vAlign w:val="bottom"/>
          </w:tcPr>
          <w:p>
            <w:pPr>
              <w:spacing w:after="0"/>
              <w:rPr>
                <w:sz w:val="20"/>
                <w:szCs w:val="20"/>
                <w:color w:val="auto"/>
              </w:rPr>
            </w:pPr>
            <w:r>
              <w:rPr>
                <w:rFonts w:ascii="Arial" w:cs="Arial" w:eastAsia="Arial" w:hAnsi="Arial"/>
                <w:sz w:val="18"/>
                <w:szCs w:val="18"/>
                <w:b w:val="1"/>
                <w:bCs w:val="1"/>
                <w:color w:val="808080"/>
              </w:rPr>
              <w:t>TOTAL INTERNATIONAL</w:t>
            </w:r>
          </w:p>
        </w:tc>
        <w:tc>
          <w:tcPr>
            <w:tcW w:w="11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29,819</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34,602</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1"/>
        </w:trPr>
        <w:tc>
          <w:tcPr>
            <w:tcW w:w="2580" w:type="dxa"/>
            <w:vAlign w:val="bottom"/>
          </w:tcPr>
          <w:p>
            <w:pPr>
              <w:spacing w:after="0"/>
              <w:rPr>
                <w:sz w:val="20"/>
                <w:szCs w:val="20"/>
                <w:color w:val="auto"/>
              </w:rPr>
            </w:pPr>
            <w:r>
              <w:rPr>
                <w:rFonts w:ascii="Arial" w:cs="Arial" w:eastAsia="Arial" w:hAnsi="Arial"/>
                <w:sz w:val="18"/>
                <w:szCs w:val="18"/>
                <w:b w:val="1"/>
                <w:bCs w:val="1"/>
                <w:color w:val="808080"/>
              </w:rPr>
              <w:t>MIRROR UNITS</w:t>
            </w:r>
          </w:p>
        </w:tc>
        <w:tc>
          <w:tcPr>
            <w:tcW w:w="110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5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0"/>
        </w:trPr>
        <w:tc>
          <w:tcPr>
            <w:tcW w:w="2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Total Interior Mirrors</w:t>
            </w:r>
          </w:p>
        </w:tc>
        <w:tc>
          <w:tcPr>
            <w:tcW w:w="110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28,686</w:t>
            </w:r>
          </w:p>
        </w:tc>
        <w:tc>
          <w:tcPr>
            <w:tcW w:w="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31,767</w:t>
            </w:r>
          </w:p>
        </w:tc>
        <w:tc>
          <w:tcPr>
            <w:tcW w:w="8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55"/>
        </w:trPr>
        <w:tc>
          <w:tcPr>
            <w:tcW w:w="2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Total Exterior Mirrors</w:t>
            </w:r>
          </w:p>
        </w:tc>
        <w:tc>
          <w:tcPr>
            <w:tcW w:w="1100" w:type="dxa"/>
            <w:vAlign w:val="bottom"/>
            <w:tcBorders>
              <w:bottom w:val="single" w:sz="8" w:color="4CA5CD"/>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15,502</w:t>
            </w:r>
          </w:p>
        </w:tc>
        <w:tc>
          <w:tcPr>
            <w:tcW w:w="7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18,828</w:t>
            </w:r>
          </w:p>
        </w:tc>
        <w:tc>
          <w:tcPr>
            <w:tcW w:w="8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27"/>
        </w:trPr>
        <w:tc>
          <w:tcPr>
            <w:tcW w:w="2580" w:type="dxa"/>
            <w:vAlign w:val="bottom"/>
          </w:tcPr>
          <w:p>
            <w:pPr>
              <w:spacing w:after="0"/>
              <w:rPr>
                <w:sz w:val="20"/>
                <w:szCs w:val="20"/>
                <w:color w:val="auto"/>
              </w:rPr>
            </w:pPr>
            <w:r>
              <w:rPr>
                <w:rFonts w:ascii="Arial" w:cs="Arial" w:eastAsia="Arial" w:hAnsi="Arial"/>
                <w:sz w:val="18"/>
                <w:szCs w:val="18"/>
                <w:b w:val="1"/>
                <w:bCs w:val="1"/>
                <w:color w:val="808080"/>
              </w:rPr>
              <w:t>TOTAL AUTO-DIMMING</w:t>
            </w:r>
          </w:p>
        </w:tc>
        <w:tc>
          <w:tcPr>
            <w:tcW w:w="11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44,188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50,596</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1"/>
        </w:trPr>
        <w:tc>
          <w:tcPr>
            <w:tcW w:w="2580" w:type="dxa"/>
            <w:vAlign w:val="bottom"/>
          </w:tcPr>
          <w:p>
            <w:pPr>
              <w:spacing w:after="0"/>
              <w:rPr>
                <w:sz w:val="20"/>
                <w:szCs w:val="20"/>
                <w:color w:val="auto"/>
              </w:rPr>
            </w:pPr>
            <w:r>
              <w:rPr>
                <w:rFonts w:ascii="Arial" w:cs="Arial" w:eastAsia="Arial" w:hAnsi="Arial"/>
                <w:sz w:val="18"/>
                <w:szCs w:val="18"/>
                <w:b w:val="1"/>
                <w:bCs w:val="1"/>
                <w:color w:val="808080"/>
              </w:rPr>
              <w:t>MIRROR UNITS</w:t>
            </w:r>
          </w:p>
        </w:tc>
        <w:tc>
          <w:tcPr>
            <w:tcW w:w="110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940"/>
          </w:cols>
          <w:pgMar w:left="720" w:top="1362" w:right="580" w:bottom="0" w:gutter="0" w:footer="0" w:header="0"/>
        </w:sectPr>
      </w:pPr>
    </w:p>
    <w:p>
      <w:pPr>
        <w:spacing w:after="0" w:line="200" w:lineRule="exact"/>
        <w:rPr>
          <w:sz w:val="20"/>
          <w:szCs w:val="20"/>
          <w:color w:val="auto"/>
        </w:rPr>
      </w:pPr>
    </w:p>
    <w:p>
      <w:pPr>
        <w:spacing w:after="0" w:line="213" w:lineRule="exact"/>
        <w:rPr>
          <w:sz w:val="20"/>
          <w:szCs w:val="20"/>
          <w:color w:val="auto"/>
        </w:rPr>
      </w:pPr>
    </w:p>
    <w:p>
      <w:pPr>
        <w:ind w:left="9220"/>
        <w:spacing w:after="0"/>
        <w:tabs>
          <w:tab w:leader="none" w:pos="1078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11</w:t>
      </w:r>
    </w:p>
    <w:p>
      <w:pPr>
        <w:sectPr>
          <w:pgSz w:w="12240" w:h="15840" w:orient="portrait"/>
          <w:cols w:equalWidth="0" w:num="1">
            <w:col w:w="10940"/>
          </w:cols>
          <w:pgMar w:left="720" w:top="1362" w:right="580" w:bottom="0" w:gutter="0" w:footer="0" w:header="0"/>
          <w:type w:val="continuous"/>
        </w:sectPr>
      </w:pPr>
    </w:p>
    <w:bookmarkStart w:id="11" w:name="page12"/>
    <w:bookmarkEnd w:id="11"/>
    <w:p>
      <w:pPr>
        <w:ind w:left="94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DIGITAL VISION</w:t>
      </w:r>
    </w:p>
    <w:p>
      <w:pPr>
        <w:spacing w:after="0" w:line="200" w:lineRule="exact"/>
        <w:rPr>
          <w:sz w:val="20"/>
          <w:szCs w:val="20"/>
          <w:color w:val="auto"/>
        </w:rPr>
      </w:pPr>
    </w:p>
    <w:p>
      <w:pPr>
        <w:spacing w:after="0" w:line="357" w:lineRule="exact"/>
        <w:rPr>
          <w:sz w:val="20"/>
          <w:szCs w:val="20"/>
          <w:color w:val="auto"/>
        </w:rPr>
      </w:pPr>
    </w:p>
    <w:p>
      <w:pPr>
        <w:ind w:left="740" w:right="5160"/>
        <w:spacing w:after="0" w:line="297" w:lineRule="auto"/>
        <w:rPr>
          <w:sz w:val="20"/>
          <w:szCs w:val="20"/>
          <w:color w:val="auto"/>
        </w:rPr>
      </w:pPr>
      <w:r>
        <w:rPr>
          <w:rFonts w:ascii="Arial" w:cs="Arial" w:eastAsia="Arial" w:hAnsi="Arial"/>
          <w:sz w:val="45"/>
          <w:szCs w:val="45"/>
          <w:color w:val="auto"/>
        </w:rPr>
        <w:t>The combination of cameras, displays, and mirrors continues to provide a significant growth path for Gentex technology.</w:t>
      </w:r>
    </w:p>
    <w:p>
      <w:pPr>
        <w:spacing w:after="0" w:line="229" w:lineRule="exact"/>
        <w:rPr>
          <w:sz w:val="20"/>
          <w:szCs w:val="20"/>
          <w:color w:val="auto"/>
        </w:rPr>
      </w:pPr>
    </w:p>
    <w:p>
      <w:pPr>
        <w:ind w:left="740" w:right="5400"/>
        <w:spacing w:after="0" w:line="352" w:lineRule="auto"/>
        <w:rPr>
          <w:sz w:val="20"/>
          <w:szCs w:val="20"/>
          <w:color w:val="auto"/>
        </w:rPr>
      </w:pPr>
      <w:r>
        <w:rPr>
          <w:rFonts w:ascii="Times New Roman" w:cs="Times New Roman" w:eastAsia="Times New Roman" w:hAnsi="Times New Roman"/>
          <w:sz w:val="18"/>
          <w:szCs w:val="18"/>
          <w:color w:val="auto"/>
        </w:rPr>
        <w:t>In 2023, our Full Display Mirror continued to show significant growth into the automotive market. Available on more than 100 nameplates at 15 different OEMs, FDM accounted for 2.44M of the 31.8M interior auto-dimming mirrors we shipped in 2023. Despite being less than less than 10% of our interior mirror volume, FDM accounts for more than 20% of Gentex’s revenues.</w:t>
      </w:r>
    </w:p>
    <w:p>
      <w:pPr>
        <w:spacing w:after="0" w:line="63" w:lineRule="exact"/>
        <w:rPr>
          <w:sz w:val="20"/>
          <w:szCs w:val="20"/>
          <w:color w:val="auto"/>
        </w:rPr>
      </w:pPr>
    </w:p>
    <w:p>
      <w:pPr>
        <w:ind w:left="740" w:right="5540"/>
        <w:spacing w:after="0" w:line="362" w:lineRule="auto"/>
        <w:rPr>
          <w:sz w:val="20"/>
          <w:szCs w:val="20"/>
          <w:color w:val="auto"/>
        </w:rPr>
      </w:pPr>
      <w:r>
        <w:rPr>
          <w:rFonts w:ascii="Times New Roman" w:cs="Times New Roman" w:eastAsia="Times New Roman" w:hAnsi="Times New Roman"/>
          <w:sz w:val="18"/>
          <w:szCs w:val="18"/>
          <w:color w:val="auto"/>
        </w:rPr>
        <w:t>FDM continues to be favorably received by drivers and manufacturers alike, and continues to launch on additional nameplates and trim packages at nearly every OEM where it is available. It drives significant revenue for Gentex, as well as for our customers, while providing unrivaled rearward visibility for drivers.</w:t>
      </w:r>
    </w:p>
    <w:p>
      <w:pPr>
        <w:spacing w:after="0" w:line="200" w:lineRule="exact"/>
        <w:rPr>
          <w:sz w:val="20"/>
          <w:szCs w:val="20"/>
          <w:color w:val="auto"/>
        </w:rPr>
      </w:pPr>
    </w:p>
    <w:p>
      <w:pPr>
        <w:spacing w:after="0" w:line="351" w:lineRule="exact"/>
        <w:rPr>
          <w:sz w:val="20"/>
          <w:szCs w:val="20"/>
          <w:color w:val="auto"/>
        </w:rPr>
      </w:pPr>
    </w:p>
    <w:p>
      <w:pPr>
        <w:jc w:val="right"/>
        <w:ind w:right="3920"/>
        <w:spacing w:after="0"/>
        <w:rPr>
          <w:sz w:val="20"/>
          <w:szCs w:val="20"/>
          <w:color w:val="auto"/>
        </w:rPr>
      </w:pPr>
      <w:r>
        <w:rPr>
          <w:rFonts w:ascii="Arial" w:cs="Arial" w:eastAsia="Arial" w:hAnsi="Arial"/>
          <w:sz w:val="28"/>
          <w:szCs w:val="28"/>
          <w:b w:val="1"/>
          <w:bCs w:val="1"/>
          <w:color w:val="auto"/>
          <w:shd w:val="clear" w:color="auto" w:fill="E5E5E5"/>
        </w:rPr>
        <w:t>HISTORICAL FDM LAUNCH TIMELINE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7"/>
          </w:tcPr>
          <w:p>
            <w:pPr>
              <w:jc w:val="right"/>
              <w:ind w:right="20"/>
              <w:spacing w:after="0"/>
              <w:rPr>
                <w:sz w:val="20"/>
                <w:szCs w:val="20"/>
                <w:color w:val="auto"/>
              </w:rPr>
            </w:pPr>
            <w:r>
              <w:rPr>
                <w:rFonts w:ascii="Arial" w:cs="Arial" w:eastAsia="Arial" w:hAnsi="Arial"/>
                <w:sz w:val="18"/>
                <w:szCs w:val="18"/>
                <w:b w:val="1"/>
                <w:bCs w:val="1"/>
                <w:color w:val="auto"/>
                <w:w w:val="95"/>
              </w:rPr>
              <w:t>TOYOTA</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gridSpan w:val="13"/>
          </w:tcPr>
          <w:p>
            <w:pPr>
              <w:jc w:val="center"/>
              <w:ind w:right="240"/>
              <w:spacing w:after="0"/>
              <w:rPr>
                <w:sz w:val="20"/>
                <w:szCs w:val="20"/>
                <w:color w:val="auto"/>
              </w:rPr>
            </w:pPr>
            <w:r>
              <w:rPr>
                <w:rFonts w:ascii="Arial" w:cs="Arial" w:eastAsia="Arial" w:hAnsi="Arial"/>
                <w:sz w:val="18"/>
                <w:szCs w:val="18"/>
                <w:b w:val="1"/>
                <w:bCs w:val="1"/>
                <w:color w:val="auto"/>
                <w:w w:val="90"/>
              </w:rPr>
              <w:t>MERCEDES</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45"/>
        </w:trPr>
        <w:tc>
          <w:tcPr>
            <w:tcW w:w="1280" w:type="dxa"/>
            <w:vAlign w:val="bottom"/>
          </w:tcPr>
          <w:p>
            <w:pPr>
              <w:spacing w:after="0"/>
              <w:rPr>
                <w:sz w:val="21"/>
                <w:szCs w:val="21"/>
                <w:color w:val="auto"/>
              </w:rPr>
            </w:pPr>
          </w:p>
        </w:tc>
        <w:tc>
          <w:tcPr>
            <w:tcW w:w="13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GM</w:t>
            </w:r>
          </w:p>
        </w:tc>
        <w:tc>
          <w:tcPr>
            <w:tcW w:w="1600" w:type="dxa"/>
            <w:vAlign w:val="bottom"/>
            <w:tcBorders>
              <w:right w:val="single" w:sz="8" w:color="auto"/>
            </w:tcBorders>
            <w:gridSpan w:val="8"/>
          </w:tcPr>
          <w:p>
            <w:pPr>
              <w:ind w:left="660"/>
              <w:spacing w:after="0"/>
              <w:rPr>
                <w:sz w:val="20"/>
                <w:szCs w:val="20"/>
                <w:color w:val="auto"/>
              </w:rPr>
            </w:pPr>
            <w:r>
              <w:rPr>
                <w:rFonts w:ascii="Arial" w:cs="Arial" w:eastAsia="Arial" w:hAnsi="Arial"/>
                <w:sz w:val="18"/>
                <w:szCs w:val="18"/>
                <w:b w:val="1"/>
                <w:bCs w:val="1"/>
                <w:color w:val="auto"/>
              </w:rPr>
              <w:t>SUBARU</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4"/>
          </w:tcPr>
          <w:p>
            <w:pPr>
              <w:ind w:left="440"/>
              <w:spacing w:after="0"/>
              <w:rPr>
                <w:sz w:val="20"/>
                <w:szCs w:val="20"/>
                <w:color w:val="auto"/>
              </w:rPr>
            </w:pPr>
            <w:r>
              <w:rPr>
                <w:rFonts w:ascii="Arial" w:cs="Arial" w:eastAsia="Arial" w:hAnsi="Arial"/>
                <w:sz w:val="18"/>
                <w:szCs w:val="18"/>
                <w:b w:val="1"/>
                <w:bCs w:val="1"/>
                <w:color w:val="auto"/>
                <w:w w:val="92"/>
              </w:rPr>
              <w:t>ASTON MARTIN</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gridSpan w:val="4"/>
          </w:tcPr>
          <w:p>
            <w:pPr>
              <w:ind w:left="300"/>
              <w:spacing w:after="0"/>
              <w:rPr>
                <w:sz w:val="20"/>
                <w:szCs w:val="20"/>
                <w:color w:val="auto"/>
              </w:rPr>
            </w:pPr>
            <w:r>
              <w:rPr>
                <w:rFonts w:ascii="Arial" w:cs="Arial" w:eastAsia="Arial" w:hAnsi="Arial"/>
                <w:sz w:val="18"/>
                <w:szCs w:val="18"/>
                <w:b w:val="1"/>
                <w:bCs w:val="1"/>
                <w:color w:val="auto"/>
                <w:w w:val="97"/>
              </w:rPr>
              <w:t>RAM</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9"/>
              </w:rPr>
              <w:t>FIAT</w:t>
            </w:r>
          </w:p>
        </w:tc>
        <w:tc>
          <w:tcPr>
            <w:tcW w:w="280" w:type="dxa"/>
            <w:vAlign w:val="bottom"/>
          </w:tcPr>
          <w:p>
            <w:pPr>
              <w:spacing w:after="0"/>
              <w:rPr>
                <w:sz w:val="21"/>
                <w:szCs w:val="21"/>
                <w:color w:val="auto"/>
              </w:rPr>
            </w:pPr>
          </w:p>
        </w:tc>
        <w:tc>
          <w:tcPr>
            <w:tcW w:w="1820" w:type="dxa"/>
            <w:vAlign w:val="bottom"/>
            <w:gridSpan w:val="9"/>
          </w:tcPr>
          <w:p>
            <w:pPr>
              <w:ind w:left="80"/>
              <w:spacing w:after="0"/>
              <w:rPr>
                <w:sz w:val="20"/>
                <w:szCs w:val="20"/>
                <w:color w:val="auto"/>
              </w:rPr>
            </w:pPr>
            <w:r>
              <w:rPr>
                <w:rFonts w:ascii="Arial" w:cs="Arial" w:eastAsia="Arial" w:hAnsi="Arial"/>
                <w:sz w:val="18"/>
                <w:szCs w:val="18"/>
                <w:b w:val="1"/>
                <w:bCs w:val="1"/>
                <w:color w:val="auto"/>
              </w:rPr>
              <w:t>HYUNDAI / KIA</w:t>
            </w:r>
          </w:p>
        </w:tc>
        <w:tc>
          <w:tcPr>
            <w:tcW w:w="1340" w:type="dxa"/>
            <w:vAlign w:val="bottom"/>
          </w:tcPr>
          <w:p>
            <w:pPr>
              <w:spacing w:after="0"/>
              <w:rPr>
                <w:sz w:val="21"/>
                <w:szCs w:val="21"/>
                <w:color w:val="auto"/>
              </w:rPr>
            </w:pPr>
          </w:p>
        </w:tc>
      </w:tr>
      <w:tr>
        <w:trPr>
          <w:trHeight w:val="23"/>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62"/>
        </w:trPr>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0"/>
        </w:trPr>
        <w:tc>
          <w:tcPr>
            <w:tcW w:w="1280" w:type="dxa"/>
            <w:vAlign w:val="bottom"/>
            <w:shd w:val="clear" w:color="auto" w:fill="000000"/>
          </w:tcPr>
          <w:p>
            <w:pPr>
              <w:jc w:val="right"/>
              <w:ind w:right="110"/>
              <w:spacing w:after="0"/>
              <w:rPr>
                <w:sz w:val="20"/>
                <w:szCs w:val="20"/>
                <w:color w:val="auto"/>
              </w:rPr>
            </w:pPr>
            <w:r>
              <w:rPr>
                <w:rFonts w:ascii="Times New Roman" w:cs="Times New Roman" w:eastAsia="Times New Roman" w:hAnsi="Times New Roman"/>
                <w:sz w:val="18"/>
                <w:szCs w:val="18"/>
                <w:b w:val="1"/>
                <w:bCs w:val="1"/>
                <w:color w:val="FFFFFF"/>
              </w:rPr>
              <w:t>2015</w:t>
            </w:r>
          </w:p>
        </w:tc>
        <w:tc>
          <w:tcPr>
            <w:tcW w:w="260" w:type="dxa"/>
            <w:vAlign w:val="bottom"/>
            <w:shd w:val="clear" w:color="auto" w:fill="000000"/>
          </w:tcPr>
          <w:p>
            <w:pPr>
              <w:spacing w:after="0"/>
              <w:rPr>
                <w:sz w:val="19"/>
                <w:szCs w:val="19"/>
                <w:color w:val="auto"/>
              </w:rPr>
            </w:pPr>
          </w:p>
        </w:tc>
        <w:tc>
          <w:tcPr>
            <w:tcW w:w="100" w:type="dxa"/>
            <w:vAlign w:val="bottom"/>
            <w:tcBorders>
              <w:right w:val="single" w:sz="8" w:color="auto"/>
            </w:tcBorders>
            <w:shd w:val="clear" w:color="auto" w:fill="000000"/>
          </w:tcPr>
          <w:p>
            <w:pPr>
              <w:spacing w:after="0"/>
              <w:rPr>
                <w:sz w:val="19"/>
                <w:szCs w:val="19"/>
                <w:color w:val="auto"/>
              </w:rPr>
            </w:pPr>
          </w:p>
        </w:tc>
        <w:tc>
          <w:tcPr>
            <w:tcW w:w="1000" w:type="dxa"/>
            <w:vAlign w:val="bottom"/>
            <w:gridSpan w:val="2"/>
            <w:shd w:val="clear" w:color="auto" w:fill="000000"/>
          </w:tcPr>
          <w:p>
            <w:pPr>
              <w:jc w:val="right"/>
              <w:ind w:right="400"/>
              <w:spacing w:after="0"/>
              <w:rPr>
                <w:sz w:val="20"/>
                <w:szCs w:val="20"/>
                <w:color w:val="auto"/>
              </w:rPr>
            </w:pPr>
            <w:r>
              <w:rPr>
                <w:rFonts w:ascii="Times New Roman" w:cs="Times New Roman" w:eastAsia="Times New Roman" w:hAnsi="Times New Roman"/>
                <w:sz w:val="18"/>
                <w:szCs w:val="18"/>
                <w:b w:val="1"/>
                <w:bCs w:val="1"/>
                <w:color w:val="FFFFFF"/>
              </w:rPr>
              <w:t>2016</w:t>
            </w:r>
          </w:p>
        </w:tc>
        <w:tc>
          <w:tcPr>
            <w:tcW w:w="920" w:type="dxa"/>
            <w:vAlign w:val="bottom"/>
            <w:shd w:val="clear" w:color="auto" w:fill="000000"/>
          </w:tcPr>
          <w:p>
            <w:pPr>
              <w:jc w:val="right"/>
              <w:ind w:right="70"/>
              <w:spacing w:after="0"/>
              <w:rPr>
                <w:sz w:val="20"/>
                <w:szCs w:val="20"/>
                <w:color w:val="auto"/>
              </w:rPr>
            </w:pPr>
            <w:r>
              <w:rPr>
                <w:rFonts w:ascii="Times New Roman" w:cs="Times New Roman" w:eastAsia="Times New Roman" w:hAnsi="Times New Roman"/>
                <w:sz w:val="18"/>
                <w:szCs w:val="18"/>
                <w:b w:val="1"/>
                <w:bCs w:val="1"/>
                <w:color w:val="FFFFFF"/>
              </w:rPr>
              <w:t>2017</w:t>
            </w:r>
          </w:p>
        </w:tc>
        <w:tc>
          <w:tcPr>
            <w:tcW w:w="100" w:type="dxa"/>
            <w:vAlign w:val="bottom"/>
            <w:tcBorders>
              <w:right w:val="single" w:sz="8" w:color="auto"/>
            </w:tcBorders>
            <w:shd w:val="clear" w:color="auto" w:fill="000000"/>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100" w:type="dxa"/>
            <w:vAlign w:val="bottom"/>
            <w:shd w:val="clear" w:color="auto" w:fill="000000"/>
          </w:tcPr>
          <w:p>
            <w:pPr>
              <w:spacing w:after="0"/>
              <w:rPr>
                <w:sz w:val="19"/>
                <w:szCs w:val="19"/>
                <w:color w:val="auto"/>
              </w:rPr>
            </w:pPr>
          </w:p>
        </w:tc>
        <w:tc>
          <w:tcPr>
            <w:tcW w:w="120" w:type="dxa"/>
            <w:vAlign w:val="bottom"/>
            <w:tcBorders>
              <w:right w:val="single" w:sz="8" w:color="auto"/>
            </w:tcBorders>
            <w:shd w:val="clear" w:color="auto" w:fill="000000"/>
          </w:tcPr>
          <w:p>
            <w:pPr>
              <w:spacing w:after="0"/>
              <w:rPr>
                <w:sz w:val="19"/>
                <w:szCs w:val="19"/>
                <w:color w:val="auto"/>
              </w:rPr>
            </w:pPr>
          </w:p>
        </w:tc>
        <w:tc>
          <w:tcPr>
            <w:tcW w:w="60" w:type="dxa"/>
            <w:vAlign w:val="bottom"/>
            <w:shd w:val="clear" w:color="auto" w:fill="000000"/>
          </w:tcPr>
          <w:p>
            <w:pPr>
              <w:spacing w:after="0"/>
              <w:rPr>
                <w:sz w:val="19"/>
                <w:szCs w:val="19"/>
                <w:color w:val="auto"/>
              </w:rPr>
            </w:pPr>
          </w:p>
        </w:tc>
        <w:tc>
          <w:tcPr>
            <w:tcW w:w="120" w:type="dxa"/>
            <w:vAlign w:val="bottom"/>
            <w:shd w:val="clear" w:color="auto" w:fill="000000"/>
          </w:tcPr>
          <w:p>
            <w:pPr>
              <w:spacing w:after="0"/>
              <w:rPr>
                <w:sz w:val="19"/>
                <w:szCs w:val="19"/>
                <w:color w:val="auto"/>
              </w:rPr>
            </w:pPr>
          </w:p>
        </w:tc>
        <w:tc>
          <w:tcPr>
            <w:tcW w:w="100" w:type="dxa"/>
            <w:vAlign w:val="bottom"/>
            <w:tcBorders>
              <w:right w:val="single" w:sz="8" w:color="auto"/>
            </w:tcBorders>
            <w:shd w:val="clear" w:color="auto" w:fill="000000"/>
          </w:tcPr>
          <w:p>
            <w:pPr>
              <w:spacing w:after="0"/>
              <w:rPr>
                <w:sz w:val="19"/>
                <w:szCs w:val="19"/>
                <w:color w:val="auto"/>
              </w:rPr>
            </w:pPr>
          </w:p>
        </w:tc>
        <w:tc>
          <w:tcPr>
            <w:tcW w:w="360" w:type="dxa"/>
            <w:vAlign w:val="bottom"/>
            <w:tcBorders>
              <w:right w:val="single" w:sz="8" w:color="auto"/>
            </w:tcBorders>
            <w:gridSpan w:val="3"/>
            <w:shd w:val="clear" w:color="auto" w:fill="000000"/>
          </w:tcPr>
          <w:p>
            <w:pPr>
              <w:jc w:val="right"/>
              <w:ind w:right="80"/>
              <w:spacing w:after="0"/>
              <w:rPr>
                <w:sz w:val="20"/>
                <w:szCs w:val="20"/>
                <w:color w:val="auto"/>
              </w:rPr>
            </w:pPr>
            <w:r>
              <w:rPr>
                <w:rFonts w:ascii="Times New Roman" w:cs="Times New Roman" w:eastAsia="Times New Roman" w:hAnsi="Times New Roman"/>
                <w:sz w:val="18"/>
                <w:szCs w:val="18"/>
                <w:b w:val="1"/>
                <w:bCs w:val="1"/>
                <w:color w:val="FFFFFF"/>
                <w:w w:val="72"/>
              </w:rPr>
              <w:t>2018</w:t>
            </w:r>
          </w:p>
        </w:tc>
        <w:tc>
          <w:tcPr>
            <w:tcW w:w="1100" w:type="dxa"/>
            <w:vAlign w:val="bottom"/>
            <w:tcBorders>
              <w:right w:val="single" w:sz="8" w:color="auto"/>
            </w:tcBorders>
            <w:gridSpan w:val="2"/>
            <w:shd w:val="clear" w:color="auto" w:fill="000000"/>
          </w:tcPr>
          <w:p>
            <w:pPr>
              <w:jc w:val="right"/>
              <w:ind w:right="20"/>
              <w:spacing w:after="0"/>
              <w:rPr>
                <w:sz w:val="20"/>
                <w:szCs w:val="20"/>
                <w:color w:val="auto"/>
              </w:rPr>
            </w:pPr>
            <w:r>
              <w:rPr>
                <w:rFonts w:ascii="Times New Roman" w:cs="Times New Roman" w:eastAsia="Times New Roman" w:hAnsi="Times New Roman"/>
                <w:sz w:val="18"/>
                <w:szCs w:val="18"/>
                <w:b w:val="1"/>
                <w:bCs w:val="1"/>
                <w:color w:val="FFFFFF"/>
              </w:rPr>
              <w:t>2019</w:t>
            </w:r>
          </w:p>
        </w:tc>
        <w:tc>
          <w:tcPr>
            <w:tcW w:w="60" w:type="dxa"/>
            <w:vAlign w:val="bottom"/>
            <w:shd w:val="clear" w:color="auto" w:fill="000000"/>
          </w:tcPr>
          <w:p>
            <w:pPr>
              <w:spacing w:after="0"/>
              <w:rPr>
                <w:sz w:val="19"/>
                <w:szCs w:val="19"/>
                <w:color w:val="auto"/>
              </w:rPr>
            </w:pPr>
          </w:p>
        </w:tc>
        <w:tc>
          <w:tcPr>
            <w:tcW w:w="580" w:type="dxa"/>
            <w:vAlign w:val="bottom"/>
            <w:shd w:val="clear" w:color="auto" w:fill="000000"/>
          </w:tcPr>
          <w:p>
            <w:pPr>
              <w:spacing w:after="0"/>
              <w:rPr>
                <w:sz w:val="19"/>
                <w:szCs w:val="19"/>
                <w:color w:val="auto"/>
              </w:rPr>
            </w:pPr>
          </w:p>
        </w:tc>
        <w:tc>
          <w:tcPr>
            <w:tcW w:w="520" w:type="dxa"/>
            <w:vAlign w:val="bottom"/>
            <w:tcBorders>
              <w:right w:val="single" w:sz="8" w:color="auto"/>
            </w:tcBorders>
            <w:gridSpan w:val="2"/>
            <w:shd w:val="clear" w:color="auto" w:fill="000000"/>
          </w:tcPr>
          <w:p>
            <w:pPr>
              <w:jc w:val="right"/>
              <w:ind w:right="20"/>
              <w:spacing w:after="0"/>
              <w:rPr>
                <w:sz w:val="20"/>
                <w:szCs w:val="20"/>
                <w:color w:val="auto"/>
              </w:rPr>
            </w:pPr>
            <w:r>
              <w:rPr>
                <w:rFonts w:ascii="Times New Roman" w:cs="Times New Roman" w:eastAsia="Times New Roman" w:hAnsi="Times New Roman"/>
                <w:sz w:val="18"/>
                <w:szCs w:val="18"/>
                <w:b w:val="1"/>
                <w:bCs w:val="1"/>
                <w:color w:val="FFFFFF"/>
              </w:rPr>
              <w:t>2020</w:t>
            </w:r>
          </w:p>
        </w:tc>
        <w:tc>
          <w:tcPr>
            <w:tcW w:w="60" w:type="dxa"/>
            <w:vAlign w:val="bottom"/>
            <w:shd w:val="clear" w:color="auto" w:fill="000000"/>
          </w:tcPr>
          <w:p>
            <w:pPr>
              <w:spacing w:after="0"/>
              <w:rPr>
                <w:sz w:val="19"/>
                <w:szCs w:val="19"/>
                <w:color w:val="auto"/>
              </w:rPr>
            </w:pPr>
          </w:p>
        </w:tc>
        <w:tc>
          <w:tcPr>
            <w:tcW w:w="420" w:type="dxa"/>
            <w:vAlign w:val="bottom"/>
            <w:shd w:val="clear" w:color="auto" w:fill="000000"/>
          </w:tcPr>
          <w:p>
            <w:pPr>
              <w:spacing w:after="0"/>
              <w:rPr>
                <w:sz w:val="19"/>
                <w:szCs w:val="19"/>
                <w:color w:val="auto"/>
              </w:rPr>
            </w:pPr>
          </w:p>
        </w:tc>
        <w:tc>
          <w:tcPr>
            <w:tcW w:w="100" w:type="dxa"/>
            <w:vAlign w:val="bottom"/>
            <w:tcBorders>
              <w:right w:val="single" w:sz="8" w:color="auto"/>
            </w:tcBorders>
            <w:shd w:val="clear" w:color="auto" w:fill="000000"/>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120" w:type="dxa"/>
            <w:vAlign w:val="bottom"/>
            <w:shd w:val="clear" w:color="auto" w:fill="000000"/>
          </w:tcPr>
          <w:p>
            <w:pPr>
              <w:spacing w:after="0"/>
              <w:rPr>
                <w:sz w:val="19"/>
                <w:szCs w:val="19"/>
                <w:color w:val="auto"/>
              </w:rPr>
            </w:pPr>
          </w:p>
        </w:tc>
        <w:tc>
          <w:tcPr>
            <w:tcW w:w="560" w:type="dxa"/>
            <w:vAlign w:val="bottom"/>
            <w:shd w:val="clear" w:color="auto" w:fill="000000"/>
          </w:tcPr>
          <w:p>
            <w:pPr>
              <w:jc w:val="right"/>
              <w:ind w:right="70"/>
              <w:spacing w:after="0"/>
              <w:rPr>
                <w:sz w:val="20"/>
                <w:szCs w:val="20"/>
                <w:color w:val="auto"/>
              </w:rPr>
            </w:pPr>
            <w:r>
              <w:rPr>
                <w:rFonts w:ascii="Times New Roman" w:cs="Times New Roman" w:eastAsia="Times New Roman" w:hAnsi="Times New Roman"/>
                <w:sz w:val="18"/>
                <w:szCs w:val="18"/>
                <w:b w:val="1"/>
                <w:bCs w:val="1"/>
                <w:color w:val="FFFFFF"/>
              </w:rPr>
              <w:t>2021</w:t>
            </w:r>
          </w:p>
        </w:tc>
        <w:tc>
          <w:tcPr>
            <w:tcW w:w="100" w:type="dxa"/>
            <w:vAlign w:val="bottom"/>
            <w:tcBorders>
              <w:right w:val="single" w:sz="8" w:color="auto"/>
            </w:tcBorders>
            <w:shd w:val="clear" w:color="auto" w:fill="000000"/>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100" w:type="dxa"/>
            <w:vAlign w:val="bottom"/>
            <w:shd w:val="clear" w:color="auto" w:fill="000000"/>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Borders>
              <w:right w:val="single" w:sz="8" w:color="auto"/>
            </w:tcBorders>
            <w:shd w:val="clear" w:color="auto" w:fill="000000"/>
          </w:tcPr>
          <w:p>
            <w:pPr>
              <w:spacing w:after="0"/>
              <w:rPr>
                <w:sz w:val="19"/>
                <w:szCs w:val="19"/>
                <w:color w:val="auto"/>
              </w:rPr>
            </w:pPr>
          </w:p>
        </w:tc>
        <w:tc>
          <w:tcPr>
            <w:tcW w:w="60" w:type="dxa"/>
            <w:vAlign w:val="bottom"/>
            <w:shd w:val="clear" w:color="auto" w:fill="000000"/>
          </w:tcPr>
          <w:p>
            <w:pPr>
              <w:spacing w:after="0"/>
              <w:rPr>
                <w:sz w:val="19"/>
                <w:szCs w:val="19"/>
                <w:color w:val="auto"/>
              </w:rPr>
            </w:pPr>
          </w:p>
        </w:tc>
        <w:tc>
          <w:tcPr>
            <w:tcW w:w="140" w:type="dxa"/>
            <w:vAlign w:val="bottom"/>
            <w:shd w:val="clear" w:color="auto" w:fill="000000"/>
          </w:tcPr>
          <w:p>
            <w:pPr>
              <w:spacing w:after="0"/>
              <w:rPr>
                <w:sz w:val="19"/>
                <w:szCs w:val="19"/>
                <w:color w:val="auto"/>
              </w:rPr>
            </w:pPr>
          </w:p>
        </w:tc>
        <w:tc>
          <w:tcPr>
            <w:tcW w:w="380" w:type="dxa"/>
            <w:vAlign w:val="bottom"/>
            <w:tcBorders>
              <w:right w:val="single" w:sz="8" w:color="auto"/>
            </w:tcBorders>
            <w:gridSpan w:val="2"/>
            <w:shd w:val="clear" w:color="auto" w:fill="000000"/>
          </w:tcPr>
          <w:p>
            <w:pPr>
              <w:jc w:val="right"/>
              <w:spacing w:after="0"/>
              <w:rPr>
                <w:sz w:val="20"/>
                <w:szCs w:val="20"/>
                <w:color w:val="auto"/>
              </w:rPr>
            </w:pPr>
            <w:r>
              <w:rPr>
                <w:rFonts w:ascii="Times New Roman" w:cs="Times New Roman" w:eastAsia="Times New Roman" w:hAnsi="Times New Roman"/>
                <w:sz w:val="18"/>
                <w:szCs w:val="18"/>
                <w:b w:val="1"/>
                <w:bCs w:val="1"/>
                <w:color w:val="FFFFFF"/>
                <w:w w:val="94"/>
              </w:rPr>
              <w:t>2022</w:t>
            </w:r>
          </w:p>
        </w:tc>
        <w:tc>
          <w:tcPr>
            <w:tcW w:w="80" w:type="dxa"/>
            <w:vAlign w:val="bottom"/>
            <w:shd w:val="clear" w:color="auto" w:fill="000000"/>
          </w:tcPr>
          <w:p>
            <w:pPr>
              <w:spacing w:after="0"/>
              <w:rPr>
                <w:sz w:val="19"/>
                <w:szCs w:val="19"/>
                <w:color w:val="auto"/>
              </w:rPr>
            </w:pPr>
          </w:p>
        </w:tc>
        <w:tc>
          <w:tcPr>
            <w:tcW w:w="400" w:type="dxa"/>
            <w:vAlign w:val="bottom"/>
            <w:shd w:val="clear" w:color="auto" w:fill="000000"/>
          </w:tcPr>
          <w:p>
            <w:pPr>
              <w:spacing w:after="0"/>
              <w:rPr>
                <w:sz w:val="19"/>
                <w:szCs w:val="19"/>
                <w:color w:val="auto"/>
              </w:rPr>
            </w:pPr>
          </w:p>
        </w:tc>
        <w:tc>
          <w:tcPr>
            <w:tcW w:w="100" w:type="dxa"/>
            <w:vAlign w:val="bottom"/>
            <w:tcBorders>
              <w:right w:val="single" w:sz="8" w:color="auto"/>
            </w:tcBorders>
            <w:shd w:val="clear" w:color="auto" w:fill="000000"/>
          </w:tcPr>
          <w:p>
            <w:pPr>
              <w:spacing w:after="0"/>
              <w:rPr>
                <w:sz w:val="19"/>
                <w:szCs w:val="19"/>
                <w:color w:val="auto"/>
              </w:rPr>
            </w:pPr>
          </w:p>
        </w:tc>
        <w:tc>
          <w:tcPr>
            <w:tcW w:w="580" w:type="dxa"/>
            <w:vAlign w:val="bottom"/>
            <w:tcBorders>
              <w:right w:val="single" w:sz="8" w:color="auto"/>
            </w:tcBorders>
            <w:gridSpan w:val="3"/>
            <w:shd w:val="clear" w:color="auto" w:fill="000000"/>
          </w:tcPr>
          <w:p>
            <w:pPr>
              <w:ind w:left="240"/>
              <w:spacing w:after="0"/>
              <w:rPr>
                <w:sz w:val="20"/>
                <w:szCs w:val="20"/>
                <w:color w:val="auto"/>
              </w:rPr>
            </w:pPr>
            <w:r>
              <w:rPr>
                <w:rFonts w:ascii="Times New Roman" w:cs="Times New Roman" w:eastAsia="Times New Roman" w:hAnsi="Times New Roman"/>
                <w:sz w:val="18"/>
                <w:szCs w:val="18"/>
                <w:b w:val="1"/>
                <w:bCs w:val="1"/>
                <w:color w:val="FFFFFF"/>
                <w:w w:val="83"/>
              </w:rPr>
              <w:t>2023</w:t>
            </w:r>
          </w:p>
        </w:tc>
        <w:tc>
          <w:tcPr>
            <w:tcW w:w="80" w:type="dxa"/>
            <w:vAlign w:val="bottom"/>
            <w:shd w:val="clear" w:color="auto" w:fill="000000"/>
          </w:tcPr>
          <w:p>
            <w:pPr>
              <w:spacing w:after="0"/>
              <w:rPr>
                <w:sz w:val="19"/>
                <w:szCs w:val="19"/>
                <w:color w:val="auto"/>
              </w:rPr>
            </w:pPr>
          </w:p>
        </w:tc>
        <w:tc>
          <w:tcPr>
            <w:tcW w:w="480" w:type="dxa"/>
            <w:vAlign w:val="bottom"/>
            <w:shd w:val="clear" w:color="auto" w:fill="000000"/>
          </w:tcPr>
          <w:p>
            <w:pPr>
              <w:spacing w:after="0"/>
              <w:rPr>
                <w:sz w:val="19"/>
                <w:szCs w:val="19"/>
                <w:color w:val="auto"/>
              </w:rPr>
            </w:pPr>
          </w:p>
        </w:tc>
        <w:tc>
          <w:tcPr>
            <w:tcW w:w="1340" w:type="dxa"/>
            <w:vAlign w:val="bottom"/>
            <w:shd w:val="clear" w:color="auto" w:fill="000000"/>
          </w:tcPr>
          <w:p>
            <w:pPr>
              <w:jc w:val="right"/>
              <w:ind w:right="630"/>
              <w:spacing w:after="0"/>
              <w:rPr>
                <w:sz w:val="20"/>
                <w:szCs w:val="20"/>
                <w:color w:val="auto"/>
              </w:rPr>
            </w:pPr>
            <w:r>
              <w:rPr>
                <w:rFonts w:ascii="Times New Roman" w:cs="Times New Roman" w:eastAsia="Times New Roman" w:hAnsi="Times New Roman"/>
                <w:sz w:val="18"/>
                <w:szCs w:val="18"/>
                <w:b w:val="1"/>
                <w:bCs w:val="1"/>
                <w:color w:val="FFFFFF"/>
              </w:rPr>
              <w:t>2024</w:t>
            </w:r>
          </w:p>
        </w:tc>
      </w:tr>
      <w:tr>
        <w:trPr>
          <w:trHeight w:val="170"/>
        </w:trPr>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420" w:type="dxa"/>
            <w:vAlign w:val="bottom"/>
            <w:gridSpan w:val="2"/>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7"/>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gridSpan w:val="9"/>
          </w:tcPr>
          <w:p>
            <w:pPr>
              <w:ind w:left="60"/>
              <w:spacing w:after="0"/>
              <w:rPr>
                <w:sz w:val="20"/>
                <w:szCs w:val="20"/>
                <w:color w:val="auto"/>
              </w:rPr>
            </w:pPr>
            <w:r>
              <w:rPr>
                <w:rFonts w:ascii="Arial" w:cs="Arial" w:eastAsia="Arial" w:hAnsi="Arial"/>
                <w:sz w:val="18"/>
                <w:szCs w:val="18"/>
                <w:b w:val="1"/>
                <w:bCs w:val="1"/>
                <w:color w:val="auto"/>
              </w:rPr>
              <w:t>NISSAN</w:t>
            </w:r>
          </w:p>
        </w:tc>
        <w:tc>
          <w:tcPr>
            <w:tcW w:w="18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gridSpan w:val="7"/>
          </w:tcPr>
          <w:p>
            <w:pPr>
              <w:ind w:left="20"/>
              <w:spacing w:after="0"/>
              <w:rPr>
                <w:sz w:val="20"/>
                <w:szCs w:val="20"/>
                <w:color w:val="auto"/>
              </w:rPr>
            </w:pPr>
            <w:r>
              <w:rPr>
                <w:rFonts w:ascii="Arial" w:cs="Arial" w:eastAsia="Arial" w:hAnsi="Arial"/>
                <w:sz w:val="18"/>
                <w:szCs w:val="18"/>
                <w:b w:val="1"/>
                <w:bCs w:val="1"/>
                <w:color w:val="auto"/>
              </w:rPr>
              <w:t>MITSUBISHI</w:t>
            </w:r>
          </w:p>
        </w:tc>
        <w:tc>
          <w:tcPr>
            <w:tcW w:w="2120" w:type="dxa"/>
            <w:vAlign w:val="bottom"/>
            <w:gridSpan w:val="13"/>
          </w:tcPr>
          <w:p>
            <w:pPr>
              <w:ind w:left="220"/>
              <w:spacing w:after="0"/>
              <w:rPr>
                <w:sz w:val="20"/>
                <w:szCs w:val="20"/>
                <w:color w:val="auto"/>
              </w:rPr>
            </w:pPr>
            <w:r>
              <w:rPr>
                <w:rFonts w:ascii="Arial" w:cs="Arial" w:eastAsia="Arial" w:hAnsi="Arial"/>
                <w:sz w:val="18"/>
                <w:szCs w:val="18"/>
                <w:b w:val="1"/>
                <w:bCs w:val="1"/>
                <w:color w:val="auto"/>
              </w:rPr>
              <w:t>MASERATI FERRARI</w:t>
            </w:r>
          </w:p>
        </w:tc>
        <w:tc>
          <w:tcPr>
            <w:tcW w:w="80" w:type="dxa"/>
            <w:vAlign w:val="bottom"/>
          </w:tcPr>
          <w:p>
            <w:pPr>
              <w:spacing w:after="0"/>
              <w:rPr>
                <w:sz w:val="20"/>
                <w:szCs w:val="20"/>
                <w:color w:val="auto"/>
              </w:rPr>
            </w:pPr>
          </w:p>
        </w:tc>
        <w:tc>
          <w:tcPr>
            <w:tcW w:w="1060" w:type="dxa"/>
            <w:vAlign w:val="bottom"/>
            <w:gridSpan w:val="4"/>
          </w:tcPr>
          <w:p>
            <w:pPr>
              <w:ind w:left="160"/>
              <w:spacing w:after="0"/>
              <w:rPr>
                <w:sz w:val="20"/>
                <w:szCs w:val="20"/>
                <w:color w:val="auto"/>
              </w:rPr>
            </w:pPr>
            <w:r>
              <w:rPr>
                <w:rFonts w:ascii="Arial" w:cs="Arial" w:eastAsia="Arial" w:hAnsi="Arial"/>
                <w:sz w:val="18"/>
                <w:szCs w:val="18"/>
                <w:b w:val="1"/>
                <w:bCs w:val="1"/>
                <w:color w:val="auto"/>
              </w:rPr>
              <w:t>MAZDA</w:t>
            </w:r>
          </w:p>
        </w:tc>
        <w:tc>
          <w:tcPr>
            <w:tcW w:w="1340" w:type="dxa"/>
            <w:vAlign w:val="bottom"/>
          </w:tcPr>
          <w:p>
            <w:pPr>
              <w:spacing w:after="0"/>
              <w:rPr>
                <w:sz w:val="20"/>
                <w:szCs w:val="20"/>
                <w:color w:val="auto"/>
              </w:rPr>
            </w:pPr>
          </w:p>
        </w:tc>
      </w:tr>
      <w:tr>
        <w:trPr>
          <w:trHeight w:val="20"/>
        </w:trPr>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1"/>
        </w:trPr>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320" w:type="dxa"/>
            <w:vAlign w:val="bottom"/>
            <w:gridSpan w:val="9"/>
          </w:tcPr>
          <w:p>
            <w:pPr>
              <w:ind w:left="20"/>
              <w:spacing w:after="0"/>
              <w:rPr>
                <w:sz w:val="20"/>
                <w:szCs w:val="20"/>
                <w:color w:val="auto"/>
              </w:rPr>
            </w:pPr>
            <w:r>
              <w:rPr>
                <w:rFonts w:ascii="Arial" w:cs="Arial" w:eastAsia="Arial" w:hAnsi="Arial"/>
                <w:sz w:val="18"/>
                <w:szCs w:val="18"/>
                <w:b w:val="1"/>
                <w:bCs w:val="1"/>
                <w:color w:val="auto"/>
              </w:rPr>
              <w:t>LAND ROVER</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FORD</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20"/>
        <w:spacing w:after="0"/>
        <w:tabs>
          <w:tab w:leader="none" w:pos="5300" w:val="left"/>
        </w:tabs>
        <w:rPr>
          <w:sz w:val="20"/>
          <w:szCs w:val="20"/>
          <w:color w:val="auto"/>
        </w:rPr>
      </w:pPr>
      <w:r>
        <w:rPr>
          <w:rFonts w:ascii="Arial" w:cs="Arial" w:eastAsia="Arial" w:hAnsi="Arial"/>
          <w:sz w:val="28"/>
          <w:szCs w:val="28"/>
          <w:b w:val="1"/>
          <w:bCs w:val="1"/>
          <w:color w:val="auto"/>
        </w:rPr>
        <w:t>GLOBAL FDM PLATFORMS</w:t>
      </w:r>
      <w:r>
        <w:rPr>
          <w:sz w:val="20"/>
          <w:szCs w:val="20"/>
          <w:color w:val="auto"/>
        </w:rPr>
        <w:tab/>
      </w:r>
      <w:r>
        <w:rPr>
          <w:rFonts w:ascii="Arial" w:cs="Arial" w:eastAsia="Arial" w:hAnsi="Arial"/>
          <w:sz w:val="25"/>
          <w:szCs w:val="25"/>
          <w:b w:val="1"/>
          <w:bCs w:val="1"/>
          <w:color w:val="FFFFFF"/>
        </w:rPr>
        <w:t>FDM SHIPMENTS</w:t>
      </w:r>
    </w:p>
    <w:p>
      <w:pPr>
        <w:sectPr>
          <w:pgSz w:w="12240" w:h="15840" w:orient="portrait"/>
          <w:cols w:equalWidth="0" w:num="1">
            <w:col w:w="12240"/>
          </w:cols>
          <w:pgMar w:left="0" w:top="454" w:right="0" w:bottom="0" w:gutter="0" w:footer="0" w:header="0"/>
        </w:sectPr>
      </w:pPr>
    </w:p>
    <w:p>
      <w:pPr>
        <w:spacing w:after="0" w:line="213" w:lineRule="exact"/>
        <w:rPr>
          <w:sz w:val="20"/>
          <w:szCs w:val="20"/>
          <w:color w:val="auto"/>
        </w:rPr>
      </w:pPr>
    </w:p>
    <w:p>
      <w:pPr>
        <w:jc w:val="both"/>
        <w:ind w:left="700" w:right="440"/>
        <w:spacing w:after="0" w:line="394" w:lineRule="auto"/>
        <w:rPr>
          <w:sz w:val="20"/>
          <w:szCs w:val="20"/>
          <w:color w:val="auto"/>
        </w:rPr>
      </w:pPr>
      <w:r>
        <w:rPr>
          <w:rFonts w:ascii="Arial" w:cs="Arial" w:eastAsia="Arial" w:hAnsi="Arial"/>
          <w:sz w:val="13"/>
          <w:szCs w:val="13"/>
          <w:b w:val="1"/>
          <w:bCs w:val="1"/>
          <w:color w:val="auto"/>
        </w:rPr>
        <w:t xml:space="preserve">ASTON MARTIN </w:t>
      </w:r>
      <w:r>
        <w:rPr>
          <w:rFonts w:ascii="Times New Roman" w:cs="Times New Roman" w:eastAsia="Times New Roman" w:hAnsi="Times New Roman"/>
          <w:sz w:val="13"/>
          <w:szCs w:val="13"/>
          <w:color w:val="auto"/>
        </w:rPr>
        <w:t>DBS GT Zagato, Valkyrie</w:t>
      </w:r>
      <w:r>
        <w:rPr>
          <w:rFonts w:ascii="Arial" w:cs="Arial" w:eastAsia="Arial" w:hAnsi="Arial"/>
          <w:sz w:val="13"/>
          <w:szCs w:val="13"/>
          <w:b w:val="1"/>
          <w:bCs w:val="1"/>
          <w:color w:val="auto"/>
        </w:rPr>
        <w:t xml:space="preserve"> BUICK </w:t>
      </w:r>
      <w:r>
        <w:rPr>
          <w:rFonts w:ascii="Times New Roman" w:cs="Times New Roman" w:eastAsia="Times New Roman" w:hAnsi="Times New Roman"/>
          <w:sz w:val="13"/>
          <w:szCs w:val="13"/>
          <w:color w:val="auto"/>
        </w:rPr>
        <w:t>Enclave, Encore</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color w:val="auto"/>
        </w:rPr>
        <w:t xml:space="preserve">GX, Envision, Envision Plus, Velite 7 </w:t>
      </w:r>
      <w:r>
        <w:rPr>
          <w:rFonts w:ascii="Arial" w:cs="Arial" w:eastAsia="Arial" w:hAnsi="Arial"/>
          <w:sz w:val="13"/>
          <w:szCs w:val="13"/>
          <w:b w:val="1"/>
          <w:bCs w:val="1"/>
          <w:color w:val="auto"/>
        </w:rPr>
        <w:t>CADILLAC</w:t>
      </w:r>
      <w:r>
        <w:rPr>
          <w:rFonts w:ascii="Times New Roman" w:cs="Times New Roman" w:eastAsia="Times New Roman" w:hAnsi="Times New Roman"/>
          <w:sz w:val="13"/>
          <w:szCs w:val="13"/>
          <w:color w:val="auto"/>
        </w:rPr>
        <w:t xml:space="preserve"> CT5, Escalade, Escalade ESV, GT4, LYRIQ, XT4, XT5, XT6 </w:t>
      </w:r>
      <w:r>
        <w:rPr>
          <w:rFonts w:ascii="Arial" w:cs="Arial" w:eastAsia="Arial" w:hAnsi="Arial"/>
          <w:sz w:val="13"/>
          <w:szCs w:val="13"/>
          <w:b w:val="1"/>
          <w:bCs w:val="1"/>
          <w:color w:val="auto"/>
        </w:rPr>
        <w:t>CHEVROLET</w:t>
      </w:r>
      <w:r>
        <w:rPr>
          <w:rFonts w:ascii="Times New Roman" w:cs="Times New Roman" w:eastAsia="Times New Roman" w:hAnsi="Times New Roman"/>
          <w:sz w:val="13"/>
          <w:szCs w:val="13"/>
          <w:color w:val="auto"/>
        </w:rPr>
        <w:t xml:space="preserve"> Blazer, Blazer EV, Bolt, Bolt EUV, Camaro, Corvette, Silverado 1500, Silverado HD, Suburban, Tahoe, Traverse </w:t>
      </w:r>
      <w:r>
        <w:rPr>
          <w:rFonts w:ascii="Arial" w:cs="Arial" w:eastAsia="Arial" w:hAnsi="Arial"/>
          <w:sz w:val="13"/>
          <w:szCs w:val="13"/>
          <w:b w:val="1"/>
          <w:bCs w:val="1"/>
          <w:color w:val="auto"/>
        </w:rPr>
        <w:t>FIAT</w:t>
      </w:r>
      <w:r>
        <w:rPr>
          <w:rFonts w:ascii="Times New Roman" w:cs="Times New Roman" w:eastAsia="Times New Roman" w:hAnsi="Times New Roman"/>
          <w:sz w:val="13"/>
          <w:szCs w:val="13"/>
          <w:color w:val="auto"/>
        </w:rPr>
        <w:t xml:space="preserve"> Ducato </w:t>
      </w:r>
      <w:r>
        <w:rPr>
          <w:rFonts w:ascii="Arial" w:cs="Arial" w:eastAsia="Arial" w:hAnsi="Arial"/>
          <w:sz w:val="13"/>
          <w:szCs w:val="13"/>
          <w:b w:val="1"/>
          <w:bCs w:val="1"/>
          <w:color w:val="auto"/>
        </w:rPr>
        <w:t>FERRARI</w:t>
      </w:r>
      <w:r>
        <w:rPr>
          <w:rFonts w:ascii="Times New Roman" w:cs="Times New Roman" w:eastAsia="Times New Roman" w:hAnsi="Times New Roman"/>
          <w:sz w:val="13"/>
          <w:szCs w:val="13"/>
          <w:color w:val="auto"/>
        </w:rPr>
        <w:t xml:space="preserve"> 812, SF90 </w:t>
      </w:r>
      <w:r>
        <w:rPr>
          <w:rFonts w:ascii="Arial" w:cs="Arial" w:eastAsia="Arial" w:hAnsi="Arial"/>
          <w:sz w:val="13"/>
          <w:szCs w:val="13"/>
          <w:b w:val="1"/>
          <w:bCs w:val="1"/>
          <w:color w:val="auto"/>
        </w:rPr>
        <w:t xml:space="preserve">FORD </w:t>
      </w:r>
      <w:r>
        <w:rPr>
          <w:rFonts w:ascii="Times New Roman" w:cs="Times New Roman" w:eastAsia="Times New Roman" w:hAnsi="Times New Roman"/>
          <w:sz w:val="13"/>
          <w:szCs w:val="13"/>
          <w:color w:val="auto"/>
        </w:rPr>
        <w:t>Transit Custom</w:t>
      </w:r>
      <w:r>
        <w:rPr>
          <w:rFonts w:ascii="Arial" w:cs="Arial" w:eastAsia="Arial" w:hAnsi="Arial"/>
          <w:sz w:val="13"/>
          <w:szCs w:val="13"/>
          <w:b w:val="1"/>
          <w:bCs w:val="1"/>
          <w:color w:val="auto"/>
        </w:rPr>
        <w:t xml:space="preserve"> GMC </w:t>
      </w:r>
      <w:r>
        <w:rPr>
          <w:rFonts w:ascii="Times New Roman" w:cs="Times New Roman" w:eastAsia="Times New Roman" w:hAnsi="Times New Roman"/>
          <w:sz w:val="13"/>
          <w:szCs w:val="13"/>
          <w:color w:val="auto"/>
        </w:rPr>
        <w:t>Acadia, Hummer EV, Sierra 1500, Sierra</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color w:val="auto"/>
        </w:rPr>
        <w:t xml:space="preserve">HD, Yukon, Yukon XL </w:t>
      </w:r>
      <w:r>
        <w:rPr>
          <w:rFonts w:ascii="Arial" w:cs="Arial" w:eastAsia="Arial" w:hAnsi="Arial"/>
          <w:sz w:val="13"/>
          <w:szCs w:val="13"/>
          <w:b w:val="1"/>
          <w:bCs w:val="1"/>
          <w:color w:val="auto"/>
        </w:rPr>
        <w:t>HYUNDAI</w:t>
      </w:r>
      <w:r>
        <w:rPr>
          <w:rFonts w:ascii="Times New Roman" w:cs="Times New Roman" w:eastAsia="Times New Roman" w:hAnsi="Times New Roman"/>
          <w:sz w:val="13"/>
          <w:szCs w:val="13"/>
          <w:color w:val="auto"/>
        </w:rPr>
        <w:t xml:space="preserve"> Palisade </w:t>
      </w:r>
      <w:r>
        <w:rPr>
          <w:rFonts w:ascii="Arial" w:cs="Arial" w:eastAsia="Arial" w:hAnsi="Arial"/>
          <w:sz w:val="13"/>
          <w:szCs w:val="13"/>
          <w:b w:val="1"/>
          <w:bCs w:val="1"/>
          <w:color w:val="auto"/>
        </w:rPr>
        <w:t>INFINITI</w:t>
      </w:r>
      <w:r>
        <w:rPr>
          <w:rFonts w:ascii="Times New Roman" w:cs="Times New Roman" w:eastAsia="Times New Roman" w:hAnsi="Times New Roman"/>
          <w:sz w:val="13"/>
          <w:szCs w:val="13"/>
          <w:color w:val="auto"/>
        </w:rPr>
        <w:t xml:space="preserve"> QX60, QX80 </w:t>
      </w:r>
      <w:r>
        <w:rPr>
          <w:rFonts w:ascii="Arial" w:cs="Arial" w:eastAsia="Arial" w:hAnsi="Arial"/>
          <w:sz w:val="13"/>
          <w:szCs w:val="13"/>
          <w:b w:val="1"/>
          <w:bCs w:val="1"/>
          <w:color w:val="auto"/>
        </w:rPr>
        <w:t xml:space="preserve">JAGUAR </w:t>
      </w:r>
      <w:r>
        <w:rPr>
          <w:rFonts w:ascii="Times New Roman" w:cs="Times New Roman" w:eastAsia="Times New Roman" w:hAnsi="Times New Roman"/>
          <w:sz w:val="13"/>
          <w:szCs w:val="13"/>
          <w:color w:val="auto"/>
        </w:rPr>
        <w:t>E-PACE, I-PACE, XE, XF</w:t>
      </w:r>
      <w:r>
        <w:rPr>
          <w:rFonts w:ascii="Arial" w:cs="Arial" w:eastAsia="Arial" w:hAnsi="Arial"/>
          <w:sz w:val="13"/>
          <w:szCs w:val="13"/>
          <w:b w:val="1"/>
          <w:bCs w:val="1"/>
          <w:color w:val="auto"/>
        </w:rPr>
        <w:t xml:space="preserve"> JEEP </w:t>
      </w:r>
      <w:r>
        <w:rPr>
          <w:rFonts w:ascii="Times New Roman" w:cs="Times New Roman" w:eastAsia="Times New Roman" w:hAnsi="Times New Roman"/>
          <w:sz w:val="13"/>
          <w:szCs w:val="13"/>
          <w:color w:val="auto"/>
        </w:rPr>
        <w:t>Grand Cherokee L, Grand</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color w:val="auto"/>
        </w:rPr>
        <w:t xml:space="preserve">Wagoneer </w:t>
      </w:r>
      <w:r>
        <w:rPr>
          <w:rFonts w:ascii="Arial" w:cs="Arial" w:eastAsia="Arial" w:hAnsi="Arial"/>
          <w:sz w:val="13"/>
          <w:szCs w:val="13"/>
          <w:b w:val="1"/>
          <w:bCs w:val="1"/>
          <w:color w:val="auto"/>
        </w:rPr>
        <w:t>KIA</w:t>
      </w:r>
      <w:r>
        <w:rPr>
          <w:rFonts w:ascii="Times New Roman" w:cs="Times New Roman" w:eastAsia="Times New Roman" w:hAnsi="Times New Roman"/>
          <w:sz w:val="13"/>
          <w:szCs w:val="13"/>
          <w:color w:val="auto"/>
        </w:rPr>
        <w:t xml:space="preserve"> EV9, Sorento, Telluride </w:t>
      </w:r>
      <w:r>
        <w:rPr>
          <w:rFonts w:ascii="Arial" w:cs="Arial" w:eastAsia="Arial" w:hAnsi="Arial"/>
          <w:sz w:val="13"/>
          <w:szCs w:val="13"/>
          <w:b w:val="1"/>
          <w:bCs w:val="1"/>
          <w:color w:val="auto"/>
        </w:rPr>
        <w:t>LAND ROVER</w:t>
      </w:r>
      <w:r>
        <w:rPr>
          <w:rFonts w:ascii="Times New Roman" w:cs="Times New Roman" w:eastAsia="Times New Roman" w:hAnsi="Times New Roman"/>
          <w:sz w:val="13"/>
          <w:szCs w:val="13"/>
          <w:color w:val="auto"/>
        </w:rPr>
        <w:t xml:space="preserve"> Defender, Discovery Sport, Evoque, Range Rover, Range Rover Sport </w:t>
      </w:r>
      <w:r>
        <w:rPr>
          <w:rFonts w:ascii="Arial" w:cs="Arial" w:eastAsia="Arial" w:hAnsi="Arial"/>
          <w:sz w:val="13"/>
          <w:szCs w:val="13"/>
          <w:b w:val="1"/>
          <w:bCs w:val="1"/>
          <w:color w:val="auto"/>
        </w:rPr>
        <w:t>LEXUS</w:t>
      </w:r>
      <w:r>
        <w:rPr>
          <w:rFonts w:ascii="Times New Roman" w:cs="Times New Roman" w:eastAsia="Times New Roman" w:hAnsi="Times New Roman"/>
          <w:sz w:val="13"/>
          <w:szCs w:val="13"/>
          <w:color w:val="auto"/>
        </w:rPr>
        <w:t xml:space="preserve"> ES, GX, LM, LS, LX, NX, RX, RZ, TX </w:t>
      </w:r>
      <w:r>
        <w:rPr>
          <w:rFonts w:ascii="Arial" w:cs="Arial" w:eastAsia="Arial" w:hAnsi="Arial"/>
          <w:sz w:val="13"/>
          <w:szCs w:val="13"/>
          <w:b w:val="1"/>
          <w:bCs w:val="1"/>
          <w:color w:val="auto"/>
        </w:rPr>
        <w:t>MASERATI</w:t>
      </w:r>
      <w:r>
        <w:rPr>
          <w:rFonts w:ascii="Times New Roman" w:cs="Times New Roman" w:eastAsia="Times New Roman" w:hAnsi="Times New Roman"/>
          <w:sz w:val="13"/>
          <w:szCs w:val="13"/>
          <w:color w:val="auto"/>
        </w:rPr>
        <w:t xml:space="preserve"> MC20, GranTurismo </w:t>
      </w:r>
      <w:r>
        <w:rPr>
          <w:rFonts w:ascii="Arial" w:cs="Arial" w:eastAsia="Arial" w:hAnsi="Arial"/>
          <w:sz w:val="13"/>
          <w:szCs w:val="13"/>
          <w:b w:val="1"/>
          <w:bCs w:val="1"/>
          <w:color w:val="auto"/>
        </w:rPr>
        <w:t xml:space="preserve">MAZDA </w:t>
      </w:r>
      <w:r>
        <w:rPr>
          <w:rFonts w:ascii="Times New Roman" w:cs="Times New Roman" w:eastAsia="Times New Roman" w:hAnsi="Times New Roman"/>
          <w:sz w:val="13"/>
          <w:szCs w:val="13"/>
          <w:color w:val="auto"/>
        </w:rPr>
        <w:t>CX-90</w:t>
      </w:r>
      <w:r>
        <w:rPr>
          <w:rFonts w:ascii="Arial" w:cs="Arial" w:eastAsia="Arial" w:hAnsi="Arial"/>
          <w:sz w:val="13"/>
          <w:szCs w:val="13"/>
          <w:b w:val="1"/>
          <w:bCs w:val="1"/>
          <w:color w:val="auto"/>
        </w:rPr>
        <w:t xml:space="preserve"> MERCEDES </w:t>
      </w:r>
      <w:r>
        <w:rPr>
          <w:rFonts w:ascii="Times New Roman" w:cs="Times New Roman" w:eastAsia="Times New Roman" w:hAnsi="Times New Roman"/>
          <w:sz w:val="13"/>
          <w:szCs w:val="13"/>
          <w:color w:val="auto"/>
        </w:rPr>
        <w:t>AMG One, Metris, Sprinter, Vito</w:t>
      </w:r>
      <w:r>
        <w:rPr>
          <w:rFonts w:ascii="Arial" w:cs="Arial" w:eastAsia="Arial" w:hAnsi="Arial"/>
          <w:sz w:val="13"/>
          <w:szCs w:val="13"/>
          <w:b w:val="1"/>
          <w:bCs w:val="1"/>
          <w:color w:val="auto"/>
        </w:rPr>
        <w:t xml:space="preserve"> MITSUBISHI </w:t>
      </w:r>
      <w:r>
        <w:rPr>
          <w:rFonts w:ascii="Times New Roman" w:cs="Times New Roman" w:eastAsia="Times New Roman" w:hAnsi="Times New Roman"/>
          <w:sz w:val="13"/>
          <w:szCs w:val="13"/>
          <w:color w:val="auto"/>
        </w:rPr>
        <w:t>eK Wagon, eK X</w:t>
      </w:r>
      <w:r>
        <w:rPr>
          <w:rFonts w:ascii="Arial" w:cs="Arial" w:eastAsia="Arial" w:hAnsi="Arial"/>
          <w:sz w:val="13"/>
          <w:szCs w:val="13"/>
          <w:b w:val="1"/>
          <w:bCs w:val="1"/>
          <w:color w:val="auto"/>
        </w:rPr>
        <w:t xml:space="preserve"> NISSAN </w:t>
      </w:r>
      <w:r>
        <w:rPr>
          <w:rFonts w:ascii="Times New Roman" w:cs="Times New Roman" w:eastAsia="Times New Roman" w:hAnsi="Times New Roman"/>
          <w:sz w:val="13"/>
          <w:szCs w:val="13"/>
          <w:color w:val="auto"/>
        </w:rPr>
        <w:t>Armada, Roox</w:t>
      </w:r>
      <w:r>
        <w:rPr>
          <w:rFonts w:ascii="Arial" w:cs="Arial" w:eastAsia="Arial" w:hAnsi="Arial"/>
          <w:sz w:val="13"/>
          <w:szCs w:val="13"/>
          <w:b w:val="1"/>
          <w:bCs w:val="1"/>
          <w:color w:val="auto"/>
        </w:rPr>
        <w:t xml:space="preserve"> RAM </w:t>
      </w:r>
      <w:r>
        <w:rPr>
          <w:rFonts w:ascii="Times New Roman" w:cs="Times New Roman" w:eastAsia="Times New Roman" w:hAnsi="Times New Roman"/>
          <w:sz w:val="13"/>
          <w:szCs w:val="13"/>
          <w:color w:val="auto"/>
        </w:rPr>
        <w:t>1500,</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color w:val="auto"/>
        </w:rPr>
        <w:t xml:space="preserve">1500 TRX, 2500/3500, ProMaster </w:t>
      </w:r>
      <w:r>
        <w:rPr>
          <w:rFonts w:ascii="Arial" w:cs="Arial" w:eastAsia="Arial" w:hAnsi="Arial"/>
          <w:sz w:val="13"/>
          <w:szCs w:val="13"/>
          <w:b w:val="1"/>
          <w:bCs w:val="1"/>
          <w:color w:val="auto"/>
        </w:rPr>
        <w:t>SUBARU</w:t>
      </w:r>
      <w:r>
        <w:rPr>
          <w:rFonts w:ascii="Times New Roman" w:cs="Times New Roman" w:eastAsia="Times New Roman" w:hAnsi="Times New Roman"/>
          <w:sz w:val="13"/>
          <w:szCs w:val="13"/>
          <w:color w:val="auto"/>
        </w:rPr>
        <w:t xml:space="preserve"> Ascent, Forester, Levorg, Outback, Solterra </w:t>
      </w:r>
      <w:r>
        <w:rPr>
          <w:rFonts w:ascii="Arial" w:cs="Arial" w:eastAsia="Arial" w:hAnsi="Arial"/>
          <w:sz w:val="13"/>
          <w:szCs w:val="13"/>
          <w:b w:val="1"/>
          <w:bCs w:val="1"/>
          <w:color w:val="auto"/>
        </w:rPr>
        <w:t>TOYOTA</w:t>
      </w:r>
      <w:r>
        <w:rPr>
          <w:rFonts w:ascii="Times New Roman" w:cs="Times New Roman" w:eastAsia="Times New Roman" w:hAnsi="Times New Roman"/>
          <w:sz w:val="13"/>
          <w:szCs w:val="13"/>
          <w:color w:val="auto"/>
        </w:rPr>
        <w:t xml:space="preserve"> Alphard, bZ4X, Crown, Crown Kluger, Grand Highlander, Granvia, Harrier, Hiace, Highlander, Mirai, Prius, RAV4, Sequoia, Sienna, Tacoma, Tundra, Venza, Wildlander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04040"/>
        </w:rPr>
        <w:t xml:space="preserve">2019 | </w:t>
      </w:r>
      <w:r>
        <w:rPr>
          <w:rFonts w:ascii="Times New Roman" w:cs="Times New Roman" w:eastAsia="Times New Roman" w:hAnsi="Times New Roman"/>
          <w:sz w:val="18"/>
          <w:szCs w:val="18"/>
          <w:color w:val="404040"/>
        </w:rPr>
        <w:t>739 K</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404040"/>
        </w:rPr>
        <w:t xml:space="preserve">2020 | </w:t>
      </w:r>
      <w:r>
        <w:rPr>
          <w:rFonts w:ascii="Times New Roman" w:cs="Times New Roman" w:eastAsia="Times New Roman" w:hAnsi="Times New Roman"/>
          <w:sz w:val="18"/>
          <w:szCs w:val="18"/>
          <w:color w:val="404040"/>
        </w:rPr>
        <w:t>1.05 M</w:t>
      </w:r>
    </w:p>
    <w:p>
      <w:pPr>
        <w:spacing w:after="0" w:line="23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404040"/>
        </w:rPr>
        <w:t xml:space="preserve">2021 | </w:t>
      </w:r>
      <w:r>
        <w:rPr>
          <w:rFonts w:ascii="Times New Roman" w:cs="Times New Roman" w:eastAsia="Times New Roman" w:hAnsi="Times New Roman"/>
          <w:sz w:val="18"/>
          <w:szCs w:val="18"/>
          <w:color w:val="404040"/>
        </w:rPr>
        <w:t>1.123 M</w:t>
      </w:r>
    </w:p>
    <w:p>
      <w:pPr>
        <w:spacing w:after="0" w:line="23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404040"/>
        </w:rPr>
        <w:t xml:space="preserve">2022 | </w:t>
      </w:r>
      <w:r>
        <w:rPr>
          <w:rFonts w:ascii="Times New Roman" w:cs="Times New Roman" w:eastAsia="Times New Roman" w:hAnsi="Times New Roman"/>
          <w:sz w:val="18"/>
          <w:szCs w:val="18"/>
          <w:color w:val="404040"/>
        </w:rPr>
        <w:t>1.68 M</w:t>
      </w:r>
    </w:p>
    <w:p>
      <w:pPr>
        <w:spacing w:after="0" w:line="236" w:lineRule="exact"/>
        <w:rPr>
          <w:sz w:val="20"/>
          <w:szCs w:val="20"/>
          <w:color w:val="auto"/>
        </w:rPr>
      </w:pPr>
    </w:p>
    <w:p>
      <w:pPr>
        <w:jc w:val="right"/>
        <w:ind w:right="820"/>
        <w:spacing w:after="0"/>
        <w:rPr>
          <w:sz w:val="20"/>
          <w:szCs w:val="20"/>
          <w:color w:val="auto"/>
        </w:rPr>
      </w:pPr>
      <w:r>
        <w:rPr>
          <w:rFonts w:ascii="Times New Roman" w:cs="Times New Roman" w:eastAsia="Times New Roman" w:hAnsi="Times New Roman"/>
          <w:sz w:val="18"/>
          <w:szCs w:val="18"/>
          <w:b w:val="1"/>
          <w:bCs w:val="1"/>
          <w:color w:val="404040"/>
        </w:rPr>
        <w:t xml:space="preserve">2023 | </w:t>
      </w:r>
      <w:r>
        <w:rPr>
          <w:rFonts w:ascii="Times New Roman" w:cs="Times New Roman" w:eastAsia="Times New Roman" w:hAnsi="Times New Roman"/>
          <w:sz w:val="18"/>
          <w:szCs w:val="18"/>
          <w:color w:val="404040"/>
        </w:rPr>
        <w:t>2.44 M</w:t>
      </w:r>
    </w:p>
    <w:p>
      <w:pPr>
        <w:spacing w:after="0" w:line="2023" w:lineRule="exact"/>
        <w:rPr>
          <w:sz w:val="20"/>
          <w:szCs w:val="20"/>
          <w:color w:val="auto"/>
        </w:rPr>
      </w:pPr>
    </w:p>
    <w:p>
      <w:pPr>
        <w:sectPr>
          <w:pgSz w:w="12240" w:h="15840" w:orient="portrait"/>
          <w:cols w:equalWidth="0" w:num="2">
            <w:col w:w="5200" w:space="720"/>
            <w:col w:w="6320"/>
          </w:cols>
          <w:pgMar w:left="0" w:top="454" w:right="0" w:bottom="0" w:gutter="0" w:footer="0" w:header="0"/>
          <w:type w:val="continuous"/>
        </w:sectPr>
      </w:pPr>
    </w:p>
    <w:p>
      <w:pPr>
        <w:ind w:left="580"/>
        <w:spacing w:after="0"/>
        <w:tabs>
          <w:tab w:leader="none" w:pos="980" w:val="left"/>
        </w:tabs>
        <w:rPr>
          <w:sz w:val="20"/>
          <w:szCs w:val="20"/>
          <w:color w:val="auto"/>
        </w:rPr>
      </w:pPr>
      <w:r>
        <w:rPr>
          <w:rFonts w:ascii="Arial" w:cs="Arial" w:eastAsia="Arial" w:hAnsi="Arial"/>
          <w:sz w:val="24"/>
          <w:szCs w:val="24"/>
          <w:b w:val="1"/>
          <w:bCs w:val="1"/>
          <w:color w:val="auto"/>
        </w:rPr>
        <w:t>12</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2240"/>
          </w:cols>
          <w:pgMar w:left="0" w:top="454" w:right="0" w:bottom="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5106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72400" cy="510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780" w:right="520"/>
        <w:spacing w:after="0" w:line="313" w:lineRule="auto"/>
        <w:rPr>
          <w:sz w:val="20"/>
          <w:szCs w:val="20"/>
          <w:color w:val="auto"/>
        </w:rPr>
      </w:pPr>
      <w:r>
        <w:rPr>
          <w:rFonts w:ascii="Arial" w:cs="Arial" w:eastAsia="Arial" w:hAnsi="Arial"/>
          <w:sz w:val="14"/>
          <w:szCs w:val="14"/>
          <w:color w:val="808080"/>
        </w:rPr>
        <w:t>Scan to learn more about our digital vision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506730</wp:posOffset>
            </wp:positionV>
            <wp:extent cx="6859905" cy="3271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9905" cy="327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540"/>
        <w:spacing w:after="0"/>
        <w:rPr>
          <w:sz w:val="20"/>
          <w:szCs w:val="20"/>
          <w:color w:val="auto"/>
        </w:rPr>
      </w:pPr>
      <w:r>
        <w:rPr>
          <w:sz w:val="1"/>
          <w:szCs w:val="1"/>
          <w:color w:val="auto"/>
        </w:rPr>
        <w:drawing>
          <wp:inline distT="0" distB="0" distL="0" distR="0">
            <wp:extent cx="310515" cy="298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0515" cy="298450"/>
                    </a:xfrm>
                    <a:prstGeom prst="rect">
                      <a:avLst/>
                    </a:prstGeom>
                    <a:noFill/>
                    <a:ln>
                      <a:noFill/>
                    </a:ln>
                  </pic:spPr>
                </pic:pic>
              </a:graphicData>
            </a:graphic>
          </wp:inline>
        </w:drawing>
      </w:r>
      <w:r>
        <w:rPr>
          <w:rFonts w:ascii="Arial" w:cs="Arial" w:eastAsia="Arial" w:hAnsi="Arial"/>
          <w:sz w:val="31"/>
          <w:szCs w:val="31"/>
          <w:b w:val="1"/>
          <w:bCs w:val="1"/>
          <w:color w:val="C9C9C9"/>
        </w:rPr>
        <w:t xml:space="preserve"> ReVu</w:t>
      </w:r>
      <w:r>
        <w:rPr>
          <w:rFonts w:ascii="Arial" w:cs="Arial" w:eastAsia="Arial" w:hAnsi="Arial"/>
          <w:sz w:val="2"/>
          <w:szCs w:val="2"/>
          <w:b w:val="1"/>
          <w:bCs w:val="1"/>
          <w:color w:val="C9C9C9"/>
        </w:rPr>
        <w:t>TM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DRIVE RECORDING SYSTEMS</w:t>
      </w:r>
    </w:p>
    <w:p>
      <w:pPr>
        <w:sectPr>
          <w:pgSz w:w="12240" w:h="15840" w:orient="portrait"/>
          <w:cols w:equalWidth="0" w:num="1">
            <w:col w:w="10940"/>
          </w:cols>
          <w:pgMar w:left="720" w:top="1440" w:right="580" w:bottom="0" w:gutter="0" w:footer="0" w:header="0"/>
        </w:sectPr>
      </w:pPr>
    </w:p>
    <w:p>
      <w:pPr>
        <w:spacing w:after="0" w:line="250" w:lineRule="exact"/>
        <w:rPr>
          <w:sz w:val="20"/>
          <w:szCs w:val="20"/>
          <w:color w:val="auto"/>
        </w:rPr>
      </w:pPr>
    </w:p>
    <w:p>
      <w:pPr>
        <w:spacing w:after="0" w:line="369" w:lineRule="auto"/>
        <w:rPr>
          <w:sz w:val="20"/>
          <w:szCs w:val="20"/>
          <w:color w:val="auto"/>
        </w:rPr>
      </w:pPr>
      <w:r>
        <w:rPr>
          <w:rFonts w:ascii="Times New Roman" w:cs="Times New Roman" w:eastAsia="Times New Roman" w:hAnsi="Times New Roman"/>
          <w:sz w:val="18"/>
          <w:szCs w:val="18"/>
          <w:color w:val="auto"/>
        </w:rPr>
        <w:t>Integrating multiple camera feeds into a digital video recording system (DVR) in the vehicle environment, especially in combination with our FDM product, continues to provide an easily added, profitable upgrade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right="380"/>
        <w:spacing w:after="0" w:line="369" w:lineRule="auto"/>
        <w:rPr>
          <w:sz w:val="20"/>
          <w:szCs w:val="20"/>
          <w:color w:val="auto"/>
        </w:rPr>
      </w:pPr>
      <w:r>
        <w:rPr>
          <w:rFonts w:ascii="Times New Roman" w:cs="Times New Roman" w:eastAsia="Times New Roman" w:hAnsi="Times New Roman"/>
          <w:sz w:val="18"/>
          <w:szCs w:val="18"/>
          <w:color w:val="auto"/>
        </w:rPr>
        <w:t>for our customers. Whether using on-board memory cards or through our Bluetooth connected ReVu app, drivers can quickly and reliably access their recorded drive feeds.</w:t>
      </w:r>
    </w:p>
    <w:p>
      <w:pPr>
        <w:spacing w:after="0" w:line="200" w:lineRule="exact"/>
        <w:rPr>
          <w:sz w:val="20"/>
          <w:szCs w:val="20"/>
          <w:color w:val="auto"/>
        </w:rPr>
      </w:pPr>
    </w:p>
    <w:p>
      <w:pPr>
        <w:sectPr>
          <w:pgSz w:w="12240" w:h="15840" w:orient="portrait"/>
          <w:cols w:equalWidth="0" w:num="2">
            <w:col w:w="5120" w:space="400"/>
            <w:col w:w="5420"/>
          </w:cols>
          <w:pgMar w:left="720" w:top="1440" w:right="580" w:bottom="0" w:gutter="0" w:footer="0" w:header="0"/>
          <w:type w:val="continuous"/>
        </w:sectPr>
      </w:pPr>
    </w:p>
    <w:p>
      <w:pPr>
        <w:spacing w:after="0" w:line="43" w:lineRule="exact"/>
        <w:rPr>
          <w:sz w:val="20"/>
          <w:szCs w:val="20"/>
          <w:color w:val="auto"/>
        </w:rPr>
      </w:pPr>
    </w:p>
    <w:p>
      <w:pPr>
        <w:ind w:left="9220"/>
        <w:spacing w:after="0"/>
        <w:tabs>
          <w:tab w:leader="none" w:pos="1078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13</w:t>
      </w:r>
    </w:p>
    <w:p>
      <w:pPr>
        <w:sectPr>
          <w:pgSz w:w="12240" w:h="15840" w:orient="portrait"/>
          <w:cols w:equalWidth="0" w:num="1">
            <w:col w:w="10940"/>
          </w:cols>
          <w:pgMar w:left="720" w:top="1440" w:right="580" w:bottom="0" w:gutter="0" w:footer="0" w:header="0"/>
          <w:type w:val="continuous"/>
        </w:sectPr>
      </w:pPr>
    </w:p>
    <w:bookmarkStart w:id="13" w:name="page14"/>
    <w:bookmarkEnd w:id="13"/>
    <w:p>
      <w:pPr>
        <w:ind w:left="36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5328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72400" cy="5328285"/>
                    </a:xfrm>
                    <a:prstGeom prst="rect">
                      <a:avLst/>
                    </a:prstGeom>
                    <a:noFill/>
                  </pic:spPr>
                </pic:pic>
              </a:graphicData>
            </a:graphic>
          </wp:anchor>
        </w:drawing>
        <w:t>CONNECTIVITY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40" w:right="4840"/>
        <w:spacing w:after="0" w:line="287" w:lineRule="auto"/>
        <w:rPr>
          <w:sz w:val="20"/>
          <w:szCs w:val="20"/>
          <w:color w:val="auto"/>
        </w:rPr>
      </w:pPr>
      <w:r>
        <w:rPr>
          <w:rFonts w:ascii="Arial" w:cs="Arial" w:eastAsia="Arial" w:hAnsi="Arial"/>
          <w:sz w:val="108"/>
          <w:szCs w:val="108"/>
          <w:color w:val="FFFFFF"/>
        </w:rPr>
        <w:t>Staying Connected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5624195</wp:posOffset>
            </wp:positionH>
            <wp:positionV relativeFrom="paragraph">
              <wp:posOffset>-83185</wp:posOffset>
            </wp:positionV>
            <wp:extent cx="1396365" cy="2562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96365" cy="2562860"/>
                    </a:xfrm>
                    <a:prstGeom prst="rect">
                      <a:avLst/>
                    </a:prstGeom>
                    <a:noFill/>
                  </pic:spPr>
                </pic:pic>
              </a:graphicData>
            </a:graphic>
          </wp:anchor>
        </w:drawing>
      </w:r>
    </w:p>
    <w:p>
      <w:pPr>
        <w:sectPr>
          <w:pgSz w:w="12240" w:h="15840" w:orient="portrait"/>
          <w:cols w:equalWidth="0" w:num="1">
            <w:col w:w="10220"/>
          </w:cols>
          <w:pgMar w:left="580" w:top="454" w:right="1440" w:bottom="0" w:gutter="0" w:footer="0" w:header="0"/>
        </w:sectPr>
      </w:pPr>
    </w:p>
    <w:p>
      <w:pPr>
        <w:spacing w:after="0" w:line="200" w:lineRule="exact"/>
        <w:rPr>
          <w:sz w:val="20"/>
          <w:szCs w:val="20"/>
          <w:color w:val="auto"/>
        </w:rPr>
      </w:pPr>
    </w:p>
    <w:p>
      <w:pPr>
        <w:spacing w:after="0" w:line="233" w:lineRule="exact"/>
        <w:rPr>
          <w:sz w:val="20"/>
          <w:szCs w:val="20"/>
          <w:color w:val="auto"/>
        </w:rPr>
      </w:pPr>
    </w:p>
    <w:p>
      <w:pPr>
        <w:ind w:left="140"/>
        <w:spacing w:after="0" w:line="360" w:lineRule="auto"/>
        <w:rPr>
          <w:sz w:val="20"/>
          <w:szCs w:val="20"/>
          <w:color w:val="auto"/>
        </w:rPr>
      </w:pPr>
      <w:r>
        <w:rPr>
          <w:rFonts w:ascii="Times New Roman" w:cs="Times New Roman" w:eastAsia="Times New Roman" w:hAnsi="Times New Roman"/>
          <w:sz w:val="17"/>
          <w:szCs w:val="17"/>
          <w:color w:val="auto"/>
        </w:rPr>
        <w:t>HomeLink® is the world’s leading car to home connectivity platform. In North America, it is compatible with 99% of installed garage doors, and continues to grow its presence globally. HomeLink is a reliable, easy-to-program device that can connect your car to multiple garage doors, gates, and radio frequency controlled devices. For garage doors with a battery backup, HomeLink provides entry-critical access in the event of a power outage, while wifi-only garage doors would not be accessible.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right="1580"/>
        <w:spacing w:after="0" w:line="405" w:lineRule="auto"/>
        <w:rPr>
          <w:sz w:val="20"/>
          <w:szCs w:val="20"/>
          <w:color w:val="auto"/>
        </w:rPr>
      </w:pPr>
      <w:r>
        <w:rPr>
          <w:rFonts w:ascii="Times New Roman" w:cs="Times New Roman" w:eastAsia="Times New Roman" w:hAnsi="Times New Roman"/>
          <w:sz w:val="16"/>
          <w:szCs w:val="16"/>
          <w:color w:val="auto"/>
        </w:rPr>
        <w:t>The HomeLink app continues to build on HomeLink’s accessibility by enabling wifi-connected device control from your vehicle. Rather than opening 6 different applications on your way home, you can program multiple functions to a single in-vehicle button, and stay hands-free as you travel.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E9008A"/>
          <w:highlight w:val="black"/>
        </w:rPr>
        <w:t xml:space="preserve">QR </w:t>
      </w:r>
      <w:r>
        <w:rPr>
          <w:rFonts w:ascii="Times New Roman" w:cs="Times New Roman" w:eastAsia="Times New Roman" w:hAnsi="Times New Roman"/>
          <w:sz w:val="18"/>
          <w:szCs w:val="18"/>
          <w:color w:val="E9008A"/>
        </w:rPr>
        <w:t xml:space="preserve">HL </w:t>
      </w:r>
      <w:r>
        <w:rPr>
          <w:sz w:val="1"/>
          <w:szCs w:val="1"/>
          <w:color w:val="auto"/>
        </w:rPr>
        <w:drawing>
          <wp:inline distT="0" distB="0" distL="0" distR="0">
            <wp:extent cx="50800" cy="50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800" cy="5080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-116205</wp:posOffset>
            </wp:positionV>
            <wp:extent cx="554355" cy="554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4355" cy="554355"/>
                    </a:xfrm>
                    <a:prstGeom prst="rect">
                      <a:avLst/>
                    </a:prstGeom>
                    <a:noFill/>
                  </pic:spPr>
                </pic:pic>
              </a:graphicData>
            </a:graphic>
          </wp:anchor>
        </w:drawing>
      </w:r>
    </w:p>
    <w:p>
      <w:pPr>
        <w:spacing w:after="0" w:line="65" w:lineRule="exact"/>
        <w:rPr>
          <w:sz w:val="20"/>
          <w:szCs w:val="20"/>
          <w:color w:val="auto"/>
        </w:rPr>
      </w:pPr>
    </w:p>
    <w:p>
      <w:pPr>
        <w:ind w:left="960"/>
        <w:spacing w:after="0"/>
        <w:rPr>
          <w:sz w:val="20"/>
          <w:szCs w:val="20"/>
          <w:color w:val="auto"/>
        </w:rPr>
      </w:pPr>
      <w:r>
        <w:rPr>
          <w:rFonts w:ascii="Arial" w:cs="Arial" w:eastAsia="Arial" w:hAnsi="Arial"/>
          <w:sz w:val="16"/>
          <w:szCs w:val="16"/>
          <w:color w:val="808080"/>
        </w:rPr>
        <w:t>Scan to learn more</w:t>
      </w:r>
    </w:p>
    <w:p>
      <w:pPr>
        <w:spacing w:after="0" w:line="16" w:lineRule="exact"/>
        <w:rPr>
          <w:sz w:val="20"/>
          <w:szCs w:val="20"/>
          <w:color w:val="auto"/>
        </w:rPr>
      </w:pPr>
    </w:p>
    <w:p>
      <w:pPr>
        <w:ind w:left="960"/>
        <w:spacing w:after="0"/>
        <w:rPr>
          <w:sz w:val="20"/>
          <w:szCs w:val="20"/>
          <w:color w:val="auto"/>
        </w:rPr>
      </w:pPr>
      <w:r>
        <w:rPr>
          <w:rFonts w:ascii="Arial" w:cs="Arial" w:eastAsia="Arial" w:hAnsi="Arial"/>
          <w:sz w:val="16"/>
          <w:szCs w:val="16"/>
          <w:color w:val="808080"/>
        </w:rPr>
        <w:t>about HOmelink</w:t>
      </w:r>
    </w:p>
    <w:p>
      <w:pPr>
        <w:spacing w:after="0" w:line="16" w:lineRule="exact"/>
        <w:rPr>
          <w:sz w:val="20"/>
          <w:szCs w:val="20"/>
          <w:color w:val="auto"/>
        </w:rPr>
      </w:pPr>
    </w:p>
    <w:p>
      <w:pPr>
        <w:ind w:left="960"/>
        <w:spacing w:after="0"/>
        <w:rPr>
          <w:sz w:val="20"/>
          <w:szCs w:val="20"/>
          <w:color w:val="auto"/>
        </w:rPr>
      </w:pPr>
      <w:r>
        <w:rPr>
          <w:rFonts w:ascii="Arial" w:cs="Arial" w:eastAsia="Arial" w:hAnsi="Arial"/>
          <w:sz w:val="16"/>
          <w:szCs w:val="16"/>
          <w:color w:val="808080"/>
        </w:rPr>
        <w:t>Smart home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758190</wp:posOffset>
            </wp:positionV>
            <wp:extent cx="7772400" cy="1154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72400" cy="1154430"/>
                    </a:xfrm>
                    <a:prstGeom prst="rect">
                      <a:avLst/>
                    </a:prstGeom>
                    <a:noFill/>
                  </pic:spPr>
                </pic:pic>
              </a:graphicData>
            </a:graphic>
          </wp:anchor>
        </w:drawing>
      </w:r>
    </w:p>
    <w:p>
      <w:pPr>
        <w:spacing w:after="0" w:line="382" w:lineRule="exact"/>
        <w:rPr>
          <w:sz w:val="20"/>
          <w:szCs w:val="20"/>
          <w:color w:val="auto"/>
        </w:rPr>
      </w:pPr>
    </w:p>
    <w:p>
      <w:pPr>
        <w:sectPr>
          <w:pgSz w:w="12240" w:h="15840" w:orient="portrait"/>
          <w:cols w:equalWidth="0" w:num="2">
            <w:col w:w="4300" w:space="260"/>
            <w:col w:w="5660"/>
          </w:cols>
          <w:pgMar w:left="580" w:top="45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14</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220"/>
          </w:cols>
          <w:pgMar w:left="580" w:top="454" w:right="1440" w:bottom="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3824605" cy="7149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24605" cy="7149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
        <w:spacing w:after="0"/>
        <w:rPr>
          <w:sz w:val="20"/>
          <w:szCs w:val="20"/>
          <w:color w:val="auto"/>
        </w:rPr>
      </w:pPr>
      <w:r>
        <w:rPr>
          <w:rFonts w:ascii="Arial" w:cs="Arial" w:eastAsia="Arial" w:hAnsi="Arial"/>
          <w:sz w:val="24"/>
          <w:szCs w:val="24"/>
          <w:b w:val="1"/>
          <w:bCs w:val="1"/>
          <w:color w:val="FFFFFF"/>
        </w:rPr>
        <w:t>IN A 2020 SURVEY</w:t>
      </w:r>
    </w:p>
    <w:p>
      <w:pPr>
        <w:spacing w:after="0" w:line="262" w:lineRule="exact"/>
        <w:rPr>
          <w:sz w:val="20"/>
          <w:szCs w:val="20"/>
          <w:color w:val="auto"/>
        </w:rPr>
      </w:pPr>
    </w:p>
    <w:p>
      <w:pPr>
        <w:ind w:left="265" w:right="860" w:hanging="265"/>
        <w:spacing w:after="0" w:line="298" w:lineRule="auto"/>
        <w:tabs>
          <w:tab w:leader="none" w:pos="265" w:val="left"/>
        </w:tabs>
        <w:numPr>
          <w:ilvl w:val="0"/>
          <w:numId w:val="1"/>
        </w:numPr>
        <w:rPr>
          <w:rFonts w:ascii="Arial" w:cs="Arial" w:eastAsia="Arial" w:hAnsi="Arial"/>
          <w:sz w:val="24"/>
          <w:szCs w:val="24"/>
          <w:color w:val="FB8A38"/>
        </w:rPr>
      </w:pPr>
      <w:r>
        <w:rPr>
          <w:rFonts w:ascii="Arial" w:cs="Arial" w:eastAsia="Arial" w:hAnsi="Arial"/>
          <w:sz w:val="24"/>
          <w:szCs w:val="24"/>
          <w:color w:val="FFFFFF"/>
        </w:rPr>
        <w:t>86% of respondents who have HomeLink in their vehicles use it</w:t>
      </w:r>
    </w:p>
    <w:p>
      <w:pPr>
        <w:spacing w:after="0" w:line="178" w:lineRule="exact"/>
        <w:rPr>
          <w:rFonts w:ascii="Arial" w:cs="Arial" w:eastAsia="Arial" w:hAnsi="Arial"/>
          <w:sz w:val="24"/>
          <w:szCs w:val="24"/>
          <w:color w:val="FB8A38"/>
        </w:rPr>
      </w:pPr>
    </w:p>
    <w:p>
      <w:pPr>
        <w:ind w:left="265" w:hanging="265"/>
        <w:spacing w:after="0"/>
        <w:tabs>
          <w:tab w:leader="none" w:pos="265" w:val="left"/>
        </w:tabs>
        <w:numPr>
          <w:ilvl w:val="0"/>
          <w:numId w:val="1"/>
        </w:numPr>
        <w:rPr>
          <w:rFonts w:ascii="Arial" w:cs="Arial" w:eastAsia="Arial" w:hAnsi="Arial"/>
          <w:sz w:val="19"/>
          <w:szCs w:val="19"/>
          <w:color w:val="FB8A38"/>
        </w:rPr>
      </w:pPr>
      <w:r>
        <w:rPr>
          <w:rFonts w:ascii="Arial" w:cs="Arial" w:eastAsia="Arial" w:hAnsi="Arial"/>
          <w:sz w:val="19"/>
          <w:szCs w:val="19"/>
          <w:color w:val="FFFFFF"/>
        </w:rPr>
        <w:t>Overall satisfaction with HomeLink is high – 82%</w:t>
      </w:r>
    </w:p>
    <w:p>
      <w:pPr>
        <w:spacing w:after="0" w:line="299" w:lineRule="exact"/>
        <w:rPr>
          <w:rFonts w:ascii="Arial" w:cs="Arial" w:eastAsia="Arial" w:hAnsi="Arial"/>
          <w:sz w:val="19"/>
          <w:szCs w:val="19"/>
          <w:color w:val="FB8A38"/>
        </w:rPr>
      </w:pPr>
    </w:p>
    <w:p>
      <w:pPr>
        <w:ind w:left="265" w:right="900" w:hanging="265"/>
        <w:spacing w:after="0" w:line="363" w:lineRule="auto"/>
        <w:tabs>
          <w:tab w:leader="none" w:pos="265" w:val="left"/>
        </w:tabs>
        <w:numPr>
          <w:ilvl w:val="0"/>
          <w:numId w:val="1"/>
        </w:numPr>
        <w:rPr>
          <w:rFonts w:ascii="Arial" w:cs="Arial" w:eastAsia="Arial" w:hAnsi="Arial"/>
          <w:sz w:val="21"/>
          <w:szCs w:val="21"/>
          <w:color w:val="FB8A38"/>
        </w:rPr>
      </w:pPr>
      <w:r>
        <w:rPr>
          <w:rFonts w:ascii="Arial" w:cs="Arial" w:eastAsia="Arial" w:hAnsi="Arial"/>
          <w:sz w:val="21"/>
          <w:szCs w:val="21"/>
          <w:color w:val="FFFFFF"/>
        </w:rPr>
        <w:t>80% of respondents feel having HomeLink integrated into the vehicle is important and most would be disappointed if their next vehicle did not include HomeLink.</w:t>
      </w:r>
    </w:p>
    <w:p>
      <w:pPr>
        <w:spacing w:after="0" w:line="159" w:lineRule="exact"/>
        <w:rPr>
          <w:rFonts w:ascii="Arial" w:cs="Arial" w:eastAsia="Arial" w:hAnsi="Arial"/>
          <w:sz w:val="21"/>
          <w:szCs w:val="21"/>
          <w:color w:val="FB8A38"/>
        </w:rPr>
      </w:pPr>
    </w:p>
    <w:p>
      <w:pPr>
        <w:ind w:left="265" w:right="1120" w:hanging="265"/>
        <w:spacing w:after="0" w:line="439" w:lineRule="auto"/>
        <w:tabs>
          <w:tab w:leader="none" w:pos="265" w:val="left"/>
        </w:tabs>
        <w:numPr>
          <w:ilvl w:val="0"/>
          <w:numId w:val="1"/>
        </w:numPr>
        <w:rPr>
          <w:rFonts w:ascii="Arial" w:cs="Arial" w:eastAsia="Arial" w:hAnsi="Arial"/>
          <w:sz w:val="19"/>
          <w:szCs w:val="19"/>
          <w:color w:val="FB8A38"/>
        </w:rPr>
      </w:pPr>
      <w:r>
        <w:rPr>
          <w:rFonts w:ascii="Arial" w:cs="Arial" w:eastAsia="Arial" w:hAnsi="Arial"/>
          <w:sz w:val="19"/>
          <w:szCs w:val="19"/>
          <w:color w:val="FFFFFF"/>
        </w:rPr>
        <w:t>75% of respondents believe all new vehicles should come integrated with HomeLink</w:t>
      </w:r>
    </w:p>
    <w:p>
      <w:pPr>
        <w:spacing w:after="0" w:line="64" w:lineRule="exact"/>
        <w:rPr>
          <w:rFonts w:ascii="Arial" w:cs="Arial" w:eastAsia="Arial" w:hAnsi="Arial"/>
          <w:sz w:val="19"/>
          <w:szCs w:val="19"/>
          <w:color w:val="FB8A38"/>
        </w:rPr>
      </w:pPr>
    </w:p>
    <w:p>
      <w:pPr>
        <w:ind w:left="265" w:right="940" w:hanging="265"/>
        <w:spacing w:after="0" w:line="406" w:lineRule="auto"/>
        <w:tabs>
          <w:tab w:leader="none" w:pos="265" w:val="left"/>
        </w:tabs>
        <w:numPr>
          <w:ilvl w:val="0"/>
          <w:numId w:val="1"/>
        </w:numPr>
        <w:rPr>
          <w:rFonts w:ascii="Arial" w:cs="Arial" w:eastAsia="Arial" w:hAnsi="Arial"/>
          <w:sz w:val="20"/>
          <w:szCs w:val="20"/>
          <w:color w:val="FB8A38"/>
        </w:rPr>
      </w:pPr>
      <w:r>
        <w:rPr>
          <w:rFonts w:ascii="Arial" w:cs="Arial" w:eastAsia="Arial" w:hAnsi="Arial"/>
          <w:sz w:val="20"/>
          <w:szCs w:val="20"/>
          <w:color w:val="FFFFFF"/>
        </w:rPr>
        <w:t>Majority of respondents find it easy to locate, use and program their HomeLink buttons</w:t>
      </w:r>
    </w:p>
    <w:p>
      <w:pPr>
        <w:spacing w:after="0" w:line="85" w:lineRule="exact"/>
        <w:rPr>
          <w:rFonts w:ascii="Arial" w:cs="Arial" w:eastAsia="Arial" w:hAnsi="Arial"/>
          <w:sz w:val="20"/>
          <w:szCs w:val="20"/>
          <w:color w:val="FB8A38"/>
        </w:rPr>
      </w:pPr>
    </w:p>
    <w:p>
      <w:pPr>
        <w:ind w:left="265" w:right="700" w:hanging="265"/>
        <w:spacing w:after="0" w:line="298" w:lineRule="auto"/>
        <w:tabs>
          <w:tab w:leader="none" w:pos="265" w:val="left"/>
        </w:tabs>
        <w:numPr>
          <w:ilvl w:val="0"/>
          <w:numId w:val="1"/>
        </w:numPr>
        <w:rPr>
          <w:rFonts w:ascii="Arial" w:cs="Arial" w:eastAsia="Arial" w:hAnsi="Arial"/>
          <w:sz w:val="24"/>
          <w:szCs w:val="24"/>
          <w:color w:val="FB8A38"/>
        </w:rPr>
      </w:pPr>
      <w:r>
        <w:rPr>
          <w:rFonts w:ascii="Arial" w:cs="Arial" w:eastAsia="Arial" w:hAnsi="Arial"/>
          <w:sz w:val="24"/>
          <w:szCs w:val="24"/>
          <w:color w:val="FFFFFF"/>
        </w:rPr>
        <w:t>84% of respondents believe that having HomeLink is an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455295</wp:posOffset>
            </wp:positionV>
            <wp:extent cx="3354705" cy="2642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4705" cy="264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
        <w:spacing w:after="0"/>
        <w:rPr>
          <w:sz w:val="20"/>
          <w:szCs w:val="20"/>
          <w:color w:val="auto"/>
        </w:rPr>
      </w:pPr>
      <w:r>
        <w:rPr>
          <w:rFonts w:ascii="Arial" w:cs="Arial" w:eastAsia="Arial" w:hAnsi="Arial"/>
          <w:sz w:val="33"/>
          <w:szCs w:val="33"/>
          <w:color w:val="auto"/>
        </w:rPr>
        <w:t>HomeLINK Solution Overview</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525"/>
        <w:spacing w:after="0"/>
        <w:rPr>
          <w:sz w:val="20"/>
          <w:szCs w:val="20"/>
          <w:color w:val="auto"/>
        </w:rPr>
      </w:pPr>
      <w:r>
        <w:rPr>
          <w:rFonts w:ascii="Arial" w:cs="Arial" w:eastAsia="Arial" w:hAnsi="Arial"/>
          <w:sz w:val="14"/>
          <w:szCs w:val="14"/>
          <w:color w:val="auto"/>
        </w:rPr>
        <w:t>Smart Home</w:t>
      </w:r>
    </w:p>
    <w:p>
      <w:pPr>
        <w:ind w:left="1185"/>
        <w:spacing w:after="0"/>
        <w:tabs>
          <w:tab w:leader="none" w:pos="2605" w:val="left"/>
        </w:tabs>
        <w:rPr>
          <w:sz w:val="20"/>
          <w:szCs w:val="20"/>
          <w:color w:val="auto"/>
        </w:rPr>
      </w:pPr>
      <w:r>
        <w:rPr>
          <w:rFonts w:ascii="Arial" w:cs="Arial" w:eastAsia="Arial" w:hAnsi="Arial"/>
          <w:sz w:val="14"/>
          <w:szCs w:val="14"/>
          <w:color w:val="FFFFFF"/>
        </w:rPr>
        <w:t>HomeLink CLOUD</w:t>
      </w:r>
      <w:r>
        <w:rPr>
          <w:sz w:val="20"/>
          <w:szCs w:val="20"/>
          <w:color w:val="auto"/>
        </w:rPr>
        <w:tab/>
      </w:r>
      <w:r>
        <w:rPr>
          <w:rFonts w:ascii="Arial" w:cs="Arial" w:eastAsia="Arial" w:hAnsi="Arial"/>
          <w:sz w:val="10"/>
          <w:szCs w:val="10"/>
          <w:color w:val="auto"/>
        </w:rPr>
        <w:t>Devices</w:t>
      </w:r>
    </w:p>
    <w:p>
      <w:pPr>
        <w:spacing w:after="0" w:line="200" w:lineRule="exact"/>
        <w:rPr>
          <w:sz w:val="20"/>
          <w:szCs w:val="20"/>
          <w:color w:val="auto"/>
        </w:rPr>
      </w:pPr>
    </w:p>
    <w:p>
      <w:pPr>
        <w:spacing w:after="0" w:line="202" w:lineRule="exact"/>
        <w:rPr>
          <w:sz w:val="20"/>
          <w:szCs w:val="20"/>
          <w:color w:val="auto"/>
        </w:rPr>
      </w:pPr>
    </w:p>
    <w:p>
      <w:pPr>
        <w:ind w:left="745"/>
        <w:spacing w:after="0"/>
        <w:rPr>
          <w:sz w:val="20"/>
          <w:szCs w:val="20"/>
          <w:color w:val="auto"/>
        </w:rPr>
      </w:pPr>
      <w:r>
        <w:rPr>
          <w:rFonts w:ascii="Arial" w:cs="Arial" w:eastAsia="Arial" w:hAnsi="Arial"/>
          <w:sz w:val="14"/>
          <w:szCs w:val="14"/>
          <w:color w:val="auto"/>
        </w:rPr>
        <w:t>HomeLink</w:t>
      </w:r>
    </w:p>
    <w:p>
      <w:pPr>
        <w:ind w:left="705"/>
        <w:spacing w:after="0"/>
        <w:rPr>
          <w:sz w:val="20"/>
          <w:szCs w:val="20"/>
          <w:color w:val="auto"/>
        </w:rPr>
      </w:pPr>
      <w:r>
        <w:rPr>
          <w:rFonts w:ascii="Arial" w:cs="Arial" w:eastAsia="Arial" w:hAnsi="Arial"/>
          <w:sz w:val="14"/>
          <w:szCs w:val="14"/>
          <w:color w:val="auto"/>
        </w:rPr>
        <w:t>Mobile App</w:t>
      </w:r>
    </w:p>
    <w:p>
      <w:pPr>
        <w:jc w:val="center"/>
        <w:ind w:right="2615"/>
        <w:spacing w:after="0" w:line="193" w:lineRule="auto"/>
        <w:rPr>
          <w:sz w:val="20"/>
          <w:szCs w:val="20"/>
          <w:color w:val="auto"/>
        </w:rPr>
      </w:pPr>
      <w:r>
        <w:rPr>
          <w:rFonts w:ascii="Arial" w:cs="Arial" w:eastAsia="Arial" w:hAnsi="Arial"/>
          <w:sz w:val="14"/>
          <w:szCs w:val="14"/>
          <w:color w:val="auto"/>
        </w:rPr>
        <w:t>Wi-FI Connected</w:t>
      </w:r>
    </w:p>
    <w:p>
      <w:pPr>
        <w:jc w:val="center"/>
        <w:ind w:right="2195"/>
        <w:spacing w:after="0"/>
        <w:rPr>
          <w:sz w:val="20"/>
          <w:szCs w:val="20"/>
          <w:color w:val="auto"/>
        </w:rPr>
      </w:pPr>
      <w:r>
        <w:rPr>
          <w:rFonts w:ascii="Arial" w:cs="Arial" w:eastAsia="Arial" w:hAnsi="Arial"/>
          <w:sz w:val="14"/>
          <w:szCs w:val="14"/>
          <w:color w:val="auto"/>
        </w:rPr>
        <w:t>Garage Door</w:t>
      </w:r>
    </w:p>
    <w:p>
      <w:pPr>
        <w:spacing w:after="0" w:line="326" w:lineRule="exact"/>
        <w:rPr>
          <w:sz w:val="20"/>
          <w:szCs w:val="20"/>
          <w:color w:val="auto"/>
        </w:rPr>
      </w:pPr>
    </w:p>
    <w:p>
      <w:pPr>
        <w:ind w:left="845"/>
        <w:spacing w:after="0"/>
        <w:rPr>
          <w:sz w:val="20"/>
          <w:szCs w:val="20"/>
          <w:color w:val="auto"/>
        </w:rPr>
      </w:pPr>
      <w:r>
        <w:rPr>
          <w:rFonts w:ascii="Arial" w:cs="Arial" w:eastAsia="Arial" w:hAnsi="Arial"/>
          <w:sz w:val="14"/>
          <w:szCs w:val="14"/>
          <w:color w:val="auto"/>
        </w:rPr>
        <w:t>HomeLink Direct</w:t>
      </w:r>
    </w:p>
    <w:p>
      <w:pPr>
        <w:spacing w:after="0" w:line="19" w:lineRule="exact"/>
        <w:rPr>
          <w:sz w:val="20"/>
          <w:szCs w:val="20"/>
          <w:color w:val="auto"/>
        </w:rPr>
      </w:pPr>
    </w:p>
    <w:p>
      <w:pPr>
        <w:ind w:left="845"/>
        <w:spacing w:after="0"/>
        <w:rPr>
          <w:sz w:val="20"/>
          <w:szCs w:val="20"/>
          <w:color w:val="auto"/>
        </w:rPr>
      </w:pPr>
      <w:r>
        <w:rPr>
          <w:rFonts w:ascii="Arial" w:cs="Arial" w:eastAsia="Arial" w:hAnsi="Arial"/>
          <w:sz w:val="14"/>
          <w:szCs w:val="14"/>
          <w:color w:val="auto"/>
        </w:rPr>
        <w:t>Radio Frequency (RF)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INTEGRATED TOLL MODULE® (ITM®)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-3117215</wp:posOffset>
            </wp:positionV>
            <wp:extent cx="3808095" cy="10057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08095" cy="10057765"/>
                    </a:xfrm>
                    <a:prstGeom prst="rect">
                      <a:avLst/>
                    </a:prstGeom>
                    <a:noFill/>
                  </pic:spPr>
                </pic:pic>
              </a:graphicData>
            </a:graphic>
          </wp:anchor>
        </w:drawing>
      </w:r>
    </w:p>
    <w:p>
      <w:pPr>
        <w:spacing w:after="0" w:line="152" w:lineRule="exact"/>
        <w:rPr>
          <w:sz w:val="20"/>
          <w:szCs w:val="20"/>
          <w:color w:val="auto"/>
        </w:rPr>
      </w:pPr>
    </w:p>
    <w:p>
      <w:pPr>
        <w:ind w:right="280"/>
        <w:spacing w:after="0" w:line="335" w:lineRule="auto"/>
        <w:rPr>
          <w:sz w:val="20"/>
          <w:szCs w:val="20"/>
          <w:color w:val="auto"/>
        </w:rPr>
      </w:pPr>
      <w:r>
        <w:rPr>
          <w:rFonts w:ascii="Times New Roman" w:cs="Times New Roman" w:eastAsia="Times New Roman" w:hAnsi="Times New Roman"/>
          <w:sz w:val="18"/>
          <w:szCs w:val="18"/>
          <w:color w:val="FFFFFF"/>
        </w:rPr>
        <w:t>As supply chain constraints eased in 2023, Gentex was able to begin shipping normalized volumes of our Integrated Toll Module (ITM) device for our two launch customers again. ITM enables in-vehicle payment protocols for tolling in equipped Audi and Mercedes vehicles, replacing windscreen mounted toll transponders. Rather than having regional-specific function, ITM can be utilized in nearly every toll system, removing the need for multiple transponders and accounts. While ITM is primarily used for tolling today, we believe that vehicle-to-infrastructure payments for drive-throughs, gas stations, and parking could all be handled by your vehicle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SIMPLENIGHT®</w:t>
      </w:r>
    </w:p>
    <w:p>
      <w:pPr>
        <w:spacing w:after="0" w:line="172" w:lineRule="exact"/>
        <w:rPr>
          <w:sz w:val="20"/>
          <w:szCs w:val="20"/>
          <w:color w:val="auto"/>
        </w:rPr>
      </w:pPr>
    </w:p>
    <w:p>
      <w:pPr>
        <w:ind w:right="360"/>
        <w:spacing w:after="0" w:line="343" w:lineRule="auto"/>
        <w:rPr>
          <w:sz w:val="20"/>
          <w:szCs w:val="20"/>
          <w:color w:val="auto"/>
        </w:rPr>
      </w:pPr>
      <w:r>
        <w:rPr>
          <w:rFonts w:ascii="Times New Roman" w:cs="Times New Roman" w:eastAsia="Times New Roman" w:hAnsi="Times New Roman"/>
          <w:sz w:val="18"/>
          <w:szCs w:val="18"/>
          <w:color w:val="FFFFFF"/>
        </w:rPr>
        <w:t>Simplenight is a white-label ready application that provides users with a fast and easy way to get access to discounted hotels, restaurants, experiences, and other products in more than 30 categories across 2,000 cities in 190 countries. As OEMs seek to sign up additional users to their subscription based services, Simplenight provides value-add, direct savings for car owners.</w:t>
      </w:r>
    </w:p>
    <w:p>
      <w:pPr>
        <w:spacing w:after="0" w:line="620" w:lineRule="exact"/>
        <w:rPr>
          <w:sz w:val="20"/>
          <w:szCs w:val="20"/>
          <w:color w:val="auto"/>
        </w:rPr>
      </w:pPr>
    </w:p>
    <w:p>
      <w:pPr>
        <w:sectPr>
          <w:pgSz w:w="12240" w:h="15840" w:orient="portrait"/>
          <w:cols w:equalWidth="0" w:num="2">
            <w:col w:w="5185" w:space="720"/>
            <w:col w:w="4660"/>
          </w:cols>
          <w:pgMar w:left="1095" w:top="1440" w:right="580" w:bottom="0" w:gutter="0" w:footer="0" w:header="0"/>
        </w:sectPr>
      </w:pPr>
    </w:p>
    <w:p>
      <w:pPr>
        <w:spacing w:after="0" w:line="75" w:lineRule="exact"/>
        <w:rPr>
          <w:sz w:val="20"/>
          <w:szCs w:val="20"/>
          <w:color w:val="auto"/>
        </w:rPr>
      </w:pPr>
    </w:p>
    <w:p>
      <w:pPr>
        <w:ind w:left="8845"/>
        <w:spacing w:after="0"/>
        <w:tabs>
          <w:tab w:leader="none" w:pos="10405" w:val="left"/>
        </w:tabs>
        <w:rPr>
          <w:sz w:val="20"/>
          <w:szCs w:val="20"/>
          <w:color w:val="auto"/>
        </w:rPr>
      </w:pPr>
      <w:r>
        <w:rPr>
          <w:rFonts w:ascii="Times New Roman" w:cs="Times New Roman" w:eastAsia="Times New Roman" w:hAnsi="Times New Roman"/>
          <w:sz w:val="10"/>
          <w:szCs w:val="10"/>
          <w:color w:val="FFFFFF"/>
        </w:rPr>
        <w:t>2023</w:t>
      </w:r>
      <w:r>
        <w:rPr>
          <w:rFonts w:ascii="Times New Roman" w:cs="Times New Roman" w:eastAsia="Times New Roman" w:hAnsi="Times New Roman"/>
          <w:sz w:val="10"/>
          <w:szCs w:val="10"/>
          <w:color w:val="000000"/>
        </w:rPr>
        <w:t>2</w:t>
      </w:r>
      <w:r>
        <w:rPr>
          <w:rFonts w:ascii="Times New Roman" w:cs="Times New Roman" w:eastAsia="Times New Roman" w:hAnsi="Times New Roman"/>
          <w:sz w:val="10"/>
          <w:szCs w:val="10"/>
          <w:color w:val="FFFFFF"/>
        </w:rPr>
        <w:t xml:space="preserve"> ANNUAL REPORT</w:t>
      </w:r>
      <w:r>
        <w:rPr>
          <w:sz w:val="20"/>
          <w:szCs w:val="20"/>
          <w:color w:val="auto"/>
        </w:rPr>
        <w:tab/>
      </w:r>
      <w:r>
        <w:rPr>
          <w:rFonts w:ascii="Arial" w:cs="Arial" w:eastAsia="Arial" w:hAnsi="Arial"/>
          <w:sz w:val="12"/>
          <w:szCs w:val="12"/>
          <w:b w:val="1"/>
          <w:bCs w:val="1"/>
          <w:color w:val="FFFFFF"/>
        </w:rPr>
        <w:t>15</w:t>
      </w:r>
    </w:p>
    <w:p>
      <w:pPr>
        <w:sectPr>
          <w:pgSz w:w="12240" w:h="15840" w:orient="portrait"/>
          <w:cols w:equalWidth="0" w:num="1">
            <w:col w:w="10565"/>
          </w:cols>
          <w:pgMar w:left="1095" w:top="1440" w:right="580" w:bottom="0" w:gutter="0" w:footer="0" w:header="0"/>
          <w:type w:val="continuous"/>
        </w:sectPr>
      </w:pPr>
    </w:p>
    <w:bookmarkStart w:id="15" w:name="page16"/>
    <w:bookmarkEnd w:id="15"/>
    <w:p>
      <w:pPr>
        <w:ind w:left="360"/>
        <w:spacing w:after="0"/>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SENSING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0" w:right="2840"/>
        <w:spacing w:after="0" w:line="241" w:lineRule="auto"/>
        <w:rPr>
          <w:sz w:val="20"/>
          <w:szCs w:val="20"/>
          <w:color w:val="auto"/>
        </w:rPr>
      </w:pPr>
      <w:r>
        <w:rPr>
          <w:rFonts w:ascii="Arial" w:cs="Arial" w:eastAsia="Arial" w:hAnsi="Arial"/>
          <w:sz w:val="109"/>
          <w:szCs w:val="109"/>
          <w:color w:val="FFFFFF"/>
        </w:rPr>
        <w:t>Enabling &amp; Protecting the Next Generation</w:t>
      </w:r>
    </w:p>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Gentex’s core sensing capability continues to grow and develop through</w:t>
      </w:r>
    </w:p>
    <w:p>
      <w:pPr>
        <w:spacing w:after="0" w:line="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partnerships, acquisitions, research and development.</w:t>
      </w:r>
    </w:p>
    <w:p>
      <w:pPr>
        <w:sectPr>
          <w:pgSz w:w="12240" w:h="15840" w:orient="portrait"/>
          <w:cols w:equalWidth="0" w:num="1">
            <w:col w:w="10940"/>
          </w:cols>
          <w:pgMar w:left="580" w:top="454" w:right="720" w:bottom="0" w:gutter="0" w:footer="0" w:header="0"/>
        </w:sectPr>
      </w:pPr>
    </w:p>
    <w:p>
      <w:pPr>
        <w:spacing w:after="0" w:line="200" w:lineRule="exact"/>
        <w:rPr>
          <w:sz w:val="20"/>
          <w:szCs w:val="20"/>
          <w:color w:val="auto"/>
        </w:rPr>
      </w:pPr>
    </w:p>
    <w:p>
      <w:pPr>
        <w:spacing w:after="0" w:line="242" w:lineRule="exact"/>
        <w:rPr>
          <w:sz w:val="20"/>
          <w:szCs w:val="20"/>
          <w:color w:val="auto"/>
        </w:rPr>
      </w:pPr>
    </w:p>
    <w:p>
      <w:pPr>
        <w:ind w:left="160"/>
        <w:spacing w:after="0"/>
        <w:rPr>
          <w:sz w:val="20"/>
          <w:szCs w:val="20"/>
          <w:color w:val="auto"/>
        </w:rPr>
      </w:pPr>
      <w:r>
        <w:rPr>
          <w:rFonts w:ascii="Arial" w:cs="Arial" w:eastAsia="Arial" w:hAnsi="Arial"/>
          <w:sz w:val="24"/>
          <w:szCs w:val="24"/>
          <w:b w:val="1"/>
          <w:bCs w:val="1"/>
          <w:color w:val="auto"/>
        </w:rPr>
        <w:t>GUARDIAN ACQUISITION</w:t>
      </w:r>
    </w:p>
    <w:p>
      <w:pPr>
        <w:spacing w:after="0" w:line="172" w:lineRule="exact"/>
        <w:rPr>
          <w:sz w:val="20"/>
          <w:szCs w:val="20"/>
          <w:color w:val="auto"/>
        </w:rPr>
      </w:pPr>
    </w:p>
    <w:p>
      <w:pPr>
        <w:ind w:left="160"/>
        <w:spacing w:after="0" w:line="338" w:lineRule="auto"/>
        <w:rPr>
          <w:sz w:val="20"/>
          <w:szCs w:val="20"/>
          <w:color w:val="auto"/>
        </w:rPr>
      </w:pPr>
      <w:r>
        <w:rPr>
          <w:rFonts w:ascii="Times New Roman" w:cs="Times New Roman" w:eastAsia="Times New Roman" w:hAnsi="Times New Roman"/>
          <w:sz w:val="18"/>
          <w:szCs w:val="18"/>
          <w:color w:val="auto"/>
        </w:rPr>
        <w:t>Since acquiring Guardian Optical Technology (now Gentex Israel) in 2021, Gentex has continued to improve on our algorithm, hardware,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800" w:type="dxa"/>
            <w:vAlign w:val="bottom"/>
            <w:tcBorders>
              <w:bottom w:val="single" w:sz="8" w:color="auto"/>
            </w:tcBorders>
          </w:tcPr>
          <w:p>
            <w:pPr>
              <w:spacing w:after="0"/>
              <w:rPr>
                <w:sz w:val="15"/>
                <w:szCs w:val="15"/>
                <w:color w:val="auto"/>
              </w:rPr>
            </w:pPr>
          </w:p>
        </w:tc>
        <w:tc>
          <w:tcPr>
            <w:tcW w:w="1800" w:type="dxa"/>
            <w:vAlign w:val="bottom"/>
            <w:vMerge w:val="restart"/>
          </w:tcPr>
          <w:p>
            <w:pPr>
              <w:ind w:left="160"/>
              <w:spacing w:after="0"/>
              <w:rPr>
                <w:sz w:val="20"/>
                <w:szCs w:val="20"/>
                <w:color w:val="auto"/>
              </w:rPr>
            </w:pPr>
            <w:r>
              <w:rPr>
                <w:rFonts w:ascii="Arial" w:cs="Arial" w:eastAsia="Arial" w:hAnsi="Arial"/>
                <w:sz w:val="24"/>
                <w:szCs w:val="24"/>
                <w:b w:val="1"/>
                <w:bCs w:val="1"/>
                <w:color w:val="auto"/>
                <w:w w:val="97"/>
              </w:rPr>
              <w:t>DMS VS. ICMS</w:t>
            </w:r>
          </w:p>
        </w:tc>
        <w:tc>
          <w:tcPr>
            <w:tcW w:w="1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1800" w:type="dxa"/>
            <w:vAlign w:val="bottom"/>
          </w:tcPr>
          <w:p>
            <w:pPr>
              <w:spacing w:after="0"/>
              <w:rPr>
                <w:sz w:val="20"/>
                <w:szCs w:val="20"/>
                <w:color w:val="auto"/>
              </w:rPr>
            </w:pPr>
            <w:r>
              <w:rPr>
                <w:rFonts w:ascii="Arial" w:cs="Arial" w:eastAsia="Arial" w:hAnsi="Arial"/>
                <w:sz w:val="17"/>
                <w:szCs w:val="17"/>
                <w:b w:val="1"/>
                <w:bCs w:val="1"/>
                <w:color w:val="4CA5CD"/>
                <w:w w:val="99"/>
              </w:rPr>
              <w:t>DRIVER MONITORING</w:t>
            </w:r>
          </w:p>
        </w:tc>
        <w:tc>
          <w:tcPr>
            <w:tcW w:w="3480" w:type="dxa"/>
            <w:vAlign w:val="bottom"/>
            <w:gridSpan w:val="2"/>
          </w:tcPr>
          <w:p>
            <w:pPr>
              <w:ind w:left="960"/>
              <w:spacing w:after="0"/>
              <w:rPr>
                <w:sz w:val="20"/>
                <w:szCs w:val="20"/>
                <w:color w:val="auto"/>
              </w:rPr>
            </w:pPr>
            <w:r>
              <w:rPr>
                <w:rFonts w:ascii="Arial" w:cs="Arial" w:eastAsia="Arial" w:hAnsi="Arial"/>
                <w:sz w:val="17"/>
                <w:szCs w:val="17"/>
                <w:b w:val="1"/>
                <w:bCs w:val="1"/>
                <w:color w:val="4CA5CD"/>
              </w:rPr>
              <w:t>IN-CABIN MONITORING</w:t>
            </w:r>
          </w:p>
        </w:tc>
        <w:tc>
          <w:tcPr>
            <w:tcW w:w="0" w:type="dxa"/>
            <w:vAlign w:val="bottom"/>
          </w:tcPr>
          <w:p>
            <w:pPr>
              <w:spacing w:after="0"/>
              <w:rPr>
                <w:sz w:val="1"/>
                <w:szCs w:val="1"/>
                <w:color w:val="auto"/>
              </w:rPr>
            </w:pPr>
          </w:p>
        </w:tc>
      </w:tr>
      <w:tr>
        <w:trPr>
          <w:trHeight w:val="226"/>
        </w:trPr>
        <w:tc>
          <w:tcPr>
            <w:tcW w:w="1800" w:type="dxa"/>
            <w:vAlign w:val="bottom"/>
          </w:tcPr>
          <w:p>
            <w:pPr>
              <w:spacing w:after="0"/>
              <w:rPr>
                <w:sz w:val="20"/>
                <w:szCs w:val="20"/>
                <w:color w:val="auto"/>
              </w:rPr>
            </w:pPr>
            <w:r>
              <w:rPr>
                <w:rFonts w:ascii="Arial" w:cs="Arial" w:eastAsia="Arial" w:hAnsi="Arial"/>
                <w:sz w:val="17"/>
                <w:szCs w:val="17"/>
                <w:b w:val="1"/>
                <w:bCs w:val="1"/>
                <w:color w:val="4CA5CD"/>
              </w:rPr>
              <w:t>SYSTEMS (DMS)</w:t>
            </w:r>
          </w:p>
        </w:tc>
        <w:tc>
          <w:tcPr>
            <w:tcW w:w="3480" w:type="dxa"/>
            <w:vAlign w:val="bottom"/>
            <w:gridSpan w:val="2"/>
          </w:tcPr>
          <w:p>
            <w:pPr>
              <w:ind w:left="960"/>
              <w:spacing w:after="0"/>
              <w:rPr>
                <w:sz w:val="20"/>
                <w:szCs w:val="20"/>
                <w:color w:val="auto"/>
              </w:rPr>
            </w:pPr>
            <w:r>
              <w:rPr>
                <w:rFonts w:ascii="Arial" w:cs="Arial" w:eastAsia="Arial" w:hAnsi="Arial"/>
                <w:sz w:val="17"/>
                <w:szCs w:val="17"/>
                <w:b w:val="1"/>
                <w:bCs w:val="1"/>
                <w:color w:val="4CA5CD"/>
              </w:rPr>
              <w:t>SYSTEMS (ICMS)</w:t>
            </w:r>
          </w:p>
        </w:tc>
        <w:tc>
          <w:tcPr>
            <w:tcW w:w="0" w:type="dxa"/>
            <w:vAlign w:val="bottom"/>
          </w:tcPr>
          <w:p>
            <w:pPr>
              <w:spacing w:after="0"/>
              <w:rPr>
                <w:sz w:val="1"/>
                <w:szCs w:val="1"/>
                <w:color w:val="auto"/>
              </w:rPr>
            </w:pPr>
          </w:p>
        </w:tc>
      </w:tr>
    </w:tbl>
    <w:p>
      <w:pPr>
        <w:spacing w:after="0" w:line="158" w:lineRule="exact"/>
        <w:rPr>
          <w:sz w:val="20"/>
          <w:szCs w:val="20"/>
          <w:color w:val="auto"/>
        </w:rPr>
      </w:pPr>
    </w:p>
    <w:p>
      <w:pPr>
        <w:sectPr>
          <w:pgSz w:w="12240" w:h="15840" w:orient="portrait"/>
          <w:cols w:equalWidth="0" w:num="2">
            <w:col w:w="5160" w:space="500"/>
            <w:col w:w="5280"/>
          </w:cols>
          <w:pgMar w:left="580" w:top="454" w:right="720" w:bottom="0" w:gutter="0" w:footer="0" w:header="0"/>
          <w:type w:val="continuous"/>
        </w:sectPr>
      </w:pPr>
    </w:p>
    <w:p>
      <w:pPr>
        <w:ind w:left="160"/>
        <w:spacing w:after="0" w:line="337" w:lineRule="auto"/>
        <w:rPr>
          <w:sz w:val="20"/>
          <w:szCs w:val="20"/>
          <w:color w:val="auto"/>
        </w:rPr>
      </w:pPr>
      <w:r>
        <w:rPr>
          <w:rFonts w:ascii="Times New Roman" w:cs="Times New Roman" w:eastAsia="Times New Roman" w:hAnsi="Times New Roman"/>
          <w:sz w:val="18"/>
          <w:szCs w:val="18"/>
          <w:color w:val="auto"/>
        </w:rPr>
        <w:t>and system capabilities for driver monitoring (DMS) and in-cabin monitoring systems (ICMS). With pending European regulation that will require driver monitoring systems in new vehicles, we believe our technology provides customers with an easily integrated, customizable, and scalable platform to achieve this target. We expect to launch our first DMS platform in 2024, and are actively engaged with our customers to help them meet their timelines and functionality requirements seamlessly.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Camera:</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Regulation-driven</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IR Camera</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Tight field of view</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Driver-only focus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Detection:</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Drowsiness &amp; Distraction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40"/>
        <w:spacing w:after="0"/>
        <w:rPr>
          <w:sz w:val="20"/>
          <w:szCs w:val="20"/>
          <w:color w:val="auto"/>
        </w:rPr>
      </w:pPr>
      <w:r>
        <w:rPr>
          <w:rFonts w:ascii="Arial" w:cs="Arial" w:eastAsia="Arial" w:hAnsi="Arial"/>
          <w:sz w:val="14"/>
          <w:szCs w:val="14"/>
          <w:color w:val="808080"/>
        </w:rPr>
        <w:t>Scan for more info on</w:t>
      </w:r>
    </w:p>
    <w:p>
      <w:pPr>
        <w:spacing w:after="0" w:line="39" w:lineRule="exact"/>
        <w:rPr>
          <w:sz w:val="20"/>
          <w:szCs w:val="20"/>
          <w:color w:val="auto"/>
        </w:rPr>
      </w:pPr>
    </w:p>
    <w:p>
      <w:pPr>
        <w:ind w:left="1140"/>
        <w:spacing w:after="0"/>
        <w:rPr>
          <w:sz w:val="20"/>
          <w:szCs w:val="20"/>
          <w:color w:val="auto"/>
        </w:rPr>
      </w:pPr>
      <w:r>
        <w:rPr>
          <w:rFonts w:ascii="Arial" w:cs="Arial" w:eastAsia="Arial" w:hAnsi="Arial"/>
          <w:sz w:val="13"/>
          <w:szCs w:val="13"/>
          <w:color w:val="808080"/>
        </w:rPr>
        <w:t>our sensing technology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Camera:</w:t>
      </w:r>
    </w:p>
    <w:p>
      <w:pPr>
        <w:spacing w:after="0" w:line="178" w:lineRule="exact"/>
        <w:rPr>
          <w:sz w:val="20"/>
          <w:szCs w:val="20"/>
          <w:color w:val="auto"/>
        </w:rPr>
      </w:pPr>
    </w:p>
    <w:p>
      <w:pPr>
        <w:ind w:left="180" w:right="380"/>
        <w:spacing w:after="0" w:line="426" w:lineRule="auto"/>
        <w:rPr>
          <w:sz w:val="20"/>
          <w:szCs w:val="20"/>
          <w:color w:val="auto"/>
        </w:rPr>
      </w:pPr>
      <w:r>
        <w:rPr>
          <w:rFonts w:ascii="Times New Roman" w:cs="Times New Roman" w:eastAsia="Times New Roman" w:hAnsi="Times New Roman"/>
          <w:sz w:val="18"/>
          <w:szCs w:val="18"/>
          <w:color w:val="auto"/>
        </w:rPr>
        <w:t>Wholistic Cabin Approach RGB-IR Camera Wider field of view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Detection:</w:t>
      </w:r>
    </w:p>
    <w:p>
      <w:pPr>
        <w:spacing w:after="0" w:line="173" w:lineRule="exact"/>
        <w:rPr>
          <w:sz w:val="20"/>
          <w:szCs w:val="20"/>
          <w:color w:val="auto"/>
        </w:rPr>
      </w:pPr>
    </w:p>
    <w:p>
      <w:pPr>
        <w:ind w:left="180" w:right="440"/>
        <w:spacing w:after="0" w:line="399" w:lineRule="auto"/>
        <w:rPr>
          <w:sz w:val="20"/>
          <w:szCs w:val="20"/>
          <w:color w:val="auto"/>
        </w:rPr>
      </w:pPr>
      <w:r>
        <w:rPr>
          <w:rFonts w:ascii="Times New Roman" w:cs="Times New Roman" w:eastAsia="Times New Roman" w:hAnsi="Times New Roman"/>
          <w:sz w:val="18"/>
          <w:szCs w:val="18"/>
          <w:color w:val="auto"/>
        </w:rPr>
        <w:t>Drowsiness &amp; Distraction Whole cabin monitoring</w:t>
      </w:r>
    </w:p>
    <w:p>
      <w:pPr>
        <w:spacing w:after="0" w:line="2" w:lineRule="exact"/>
        <w:rPr>
          <w:sz w:val="20"/>
          <w:szCs w:val="20"/>
          <w:color w:val="auto"/>
        </w:rPr>
      </w:pPr>
    </w:p>
    <w:p>
      <w:pPr>
        <w:ind w:left="180" w:right="80"/>
        <w:spacing w:after="0" w:line="330" w:lineRule="auto"/>
        <w:rPr>
          <w:sz w:val="20"/>
          <w:szCs w:val="20"/>
          <w:color w:val="auto"/>
        </w:rPr>
      </w:pPr>
      <w:r>
        <w:rPr>
          <w:rFonts w:ascii="Times New Roman" w:cs="Times New Roman" w:eastAsia="Times New Roman" w:hAnsi="Times New Roman"/>
          <w:sz w:val="18"/>
          <w:szCs w:val="18"/>
          <w:color w:val="auto"/>
        </w:rPr>
        <w:t>Passenger locations, body pose, and behavior</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Airbag functionality</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Object left behind</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Presence of life</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Selfie-camera &amp; Video Calling</w:t>
      </w:r>
    </w:p>
    <w:p>
      <w:pPr>
        <w:spacing w:after="0" w:line="200" w:lineRule="exact"/>
        <w:rPr>
          <w:sz w:val="20"/>
          <w:szCs w:val="20"/>
          <w:color w:val="auto"/>
        </w:rPr>
      </w:pPr>
    </w:p>
    <w:p>
      <w:pPr>
        <w:sectPr>
          <w:pgSz w:w="12240" w:h="15840" w:orient="portrait"/>
          <w:cols w:equalWidth="0" w:num="3">
            <w:col w:w="5040" w:space="620"/>
            <w:col w:w="2540" w:space="220"/>
            <w:col w:w="2520"/>
          </w:cols>
          <w:pgMar w:left="580" w:top="454" w:right="720" w:bottom="0" w:gutter="0" w:footer="0" w:header="0"/>
          <w:type w:val="continuous"/>
        </w:sect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8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16</w:t>
            </w:r>
          </w:p>
        </w:tc>
        <w:tc>
          <w:tcPr>
            <w:tcW w:w="15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GENTEX CORPORATION</w:t>
            </w:r>
          </w:p>
        </w:tc>
      </w:tr>
    </w:tbl>
    <w:p>
      <w:pPr>
        <w:sectPr>
          <w:pgSz w:w="12240" w:h="15840" w:orient="portrait"/>
          <w:cols w:equalWidth="0" w:num="1">
            <w:col w:w="10940"/>
          </w:cols>
          <w:pgMar w:left="580" w:top="454" w:right="720" w:bottom="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3813175" cy="10057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13175"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ADASKY PARTNERSHIP</w:t>
      </w:r>
    </w:p>
    <w:p>
      <w:pPr>
        <w:spacing w:after="0" w:line="172" w:lineRule="exact"/>
        <w:rPr>
          <w:sz w:val="20"/>
          <w:szCs w:val="20"/>
          <w:color w:val="auto"/>
        </w:rPr>
      </w:pPr>
    </w:p>
    <w:p>
      <w:pPr>
        <w:spacing w:after="0" w:line="360" w:lineRule="auto"/>
        <w:rPr>
          <w:sz w:val="20"/>
          <w:szCs w:val="20"/>
          <w:color w:val="auto"/>
        </w:rPr>
      </w:pPr>
      <w:r>
        <w:rPr>
          <w:rFonts w:ascii="Times New Roman" w:cs="Times New Roman" w:eastAsia="Times New Roman" w:hAnsi="Times New Roman"/>
          <w:sz w:val="17"/>
          <w:szCs w:val="17"/>
          <w:color w:val="auto"/>
        </w:rPr>
        <w:t>Our partnership with Adasky® began as our growth within cameras and displays helped us discover the natural limitations of camera-only based systems. Adasky’s proprietary long wave infrared (LWIR) shutterless camera and sensing algorithms dramatically enhance the function and capability of camera systems in low-light, high-light, and all-weather scenarios. The inclusion of their system alongside traditional forward- and rearward-facing camera systems could dramatically improve the vehicle’s driver assist functions, while also enhancing the driver’s ability to monitor their surroundings and quickly identify and avoid potential hazards.</w:t>
      </w:r>
    </w:p>
    <w:p>
      <w:pPr>
        <w:spacing w:after="0" w:line="200" w:lineRule="exact"/>
        <w:rPr>
          <w:sz w:val="20"/>
          <w:szCs w:val="20"/>
          <w:color w:val="auto"/>
        </w:rPr>
      </w:pPr>
    </w:p>
    <w:p>
      <w:pPr>
        <w:spacing w:after="0" w:line="279" w:lineRule="exact"/>
        <w:rPr>
          <w:sz w:val="20"/>
          <w:szCs w:val="20"/>
          <w:color w:val="auto"/>
        </w:rPr>
      </w:pPr>
    </w:p>
    <w:p>
      <w:pPr>
        <w:ind w:left="3340" w:right="200"/>
        <w:spacing w:after="0" w:line="308" w:lineRule="auto"/>
        <w:rPr>
          <w:sz w:val="20"/>
          <w:szCs w:val="20"/>
          <w:color w:val="auto"/>
        </w:rPr>
      </w:pPr>
      <w:r>
        <w:rPr>
          <w:rFonts w:ascii="Arial" w:cs="Arial" w:eastAsia="Arial" w:hAnsi="Arial"/>
          <w:sz w:val="18"/>
          <w:szCs w:val="18"/>
          <w:b w:val="1"/>
          <w:bCs w:val="1"/>
          <w:color w:val="auto"/>
        </w:rPr>
        <w:t xml:space="preserve">THERMAL IMAGING </w:t>
      </w:r>
      <w:r>
        <w:rPr>
          <w:rFonts w:ascii="Arial" w:cs="Arial" w:eastAsia="Arial" w:hAnsi="Arial"/>
          <w:sz w:val="18"/>
          <w:szCs w:val="18"/>
          <w:color w:val="auto"/>
        </w:rPr>
        <w:t>LWIR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BLENDED</w:t>
      </w:r>
    </w:p>
    <w:p>
      <w:pPr>
        <w:spacing w:after="0" w:line="36"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CMOS/LWIR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PLACE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-3490595</wp:posOffset>
            </wp:positionV>
            <wp:extent cx="3808095" cy="34061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08095" cy="3406140"/>
                    </a:xfrm>
                    <a:prstGeom prst="rect">
                      <a:avLst/>
                    </a:prstGeom>
                    <a:noFill/>
                  </pic:spPr>
                </pic:pic>
              </a:graphicData>
            </a:graphic>
          </wp:anchor>
        </w:drawing>
      </w:r>
    </w:p>
    <w:p>
      <w:pPr>
        <w:spacing w:after="0" w:line="152" w:lineRule="exact"/>
        <w:rPr>
          <w:sz w:val="20"/>
          <w:szCs w:val="20"/>
          <w:color w:val="auto"/>
        </w:rPr>
      </w:pPr>
    </w:p>
    <w:p>
      <w:pPr>
        <w:ind w:right="140"/>
        <w:spacing w:after="0" w:line="336" w:lineRule="auto"/>
        <w:rPr>
          <w:sz w:val="20"/>
          <w:szCs w:val="20"/>
          <w:color w:val="auto"/>
        </w:rPr>
      </w:pPr>
      <w:r>
        <w:rPr>
          <w:rFonts w:ascii="Times New Roman" w:cs="Times New Roman" w:eastAsia="Times New Roman" w:hAnsi="Times New Roman"/>
          <w:sz w:val="18"/>
          <w:szCs w:val="18"/>
          <w:color w:val="auto"/>
        </w:rPr>
        <w:t>Within the fire protection industry, our commercial products have an established, industry-leading rapport for their performance and reliability. In 2023, we announced plans to expand our offering into the consumer-facing fire protection industry by launching Place; a revitalized take on fire protection products with a room-centric approach to sensing, detection, warning, communication, safety and awareness. With a core set of capabilities centered on enhanced detection of smoke or airborne particulate, Place then provides additional room-specific functions that add value for the entire home. From air quality monitoring and cameras to speakers and white noise generators, Place provides peace of mind for every space.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ESIGHT ACQUISITION</w:t>
      </w:r>
    </w:p>
    <w:p>
      <w:pPr>
        <w:spacing w:after="0" w:line="172" w:lineRule="exact"/>
        <w:rPr>
          <w:sz w:val="20"/>
          <w:szCs w:val="20"/>
          <w:color w:val="auto"/>
        </w:rPr>
      </w:pPr>
    </w:p>
    <w:p>
      <w:pPr>
        <w:ind w:right="220"/>
        <w:spacing w:after="0" w:line="358" w:lineRule="auto"/>
        <w:rPr>
          <w:sz w:val="20"/>
          <w:szCs w:val="20"/>
          <w:color w:val="auto"/>
        </w:rPr>
      </w:pPr>
      <w:r>
        <w:rPr>
          <w:rFonts w:ascii="Times New Roman" w:cs="Times New Roman" w:eastAsia="Times New Roman" w:hAnsi="Times New Roman"/>
          <w:sz w:val="17"/>
          <w:szCs w:val="17"/>
          <w:color w:val="auto"/>
        </w:rPr>
        <w:t>In 2023 we completed the acquisition of eSight®, a long time developer of vision enhancement technology designed to help people living with visual impairments. Having previously partnered with eSight for the design and manufactuing of their eSight GO™ product, we transitioned from a partnership to a full acquisition of the eSight technology and team. eSight fits naturally within Gentex’s technological skill set, utilizing high definition cameras, near-to-eye displays, high-end engineering, and proprietary algorithms to provide functional vision for individuals living with a variety of eye conditions. Longer term, we believe eSight provides a natural next step for Gentex within the medical device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3805555" cy="19881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05555" cy="1988185"/>
                    </a:xfrm>
                    <a:prstGeom prst="rect">
                      <a:avLst/>
                    </a:prstGeom>
                    <a:noFill/>
                  </pic:spPr>
                </pic:pic>
              </a:graphicData>
            </a:graphic>
          </wp:anchor>
        </w:drawing>
      </w:r>
    </w:p>
    <w:p>
      <w:pPr>
        <w:spacing w:after="0" w:line="2065" w:lineRule="exact"/>
        <w:rPr>
          <w:sz w:val="20"/>
          <w:szCs w:val="20"/>
          <w:color w:val="auto"/>
        </w:rPr>
      </w:pPr>
    </w:p>
    <w:p>
      <w:pPr>
        <w:sectPr>
          <w:pgSz w:w="12240" w:h="15840" w:orient="portrait"/>
          <w:cols w:equalWidth="0" w:num="2">
            <w:col w:w="5100" w:space="420"/>
            <w:col w:w="5420"/>
          </w:cols>
          <w:pgMar w:left="720" w:top="1440" w:right="580" w:bottom="0" w:gutter="0" w:footer="0" w:header="0"/>
        </w:sectPr>
      </w:pPr>
    </w:p>
    <w:p>
      <w:pPr>
        <w:spacing w:after="0" w:line="200" w:lineRule="exact"/>
        <w:rPr>
          <w:sz w:val="20"/>
          <w:szCs w:val="20"/>
          <w:color w:val="auto"/>
        </w:rPr>
      </w:pPr>
    </w:p>
    <w:p>
      <w:pPr>
        <w:spacing w:after="0" w:line="328" w:lineRule="exact"/>
        <w:rPr>
          <w:sz w:val="20"/>
          <w:szCs w:val="20"/>
          <w:color w:val="auto"/>
        </w:rPr>
      </w:pPr>
    </w:p>
    <w:p>
      <w:pPr>
        <w:ind w:left="9220"/>
        <w:spacing w:after="0"/>
        <w:tabs>
          <w:tab w:leader="none" w:pos="10780" w:val="left"/>
        </w:tabs>
        <w:rPr>
          <w:sz w:val="20"/>
          <w:szCs w:val="20"/>
          <w:color w:val="auto"/>
        </w:rPr>
      </w:pPr>
      <w:r>
        <w:rPr>
          <w:rFonts w:ascii="Times New Roman" w:cs="Times New Roman" w:eastAsia="Times New Roman" w:hAnsi="Times New Roman"/>
          <w:sz w:val="10"/>
          <w:szCs w:val="10"/>
          <w:color w:val="auto"/>
        </w:rPr>
        <w:t>20222023 ANNUAL REPORT</w:t>
      </w:r>
      <w:r>
        <w:rPr>
          <w:sz w:val="20"/>
          <w:szCs w:val="20"/>
          <w:color w:val="auto"/>
        </w:rPr>
        <w:tab/>
      </w:r>
      <w:r>
        <w:rPr>
          <w:rFonts w:ascii="Arial" w:cs="Arial" w:eastAsia="Arial" w:hAnsi="Arial"/>
          <w:sz w:val="12"/>
          <w:szCs w:val="12"/>
          <w:b w:val="1"/>
          <w:bCs w:val="1"/>
          <w:color w:val="auto"/>
        </w:rPr>
        <w:t>17</w:t>
      </w:r>
    </w:p>
    <w:p>
      <w:pPr>
        <w:sectPr>
          <w:pgSz w:w="12240" w:h="15840" w:orient="portrait"/>
          <w:cols w:equalWidth="0" w:num="1">
            <w:col w:w="10940"/>
          </w:cols>
          <w:pgMar w:left="720" w:top="1440" w:right="580" w:bottom="0" w:gutter="0" w:footer="0" w:header="0"/>
          <w:type w:val="continuous"/>
        </w:sectPr>
      </w:pPr>
    </w:p>
    <w:bookmarkStart w:id="17" w:name="page18"/>
    <w:bookmarkEnd w:id="17"/>
    <w:p>
      <w:pPr>
        <w:ind w:left="360"/>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COMMUNITY IN ACTION</w:t>
      </w:r>
    </w:p>
    <w:p>
      <w:pPr>
        <w:sectPr>
          <w:pgSz w:w="12240" w:h="15840" w:orient="portrait"/>
          <w:cols w:equalWidth="0" w:num="1">
            <w:col w:w="10220"/>
          </w:cols>
          <w:pgMar w:left="580" w:top="45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FFFFFF"/>
        </w:rPr>
        <w:t>18</w:t>
      </w:r>
      <w:r>
        <w:rPr>
          <w:sz w:val="20"/>
          <w:szCs w:val="20"/>
          <w:color w:val="auto"/>
        </w:rPr>
        <w:tab/>
      </w:r>
      <w:r>
        <w:rPr>
          <w:rFonts w:ascii="Times New Roman" w:cs="Times New Roman" w:eastAsia="Times New Roman" w:hAnsi="Times New Roman"/>
          <w:sz w:val="10"/>
          <w:szCs w:val="10"/>
          <w:color w:val="FFFFFF"/>
        </w:rPr>
        <w:t>GENTEX CORPORATION</w:t>
      </w:r>
    </w:p>
    <w:p>
      <w:pPr>
        <w:sectPr>
          <w:pgSz w:w="12240" w:h="15840" w:orient="portrait"/>
          <w:cols w:equalWidth="0" w:num="1">
            <w:col w:w="10220"/>
          </w:cols>
          <w:pgMar w:left="580" w:top="454" w:right="1440" w:bottom="0" w:gutter="0" w:footer="0" w:header="0"/>
          <w:type w:val="continuous"/>
        </w:sectPr>
      </w:pPr>
    </w:p>
    <w:bookmarkStart w:id="18" w:name="page19"/>
    <w:bookmarkEnd w:id="18"/>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ind w:left="2760"/>
        <w:spacing w:after="0"/>
        <w:rPr>
          <w:sz w:val="20"/>
          <w:szCs w:val="20"/>
          <w:color w:val="auto"/>
        </w:rPr>
      </w:pPr>
      <w:r>
        <w:rPr>
          <w:rFonts w:ascii="Arial" w:cs="Arial" w:eastAsia="Arial" w:hAnsi="Arial"/>
          <w:sz w:val="28"/>
          <w:szCs w:val="28"/>
          <w:b w:val="1"/>
          <w:bCs w:val="1"/>
          <w:color w:val="auto"/>
        </w:rPr>
        <w:t>WOMEN@GENTEX BUSINESS RESOURCE GROUP</w:t>
      </w:r>
    </w:p>
    <w:p>
      <w:pPr>
        <w:spacing w:after="0" w:line="190" w:lineRule="exact"/>
        <w:rPr>
          <w:sz w:val="20"/>
          <w:szCs w:val="20"/>
          <w:color w:val="auto"/>
        </w:rPr>
      </w:pPr>
    </w:p>
    <w:p>
      <w:pPr>
        <w:ind w:left="2760" w:right="460"/>
        <w:spacing w:after="0" w:line="395" w:lineRule="auto"/>
        <w:rPr>
          <w:sz w:val="20"/>
          <w:szCs w:val="20"/>
          <w:color w:val="auto"/>
        </w:rPr>
      </w:pPr>
      <w:r>
        <w:rPr>
          <w:rFonts w:ascii="Times New Roman" w:cs="Times New Roman" w:eastAsia="Times New Roman" w:hAnsi="Times New Roman"/>
          <w:sz w:val="17"/>
          <w:szCs w:val="17"/>
          <w:color w:val="auto"/>
          <w:highlight w:val="black"/>
        </w:rPr>
        <w:t>The Wo</w:t>
      </w:r>
      <w:r>
        <w:rPr>
          <w:rFonts w:ascii="Times New Roman" w:cs="Times New Roman" w:eastAsia="Times New Roman" w:hAnsi="Times New Roman"/>
          <w:sz w:val="17"/>
          <w:szCs w:val="17"/>
          <w:color w:val="auto"/>
        </w:rPr>
        <w:t>men@Gentex BRG continues to promote and develop beneficial relationships for Gentex</w:t>
      </w:r>
      <w:r>
        <w:rPr>
          <w:rFonts w:ascii="Times New Roman" w:cs="Times New Roman" w:eastAsia="Times New Roman" w:hAnsi="Times New Roman"/>
          <w:sz w:val="17"/>
          <w:szCs w:val="17"/>
          <w:color w:val="auto"/>
          <w:highlight w:val="black"/>
        </w:rPr>
        <w:t xml:space="preserve"> employees, </w:t>
      </w:r>
      <w:r>
        <w:rPr>
          <w:rFonts w:ascii="Times New Roman" w:cs="Times New Roman" w:eastAsia="Times New Roman" w:hAnsi="Times New Roman"/>
          <w:sz w:val="17"/>
          <w:szCs w:val="17"/>
          <w:color w:val="auto"/>
        </w:rPr>
        <w:t>both in the office and in our communities. This group is involved in everything from</w:t>
      </w:r>
      <w:r>
        <w:rPr>
          <w:rFonts w:ascii="Times New Roman" w:cs="Times New Roman" w:eastAsia="Times New Roman" w:hAnsi="Times New Roman"/>
          <w:sz w:val="17"/>
          <w:szCs w:val="17"/>
          <w:color w:val="auto"/>
          <w:highlight w:val="black"/>
        </w:rPr>
        <w:t xml:space="preserve"> </w:t>
      </w:r>
      <w:r>
        <w:rPr>
          <w:rFonts w:ascii="Times New Roman" w:cs="Times New Roman" w:eastAsia="Times New Roman" w:hAnsi="Times New Roman"/>
          <w:sz w:val="17"/>
          <w:szCs w:val="17"/>
          <w:color w:val="auto"/>
          <w:highlight w:val="white"/>
        </w:rPr>
        <w:t xml:space="preserve">organizing </w:t>
      </w:r>
      <w:r>
        <w:rPr>
          <w:rFonts w:ascii="Times New Roman" w:cs="Times New Roman" w:eastAsia="Times New Roman" w:hAnsi="Times New Roman"/>
          <w:sz w:val="17"/>
          <w:szCs w:val="17"/>
          <w:color w:val="auto"/>
        </w:rPr>
        <w:t>internal networking meetings, building homes with Habitat for Humanity, volunteering</w:t>
      </w:r>
      <w:r>
        <w:rPr>
          <w:rFonts w:ascii="Times New Roman" w:cs="Times New Roman" w:eastAsia="Times New Roman" w:hAnsi="Times New Roman"/>
          <w:sz w:val="17"/>
          <w:szCs w:val="17"/>
          <w:color w:val="auto"/>
          <w:highlight w:val="white"/>
        </w:rPr>
        <w:t xml:space="preserve"> in local </w:t>
      </w:r>
      <w:r>
        <w:rPr>
          <w:rFonts w:ascii="Times New Roman" w:cs="Times New Roman" w:eastAsia="Times New Roman" w:hAnsi="Times New Roman"/>
          <w:sz w:val="17"/>
          <w:szCs w:val="17"/>
          <w:color w:val="auto"/>
          <w:highlight w:val="black"/>
        </w:rPr>
        <w:t>e</w:t>
      </w:r>
      <w:r>
        <w:rPr>
          <w:rFonts w:ascii="Times New Roman" w:cs="Times New Roman" w:eastAsia="Times New Roman" w:hAnsi="Times New Roman"/>
          <w:sz w:val="17"/>
          <w:szCs w:val="17"/>
          <w:color w:val="auto"/>
        </w:rPr>
        <w:t>vents, collecting household goods for members of our community, and numerous other</w:t>
      </w:r>
      <w:r>
        <w:rPr>
          <w:rFonts w:ascii="Times New Roman" w:cs="Times New Roman" w:eastAsia="Times New Roman" w:hAnsi="Times New Roman"/>
          <w:sz w:val="17"/>
          <w:szCs w:val="17"/>
          <w:color w:val="auto"/>
          <w:highlight w:val="white"/>
        </w:rPr>
        <w:t xml:space="preserve"> outreach </w:t>
      </w:r>
      <w:r>
        <w:rPr>
          <w:rFonts w:ascii="Times New Roman" w:cs="Times New Roman" w:eastAsia="Times New Roman" w:hAnsi="Times New Roman"/>
          <w:sz w:val="17"/>
          <w:szCs w:val="17"/>
          <w:color w:val="auto"/>
        </w:rPr>
        <w:t>and fundraising initiatives. In 2023, Gentex received a Pillar Award from the Women’s</w:t>
      </w:r>
      <w:r>
        <w:rPr>
          <w:rFonts w:ascii="Times New Roman" w:cs="Times New Roman" w:eastAsia="Times New Roman" w:hAnsi="Times New Roman"/>
          <w:sz w:val="17"/>
          <w:szCs w:val="17"/>
          <w:color w:val="auto"/>
          <w:highlight w:val="white"/>
        </w:rPr>
        <w:t xml:space="preserve"> Resource </w:t>
      </w:r>
      <w:r>
        <w:rPr>
          <w:rFonts w:ascii="Times New Roman" w:cs="Times New Roman" w:eastAsia="Times New Roman" w:hAnsi="Times New Roman"/>
          <w:sz w:val="17"/>
          <w:szCs w:val="17"/>
          <w:color w:val="auto"/>
        </w:rPr>
        <w:t>Center in Grand Rapids for advancing women in the workplace.</w:t>
      </w:r>
    </w:p>
    <w:p>
      <w:pPr>
        <w:spacing w:after="0" w:line="367" w:lineRule="exact"/>
        <w:rPr>
          <w:sz w:val="20"/>
          <w:szCs w:val="20"/>
          <w:color w:val="auto"/>
        </w:rPr>
      </w:pPr>
    </w:p>
    <w:p>
      <w:pPr>
        <w:ind w:left="2760"/>
        <w:spacing w:after="0"/>
        <w:rPr>
          <w:sz w:val="20"/>
          <w:szCs w:val="20"/>
          <w:color w:val="auto"/>
        </w:rPr>
      </w:pPr>
      <w:r>
        <w:rPr>
          <w:rFonts w:ascii="Arial" w:cs="Arial" w:eastAsia="Arial" w:hAnsi="Arial"/>
          <w:sz w:val="28"/>
          <w:szCs w:val="28"/>
          <w:b w:val="1"/>
          <w:bCs w:val="1"/>
          <w:color w:val="auto"/>
        </w:rPr>
        <w:t>GENTEX V.E.T.S. BUSINESS RESOURCE GROUP</w:t>
      </w:r>
    </w:p>
    <w:p>
      <w:pPr>
        <w:spacing w:after="0" w:line="190" w:lineRule="exact"/>
        <w:rPr>
          <w:sz w:val="20"/>
          <w:szCs w:val="20"/>
          <w:color w:val="auto"/>
        </w:rPr>
      </w:pPr>
    </w:p>
    <w:p>
      <w:pPr>
        <w:ind w:left="2760" w:right="660"/>
        <w:spacing w:after="0" w:line="376" w:lineRule="auto"/>
        <w:rPr>
          <w:sz w:val="20"/>
          <w:szCs w:val="20"/>
          <w:color w:val="auto"/>
        </w:rPr>
      </w:pPr>
      <w:r>
        <w:rPr>
          <w:rFonts w:ascii="Times New Roman" w:cs="Times New Roman" w:eastAsia="Times New Roman" w:hAnsi="Times New Roman"/>
          <w:sz w:val="18"/>
          <w:szCs w:val="18"/>
          <w:color w:val="auto"/>
        </w:rPr>
        <w:t>Gentex recently achieved silver-level Veteran-Friendly Employer Status from the Michigan Veterans Affairs Agency. This certification acknowledges Gentex’s commitment to hire veterans and provide them with a range of information and assistance in their civilian lives. More information about the certification can be found at: michigan.gov/mvaa/employment-new/ panel-employers/become-friendly-emp.</w:t>
      </w:r>
    </w:p>
    <w:p>
      <w:pPr>
        <w:spacing w:after="0" w:line="200" w:lineRule="exact"/>
        <w:rPr>
          <w:sz w:val="20"/>
          <w:szCs w:val="20"/>
          <w:color w:val="auto"/>
        </w:rPr>
      </w:pPr>
    </w:p>
    <w:p>
      <w:pPr>
        <w:spacing w:after="0" w:line="331" w:lineRule="exact"/>
        <w:rPr>
          <w:sz w:val="20"/>
          <w:szCs w:val="20"/>
          <w:color w:val="auto"/>
        </w:rPr>
      </w:pPr>
    </w:p>
    <w:p>
      <w:pPr>
        <w:ind w:left="2760"/>
        <w:spacing w:after="0"/>
        <w:rPr>
          <w:sz w:val="20"/>
          <w:szCs w:val="20"/>
          <w:color w:val="auto"/>
        </w:rPr>
      </w:pPr>
      <w:r>
        <w:rPr>
          <w:rFonts w:ascii="Arial" w:cs="Arial" w:eastAsia="Arial" w:hAnsi="Arial"/>
          <w:sz w:val="25"/>
          <w:szCs w:val="25"/>
          <w:b w:val="1"/>
          <w:bCs w:val="1"/>
          <w:color w:val="auto"/>
        </w:rPr>
        <w:t>DIVERSITY, EQUITY &amp; INCLUSION AWARD FROM MEMA</w:t>
      </w:r>
    </w:p>
    <w:p>
      <w:pPr>
        <w:spacing w:after="0" w:line="224" w:lineRule="exact"/>
        <w:rPr>
          <w:sz w:val="20"/>
          <w:szCs w:val="20"/>
          <w:color w:val="auto"/>
        </w:rPr>
      </w:pPr>
    </w:p>
    <w:p>
      <w:pPr>
        <w:ind w:left="2760" w:right="600" w:firstLine="11"/>
        <w:spacing w:after="0" w:line="364" w:lineRule="auto"/>
        <w:rPr>
          <w:sz w:val="20"/>
          <w:szCs w:val="20"/>
          <w:color w:val="auto"/>
        </w:rPr>
      </w:pPr>
      <w:r>
        <w:rPr>
          <w:rFonts w:ascii="Times New Roman" w:cs="Times New Roman" w:eastAsia="Times New Roman" w:hAnsi="Times New Roman"/>
          <w:sz w:val="18"/>
          <w:szCs w:val="18"/>
          <w:color w:val="auto"/>
        </w:rPr>
        <w:t xml:space="preserve">Gentex was recognized by the MEMA Original Equipment Suppliers Association with the </w:t>
      </w:r>
      <w:r>
        <w:rPr>
          <w:sz w:val="1"/>
          <w:szCs w:val="1"/>
          <w:color w:val="auto"/>
        </w:rPr>
        <w:drawing>
          <wp:inline distT="0" distB="0" distL="0" distR="0">
            <wp:extent cx="22225" cy="12255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25" cy="12255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2023 DEI Champion Corporation Award. The award recognizes the importance of diversity, equity, and inclusion in the automotive and commercial vehicle market and celebrates suppliers </w:t>
      </w:r>
      <w:r>
        <w:rPr>
          <w:sz w:val="1"/>
          <w:szCs w:val="1"/>
          <w:color w:val="auto"/>
        </w:rPr>
        <w:drawing>
          <wp:inline distT="0" distB="0" distL="0" distR="0">
            <wp:extent cx="25400" cy="12001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400" cy="120015"/>
                    </a:xfrm>
                    <a:prstGeom prst="rect">
                      <a:avLst/>
                    </a:prstGeom>
                    <a:noFill/>
                    <a:ln>
                      <a:noFill/>
                    </a:ln>
                  </pic:spPr>
                </pic:pic>
              </a:graphicData>
            </a:graphic>
          </wp:inline>
        </w:drawing>
      </w:r>
      <w:r>
        <w:rPr>
          <w:rFonts w:ascii="Times New Roman" w:cs="Times New Roman" w:eastAsia="Times New Roman" w:hAnsi="Times New Roman"/>
          <w:sz w:val="18"/>
          <w:szCs w:val="18"/>
          <w:color w:val="auto"/>
        </w:rPr>
        <w:t>who champion the spirit of DEI in their organizations and communities. Gentex was one of two recipients of the award for 2023.</w:t>
      </w:r>
    </w:p>
    <w:p>
      <w:pPr>
        <w:spacing w:after="0" w:line="200" w:lineRule="exact"/>
        <w:rPr>
          <w:sz w:val="20"/>
          <w:szCs w:val="20"/>
          <w:color w:val="auto"/>
        </w:rPr>
      </w:pPr>
    </w:p>
    <w:p>
      <w:pPr>
        <w:spacing w:after="0" w:line="337" w:lineRule="exact"/>
        <w:rPr>
          <w:sz w:val="20"/>
          <w:szCs w:val="20"/>
          <w:color w:val="auto"/>
        </w:rPr>
      </w:pPr>
    </w:p>
    <w:p>
      <w:pPr>
        <w:ind w:left="2760"/>
        <w:spacing w:after="0"/>
        <w:rPr>
          <w:sz w:val="20"/>
          <w:szCs w:val="20"/>
          <w:color w:val="auto"/>
        </w:rPr>
      </w:pPr>
      <w:r>
        <w:rPr>
          <w:rFonts w:ascii="Arial" w:cs="Arial" w:eastAsia="Arial" w:hAnsi="Arial"/>
          <w:sz w:val="28"/>
          <w:szCs w:val="28"/>
          <w:b w:val="1"/>
          <w:bCs w:val="1"/>
          <w:color w:val="auto"/>
        </w:rPr>
        <w:t>EMPOWERING THE NEXT GENERATION</w:t>
      </w:r>
    </w:p>
    <w:p>
      <w:pPr>
        <w:spacing w:after="0" w:line="190" w:lineRule="exact"/>
        <w:rPr>
          <w:sz w:val="20"/>
          <w:szCs w:val="20"/>
          <w:color w:val="auto"/>
        </w:rPr>
      </w:pPr>
    </w:p>
    <w:p>
      <w:pPr>
        <w:ind w:left="2760" w:right="600"/>
        <w:spacing w:after="0" w:line="370" w:lineRule="auto"/>
        <w:rPr>
          <w:sz w:val="20"/>
          <w:szCs w:val="20"/>
          <w:color w:val="auto"/>
        </w:rPr>
      </w:pPr>
      <w:r>
        <w:rPr>
          <w:rFonts w:ascii="Times New Roman" w:cs="Times New Roman" w:eastAsia="Times New Roman" w:hAnsi="Times New Roman"/>
          <w:sz w:val="17"/>
          <w:szCs w:val="17"/>
          <w:color w:val="auto"/>
        </w:rPr>
        <w:t>Within our community, Gentex strives to support a wide variety of local schools and educational institutions. One way we do this is through scholarships and event sponsorships, but in 2023 we also donated 7,000 books and 10,000 rewards for local reading and learning initiatives.</w:t>
      </w:r>
    </w:p>
    <w:p>
      <w:pPr>
        <w:spacing w:after="0" w:line="2" w:lineRule="exact"/>
        <w:rPr>
          <w:sz w:val="20"/>
          <w:szCs w:val="20"/>
          <w:color w:val="auto"/>
        </w:rPr>
      </w:pPr>
    </w:p>
    <w:p>
      <w:pPr>
        <w:ind w:left="2760" w:right="620"/>
        <w:spacing w:after="0" w:line="453" w:lineRule="auto"/>
        <w:rPr>
          <w:sz w:val="20"/>
          <w:szCs w:val="20"/>
          <w:color w:val="auto"/>
        </w:rPr>
      </w:pPr>
      <w:r>
        <w:rPr>
          <w:rFonts w:ascii="Times New Roman" w:cs="Times New Roman" w:eastAsia="Times New Roman" w:hAnsi="Times New Roman"/>
          <w:sz w:val="18"/>
          <w:szCs w:val="18"/>
          <w:color w:val="auto"/>
        </w:rPr>
        <w:t>We believe that giving the next generation of learners the right tools can create massive opportunity and advancement, and we are proud of the work they’re doing!</w:t>
      </w:r>
    </w:p>
    <w:p>
      <w:pPr>
        <w:spacing w:after="0" w:line="315" w:lineRule="exact"/>
        <w:rPr>
          <w:sz w:val="20"/>
          <w:szCs w:val="20"/>
          <w:color w:val="auto"/>
        </w:rPr>
      </w:pPr>
    </w:p>
    <w:p>
      <w:pPr>
        <w:ind w:left="2760"/>
        <w:spacing w:after="0"/>
        <w:rPr>
          <w:sz w:val="20"/>
          <w:szCs w:val="20"/>
          <w:color w:val="auto"/>
        </w:rPr>
      </w:pPr>
      <w:r>
        <w:rPr>
          <w:rFonts w:ascii="Arial" w:cs="Arial" w:eastAsia="Arial" w:hAnsi="Arial"/>
          <w:sz w:val="28"/>
          <w:szCs w:val="28"/>
          <w:b w:val="1"/>
          <w:bCs w:val="1"/>
          <w:color w:val="auto"/>
          <w:highlight w:val="white"/>
        </w:rPr>
        <w:t xml:space="preserve">CREATING </w:t>
      </w:r>
      <w:r>
        <w:rPr>
          <w:rFonts w:ascii="Arial" w:cs="Arial" w:eastAsia="Arial" w:hAnsi="Arial"/>
          <w:sz w:val="28"/>
          <w:szCs w:val="28"/>
          <w:b w:val="1"/>
          <w:bCs w:val="1"/>
          <w:color w:val="auto"/>
        </w:rPr>
        <w:t>OPPORTUNITY</w:t>
      </w:r>
    </w:p>
    <w:p>
      <w:pPr>
        <w:spacing w:after="0" w:line="190" w:lineRule="exact"/>
        <w:rPr>
          <w:sz w:val="20"/>
          <w:szCs w:val="20"/>
          <w:color w:val="auto"/>
        </w:rPr>
      </w:pPr>
    </w:p>
    <w:p>
      <w:pPr>
        <w:ind w:left="2760" w:right="480"/>
        <w:spacing w:after="0" w:line="370" w:lineRule="auto"/>
        <w:rPr>
          <w:sz w:val="20"/>
          <w:szCs w:val="20"/>
          <w:color w:val="auto"/>
        </w:rPr>
      </w:pPr>
      <w:r>
        <w:rPr>
          <w:rFonts w:ascii="Times New Roman" w:cs="Times New Roman" w:eastAsia="Times New Roman" w:hAnsi="Times New Roman"/>
          <w:sz w:val="18"/>
          <w:szCs w:val="18"/>
          <w:color w:val="auto"/>
          <w:highlight w:val="black"/>
        </w:rPr>
        <w:t xml:space="preserve">As </w:t>
      </w:r>
      <w:r>
        <w:rPr>
          <w:rFonts w:ascii="Times New Roman" w:cs="Times New Roman" w:eastAsia="Times New Roman" w:hAnsi="Times New Roman"/>
          <w:sz w:val="18"/>
          <w:szCs w:val="18"/>
          <w:color w:val="auto"/>
        </w:rPr>
        <w:t>Gentex works to develop our supplier base to achieve our long term growth goals, we are</w:t>
      </w:r>
      <w:r>
        <w:rPr>
          <w:rFonts w:ascii="Times New Roman" w:cs="Times New Roman" w:eastAsia="Times New Roman" w:hAnsi="Times New Roman"/>
          <w:sz w:val="18"/>
          <w:szCs w:val="18"/>
          <w:color w:val="auto"/>
          <w:highlight w:val="black"/>
        </w:rPr>
        <w:t xml:space="preserve"> actively </w:t>
      </w:r>
      <w:r>
        <w:rPr>
          <w:rFonts w:ascii="Times New Roman" w:cs="Times New Roman" w:eastAsia="Times New Roman" w:hAnsi="Times New Roman"/>
          <w:sz w:val="18"/>
          <w:szCs w:val="18"/>
          <w:color w:val="auto"/>
        </w:rPr>
        <w:t>identifying and engaging with our supply chain to grow our spend with minority-owned,</w:t>
      </w:r>
      <w:r>
        <w:rPr>
          <w:rFonts w:ascii="Times New Roman" w:cs="Times New Roman" w:eastAsia="Times New Roman" w:hAnsi="Times New Roman"/>
          <w:sz w:val="18"/>
          <w:szCs w:val="18"/>
          <w:color w:val="auto"/>
          <w:highlight w:val="black"/>
        </w:rPr>
        <w:t xml:space="preserve"> </w:t>
      </w:r>
      <w:r>
        <w:rPr>
          <w:rFonts w:ascii="Times New Roman" w:cs="Times New Roman" w:eastAsia="Times New Roman" w:hAnsi="Times New Roman"/>
          <w:sz w:val="18"/>
          <w:szCs w:val="18"/>
          <w:color w:val="auto"/>
          <w:highlight w:val="white"/>
        </w:rPr>
        <w:t>women</w:t>
      </w:r>
      <w:r>
        <w:rPr>
          <w:rFonts w:ascii="Times New Roman" w:cs="Times New Roman" w:eastAsia="Times New Roman" w:hAnsi="Times New Roman"/>
          <w:sz w:val="18"/>
          <w:szCs w:val="18"/>
          <w:color w:val="auto"/>
        </w:rPr>
        <w:t>-owned, and veteran-owned suppliers. Our efforts in this realm have been acknowledged</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highlight w:val="black"/>
        </w:rPr>
        <w:t xml:space="preserve">and </w:t>
      </w:r>
      <w:r>
        <w:rPr>
          <w:rFonts w:ascii="Times New Roman" w:cs="Times New Roman" w:eastAsia="Times New Roman" w:hAnsi="Times New Roman"/>
          <w:sz w:val="18"/>
          <w:szCs w:val="18"/>
          <w:color w:val="auto"/>
        </w:rPr>
        <w:t>recognized by multiple customers, including but not limited to Honda, Nissan, and Toyota,</w:t>
      </w:r>
      <w:r>
        <w:rPr>
          <w:rFonts w:ascii="Times New Roman" w:cs="Times New Roman" w:eastAsia="Times New Roman" w:hAnsi="Times New Roman"/>
          <w:sz w:val="18"/>
          <w:szCs w:val="18"/>
          <w:color w:val="auto"/>
          <w:highlight w:val="black"/>
        </w:rPr>
        <w:t xml:space="preserve"> who </w:t>
      </w:r>
      <w:r>
        <w:rPr>
          <w:rFonts w:ascii="Times New Roman" w:cs="Times New Roman" w:eastAsia="Times New Roman" w:hAnsi="Times New Roman"/>
          <w:sz w:val="18"/>
          <w:szCs w:val="18"/>
          <w:color w:val="auto"/>
        </w:rPr>
        <w:t>specifically recognized Gentex’s efforts over the last 10 years to increase supplier relationships</w:t>
      </w:r>
      <w:r>
        <w:rPr>
          <w:rFonts w:ascii="Times New Roman" w:cs="Times New Roman" w:eastAsia="Times New Roman" w:hAnsi="Times New Roman"/>
          <w:sz w:val="18"/>
          <w:szCs w:val="18"/>
          <w:color w:val="auto"/>
          <w:highlight w:val="black"/>
        </w:rPr>
        <w:t xml:space="preserve"> </w:t>
      </w:r>
      <w:r>
        <w:rPr>
          <w:rFonts w:ascii="Times New Roman" w:cs="Times New Roman" w:eastAsia="Times New Roman" w:hAnsi="Times New Roman"/>
          <w:sz w:val="18"/>
          <w:szCs w:val="18"/>
          <w:color w:val="auto"/>
          <w:highlight w:val="white"/>
        </w:rPr>
        <w:t xml:space="preserve">with </w:t>
      </w:r>
      <w:r>
        <w:rPr>
          <w:rFonts w:ascii="Times New Roman" w:cs="Times New Roman" w:eastAsia="Times New Roman" w:hAnsi="Times New Roman"/>
          <w:sz w:val="18"/>
          <w:szCs w:val="18"/>
          <w:color w:val="auto"/>
        </w:rPr>
        <w:t>minority business enterprises.</w:t>
      </w:r>
    </w:p>
    <w:p>
      <w:pPr>
        <w:sectPr>
          <w:pgSz w:w="12240" w:h="15840" w:orient="portrait"/>
          <w:cols w:equalWidth="0" w:num="1">
            <w:col w:w="10220"/>
          </w:cols>
          <w:pgMar w:left="1440" w:top="1440" w:right="580" w:bottom="0" w:gutter="0" w:footer="0" w:header="0"/>
        </w:sectPr>
      </w:pPr>
    </w:p>
    <w:p>
      <w:pPr>
        <w:spacing w:after="0" w:line="200" w:lineRule="exact"/>
        <w:rPr>
          <w:sz w:val="20"/>
          <w:szCs w:val="20"/>
          <w:color w:val="auto"/>
        </w:rPr>
      </w:pPr>
    </w:p>
    <w:p>
      <w:pPr>
        <w:spacing w:after="0" w:line="324" w:lineRule="exact"/>
        <w:rPr>
          <w:sz w:val="20"/>
          <w:szCs w:val="20"/>
          <w:color w:val="auto"/>
        </w:rPr>
      </w:pPr>
    </w:p>
    <w:p>
      <w:pPr>
        <w:ind w:left="8500"/>
        <w:spacing w:after="0"/>
        <w:tabs>
          <w:tab w:leader="none" w:pos="10060" w:val="left"/>
        </w:tabs>
        <w:rPr>
          <w:sz w:val="20"/>
          <w:szCs w:val="20"/>
          <w:color w:val="auto"/>
        </w:rPr>
      </w:pPr>
      <w:r>
        <w:rPr>
          <w:rFonts w:ascii="Times New Roman" w:cs="Times New Roman" w:eastAsia="Times New Roman" w:hAnsi="Times New Roman"/>
          <w:sz w:val="10"/>
          <w:szCs w:val="10"/>
          <w:color w:val="FFFFFF"/>
        </w:rPr>
        <w:t>2023</w:t>
      </w:r>
      <w:r>
        <w:rPr>
          <w:rFonts w:ascii="Times New Roman" w:cs="Times New Roman" w:eastAsia="Times New Roman" w:hAnsi="Times New Roman"/>
          <w:sz w:val="10"/>
          <w:szCs w:val="10"/>
          <w:color w:val="000000"/>
        </w:rPr>
        <w:t>2</w:t>
      </w:r>
      <w:r>
        <w:rPr>
          <w:rFonts w:ascii="Times New Roman" w:cs="Times New Roman" w:eastAsia="Times New Roman" w:hAnsi="Times New Roman"/>
          <w:sz w:val="10"/>
          <w:szCs w:val="10"/>
          <w:color w:val="FFFFFF"/>
        </w:rPr>
        <w:t xml:space="preserve"> ANNUAL REPORT</w:t>
      </w:r>
      <w:r>
        <w:rPr>
          <w:sz w:val="20"/>
          <w:szCs w:val="20"/>
          <w:color w:val="auto"/>
        </w:rPr>
        <w:tab/>
      </w:r>
      <w:r>
        <w:rPr>
          <w:rFonts w:ascii="Arial" w:cs="Arial" w:eastAsia="Arial" w:hAnsi="Arial"/>
          <w:sz w:val="12"/>
          <w:szCs w:val="12"/>
          <w:b w:val="1"/>
          <w:bCs w:val="1"/>
          <w:color w:val="FFFFFF"/>
        </w:rPr>
        <w:t>19</w:t>
      </w:r>
    </w:p>
    <w:p>
      <w:pPr>
        <w:sectPr>
          <w:pgSz w:w="12240" w:h="15840" w:orient="portrait"/>
          <w:cols w:equalWidth="0" w:num="1">
            <w:col w:w="10220"/>
          </w:cols>
          <w:pgMar w:left="1440" w:top="1440" w:right="580" w:bottom="0" w:gutter="0" w:footer="0" w:header="0"/>
          <w:type w:val="continuous"/>
        </w:sectPr>
      </w:pPr>
    </w:p>
    <w:bookmarkStart w:id="19" w:name="page20"/>
    <w:bookmarkEnd w:id="19"/>
    <w:p>
      <w:pPr>
        <w:ind w:left="36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SUSTAINABILITY</w:t>
      </w:r>
    </w:p>
    <w:p>
      <w:pPr>
        <w:spacing w:after="0" w:line="200" w:lineRule="exact"/>
        <w:rPr>
          <w:sz w:val="20"/>
          <w:szCs w:val="20"/>
          <w:color w:val="auto"/>
        </w:rPr>
      </w:pPr>
    </w:p>
    <w:p>
      <w:pPr>
        <w:spacing w:after="0" w:line="357" w:lineRule="exact"/>
        <w:rPr>
          <w:sz w:val="20"/>
          <w:szCs w:val="20"/>
          <w:color w:val="auto"/>
        </w:rPr>
      </w:pPr>
    </w:p>
    <w:p>
      <w:pPr>
        <w:jc w:val="both"/>
        <w:ind w:left="140" w:right="840"/>
        <w:spacing w:after="0" w:line="264" w:lineRule="auto"/>
        <w:rPr>
          <w:sz w:val="20"/>
          <w:szCs w:val="20"/>
          <w:color w:val="auto"/>
        </w:rPr>
      </w:pPr>
      <w:r>
        <w:rPr>
          <w:rFonts w:ascii="Arial" w:cs="Arial" w:eastAsia="Arial" w:hAnsi="Arial"/>
          <w:sz w:val="50"/>
          <w:szCs w:val="50"/>
          <w:color w:val="auto"/>
        </w:rPr>
        <w:t>Gentex is focused on investing in environmental, sustainability and diversity eﬀorts that have long term benefits.</w:t>
      </w:r>
    </w:p>
    <w:p>
      <w:pPr>
        <w:sectPr>
          <w:pgSz w:w="12240" w:h="15840" w:orient="portrait"/>
          <w:cols w:equalWidth="0" w:num="1">
            <w:col w:w="10900"/>
          </w:cols>
          <w:pgMar w:left="580" w:top="454" w:right="760" w:bottom="0" w:gutter="0" w:footer="0" w:header="0"/>
        </w:sectPr>
      </w:pPr>
    </w:p>
    <w:p>
      <w:pPr>
        <w:spacing w:after="0" w:line="293" w:lineRule="exact"/>
        <w:rPr>
          <w:sz w:val="20"/>
          <w:szCs w:val="20"/>
          <w:color w:val="auto"/>
        </w:rPr>
      </w:pPr>
    </w:p>
    <w:p>
      <w:pPr>
        <w:ind w:left="140"/>
        <w:spacing w:after="0" w:line="354" w:lineRule="auto"/>
        <w:rPr>
          <w:sz w:val="20"/>
          <w:szCs w:val="20"/>
          <w:color w:val="auto"/>
        </w:rPr>
      </w:pPr>
      <w:r>
        <w:rPr>
          <w:rFonts w:ascii="Times New Roman" w:cs="Times New Roman" w:eastAsia="Times New Roman" w:hAnsi="Times New Roman"/>
          <w:sz w:val="17"/>
          <w:szCs w:val="17"/>
          <w:color w:val="auto"/>
        </w:rPr>
        <w:t>In 2023, we furthered our work with EcoVadis, a global Corporate Social Responsibility (CSR) rating company based on international standards. In 2023 we began reaching out to our supply chain, asking them to engage in the EcoVadis platform so that we can identify their progress toward sustainable targets. Over the coming years, we will add this information to our own data to provide shareholders with increased visibility of our performance and impact within our communities, and a more complete picture of our scope 3 emissions. These metrics will focus on our impact with regard to our environment, our labor and human rights initiatives, the ethics which guide our decision making, and our procurement processes. Among other things, this reporting will allow us to work with our suppliers to identify and track our Scope 3 emissions, update our internal and external guidelines and reporting for social progress, and more accurately compare our progress to that of our peer group.</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right="60"/>
        <w:spacing w:after="0" w:line="347" w:lineRule="auto"/>
        <w:rPr>
          <w:sz w:val="20"/>
          <w:szCs w:val="20"/>
          <w:color w:val="auto"/>
        </w:rPr>
      </w:pPr>
      <w:r>
        <w:rPr>
          <w:rFonts w:ascii="Times New Roman" w:cs="Times New Roman" w:eastAsia="Times New Roman" w:hAnsi="Times New Roman"/>
          <w:sz w:val="18"/>
          <w:szCs w:val="18"/>
          <w:color w:val="auto"/>
        </w:rPr>
        <w:t>Gentex has always been more interested in progress than in promotion, but as more investors seek to align their portfolios toward social progress, we recognize the need to showcase our good work. To that end, we continue to update our sustainability report each year, and we’ve also begun adding clarifying documents to assist our shareholders in analyzing our performance and stance on social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Ryan</w:t>
      </w:r>
    </w:p>
    <w:p>
      <w:pPr>
        <w:spacing w:after="0" w:line="264" w:lineRule="exact"/>
        <w:rPr>
          <w:sz w:val="20"/>
          <w:szCs w:val="20"/>
          <w:color w:val="auto"/>
        </w:rPr>
      </w:pPr>
    </w:p>
    <w:p>
      <w:pPr>
        <w:ind w:right="1720"/>
        <w:spacing w:after="0" w:line="450" w:lineRule="auto"/>
        <w:rPr>
          <w:sz w:val="20"/>
          <w:szCs w:val="20"/>
          <w:color w:val="auto"/>
        </w:rPr>
      </w:pPr>
      <w:r>
        <w:rPr>
          <w:rFonts w:ascii="Arial" w:cs="Arial" w:eastAsia="Arial" w:hAnsi="Arial"/>
          <w:sz w:val="18"/>
          <w:szCs w:val="18"/>
          <w:i w:val="1"/>
          <w:iCs w:val="1"/>
          <w:color w:val="auto"/>
        </w:rPr>
        <w:t>Vice President, General Counsel, Corporate Secretary, &amp; Sustainability Officer</w:t>
      </w:r>
    </w:p>
    <w:p>
      <w:pPr>
        <w:spacing w:after="0" w:line="200" w:lineRule="exact"/>
        <w:rPr>
          <w:sz w:val="20"/>
          <w:szCs w:val="20"/>
          <w:color w:val="auto"/>
        </w:rPr>
      </w:pPr>
    </w:p>
    <w:p>
      <w:pPr>
        <w:sectPr>
          <w:pgSz w:w="12240" w:h="15840" w:orient="portrait"/>
          <w:cols w:equalWidth="0" w:num="2">
            <w:col w:w="5380" w:space="280"/>
            <w:col w:w="5240"/>
          </w:cols>
          <w:pgMar w:left="580" w:top="454" w:right="760" w:bottom="0" w:gutter="0" w:footer="0" w:header="0"/>
          <w:type w:val="continuous"/>
        </w:sectPr>
      </w:pPr>
    </w:p>
    <w:p>
      <w:pPr>
        <w:spacing w:after="0" w:line="196"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PROGRESS UPDATES:</w:t>
      </w:r>
    </w:p>
    <w:p>
      <w:pPr>
        <w:spacing w:after="0" w:line="170" w:lineRule="exact"/>
        <w:rPr>
          <w:sz w:val="20"/>
          <w:szCs w:val="20"/>
          <w:color w:val="auto"/>
        </w:rPr>
      </w:pPr>
    </w:p>
    <w:p>
      <w:pPr>
        <w:ind w:lef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Supporting the growth of EVs: </w:t>
      </w:r>
      <w:r>
        <w:rPr>
          <w:rFonts w:ascii="Times New Roman" w:cs="Times New Roman" w:eastAsia="Times New Roman" w:hAnsi="Times New Roman"/>
          <w:sz w:val="18"/>
          <w:szCs w:val="18"/>
          <w:color w:val="auto"/>
        </w:rPr>
        <w:t>Gentex has 30 charging stations on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main campus for our employees with electric vehicles. </w:t>
      </w:r>
      <w:r>
        <w:rPr>
          <w:rFonts w:ascii="PMingLiU" w:cs="PMingLiU" w:eastAsia="PMingLiU" w:hAnsi="PMingLiU"/>
          <w:sz w:val="26"/>
          <w:szCs w:val="26"/>
          <w:color w:val="404040"/>
        </w:rPr>
        <w:t></w:t>
      </w:r>
      <w:r>
        <w:rPr>
          <w:rFonts w:ascii="Arial" w:cs="Arial" w:eastAsia="Arial" w:hAnsi="Arial"/>
          <w:sz w:val="18"/>
          <w:szCs w:val="18"/>
          <w:b w:val="1"/>
          <w:bCs w:val="1"/>
          <w:color w:val="FFFFFF"/>
        </w:rPr>
        <w:t>1</w:t>
      </w:r>
    </w:p>
    <w:p>
      <w:pPr>
        <w:spacing w:after="0" w:line="116" w:lineRule="exact"/>
        <w:rPr>
          <w:sz w:val="20"/>
          <w:szCs w:val="20"/>
          <w:color w:val="auto"/>
        </w:rPr>
      </w:pPr>
    </w:p>
    <w:p>
      <w:pPr>
        <w:ind w:left="160" w:right="100"/>
        <w:spacing w:after="0" w:line="316" w:lineRule="auto"/>
        <w:rPr>
          <w:sz w:val="20"/>
          <w:szCs w:val="20"/>
          <w:color w:val="auto"/>
        </w:rPr>
      </w:pPr>
      <w:r>
        <w:rPr>
          <w:rFonts w:ascii="Times New Roman" w:cs="Times New Roman" w:eastAsia="Times New Roman" w:hAnsi="Times New Roman"/>
          <w:sz w:val="17"/>
          <w:szCs w:val="17"/>
          <w:b w:val="1"/>
          <w:bCs w:val="1"/>
          <w:color w:val="auto"/>
        </w:rPr>
        <w:t xml:space="preserve">Glass Recycling: </w:t>
      </w:r>
      <w:r>
        <w:rPr>
          <w:rFonts w:ascii="Times New Roman" w:cs="Times New Roman" w:eastAsia="Times New Roman" w:hAnsi="Times New Roman"/>
          <w:sz w:val="17"/>
          <w:szCs w:val="17"/>
          <w:color w:val="auto"/>
        </w:rPr>
        <w:t>with new updates to our manufacturing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reclamation processes, we have worked to expand our ability to recycle glass that is further along in production. This will allow Gentex to </w:t>
      </w:r>
      <w:r>
        <w:rPr>
          <w:rFonts w:ascii="Times New Roman" w:cs="Times New Roman" w:eastAsia="Times New Roman" w:hAnsi="Times New Roman"/>
          <w:sz w:val="17"/>
          <w:szCs w:val="17"/>
          <w:color w:val="auto"/>
          <w:highlight w:val="black"/>
        </w:rPr>
        <w:t>recycle more glass with some</w:t>
      </w:r>
      <w:r>
        <w:rPr>
          <w:sz w:val="1"/>
          <w:szCs w:val="1"/>
          <w:color w:val="auto"/>
        </w:rPr>
        <w:drawing>
          <wp:inline distT="0" distB="0" distL="0" distR="0">
            <wp:extent cx="26035" cy="10731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35" cy="10731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black"/>
        </w:rPr>
        <w:t>amount of epoxy, chemistry,</w:t>
      </w:r>
      <w:r>
        <w:rPr>
          <w:sz w:val="1"/>
          <w:szCs w:val="1"/>
          <w:color w:val="auto"/>
        </w:rPr>
        <w:drawing>
          <wp:inline distT="0" distB="0" distL="0" distR="0">
            <wp:extent cx="20955" cy="13208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955" cy="132080"/>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black"/>
        </w:rPr>
        <w:t xml:space="preserve"> and/or</w:t>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highlight w:val="black"/>
        </w:rPr>
        <w:t xml:space="preserve">hardware associated </w:t>
      </w:r>
      <w:r>
        <w:rPr>
          <w:sz w:val="1"/>
          <w:szCs w:val="1"/>
          <w:color w:val="auto"/>
        </w:rPr>
        <w:drawing>
          <wp:inline distT="0" distB="0" distL="0" distR="0">
            <wp:extent cx="20955" cy="12255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955" cy="122555"/>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black"/>
        </w:rPr>
        <w:t xml:space="preserve">with it, rather than having to send it to the landfill. </w:t>
      </w:r>
      <w:r>
        <w:rPr>
          <w:rFonts w:ascii="PMingLiU" w:cs="PMingLiU" w:eastAsia="PMingLiU" w:hAnsi="PMingLiU"/>
          <w:sz w:val="23"/>
          <w:szCs w:val="23"/>
          <w:color w:val="404040"/>
        </w:rPr>
        <w:t></w:t>
      </w:r>
      <w:r>
        <w:rPr>
          <w:rFonts w:ascii="Arial" w:cs="Arial" w:eastAsia="Arial" w:hAnsi="Arial"/>
          <w:sz w:val="31"/>
          <w:szCs w:val="31"/>
          <w:b w:val="1"/>
          <w:bCs w:val="1"/>
          <w:color w:val="FFFFFF"/>
          <w:highlight w:val="white"/>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b w:val="1"/>
          <w:bCs w:val="1"/>
          <w:color w:val="auto"/>
        </w:rPr>
        <w:t xml:space="preserve">Energy Purchase: </w:t>
      </w:r>
      <w:r>
        <w:rPr>
          <w:rFonts w:ascii="Times New Roman" w:cs="Times New Roman" w:eastAsia="Times New Roman" w:hAnsi="Times New Roman"/>
          <w:sz w:val="18"/>
          <w:szCs w:val="18"/>
          <w:color w:val="auto"/>
        </w:rPr>
        <w:t>2023 was our first full year utilizing renewable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 our James Street location. This energy, through a purchase agreement with our local energy company, comes from renewable sources rather than mainstream electrical production. </w:t>
      </w:r>
      <w:r>
        <w:rPr>
          <w:rFonts w:ascii="PMingLiU" w:cs="PMingLiU" w:eastAsia="PMingLiU" w:hAnsi="PMingLiU"/>
          <w:sz w:val="26"/>
          <w:szCs w:val="26"/>
          <w:color w:val="404040"/>
        </w:rPr>
        <w:t></w:t>
      </w:r>
      <w:r>
        <w:rPr>
          <w:rFonts w:ascii="Arial" w:cs="Arial" w:eastAsia="Arial" w:hAnsi="Arial"/>
          <w:sz w:val="36"/>
          <w:szCs w:val="36"/>
          <w:b w:val="1"/>
          <w:bCs w:val="1"/>
          <w:color w:val="FFFFFF"/>
          <w:vertAlign w:val="superscript"/>
        </w:rPr>
        <w:t>3</w:t>
      </w:r>
    </w:p>
    <w:p>
      <w:pPr>
        <w:spacing w:after="0" w:line="17" w:lineRule="exact"/>
        <w:rPr>
          <w:sz w:val="20"/>
          <w:szCs w:val="20"/>
          <w:color w:val="auto"/>
        </w:rPr>
      </w:pPr>
    </w:p>
    <w:p>
      <w:pPr>
        <w:ind w:right="80"/>
        <w:spacing w:after="0" w:line="353" w:lineRule="auto"/>
        <w:rPr>
          <w:sz w:val="20"/>
          <w:szCs w:val="20"/>
          <w:color w:val="auto"/>
        </w:rPr>
      </w:pPr>
      <w:r>
        <w:rPr>
          <w:rFonts w:ascii="Times New Roman" w:cs="Times New Roman" w:eastAsia="Times New Roman" w:hAnsi="Times New Roman"/>
          <w:sz w:val="17"/>
          <w:szCs w:val="17"/>
          <w:b w:val="1"/>
          <w:bCs w:val="1"/>
          <w:color w:val="auto"/>
        </w:rPr>
        <w:t xml:space="preserve">Safely Packaged: </w:t>
      </w:r>
      <w:r>
        <w:rPr>
          <w:rFonts w:ascii="Times New Roman" w:cs="Times New Roman" w:eastAsia="Times New Roman" w:hAnsi="Times New Roman"/>
          <w:sz w:val="17"/>
          <w:szCs w:val="17"/>
          <w:color w:val="auto"/>
        </w:rPr>
        <w:t>through a partnership with Goodwill Industries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highlight w:val="black"/>
        </w:rPr>
        <w:t xml:space="preserve">West Michigan, a reseller of </w:t>
      </w:r>
      <w:r>
        <w:rPr>
          <w:sz w:val="1"/>
          <w:szCs w:val="1"/>
          <w:color w:val="auto"/>
        </w:rPr>
        <w:drawing>
          <wp:inline distT="0" distB="0" distL="0" distR="0">
            <wp:extent cx="26035" cy="10731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35" cy="107315"/>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black"/>
        </w:rPr>
        <w:t>used clothes,</w:t>
      </w:r>
      <w:r>
        <w:rPr>
          <w:sz w:val="1"/>
          <w:szCs w:val="1"/>
          <w:color w:val="auto"/>
        </w:rPr>
        <w:drawing>
          <wp:inline distT="0" distB="0" distL="0" distR="0">
            <wp:extent cx="15875" cy="6731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875" cy="67310"/>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black"/>
        </w:rPr>
        <w:t xml:space="preserve"> home goods and other items,</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highlight w:val="black"/>
        </w:rPr>
        <w:t>Gentex is donating 12 gaylords of once-used bubble wrap and packaging materials every other week. This recycled packaging is used by their</w:t>
      </w:r>
      <w:r>
        <w:rPr>
          <w:sz w:val="1"/>
          <w:szCs w:val="1"/>
          <w:color w:val="auto"/>
        </w:rPr>
        <w:drawing>
          <wp:inline distT="0" distB="0" distL="0" distR="0">
            <wp:extent cx="21590" cy="2095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09550"/>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black"/>
        </w:rPr>
        <w:t xml:space="preserve"> ecommerce team for outbound orders.</w:t>
      </w:r>
      <w:r>
        <w:rPr>
          <w:sz w:val="1"/>
          <w:szCs w:val="1"/>
          <w:color w:val="auto"/>
        </w:rPr>
        <w:drawing>
          <wp:inline distT="0" distB="0" distL="0" distR="0">
            <wp:extent cx="26670" cy="952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670" cy="95250"/>
                    </a:xfrm>
                    <a:prstGeom prst="rect">
                      <a:avLst/>
                    </a:prstGeom>
                    <a:noFill/>
                    <a:ln>
                      <a:noFill/>
                    </a:ln>
                  </pic:spPr>
                </pic:pic>
              </a:graphicData>
            </a:graphic>
          </wp:inline>
        </w:drawing>
      </w:r>
      <w:r>
        <w:rPr>
          <w:rFonts w:ascii="Times New Roman" w:cs="Times New Roman" w:eastAsia="Times New Roman" w:hAnsi="Times New Roman"/>
          <w:sz w:val="17"/>
          <w:szCs w:val="17"/>
          <w:color w:val="auto"/>
          <w:highlight w:val="black"/>
        </w:rPr>
        <w:t>Each gaylord is approximately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highlight w:val="black"/>
        </w:rPr>
        <w:t>48"</w:t>
      </w:r>
      <w:r>
        <w:rPr>
          <w:sz w:val="1"/>
          <w:szCs w:val="1"/>
          <w:color w:val="auto"/>
        </w:rPr>
        <w:drawing>
          <wp:inline distT="0" distB="0" distL="0" distR="0">
            <wp:extent cx="26035" cy="9779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35" cy="9779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black"/>
        </w:rPr>
        <w:t xml:space="preserve">x 40" </w:t>
      </w:r>
      <w:r>
        <w:rPr>
          <w:sz w:val="1"/>
          <w:szCs w:val="1"/>
          <w:color w:val="auto"/>
        </w:rPr>
        <w:drawing>
          <wp:inline distT="0" distB="0" distL="0" distR="0">
            <wp:extent cx="21590" cy="9779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97790"/>
                    </a:xfrm>
                    <a:prstGeom prst="rect">
                      <a:avLst/>
                    </a:prstGeom>
                    <a:noFill/>
                    <a:ln>
                      <a:noFill/>
                    </a:ln>
                  </pic:spPr>
                </pic:pic>
              </a:graphicData>
            </a:graphic>
          </wp:inline>
        </w:drawing>
      </w:r>
      <w:r>
        <w:rPr>
          <w:rFonts w:ascii="Times New Roman" w:cs="Times New Roman" w:eastAsia="Times New Roman" w:hAnsi="Times New Roman"/>
          <w:sz w:val="16"/>
          <w:szCs w:val="16"/>
          <w:color w:val="auto"/>
          <w:highlight w:val="black"/>
        </w:rPr>
        <w:t xml:space="preserve">x 36". </w:t>
      </w:r>
      <w:r>
        <w:rPr>
          <w:rFonts w:ascii="PMingLiU" w:cs="PMingLiU" w:eastAsia="PMingLiU" w:hAnsi="PMingLiU"/>
          <w:sz w:val="23"/>
          <w:szCs w:val="23"/>
          <w:color w:val="404040"/>
        </w:rPr>
        <w:t></w:t>
      </w:r>
      <w:r>
        <w:rPr>
          <w:rFonts w:ascii="Arial" w:cs="Arial" w:eastAsia="Arial" w:hAnsi="Arial"/>
          <w:sz w:val="16"/>
          <w:szCs w:val="16"/>
          <w:b w:val="1"/>
          <w:bCs w:val="1"/>
          <w:color w:val="FFFFFF"/>
          <w:highlight w:val="white"/>
        </w:rPr>
        <w:t>4</w:t>
      </w:r>
    </w:p>
    <w:p>
      <w:pPr>
        <w:spacing w:after="0" w:line="200" w:lineRule="exact"/>
        <w:rPr>
          <w:sz w:val="20"/>
          <w:szCs w:val="20"/>
          <w:color w:val="auto"/>
        </w:rPr>
      </w:pPr>
    </w:p>
    <w:p>
      <w:pPr>
        <w:sectPr>
          <w:pgSz w:w="12240" w:h="15840" w:orient="portrait"/>
          <w:cols w:equalWidth="0" w:num="2">
            <w:col w:w="5320" w:space="340"/>
            <w:col w:w="5240"/>
          </w:cols>
          <w:pgMar w:left="580" w:top="454" w:right="7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60" w:right="7700"/>
        <w:spacing w:after="0" w:line="431" w:lineRule="auto"/>
        <w:rPr>
          <w:sz w:val="20"/>
          <w:szCs w:val="20"/>
          <w:color w:val="auto"/>
        </w:rPr>
      </w:pPr>
      <w:r>
        <w:rPr>
          <w:rFonts w:ascii="Arial" w:cs="Arial" w:eastAsia="Arial" w:hAnsi="Arial"/>
          <w:sz w:val="16"/>
          <w:szCs w:val="16"/>
          <w:color w:val="FFFFFF"/>
        </w:rPr>
        <w:t>Keep up to date on our ESG documents and MORe</w:t>
      </w:r>
    </w:p>
    <w:p>
      <w:pPr>
        <w:ind w:left="1160"/>
        <w:spacing w:after="0" w:line="224" w:lineRule="auto"/>
        <w:rPr>
          <w:sz w:val="20"/>
          <w:szCs w:val="20"/>
          <w:color w:val="auto"/>
        </w:rPr>
      </w:pPr>
      <w:r>
        <w:rPr>
          <w:rFonts w:ascii="Arial" w:cs="Arial" w:eastAsia="Arial" w:hAnsi="Arial"/>
          <w:sz w:val="16"/>
          <w:szCs w:val="16"/>
          <w:color w:val="FFFFFF"/>
        </w:rPr>
        <w:t>Scan to visit our website</w:t>
      </w:r>
    </w:p>
    <w:p>
      <w:pPr>
        <w:sectPr>
          <w:pgSz w:w="12240" w:h="15840" w:orient="portrait"/>
          <w:cols w:equalWidth="0" w:num="1">
            <w:col w:w="10900"/>
          </w:cols>
          <w:pgMar w:left="580" w:top="454" w:right="760" w:bottom="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20</w:t>
      </w:r>
      <w:r>
        <w:rPr>
          <w:rFonts w:ascii="Arial" w:cs="Arial" w:eastAsia="Arial" w:hAnsi="Arial"/>
          <w:sz w:val="24"/>
          <w:szCs w:val="24"/>
          <w:b w:val="1"/>
          <w:bCs w:val="1"/>
          <w:color w:val="FFFFFF"/>
        </w:rPr>
        <w:t>20</w:t>
      </w:r>
      <w:r>
        <w:rPr>
          <w:sz w:val="20"/>
          <w:szCs w:val="20"/>
          <w:color w:val="auto"/>
        </w:rPr>
        <w:tab/>
      </w:r>
      <w:r>
        <w:rPr>
          <w:rFonts w:ascii="Times New Roman" w:cs="Times New Roman" w:eastAsia="Times New Roman" w:hAnsi="Times New Roman"/>
          <w:sz w:val="6"/>
          <w:szCs w:val="6"/>
          <w:color w:val="auto"/>
        </w:rPr>
        <w:t>GENTEX</w:t>
      </w:r>
      <w:r>
        <w:rPr>
          <w:rFonts w:ascii="Times New Roman" w:cs="Times New Roman" w:eastAsia="Times New Roman" w:hAnsi="Times New Roman"/>
          <w:sz w:val="6"/>
          <w:szCs w:val="6"/>
          <w:color w:val="FFFFFF"/>
        </w:rPr>
        <w:t>GENTEX</w:t>
      </w:r>
      <w:r>
        <w:rPr>
          <w:rFonts w:ascii="Times New Roman" w:cs="Times New Roman" w:eastAsia="Times New Roman" w:hAnsi="Times New Roman"/>
          <w:sz w:val="6"/>
          <w:szCs w:val="6"/>
          <w:color w:val="auto"/>
        </w:rPr>
        <w:t xml:space="preserve"> CORPORATION</w:t>
      </w:r>
      <w:r>
        <w:rPr>
          <w:rFonts w:ascii="Times New Roman" w:cs="Times New Roman" w:eastAsia="Times New Roman" w:hAnsi="Times New Roman"/>
          <w:sz w:val="6"/>
          <w:szCs w:val="6"/>
          <w:color w:val="FFFFFF"/>
        </w:rPr>
        <w:t>CORPORATION</w:t>
      </w:r>
    </w:p>
    <w:p>
      <w:pPr>
        <w:sectPr>
          <w:pgSz w:w="12240" w:h="15840" w:orient="portrait"/>
          <w:cols w:equalWidth="0" w:num="1">
            <w:col w:w="10900"/>
          </w:cols>
          <w:pgMar w:left="580" w:top="454" w:right="760" w:bottom="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FFFFF"/>
        </w:rPr>
        <w:t>1</w:t>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FFFFF"/>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240"/>
        <w:spacing w:after="0"/>
        <w:rPr>
          <w:sz w:val="20"/>
          <w:szCs w:val="20"/>
          <w:color w:val="auto"/>
        </w:rPr>
      </w:pPr>
      <w:r>
        <w:rPr>
          <w:rFonts w:ascii="Arial" w:cs="Arial" w:eastAsia="Arial" w:hAnsi="Arial"/>
          <w:sz w:val="17"/>
          <w:szCs w:val="17"/>
          <w:b w:val="1"/>
          <w:bCs w:val="1"/>
          <w:color w:val="FFFFFF"/>
        </w:rPr>
        <w:t>3</w:t>
      </w:r>
    </w:p>
    <w:p>
      <w:pPr>
        <w:spacing w:after="0" w:line="31" w:lineRule="exact"/>
        <w:rPr>
          <w:sz w:val="20"/>
          <w:szCs w:val="20"/>
          <w:color w:val="auto"/>
        </w:rPr>
      </w:pPr>
    </w:p>
    <w:p>
      <w:pPr>
        <w:jc w:val="right"/>
        <w:ind w:right="1880"/>
        <w:spacing w:after="0"/>
        <w:rPr>
          <w:sz w:val="20"/>
          <w:szCs w:val="20"/>
          <w:color w:val="auto"/>
        </w:rPr>
      </w:pPr>
      <w:r>
        <w:rPr>
          <w:rFonts w:ascii="Arial" w:cs="Arial" w:eastAsia="Arial" w:hAnsi="Arial"/>
          <w:sz w:val="18"/>
          <w:szCs w:val="18"/>
          <w:b w:val="1"/>
          <w:bCs w:val="1"/>
          <w:color w:val="FFFFFF"/>
        </w:rPr>
        <w:t>4</w:t>
      </w:r>
    </w:p>
    <w:p>
      <w:pPr>
        <w:sectPr>
          <w:pgSz w:w="12240" w:h="15840" w:orient="portrait"/>
          <w:cols w:equalWidth="0" w:num="1">
            <w:col w:w="10220"/>
          </w:cols>
          <w:pgMar w:left="1440" w:top="144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500"/>
        <w:spacing w:after="0"/>
        <w:tabs>
          <w:tab w:leader="none" w:pos="10060" w:val="left"/>
        </w:tabs>
        <w:rPr>
          <w:sz w:val="20"/>
          <w:szCs w:val="20"/>
          <w:color w:val="auto"/>
        </w:rPr>
      </w:pPr>
      <w:r>
        <w:rPr>
          <w:rFonts w:ascii="Times New Roman" w:cs="Times New Roman" w:eastAsia="Times New Roman" w:hAnsi="Times New Roman"/>
          <w:sz w:val="10"/>
          <w:szCs w:val="10"/>
          <w:color w:val="FFFFFF"/>
        </w:rPr>
        <w:t>2023 ANNUAL REPORT</w:t>
      </w:r>
      <w:r>
        <w:rPr>
          <w:sz w:val="20"/>
          <w:szCs w:val="20"/>
          <w:color w:val="auto"/>
        </w:rPr>
        <w:tab/>
      </w:r>
      <w:r>
        <w:rPr>
          <w:rFonts w:ascii="Arial" w:cs="Arial" w:eastAsia="Arial" w:hAnsi="Arial"/>
          <w:sz w:val="12"/>
          <w:szCs w:val="12"/>
          <w:b w:val="1"/>
          <w:bCs w:val="1"/>
          <w:color w:val="FFFFFF"/>
        </w:rPr>
        <w:t>21</w:t>
      </w:r>
    </w:p>
    <w:p>
      <w:pPr>
        <w:sectPr>
          <w:pgSz w:w="12240" w:h="15840" w:orient="portrait"/>
          <w:cols w:equalWidth="0" w:num="1">
            <w:col w:w="10220"/>
          </w:cols>
          <w:pgMar w:left="1440" w:top="1440" w:right="580" w:bottom="0" w:gutter="0" w:footer="0" w:header="0"/>
          <w:type w:val="continuous"/>
        </w:sectPr>
      </w:pPr>
    </w:p>
    <w:bookmarkStart w:id="21" w:name="page22"/>
    <w:bookmarkEnd w:id="21"/>
    <w:p>
      <w:pPr>
        <w:spacing w:after="0" w:line="22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571500</wp:posOffset>
                </wp:positionV>
                <wp:extent cx="480060" cy="91440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060" cy="914400"/>
                        </a:xfrm>
                        <a:prstGeom prst="rect">
                          <a:avLst/>
                        </a:prstGeom>
                        <a:solidFill>
                          <a:srgbClr val="404040"/>
                        </a:solidFill>
                      </wps:spPr>
                      <wps:bodyPr/>
                    </wps:wsp>
                  </a:graphicData>
                </a:graphic>
              </wp:anchor>
            </w:drawing>
          </mc:Choice>
          <mc:Fallback>
            <w:pict>
              <v:rect id="Shape 46" o:spid="_x0000_s1071" style="position:absolute;margin-left:0pt;margin-top:45pt;width:37.8pt;height:7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404040" stroked="f">
                <w10:wrap anchorx="page" anchory="page"/>
              </v:rect>
            </w:pict>
          </mc:Fallback>
        </mc:AlternateContent>
      </w:r>
    </w:p>
    <w:tbl>
      <w:tblPr>
        <w:tblLayout w:type="fixed"/>
        <w:tblInd w:w="0" w:type="dxa"/>
        <w:tblCellMar>
          <w:top w:w="0" w:type="dxa"/>
          <w:left w:w="0" w:type="dxa"/>
          <w:bottom w:w="0" w:type="dxa"/>
          <w:right w:w="0" w:type="dxa"/>
        </w:tblCellMar>
      </w:tblPr>
      <w:tr>
        <w:trPr>
          <w:trHeight w:val="1160"/>
        </w:trPr>
        <w:tc>
          <w:tcPr>
            <w:tcW w:w="230" w:type="dxa"/>
            <w:vAlign w:val="bottom"/>
            <w:textDirection w:val="btLr"/>
          </w:tcPr>
          <w:p>
            <w:pPr>
              <w:spacing w:after="0"/>
              <w:rPr>
                <w:sz w:val="20"/>
                <w:szCs w:val="20"/>
                <w:color w:val="auto"/>
              </w:rPr>
            </w:pPr>
            <w:r>
              <w:rPr>
                <w:rFonts w:ascii="Arial" w:cs="Arial" w:eastAsia="Arial" w:hAnsi="Arial"/>
                <w:sz w:val="20"/>
                <w:szCs w:val="20"/>
                <w:color w:val="FFFFFF"/>
              </w:rPr>
              <w:t>10-K PART I</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color w:val="808080"/>
        </w:rPr>
        <w:t xml:space="preserve">Item 1. </w:t>
      </w:r>
      <w:r>
        <w:rPr>
          <w:rFonts w:ascii="Arial" w:cs="Arial" w:eastAsia="Arial" w:hAnsi="Arial"/>
          <w:sz w:val="32"/>
          <w:szCs w:val="32"/>
          <w:color w:val="000000"/>
        </w:rPr>
        <w:t>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808080"/>
        </w:rPr>
        <w:t>GENERAL DEVELOPMENT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Gentex Corporation (the “Company”) was incorporated as a Michigan corporation in 1974. The Company designs, develops, manufactures,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and supplies digital vision, connected car, dimmable glass, and fire protection technologies, including: automatic-dimming rearview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non-dimming mirrors and electronics for the automotive industry; dimmable aircraft windows for the aviation industry; and commercial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smoke alarms and signaling devices for the fire protection industry. The Company’s largest business segment involves designing, developing,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and marketing interior and exterior automatic-dimming automotive rearview mirrors that utilize proprietary electrochromic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to dim in proportion to the amount of headlight glare from trailing vehicle headlamps. Within this business segment,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also designs, develops and manufactures various electronics that are value added features to the interior and exterior automotive rearview mirrors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well as electronics for interior visors, overhead consoles, and other locations in the vehicle. The Company ships its products to all of the major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automotive producing regions worldwide, which it supports with numerous sales, engineering and distribution locations worldwide.</w:t>
      </w:r>
    </w:p>
    <w:p>
      <w:pPr>
        <w:spacing w:after="0" w:line="229" w:lineRule="exact"/>
        <w:rPr>
          <w:sz w:val="20"/>
          <w:szCs w:val="20"/>
          <w:color w:val="auto"/>
        </w:rPr>
      </w:pPr>
    </w:p>
    <w:p>
      <w:pPr>
        <w:ind w:right="140"/>
        <w:spacing w:after="0" w:line="336" w:lineRule="auto"/>
        <w:rPr>
          <w:sz w:val="20"/>
          <w:szCs w:val="20"/>
          <w:color w:val="auto"/>
        </w:rPr>
      </w:pPr>
      <w:r>
        <w:rPr>
          <w:rFonts w:ascii="Times New Roman" w:cs="Times New Roman" w:eastAsia="Times New Roman" w:hAnsi="Times New Roman"/>
          <w:sz w:val="18"/>
          <w:szCs w:val="18"/>
          <w:color w:val="auto"/>
        </w:rPr>
        <w:t>At its inception, the Company manufactured smoke detectors, a product line that has since evolved to include a variety of fire protection technologies. In the early 1980’s, the Company introduced an interior electromechanical automatic-dimming rearview mirror as an alternative to the manual day/night rearview mirrors for automotive applications. In the late 1980’s, the Company introduced an interior electrochromic automatic-dimming rearview mirror for automotive applications. In the early 1990’s, the Company introduced an exterior electrochromic automatic-dimming rearview mirror for automotive applications. In the late 1990’s, the Company began making volume shipments of three new exterior mirror sub-assembly products: thin glass flat; convex; and aspheric. In 2005, the Company began making volume shipments of its bezel-free exterior automatic dimming mirror. In 2010 the Company began delivering electrochromic dimmable aircraft windows for the aviation industry. In 2013, the Company acquired HomeLink®, a wireless vehicle/home communications product that enables drivers to remotely activate garage door openers, entry door locks, home lighting, security systems, entry gates and other radio frequency convenience products for automotive applications, wherein the Company had previously been a licensee of HomeLink® and had been, since 2003, integrating HomeLink® into its interior automatic-dimming rearview mirrors.</w:t>
      </w:r>
    </w:p>
    <w:p>
      <w:pPr>
        <w:spacing w:after="0" w:line="73" w:lineRule="exact"/>
        <w:rPr>
          <w:sz w:val="20"/>
          <w:szCs w:val="20"/>
          <w:color w:val="auto"/>
        </w:rPr>
      </w:pPr>
    </w:p>
    <w:p>
      <w:pPr>
        <w:ind w:right="60"/>
        <w:spacing w:after="0" w:line="389" w:lineRule="auto"/>
        <w:rPr>
          <w:sz w:val="20"/>
          <w:szCs w:val="20"/>
          <w:color w:val="auto"/>
        </w:rPr>
      </w:pPr>
      <w:r>
        <w:rPr>
          <w:rFonts w:ascii="Times New Roman" w:cs="Times New Roman" w:eastAsia="Times New Roman" w:hAnsi="Times New Roman"/>
          <w:sz w:val="17"/>
          <w:szCs w:val="17"/>
          <w:color w:val="auto"/>
        </w:rPr>
        <w:t>In 2015, the Company began making shipments of the Full Display Mirror® (“FDM®”), which is an on-demand, mirror-borne LCD display that streams live, panoramic video of the vehicle’s rearward view in order to improve driver rear vision. Also in 2015, the Company introduced the integration of toll module technology into the vehicle in a first-to-market application referred to as Integrated Toll Module® or “ITM®”. The interior mirror is an optimal location for a vehicle-integrated toll transponder and it eliminates the need to affix multiple toll tags to the windshield.</w:t>
      </w:r>
    </w:p>
    <w:p>
      <w:pPr>
        <w:spacing w:after="0" w:line="33" w:lineRule="exact"/>
        <w:rPr>
          <w:sz w:val="20"/>
          <w:szCs w:val="20"/>
          <w:color w:val="auto"/>
        </w:rPr>
      </w:pPr>
    </w:p>
    <w:p>
      <w:pPr>
        <w:ind w:right="160"/>
        <w:spacing w:after="0" w:line="334" w:lineRule="auto"/>
        <w:rPr>
          <w:sz w:val="20"/>
          <w:szCs w:val="20"/>
          <w:color w:val="auto"/>
        </w:rPr>
      </w:pPr>
      <w:r>
        <w:rPr>
          <w:rFonts w:ascii="Times New Roman" w:cs="Times New Roman" w:eastAsia="Times New Roman" w:hAnsi="Times New Roman"/>
          <w:sz w:val="18"/>
          <w:szCs w:val="18"/>
          <w:color w:val="auto"/>
        </w:rPr>
        <w:t>In 2017, the Company announced an agreement entered into during the ordinary course of business with VOXX International Corporation to become the exclusive aftermarket distributor of the Gentex Aftermarket Full Display Mirror® in North America. The Company has also displayed a new three-camera rear vision system that streams rear video – in multiple composite views – to a rearview-mirror-integrated display. Further, the Company has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many of its other electronic features, including HomeLink® and HomeLink Connect® or the ITM®. The biometric system allows for added security and convenience for multiple drivers by adding an additional factor of authentication for increased security, when a driver (or passenger) enters a vehicle. The Company announced in January 2018 that it entered into an exclusive licensing agreement, in the ordinary course of business, with Fingerprint Cards AB to deploy its ActiveIRIS® iris-scanning biometric technology in automotive applications.</w:t>
      </w:r>
    </w:p>
    <w:p>
      <w:pPr>
        <w:spacing w:after="0" w:line="76" w:lineRule="exact"/>
        <w:rPr>
          <w:sz w:val="20"/>
          <w:szCs w:val="20"/>
          <w:color w:val="auto"/>
        </w:rPr>
      </w:pPr>
    </w:p>
    <w:p>
      <w:pPr>
        <w:ind w:right="60"/>
        <w:spacing w:after="0" w:line="363" w:lineRule="auto"/>
        <w:rPr>
          <w:sz w:val="20"/>
          <w:szCs w:val="20"/>
          <w:color w:val="auto"/>
        </w:rPr>
      </w:pPr>
      <w:r>
        <w:rPr>
          <w:rFonts w:ascii="Times New Roman" w:cs="Times New Roman" w:eastAsia="Times New Roman" w:hAnsi="Times New Roman"/>
          <w:sz w:val="18"/>
          <w:szCs w:val="18"/>
          <w:color w:val="auto"/>
        </w:rPr>
        <w:t>In January 2019, the Company announced that it would be offering, as optional content, its latest generation of variable dimmable windows on the Boeing 777X aircraft. During the third quarter of 2019, the first production shipments of variably dimmable windows were made to Boeing for the 777X program. In January 2020, the Company announced that Airbus will also be offering the Company’s dimmable aircraft windows on its aircraft, with production having begun in 2021.</w:t>
      </w:r>
    </w:p>
    <w:p>
      <w:pPr>
        <w:spacing w:after="0" w:line="200" w:lineRule="exact"/>
        <w:rPr>
          <w:sz w:val="20"/>
          <w:szCs w:val="20"/>
          <w:color w:val="auto"/>
        </w:rPr>
      </w:pPr>
    </w:p>
    <w:p>
      <w:pPr>
        <w:sectPr>
          <w:pgSz w:w="12240" w:h="15840" w:orient="portrait"/>
          <w:cols w:equalWidth="0" w:num="2">
            <w:col w:w="230" w:space="382"/>
            <w:col w:w="10420"/>
          </w:cols>
          <w:pgMar w:left="288" w:top="83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92"/>
        <w:spacing w:after="0"/>
        <w:tabs>
          <w:tab w:leader="none" w:pos="691" w:val="left"/>
        </w:tabs>
        <w:rPr>
          <w:sz w:val="20"/>
          <w:szCs w:val="20"/>
          <w:color w:val="auto"/>
        </w:rPr>
      </w:pPr>
      <w:r>
        <w:rPr>
          <w:rFonts w:ascii="Arial" w:cs="Arial" w:eastAsia="Arial" w:hAnsi="Arial"/>
          <w:sz w:val="24"/>
          <w:szCs w:val="24"/>
          <w:b w:val="1"/>
          <w:bCs w:val="1"/>
          <w:color w:val="auto"/>
        </w:rPr>
        <w:t>22</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1032"/>
          </w:cols>
          <w:pgMar w:left="288" w:top="836" w:right="920" w:bottom="0" w:gutter="0" w:footer="0" w:header="0"/>
          <w:type w:val="continuous"/>
        </w:sectPr>
      </w:pPr>
    </w:p>
    <w:bookmarkStart w:id="22" w:name="page23"/>
    <w:bookmarkEnd w:id="22"/>
    <w:p>
      <w:pPr>
        <w:ind w:right="580"/>
        <w:spacing w:after="0" w:line="366" w:lineRule="auto"/>
        <w:rPr>
          <w:sz w:val="20"/>
          <w:szCs w:val="20"/>
          <w:color w:val="auto"/>
        </w:rPr>
      </w:pPr>
      <w:r>
        <w:rPr>
          <w:rFonts w:ascii="Times New Roman" w:cs="Times New Roman" w:eastAsia="Times New Roman" w:hAnsi="Times New Roman"/>
          <w:sz w:val="17"/>
          <w:szCs w:val="17"/>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18-month period of collaboration between Company engineers and Mayo Clinic surgeons, scientists, and operating room staff. The teams researched, designed, and rapidly iterated multiple prototypes in order to develop unique features that address major gaps in current surgical lighting solutions. The Company will continue to work on the intelligent medical lighting system in order to assess system performance and work toward obtaining any necessary approvals.</w:t>
      </w:r>
    </w:p>
    <w:p>
      <w:pPr>
        <w:spacing w:after="0" w:line="54" w:lineRule="exact"/>
        <w:rPr>
          <w:sz w:val="20"/>
          <w:szCs w:val="20"/>
          <w:color w:val="auto"/>
        </w:rPr>
      </w:pPr>
    </w:p>
    <w:p>
      <w:pPr>
        <w:ind w:right="340"/>
        <w:spacing w:after="0" w:line="340" w:lineRule="auto"/>
        <w:rPr>
          <w:sz w:val="20"/>
          <w:szCs w:val="20"/>
          <w:color w:val="auto"/>
        </w:rPr>
      </w:pPr>
      <w:r>
        <w:rPr>
          <w:rFonts w:ascii="Times New Roman" w:cs="Times New Roman" w:eastAsia="Times New Roman" w:hAnsi="Times New Roman"/>
          <w:sz w:val="18"/>
          <w:szCs w:val="18"/>
          <w:color w:val="auto"/>
        </w:rPr>
        <w:t>In April 2020, the Company, in the ordinary course of business, acquired Vaporsens, Inc. (“Vaporsens”), which specializes in nanofiber chemical sensing research and development. This new nanofiber technology can detect a wide variety of chemicals, including explosives, drugs, volatile organic compounds (“VOCs”), toxic industrial chemicals, amines, and more. The core of Vaporsens’ chemical sensor technology is a net of nanofibers approximately one thousand times smaller in size than human hair. Their porous structure allows them to absorb targeted molecules from sampled gas and identify them via changes in their electrical resistance. The technology allows for the rapid detection of target chemicals with high sensitivity in the parts per billion and parts per trillion ranges. The Vaporsens technology has a wide variety of use cases in various markets and industries, with potential applications for automotive, aerospace, agriculture, chemical manufacturing, military and first responders, worker safety, food and beverage processing, and medical.</w:t>
      </w:r>
    </w:p>
    <w:p>
      <w:pPr>
        <w:spacing w:after="0" w:line="75" w:lineRule="exact"/>
        <w:rPr>
          <w:sz w:val="20"/>
          <w:szCs w:val="20"/>
          <w:color w:val="auto"/>
        </w:rPr>
      </w:pPr>
    </w:p>
    <w:p>
      <w:pPr>
        <w:ind w:right="380"/>
        <w:spacing w:after="0" w:line="338" w:lineRule="auto"/>
        <w:rPr>
          <w:sz w:val="20"/>
          <w:szCs w:val="20"/>
          <w:color w:val="auto"/>
        </w:rPr>
      </w:pPr>
      <w:r>
        <w:rPr>
          <w:rFonts w:ascii="Times New Roman" w:cs="Times New Roman" w:eastAsia="Times New Roman" w:hAnsi="Times New Roman"/>
          <w:sz w:val="18"/>
          <w:szCs w:val="18"/>
          <w:color w:val="auto"/>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 the automotive industry’s leading car-to-home automation system. HomeLink® consists of vehicle-integrated buttons that can be programmed to operate a myriad of home automation devices. Integration of Simplenight into the Company’s HomeLink Connect® app is underway. The HomeLink Connect® allows users to program their HomeLink® buttons and control cloud-based devices from their vehicles.</w:t>
      </w:r>
    </w:p>
    <w:p>
      <w:pPr>
        <w:spacing w:after="0" w:line="77" w:lineRule="exact"/>
        <w:rPr>
          <w:sz w:val="20"/>
          <w:szCs w:val="20"/>
          <w:color w:val="auto"/>
        </w:rPr>
      </w:pPr>
    </w:p>
    <w:p>
      <w:pPr>
        <w:ind w:right="460"/>
        <w:spacing w:after="0" w:line="366" w:lineRule="auto"/>
        <w:rPr>
          <w:sz w:val="20"/>
          <w:szCs w:val="20"/>
          <w:color w:val="auto"/>
        </w:rPr>
      </w:pPr>
      <w:r>
        <w:rPr>
          <w:rFonts w:ascii="Times New Roman" w:cs="Times New Roman" w:eastAsia="Times New Roman" w:hAnsi="Times New Roman"/>
          <w:sz w:val="17"/>
          <w:szCs w:val="17"/>
          <w:color w:val="auto"/>
        </w:rPr>
        <w:t>In September 2021, the Company announced the acquisition of Guardian Optical Technologies (“Guardian”), an Israeli startup that pioneered a unique, multi-modal sensor technology designed to provide a comprehensive suite of driver- and cabin-monitoring solutions for the automotive industry. The core of Guardian’s technology is an infrared-sensitive, high-resolution camera that combines machine vision, depth perception, and micro-vibration detection. This proprietary sensor configuration allows the system to not only monitor the driver, but also the entire vehicle cabin, including objects and other occupants, even assessing the occupant’s behaviors, gestures, and activities. The system continuously scans, tracks and determines the physical location of every vehicle occupant and object, even without a direct line of sight, by combining two-dimensional video image recognition with 3D depth mapping and optical motion analysis. It is able to detect even slight movements, including heartbeats.</w:t>
      </w:r>
    </w:p>
    <w:p>
      <w:pPr>
        <w:spacing w:after="0" w:line="54" w:lineRule="exact"/>
        <w:rPr>
          <w:sz w:val="20"/>
          <w:szCs w:val="20"/>
          <w:color w:val="auto"/>
        </w:rPr>
      </w:pPr>
    </w:p>
    <w:p>
      <w:pPr>
        <w:ind w:right="500"/>
        <w:spacing w:after="0" w:line="382" w:lineRule="auto"/>
        <w:rPr>
          <w:sz w:val="20"/>
          <w:szCs w:val="20"/>
          <w:color w:val="auto"/>
        </w:rPr>
      </w:pPr>
      <w:r>
        <w:rPr>
          <w:rFonts w:ascii="Times New Roman" w:cs="Times New Roman" w:eastAsia="Times New Roman" w:hAnsi="Times New Roman"/>
          <w:sz w:val="18"/>
          <w:szCs w:val="18"/>
          <w:color w:val="auto"/>
        </w:rPr>
        <w:t>In 2022, the Company obtained an approximate 20% equity share in GreenMarbles, in the ordinary course of business. GreenMarbles is a leading provider of sustainable solutions for integration into properties. The Company intends for this relationship to promote the HomeLink Connect® App with property developers and contractors.</w:t>
      </w:r>
    </w:p>
    <w:p>
      <w:pPr>
        <w:spacing w:after="0" w:line="32" w:lineRule="exact"/>
        <w:rPr>
          <w:sz w:val="20"/>
          <w:szCs w:val="20"/>
          <w:color w:val="auto"/>
        </w:rPr>
      </w:pPr>
    </w:p>
    <w:p>
      <w:pPr>
        <w:ind w:right="740"/>
        <w:spacing w:after="0" w:line="382" w:lineRule="auto"/>
        <w:rPr>
          <w:sz w:val="20"/>
          <w:szCs w:val="20"/>
          <w:color w:val="auto"/>
        </w:rPr>
      </w:pPr>
      <w:r>
        <w:rPr>
          <w:rFonts w:ascii="Times New Roman" w:cs="Times New Roman" w:eastAsia="Times New Roman" w:hAnsi="Times New Roman"/>
          <w:sz w:val="18"/>
          <w:szCs w:val="18"/>
          <w:color w:val="auto"/>
        </w:rPr>
        <w:t>On May 1, 2023, the Company announced a partnership, in the ordinary course of business, with Adasky Ltd. (“Adasky”), a developer and manufacturer of intelligent, high-resolution thermal sensing systems for vehicle safety and perception applications and smart city roadway solutions. In addition to the partnership, the Company has obtained an approximate 27% equity share in Adasky.</w:t>
      </w:r>
    </w:p>
    <w:p>
      <w:pPr>
        <w:spacing w:after="0" w:line="32" w:lineRule="exact"/>
        <w:rPr>
          <w:sz w:val="20"/>
          <w:szCs w:val="20"/>
          <w:color w:val="auto"/>
        </w:rPr>
      </w:pPr>
    </w:p>
    <w:p>
      <w:pPr>
        <w:ind w:right="380"/>
        <w:spacing w:after="0" w:line="349" w:lineRule="auto"/>
        <w:rPr>
          <w:sz w:val="20"/>
          <w:szCs w:val="20"/>
          <w:color w:val="auto"/>
        </w:rPr>
      </w:pPr>
      <w:r>
        <w:rPr>
          <w:rFonts w:ascii="Times New Roman" w:cs="Times New Roman" w:eastAsia="Times New Roman" w:hAnsi="Times New Roman"/>
          <w:sz w:val="17"/>
          <w:szCs w:val="17"/>
          <w:color w:val="auto"/>
        </w:rPr>
        <w:t>On November 2, 2023, the Company acquired certain technology assets from eSight Corporation (“eSight”), in the ordinary course of business. The technology acquired from eSight provides advanced and versatile low-vision smart glasses for those with visual impairments and is compatible with more than 20 eye conditions including Macular Degeneration, Diabetic Retinopathy, and Stargardt disease. eSight wearables are inspected and registered by public health officials. Esight 4, which is the fourth generation of the product, is a Class 1 Medical Device that is registered with the FDA, registered with EUDAMED, and inspected by Health Canada. The Company has been developing, initially for contract manufacture and now as the owner, the technology, referred to as eSight Go™. Deliveries of eSight Go to customers are expected to begin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calendar year 2024.</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23</w:t>
      </w:r>
    </w:p>
    <w:p>
      <w:pPr>
        <w:sectPr>
          <w:pgSz w:w="12240" w:h="15840" w:orient="portrait"/>
          <w:cols w:equalWidth="0" w:num="1">
            <w:col w:w="10760"/>
          </w:cols>
          <w:pgMar w:left="900" w:top="852" w:right="580" w:bottom="0" w:gutter="0" w:footer="0" w:header="0"/>
          <w:type w:val="continuous"/>
        </w:sectPr>
      </w:pPr>
    </w:p>
    <w:bookmarkStart w:id="23" w:name="page24"/>
    <w:bookmarkEnd w:id="23"/>
    <w:p>
      <w:pPr>
        <w:ind w:left="320" w:right="20"/>
        <w:spacing w:after="0" w:line="353" w:lineRule="auto"/>
        <w:rPr>
          <w:sz w:val="20"/>
          <w:szCs w:val="20"/>
          <w:color w:val="auto"/>
        </w:rPr>
      </w:pPr>
      <w:r>
        <w:rPr>
          <w:rFonts w:ascii="Times New Roman" w:cs="Times New Roman" w:eastAsia="Times New Roman" w:hAnsi="Times New Roman"/>
          <w:sz w:val="18"/>
          <w:szCs w:val="18"/>
          <w:color w:val="auto"/>
        </w:rPr>
        <w:t>On January 8, 2024, the Company announced a partnership, in the ordinary course of business, with Solace Power, an innovative wireless power transfer technology company. This collaboration is intended to further develop, manufacture, and commercialize Solace Power’s unique wireless power systems for a wide variety of industries. In addition to the partnership, the Company obtained an approximate 13% equity share in Solace Power. The Company believes Solace Power’s technology not only has immediate applications in the current Company product portfolio, but can also play an important role in the Company’s continued expansion into new markets.</w:t>
      </w:r>
    </w:p>
    <w:p>
      <w:pPr>
        <w:spacing w:after="0" w:line="58" w:lineRule="exact"/>
        <w:rPr>
          <w:sz w:val="20"/>
          <w:szCs w:val="20"/>
          <w:color w:val="auto"/>
        </w:rPr>
      </w:pPr>
    </w:p>
    <w:p>
      <w:pPr>
        <w:ind w:left="320" w:right="40"/>
        <w:spacing w:after="0" w:line="343" w:lineRule="auto"/>
        <w:rPr>
          <w:sz w:val="20"/>
          <w:szCs w:val="20"/>
          <w:color w:val="auto"/>
        </w:rPr>
      </w:pPr>
      <w:r>
        <w:rPr>
          <w:rFonts w:ascii="Times New Roman" w:cs="Times New Roman" w:eastAsia="Times New Roman" w:hAnsi="Times New Roman"/>
          <w:sz w:val="18"/>
          <w:szCs w:val="18"/>
          <w:color w:val="auto"/>
        </w:rPr>
        <w:t>On January 9, 2024, the Company announced the introduction of a suite of smart home safety products with room-specific functionality called PLACE. PLACE offers a holistic solution that blends smart home safety, comfort, and security features into one sophisticated system, all controlled from a single, user-friendly app. The PLACE portfolio of smart-home solutions is designed to address the nuanced safety requirements of various home spaces. The base Any Space unit provides smart smoke and carbon monoxide detection and Wi-Fi connectivity for space-specific alerts. The system’s versatility is further demonstrated through specialized units for the kitchen, nursery, and garage, each equipped with additional safeguards like gas and VOC detection, room-monitoring cameras, intercoms, and temperature and humidity sensing, as appropriate to the application.</w:t>
      </w:r>
    </w:p>
    <w:p>
      <w:pPr>
        <w:spacing w:after="0" w:line="70" w:lineRule="exact"/>
        <w:rPr>
          <w:sz w:val="20"/>
          <w:szCs w:val="20"/>
          <w:color w:val="auto"/>
        </w:rPr>
      </w:pPr>
    </w:p>
    <w:p>
      <w:pPr>
        <w:ind w:left="320" w:right="840"/>
        <w:spacing w:after="0" w:line="437" w:lineRule="auto"/>
        <w:rPr>
          <w:sz w:val="20"/>
          <w:szCs w:val="20"/>
          <w:color w:val="auto"/>
        </w:rPr>
      </w:pPr>
      <w:r>
        <w:rPr>
          <w:rFonts w:ascii="Times New Roman" w:cs="Times New Roman" w:eastAsia="Times New Roman" w:hAnsi="Times New Roman"/>
          <w:sz w:val="18"/>
          <w:szCs w:val="18"/>
          <w:color w:val="auto"/>
        </w:rPr>
        <w:t>Automotive revenues represent approximately 98% of the Company’s total revenue in 2023, mostly consisting of interior and exterior electrochromic automatic-dimming rearview mirrors and automotive electronics.</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808080"/>
        </w:rPr>
        <w:t>DESCRIPTION OF BUSINESS</w:t>
      </w:r>
    </w:p>
    <w:p>
      <w:pPr>
        <w:spacing w:after="0" w:line="176" w:lineRule="exact"/>
        <w:rPr>
          <w:sz w:val="20"/>
          <w:szCs w:val="20"/>
          <w:color w:val="auto"/>
        </w:rPr>
      </w:pPr>
    </w:p>
    <w:p>
      <w:pPr>
        <w:ind w:left="320" w:right="460"/>
        <w:spacing w:after="0" w:line="382" w:lineRule="auto"/>
        <w:rPr>
          <w:sz w:val="20"/>
          <w:szCs w:val="20"/>
          <w:color w:val="auto"/>
        </w:rPr>
      </w:pPr>
      <w:r>
        <w:rPr>
          <w:rFonts w:ascii="Times New Roman" w:cs="Times New Roman" w:eastAsia="Times New Roman" w:hAnsi="Times New Roman"/>
          <w:sz w:val="18"/>
          <w:szCs w:val="18"/>
          <w:color w:val="auto"/>
        </w:rPr>
        <w:t>The Company designs, develops, manufactures, markets, and supplies digital vision, connected car, dimmable glass, and fire protection technologies, including: automatic-dimming and non-automatic-dimming rearview mirrors and electronics for the automotive industry; dimmable aircraft windows for the aviation industry; and commercial smoke alarms and signaling devices for the fire protection industry.</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Automotive Products</w:t>
      </w:r>
    </w:p>
    <w:p>
      <w:pPr>
        <w:spacing w:after="0" w:line="189" w:lineRule="exact"/>
        <w:rPr>
          <w:sz w:val="20"/>
          <w:szCs w:val="20"/>
          <w:color w:val="auto"/>
        </w:rPr>
      </w:pPr>
    </w:p>
    <w:p>
      <w:pPr>
        <w:ind w:left="320" w:right="200"/>
        <w:spacing w:after="0" w:line="343" w:lineRule="auto"/>
        <w:rPr>
          <w:sz w:val="20"/>
          <w:szCs w:val="20"/>
          <w:color w:val="auto"/>
        </w:rPr>
      </w:pPr>
      <w:r>
        <w:rPr>
          <w:rFonts w:ascii="Arial" w:cs="Arial" w:eastAsia="Arial" w:hAnsi="Arial"/>
          <w:sz w:val="17"/>
          <w:szCs w:val="17"/>
          <w:b w:val="1"/>
          <w:bCs w:val="1"/>
          <w:color w:val="F4494E"/>
        </w:rPr>
        <w:t xml:space="preserve">AUTOMOTIVE REARVIEW MIRRORS AND ELECTRONICS. </w:t>
      </w:r>
      <w:r>
        <w:rPr>
          <w:rFonts w:ascii="Times New Roman" w:cs="Times New Roman" w:eastAsia="Times New Roman" w:hAnsi="Times New Roman"/>
          <w:sz w:val="18"/>
          <w:szCs w:val="18"/>
          <w:color w:val="000000"/>
        </w:rPr>
        <w:t>Automotive applications are the largest business segment for the Company,</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consisting primarily of interior and exterior electrochromic automatic-dimming rearview mirrors and automotive electronics. The Company manufactures interior electrochromic automatic-dimming rearview mirrors that darken to reduce glare and improve visibility for the driver. These electronic interior mirrors can also include additional electronic features such as compass, microphones, HomeLink®, interior driver and cabin monitoring systems, lighting assist and driver assist forward safety camera systems, various lighting systems, various telematics systems, ITM® systems, and a wide variety of displays, including the FDM® product. The Company also ships interior non-automatic-dimming rearview mirrors with and without features.</w:t>
      </w:r>
    </w:p>
    <w:p>
      <w:pPr>
        <w:spacing w:after="0" w:line="70" w:lineRule="exact"/>
        <w:rPr>
          <w:sz w:val="20"/>
          <w:szCs w:val="20"/>
          <w:color w:val="auto"/>
        </w:rPr>
      </w:pPr>
    </w:p>
    <w:p>
      <w:pPr>
        <w:ind w:left="320"/>
        <w:spacing w:after="0" w:line="353" w:lineRule="auto"/>
        <w:rPr>
          <w:sz w:val="20"/>
          <w:szCs w:val="20"/>
          <w:color w:val="auto"/>
        </w:rPr>
      </w:pPr>
      <w:r>
        <w:rPr>
          <w:rFonts w:ascii="Times New Roman" w:cs="Times New Roman" w:eastAsia="Times New Roman" w:hAnsi="Times New Roman"/>
          <w:sz w:val="18"/>
          <w:szCs w:val="18"/>
          <w:color w:val="auto"/>
        </w:rPr>
        <w:t>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can also include additional features such as turn signal indicators, side blind zone indicators, and courtesy lighting. The Company also ships exterior non-automatic-dimming rearview mirrors with similar electronic features available in its automatic-dimming applications.</w:t>
      </w:r>
    </w:p>
    <w:p>
      <w:pPr>
        <w:spacing w:after="0" w:line="58" w:lineRule="exact"/>
        <w:rPr>
          <w:sz w:val="20"/>
          <w:szCs w:val="20"/>
          <w:color w:val="auto"/>
        </w:rPr>
      </w:pPr>
    </w:p>
    <w:p>
      <w:pPr>
        <w:ind w:left="320" w:right="100"/>
        <w:spacing w:after="0" w:line="362" w:lineRule="auto"/>
        <w:rPr>
          <w:sz w:val="20"/>
          <w:szCs w:val="20"/>
          <w:color w:val="auto"/>
        </w:rPr>
      </w:pPr>
      <w:r>
        <w:rPr>
          <w:rFonts w:ascii="Times New Roman" w:cs="Times New Roman" w:eastAsia="Times New Roman" w:hAnsi="Times New Roman"/>
          <w:sz w:val="18"/>
          <w:szCs w:val="18"/>
          <w:color w:val="auto"/>
        </w:rPr>
        <w:t>The Company manufactures other automotive electronics products through HomeLink® applications in the vehicle including the rearview mirror, interior visor, overhead console, or center console. Certain of the Company’s newer features can be located either in the rearview mirror or other locations in the vehicle. Additionally, as the Company expands its FDM® product and the ITM® system, rearward facing video cameras, digital video recording, and integrated toll transponders are being produced and sold.</w:t>
      </w:r>
    </w:p>
    <w:p>
      <w:pPr>
        <w:spacing w:after="0" w:line="52" w:lineRule="exact"/>
        <w:rPr>
          <w:sz w:val="20"/>
          <w:szCs w:val="20"/>
          <w:color w:val="auto"/>
        </w:rPr>
      </w:pPr>
    </w:p>
    <w:p>
      <w:pPr>
        <w:ind w:left="320"/>
        <w:spacing w:after="0" w:line="382" w:lineRule="auto"/>
        <w:rPr>
          <w:sz w:val="20"/>
          <w:szCs w:val="20"/>
          <w:color w:val="auto"/>
        </w:rPr>
      </w:pPr>
      <w:r>
        <w:rPr>
          <w:rFonts w:ascii="Times New Roman" w:cs="Times New Roman" w:eastAsia="Times New Roman" w:hAnsi="Times New Roman"/>
          <w:sz w:val="18"/>
          <w:szCs w:val="18"/>
          <w:color w:val="auto"/>
        </w:rPr>
        <w:t>The Company produces rearview mirrors and electronics globally for automotive passenger cars, light trucks, pickup trucks, sport utility vehicles, and vans for original equipment manufacturers (“OEMs”), automotive suppliers, and various aftermarket and accessory customers. Automotive rearview mirrors and electronics accounted for 98% of the Company’s consolidated net sales in 2023.</w:t>
      </w:r>
    </w:p>
    <w:p>
      <w:pPr>
        <w:spacing w:after="0" w:line="32" w:lineRule="exact"/>
        <w:rPr>
          <w:sz w:val="20"/>
          <w:szCs w:val="20"/>
          <w:color w:val="auto"/>
        </w:rPr>
      </w:pPr>
    </w:p>
    <w:p>
      <w:pPr>
        <w:jc w:val="both"/>
        <w:ind w:left="320" w:right="240"/>
        <w:spacing w:after="0" w:line="354" w:lineRule="auto"/>
        <w:rPr>
          <w:sz w:val="20"/>
          <w:szCs w:val="20"/>
          <w:color w:val="auto"/>
        </w:rPr>
      </w:pPr>
      <w:r>
        <w:rPr>
          <w:rFonts w:ascii="Times New Roman" w:cs="Times New Roman" w:eastAsia="Times New Roman" w:hAnsi="Times New Roman"/>
          <w:sz w:val="17"/>
          <w:szCs w:val="17"/>
          <w:color w:val="auto"/>
        </w:rPr>
        <w:t>The Company is the leading manufacturer of electrochromic automatic-dimming rearview mirrors in the world, and is the largest supplier to the automotive industry. Competitors for automotive rearview mirrors include Magna International (“Magna”), Fudi Technology, Aolian, Ultronix, Tokai Rika Company, SMR Automotive, Intertech, Adayo, Sincode, Mike Shanghai, Guangdong Yangfeng Electronic Technology Co. Ltd.</w:t>
      </w:r>
    </w:p>
    <w:p>
      <w:pPr>
        <w:spacing w:after="0" w:line="1" w:lineRule="exact"/>
        <w:rPr>
          <w:sz w:val="20"/>
          <w:szCs w:val="20"/>
          <w:color w:val="auto"/>
        </w:rPr>
      </w:pPr>
    </w:p>
    <w:p>
      <w:pPr>
        <w:ind w:left="320" w:right="20"/>
        <w:spacing w:after="0" w:line="407" w:lineRule="auto"/>
        <w:rPr>
          <w:sz w:val="20"/>
          <w:szCs w:val="20"/>
          <w:color w:val="auto"/>
        </w:rPr>
      </w:pPr>
      <w:r>
        <w:rPr>
          <w:rFonts w:ascii="Times New Roman" w:cs="Times New Roman" w:eastAsia="Times New Roman" w:hAnsi="Times New Roman"/>
          <w:sz w:val="18"/>
          <w:szCs w:val="18"/>
          <w:color w:val="auto"/>
        </w:rPr>
        <w:t>Licon, MirrorTech, Amblilight, and Chongqing Yimei. The Company also supplies electrochromic automatic-dimming rearview mirrors to certain of these rearview mirror competitors.</w:t>
      </w:r>
    </w:p>
    <w:p>
      <w:pPr>
        <w:sectPr>
          <w:pgSz w:w="12240" w:h="15840" w:orient="portrait"/>
          <w:cols w:equalWidth="0" w:num="1">
            <w:col w:w="10740"/>
          </w:cols>
          <w:pgMar w:left="580" w:top="852" w:right="920" w:bottom="0" w:gutter="0" w:footer="0" w:header="0"/>
        </w:sectPr>
      </w:pPr>
    </w:p>
    <w:p>
      <w:pPr>
        <w:spacing w:after="0" w:line="160"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24</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40"/>
          </w:cols>
          <w:pgMar w:left="580" w:top="852" w:right="920" w:bottom="0" w:gutter="0" w:footer="0" w:header="0"/>
          <w:type w:val="continuous"/>
        </w:sectPr>
      </w:pPr>
    </w:p>
    <w:bookmarkStart w:id="24" w:name="page25"/>
    <w:bookmarkEnd w:id="24"/>
    <w:p>
      <w:pPr>
        <w:ind w:right="320"/>
        <w:spacing w:after="0" w:line="357" w:lineRule="auto"/>
        <w:rPr>
          <w:sz w:val="20"/>
          <w:szCs w:val="20"/>
          <w:color w:val="auto"/>
        </w:rPr>
      </w:pPr>
      <w:r>
        <w:rPr>
          <w:rFonts w:ascii="Arial" w:cs="Arial" w:eastAsia="Arial" w:hAnsi="Arial"/>
          <w:sz w:val="16"/>
          <w:szCs w:val="16"/>
          <w:b w:val="1"/>
          <w:bCs w:val="1"/>
          <w:color w:val="F4494E"/>
        </w:rPr>
        <w:t xml:space="preserve">AUTOMOTIVE REARVIEW MIRRORS AND ELECTRONICS PRODUCT DEVELOPMENT. </w:t>
      </w:r>
      <w:r>
        <w:rPr>
          <w:rFonts w:ascii="Times New Roman" w:cs="Times New Roman" w:eastAsia="Times New Roman" w:hAnsi="Times New Roman"/>
          <w:sz w:val="17"/>
          <w:szCs w:val="17"/>
          <w:color w:val="000000"/>
        </w:rPr>
        <w:t>The Company continually seeks to develop new products</w:t>
      </w:r>
      <w:r>
        <w:rPr>
          <w:rFonts w:ascii="Arial" w:cs="Arial" w:eastAsia="Arial" w:hAnsi="Arial"/>
          <w:sz w:val="16"/>
          <w:szCs w:val="16"/>
          <w:b w:val="1"/>
          <w:bCs w:val="1"/>
          <w:color w:val="F4494E"/>
        </w:rPr>
        <w:t xml:space="preserve"> </w:t>
      </w:r>
      <w:r>
        <w:rPr>
          <w:rFonts w:ascii="Times New Roman" w:cs="Times New Roman" w:eastAsia="Times New Roman" w:hAnsi="Times New Roman"/>
          <w:sz w:val="17"/>
          <w:szCs w:val="17"/>
          <w:color w:val="000000"/>
        </w:rPr>
        <w:t>and is currently working to introduce additional advanced-feature automatic-dimming mirrors. Advanced-feature automatic-dimming mirrors currently being offered by the Company include one or more of the following features: SmartBeam®, HomeLink®, HomeLink Connect®, frameless mirror designs, compass displays, telematics, ITM® systems, hands free communication, Rear Camera Display (“RCD”) interior mirrors, FDM® interior mirrors, digital video recording solutions, exterior turn signals, side blind zone indicators and various other exterior mirror features that improve safety and field of view. Advanced features currently in development include: biometric authentication systems, hybrid and fully digital camera monitoring systems (“CMS”), driver and cabin monitoring systems, cabin sensing systems, touch screen displays for mirrors, and digital enhancements to displays to improve driver safety, among other things. Other automotive products currently in development include large area dimmable devices, which include sunroof and moon roof applications, driver and passenger windows, interior sun-visors and other window surfaces in vehicles, among others. The Company is also in development of small-scale dimmable devices that darken to improve contrast and legibility for transparent displays, concealment of sensors, and to dynamically adjust camera exposure.</w:t>
      </w:r>
    </w:p>
    <w:p>
      <w:pPr>
        <w:spacing w:after="0" w:line="59" w:lineRule="exact"/>
        <w:rPr>
          <w:sz w:val="20"/>
          <w:szCs w:val="20"/>
          <w:color w:val="auto"/>
        </w:rPr>
      </w:pPr>
    </w:p>
    <w:p>
      <w:pPr>
        <w:ind w:right="540"/>
        <w:spacing w:after="0" w:line="352" w:lineRule="auto"/>
        <w:rPr>
          <w:sz w:val="20"/>
          <w:szCs w:val="20"/>
          <w:color w:val="auto"/>
        </w:rPr>
      </w:pPr>
      <w:r>
        <w:rPr>
          <w:rFonts w:ascii="Arial" w:cs="Arial" w:eastAsia="Arial" w:hAnsi="Arial"/>
          <w:sz w:val="17"/>
          <w:szCs w:val="17"/>
          <w:b w:val="1"/>
          <w:bCs w:val="1"/>
          <w:color w:val="F4494E"/>
        </w:rPr>
        <w:t xml:space="preserve">AUTOMOTIVE REARVIEW MIRRORS AND ELECTRONICS MARKETS AND MARKETING. </w:t>
      </w:r>
      <w:r>
        <w:rPr>
          <w:rFonts w:ascii="Times New Roman" w:cs="Times New Roman" w:eastAsia="Times New Roman" w:hAnsi="Times New Roman"/>
          <w:sz w:val="18"/>
          <w:szCs w:val="18"/>
          <w:color w:val="000000"/>
        </w:rPr>
        <w:t>In North America, Europe and Asia, the Company</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markets its products primarily through a direct sales force utilizing its sales and engineering offices located in Germany, UK, Sweden, France, Japan, South Korea and China, as well as its headquarters in Michigan. The Company generally supplies automatic-dimming mirrors and mirrors with advanced electronic features to its customers worldwide under annual blanket purchase orders with customers, as well as under long-term agreements with certain customers, entered into in the ordinary course of the Company’s business.</w:t>
      </w:r>
    </w:p>
    <w:p>
      <w:pPr>
        <w:spacing w:after="0" w:line="62" w:lineRule="exact"/>
        <w:rPr>
          <w:sz w:val="20"/>
          <w:szCs w:val="20"/>
          <w:color w:val="auto"/>
        </w:rPr>
      </w:pPr>
    </w:p>
    <w:p>
      <w:pPr>
        <w:ind w:right="380"/>
        <w:spacing w:after="0" w:line="352" w:lineRule="auto"/>
        <w:rPr>
          <w:sz w:val="20"/>
          <w:szCs w:val="20"/>
          <w:color w:val="auto"/>
        </w:rPr>
      </w:pPr>
      <w:r>
        <w:rPr>
          <w:rFonts w:ascii="Times New Roman" w:cs="Times New Roman" w:eastAsia="Times New Roman" w:hAnsi="Times New Roman"/>
          <w:sz w:val="18"/>
          <w:szCs w:val="18"/>
          <w:color w:val="auto"/>
        </w:rPr>
        <w:t>The Company is currently supplying mirrors and electronic modules for Aston Martin, BMW Group, Daimler Group, Faraday Future, Ferrari, Ford Motor Co., Geely/Volvo, General Motors, Harley Davidson, Honda Motor Co., Hyundai/Kia, Lucid Motors, Mazda, Maruti Suzuki, Mahindra &amp; Mahindra, McLaren, Polaris, Renault/Nissan/Mitsubishi Group, Rivian Automotive, Stellantis, Subaru, Suzuki, Tata Motors, Tesla, TOGG Inc., Toyota Motor Company, Volkswagen Group, VOXX International, as well as shipments to domestic China manufacturers (BYD, Chery, Dongfeng, FAW, Great Wall Motors, Human Horizon, King Long, Lixiang Auto, NIO, SAIC, and Xpeng EV).</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major geographic area are disclosed in Note 7 of the Consolidated Financial Statements.</w:t>
      </w:r>
    </w:p>
    <w:p>
      <w:pPr>
        <w:spacing w:after="0" w:line="253" w:lineRule="exact"/>
        <w:rPr>
          <w:sz w:val="20"/>
          <w:szCs w:val="20"/>
          <w:color w:val="auto"/>
        </w:rPr>
      </w:pPr>
    </w:p>
    <w:p>
      <w:pPr>
        <w:ind w:right="340"/>
        <w:spacing w:after="0" w:line="336" w:lineRule="auto"/>
        <w:rPr>
          <w:sz w:val="20"/>
          <w:szCs w:val="20"/>
          <w:color w:val="auto"/>
        </w:rPr>
      </w:pPr>
      <w:r>
        <w:rPr>
          <w:rFonts w:ascii="Times New Roman" w:cs="Times New Roman" w:eastAsia="Times New Roman" w:hAnsi="Times New Roman"/>
          <w:sz w:val="18"/>
          <w:szCs w:val="18"/>
          <w:color w:val="auto"/>
        </w:rPr>
        <w:t>Historically, new products and technologies have penetrated high-end vehicles and premium trim/option packages to begin. As consumer demand increases for such advanced technologies, more OEMs shift to offer a variety of trim packages and option packages for each of their vehicles, creating a range of available pricing and technologies across their lineups. In some instances, Company products such as the FDM® appeal to consumers who are interested in new technology, while also resolving rearward vision limitations created by vehicle design changes that increase aerodynamics. The Company has contributed to this differentiation strategy, allowing OEMs to maximize profitability and optionality by providing profitable, mirror-based and in-vehicle technologies that consumers demand. As more consumers have become familiar with interior and exterior dimming mirrors, HomeLink®, FDM®, ITM®, and other Company technologies, consumers have continued to select these technologies in their subsequent vehicles, driving further market and nameplate penetration as OEMs launch new vehicles and expand into new markets. Where OEMs had historically used Company technologies only to differentiate from one another, they now also use Company technologies to differentiate trim lines across their own nameplates. In new markets, emerging OEMs have recognized the need to include Company products in their vehicles to compete with global OEMs.</w:t>
      </w:r>
    </w:p>
    <w:p>
      <w:pPr>
        <w:spacing w:after="0" w:line="70" w:lineRule="exact"/>
        <w:rPr>
          <w:sz w:val="20"/>
          <w:szCs w:val="20"/>
          <w:color w:val="auto"/>
        </w:rPr>
      </w:pPr>
    </w:p>
    <w:p>
      <w:pPr>
        <w:ind w:right="360"/>
        <w:spacing w:after="0" w:line="334" w:lineRule="auto"/>
        <w:rPr>
          <w:sz w:val="20"/>
          <w:szCs w:val="20"/>
          <w:color w:val="auto"/>
        </w:rPr>
      </w:pPr>
      <w:r>
        <w:rPr>
          <w:rFonts w:ascii="Arial" w:cs="Arial" w:eastAsia="Arial" w:hAnsi="Arial"/>
          <w:sz w:val="17"/>
          <w:szCs w:val="17"/>
          <w:b w:val="1"/>
          <w:bCs w:val="1"/>
          <w:color w:val="F4494E"/>
        </w:rPr>
        <w:t xml:space="preserve">AUTOMOTIVE REARVIEW MIRRORS AND ELECTRONICS COMPETITION. </w:t>
      </w:r>
      <w:r>
        <w:rPr>
          <w:rFonts w:ascii="Times New Roman" w:cs="Times New Roman" w:eastAsia="Times New Roman" w:hAnsi="Times New Roman"/>
          <w:sz w:val="18"/>
          <w:szCs w:val="18"/>
          <w:color w:val="000000"/>
        </w:rPr>
        <w:t>The Company continues to be the leading producer of automatic-dimming rearview mirrors in the world and currently is the largest supplier to the automotive industry with an approximate 89% market share worldwide in 2023. While the Company believes it will retain a significant position in automatic-dimming rearview mirrors for some time, another U.S. manufacturer, Magna Mirrors, a division of Magna, continues to compete for sales to domestic and foreign vehicle manufacturers and is supplying a number of domestic and foreign vehicle models with its versions of auto-dimming mirrors and appears to have considerably more resources available to it. As such, Magna may present a formidable competitive threat. The Company also continues to sell automatic-dimming exterior mirror sub-assemblies to Magna Mirrors. In addition, a Japanese manufacturer (Tokai Rika) is currently supplying a few vehicle models in Japan with solid-state electrochromic mirrors. There are also Chinese domestic mirror suppliers that are marketing and selling automatic-dimming rearview mirrors, primarily within the domestic China automotive market. Moreover, other companies have products that are competitive to the Company’s FDM® system, and Chinese domestic mirror suppliers have begun marketing and selling these products, within the domestic China market. Further, two Japan manufacturers (Murakami and Panasonic) have begun selling and marketing competitive FDM® type products in Japan. The Company acknowledges that dimming device (e.g., electrochromic) technology is the subject of research and development efforts by numerous third parties.</w:t>
      </w:r>
    </w:p>
    <w:p>
      <w:pPr>
        <w:sectPr>
          <w:pgSz w:w="12240" w:h="15840" w:orient="portrait"/>
          <w:cols w:equalWidth="0" w:num="1">
            <w:col w:w="10760"/>
          </w:cols>
          <w:pgMar w:left="900" w:top="850" w:right="580" w:bottom="0" w:gutter="0" w:footer="0" w:header="0"/>
        </w:sectPr>
      </w:pPr>
    </w:p>
    <w:p>
      <w:pPr>
        <w:spacing w:after="0" w:line="200" w:lineRule="exact"/>
        <w:rPr>
          <w:sz w:val="20"/>
          <w:szCs w:val="20"/>
          <w:color w:val="auto"/>
        </w:rPr>
      </w:pPr>
    </w:p>
    <w:p>
      <w:pPr>
        <w:spacing w:after="0" w:line="300"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25</w:t>
      </w:r>
    </w:p>
    <w:p>
      <w:pPr>
        <w:sectPr>
          <w:pgSz w:w="12240" w:h="15840" w:orient="portrait"/>
          <w:cols w:equalWidth="0" w:num="1">
            <w:col w:w="10760"/>
          </w:cols>
          <w:pgMar w:left="900" w:top="850" w:right="580" w:bottom="0" w:gutter="0" w:footer="0" w:header="0"/>
          <w:type w:val="continuous"/>
        </w:sectPr>
      </w:pPr>
    </w:p>
    <w:bookmarkStart w:id="25" w:name="page26"/>
    <w:bookmarkEnd w:id="25"/>
    <w:p>
      <w:pPr>
        <w:ind w:left="320" w:right="160"/>
        <w:spacing w:after="0" w:line="339" w:lineRule="auto"/>
        <w:rPr>
          <w:sz w:val="20"/>
          <w:szCs w:val="20"/>
          <w:color w:val="auto"/>
        </w:rPr>
      </w:pPr>
      <w:r>
        <w:rPr>
          <w:rFonts w:ascii="Times New Roman" w:cs="Times New Roman" w:eastAsia="Times New Roman" w:hAnsi="Times New Roman"/>
          <w:sz w:val="18"/>
          <w:szCs w:val="18"/>
          <w:color w:val="auto"/>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 the automotive industry’s leading car-to-home automation system. HomeLink® consists of vehicle-integrated buttons that can be programmed to operate a myriad of home automation devices. Integration of Simplenight into the Company’s HomeLink Connect® app is underway. The HomeLink Connect app allows users to program their HomeLink® buttons and control cloud-based devices from their vehicles.</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2022, the Company obtained an approximate 20% equity share in GreenMarbles, in the ordinary course of business. GreenMarbles is</w:t>
      </w:r>
    </w:p>
    <w:p>
      <w:pPr>
        <w:spacing w:after="0" w:line="97" w:lineRule="exact"/>
        <w:rPr>
          <w:sz w:val="20"/>
          <w:szCs w:val="20"/>
          <w:color w:val="auto"/>
        </w:rPr>
      </w:pPr>
    </w:p>
    <w:p>
      <w:pPr>
        <w:ind w:left="320" w:right="320"/>
        <w:spacing w:after="0" w:line="409" w:lineRule="auto"/>
        <w:rPr>
          <w:sz w:val="20"/>
          <w:szCs w:val="20"/>
          <w:color w:val="auto"/>
        </w:rPr>
      </w:pPr>
      <w:r>
        <w:rPr>
          <w:rFonts w:ascii="Times New Roman" w:cs="Times New Roman" w:eastAsia="Times New Roman" w:hAnsi="Times New Roman"/>
          <w:sz w:val="18"/>
          <w:szCs w:val="18"/>
          <w:color w:val="auto"/>
        </w:rPr>
        <w:t>a leading provider of sustainable solutions for integration into real properties. The Company intends for this relationship to promote the HomeLink Connect® App with real property developers and contractors.</w:t>
      </w:r>
    </w:p>
    <w:p>
      <w:pPr>
        <w:spacing w:after="0" w:line="10" w:lineRule="exact"/>
        <w:rPr>
          <w:sz w:val="20"/>
          <w:szCs w:val="20"/>
          <w:color w:val="auto"/>
        </w:rPr>
      </w:pPr>
    </w:p>
    <w:p>
      <w:pPr>
        <w:ind w:left="320" w:right="500"/>
        <w:spacing w:after="0" w:line="381" w:lineRule="auto"/>
        <w:rPr>
          <w:sz w:val="20"/>
          <w:szCs w:val="20"/>
          <w:color w:val="auto"/>
        </w:rPr>
      </w:pPr>
      <w:r>
        <w:rPr>
          <w:rFonts w:ascii="Times New Roman" w:cs="Times New Roman" w:eastAsia="Times New Roman" w:hAnsi="Times New Roman"/>
          <w:sz w:val="18"/>
          <w:szCs w:val="18"/>
          <w:color w:val="auto"/>
        </w:rPr>
        <w:t>The Company believes its electrochromic automatic-dimming mirrors and mirrors with advanced electronic features offer significant performance advantages over competing products and the Company makes significant research and development investments to continue to increase and improve the performance advantages of its products and to potentially add new products.</w:t>
      </w:r>
    </w:p>
    <w:p>
      <w:pPr>
        <w:spacing w:after="0" w:line="34" w:lineRule="exact"/>
        <w:rPr>
          <w:sz w:val="20"/>
          <w:szCs w:val="20"/>
          <w:color w:val="auto"/>
        </w:rPr>
      </w:pPr>
    </w:p>
    <w:p>
      <w:pPr>
        <w:ind w:left="320"/>
        <w:spacing w:after="0" w:line="340" w:lineRule="auto"/>
        <w:rPr>
          <w:sz w:val="20"/>
          <w:szCs w:val="20"/>
          <w:color w:val="auto"/>
        </w:rPr>
      </w:pPr>
      <w:r>
        <w:rPr>
          <w:rFonts w:ascii="Times New Roman" w:cs="Times New Roman" w:eastAsia="Times New Roman" w:hAnsi="Times New Roman"/>
          <w:sz w:val="18"/>
          <w:szCs w:val="18"/>
          <w:color w:val="auto"/>
        </w:rPr>
        <w:t>There are numerous other companies in the world conducting research on various technologies, including electrochromics, for controlling light transmission and reflection. The Company currently believes that the electrochromic materials and manufacturing process it uses for automotive mirrors remains the most efficient and cost-effective way to produce these products. The Company has also continued to invest in new technologies to improve manufacturing processes. In 2020, the Company, in the ordinary course of business, completed the acquisition of Argil, Inc., an electrochromic technology and research and development company, which the Company anticipates using to complement and expand its product offerings and leverage for manufacturing efficiencies. While automatic-dimming mirrors using other technologies may eliminate glare, the Company currently believes that each of these other technologies have inherent cost or performance limitations as compared to the Company’s technologies.</w:t>
      </w:r>
    </w:p>
    <w:p>
      <w:pPr>
        <w:spacing w:after="0" w:line="75" w:lineRule="exact"/>
        <w:rPr>
          <w:sz w:val="20"/>
          <w:szCs w:val="20"/>
          <w:color w:val="auto"/>
        </w:rPr>
      </w:pPr>
    </w:p>
    <w:p>
      <w:pPr>
        <w:ind w:left="320" w:right="80"/>
        <w:spacing w:after="0" w:line="353" w:lineRule="auto"/>
        <w:rPr>
          <w:sz w:val="20"/>
          <w:szCs w:val="20"/>
          <w:color w:val="auto"/>
        </w:rPr>
      </w:pPr>
      <w:r>
        <w:rPr>
          <w:rFonts w:ascii="Times New Roman" w:cs="Times New Roman" w:eastAsia="Times New Roman" w:hAnsi="Times New Roman"/>
          <w:sz w:val="18"/>
          <w:szCs w:val="18"/>
          <w:color w:val="auto"/>
        </w:rPr>
        <w:t>As the Company continues to expand its automatic-dimming mirror products with additional advanced electronic features and expands the capabilities of its: CMOS imager technology for additional features (i.e. SmartBeam®, FDM®, rear video camera, digital video recorder, etc.), hybrid and fully digital CMS technology, and driver and cabin monitoring systems, the Company recognizes that it is competing with considerably larger and more geographically diverse electronics companies that present a formidable competitive threat in the future as new products/features and technologies are brought to market.</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Dimmable Aircraft Windows</w:t>
      </w:r>
    </w:p>
    <w:p>
      <w:pPr>
        <w:spacing w:after="0" w:line="191" w:lineRule="exact"/>
        <w:rPr>
          <w:sz w:val="20"/>
          <w:szCs w:val="20"/>
          <w:color w:val="auto"/>
        </w:rPr>
      </w:pPr>
    </w:p>
    <w:p>
      <w:pPr>
        <w:ind w:left="320" w:right="40"/>
        <w:spacing w:after="0" w:line="353" w:lineRule="auto"/>
        <w:rPr>
          <w:sz w:val="20"/>
          <w:szCs w:val="20"/>
          <w:color w:val="auto"/>
        </w:rPr>
      </w:pPr>
      <w:r>
        <w:rPr>
          <w:rFonts w:ascii="Times New Roman" w:cs="Times New Roman" w:eastAsia="Times New Roman" w:hAnsi="Times New Roman"/>
          <w:sz w:val="18"/>
          <w:szCs w:val="18"/>
          <w:color w:val="auto"/>
        </w:rPr>
        <w:t>The Company continues to manufacture and sell variable dimmable windows for the passenger compartment on the Boeing 787 Dreamliner series of aircraft. In 2019, the Company announced that it would be offering, as optional content, its latest generation of variable dimmable windows on the Boeing 777X aircraft. Later in 2019, the first production shipments of variably dimmable windows were made to Boeing for the 777X program. As previously announced, Airbus is now offering, as optional content, the Company’s dimmable aircraft windows on its aircraft, with production having begun in 2021.</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4494E"/>
        </w:rPr>
        <w:t xml:space="preserve">MARKETS AND MARKETING. </w:t>
      </w:r>
      <w:r>
        <w:rPr>
          <w:rFonts w:ascii="Times New Roman" w:cs="Times New Roman" w:eastAsia="Times New Roman" w:hAnsi="Times New Roman"/>
          <w:sz w:val="18"/>
          <w:szCs w:val="18"/>
          <w:color w:val="000000"/>
        </w:rPr>
        <w:t>The Company markets its variable dimmable windows to aircraft manufacturers and airline operators globally.</w:t>
      </w:r>
    </w:p>
    <w:p>
      <w:pPr>
        <w:spacing w:after="0" w:line="252" w:lineRule="exact"/>
        <w:rPr>
          <w:sz w:val="20"/>
          <w:szCs w:val="20"/>
          <w:color w:val="auto"/>
        </w:rPr>
      </w:pPr>
    </w:p>
    <w:p>
      <w:pPr>
        <w:ind w:left="320" w:right="200"/>
        <w:spacing w:after="0" w:line="382" w:lineRule="auto"/>
        <w:rPr>
          <w:sz w:val="20"/>
          <w:szCs w:val="20"/>
          <w:color w:val="auto"/>
        </w:rPr>
      </w:pPr>
      <w:r>
        <w:rPr>
          <w:rFonts w:ascii="Arial" w:cs="Arial" w:eastAsia="Arial" w:hAnsi="Arial"/>
          <w:sz w:val="17"/>
          <w:szCs w:val="17"/>
          <w:b w:val="1"/>
          <w:bCs w:val="1"/>
          <w:color w:val="F4494E"/>
        </w:rPr>
        <w:t xml:space="preserve">COMPETITION. </w:t>
      </w:r>
      <w:r>
        <w:rPr>
          <w:rFonts w:ascii="Times New Roman" w:cs="Times New Roman" w:eastAsia="Times New Roman" w:hAnsi="Times New Roman"/>
          <w:sz w:val="18"/>
          <w:szCs w:val="18"/>
          <w:color w:val="000000"/>
        </w:rPr>
        <w:t>The Company’s variable dimmable aircraft windows are the first commercialized product of its kind for original equipment</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installation in the aircraft industry. Other manufacturers are working to develop and sell competing products utilizing other technology in the aircraft industry for aftermarket or original equipment installation.</w:t>
      </w:r>
    </w:p>
    <w:p>
      <w:pPr>
        <w:spacing w:after="0" w:line="31" w:lineRule="exact"/>
        <w:rPr>
          <w:sz w:val="20"/>
          <w:szCs w:val="20"/>
          <w:color w:val="auto"/>
        </w:rPr>
      </w:pPr>
    </w:p>
    <w:p>
      <w:pPr>
        <w:jc w:val="both"/>
        <w:ind w:left="320" w:right="20"/>
        <w:spacing w:after="0" w:line="363" w:lineRule="auto"/>
        <w:rPr>
          <w:sz w:val="20"/>
          <w:szCs w:val="20"/>
          <w:color w:val="auto"/>
        </w:rPr>
      </w:pPr>
      <w:r>
        <w:rPr>
          <w:rFonts w:ascii="Times New Roman" w:cs="Times New Roman" w:eastAsia="Times New Roman" w:hAnsi="Times New Roman"/>
          <w:sz w:val="18"/>
          <w:szCs w:val="18"/>
          <w:color w:val="auto"/>
        </w:rPr>
        <w:t>The Company’s success with electrochromic technology provides potential opportunities and use cases for other commercial applications, which the Company continues to explore, including, but not limited to passenger smart-lighting that automatically optimizes illumination for various in-flight activities like reading, dining, or computer work; biometric systems for personalizing the in-flight experience; and in-cabin particulate and chemical sensors for monitoring cabin air quality.</w:t>
      </w:r>
    </w:p>
    <w:p>
      <w:pPr>
        <w:sectPr>
          <w:pgSz w:w="12240" w:h="15840" w:orient="portrait"/>
          <w:cols w:equalWidth="0" w:num="1">
            <w:col w:w="10720"/>
          </w:cols>
          <w:pgMar w:left="580" w:top="85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26</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20"/>
          </w:cols>
          <w:pgMar w:left="580" w:top="852" w:right="940" w:bottom="0" w:gutter="0" w:footer="0" w:header="0"/>
          <w:type w:val="continuous"/>
        </w:sectPr>
      </w:pPr>
    </w:p>
    <w:bookmarkStart w:id="26" w:name="page27"/>
    <w:bookmarkEnd w:id="26"/>
    <w:p>
      <w:pPr>
        <w:spacing w:after="0"/>
        <w:rPr>
          <w:sz w:val="20"/>
          <w:szCs w:val="20"/>
          <w:color w:val="auto"/>
        </w:rPr>
      </w:pPr>
      <w:r>
        <w:rPr>
          <w:rFonts w:ascii="Arial" w:cs="Arial" w:eastAsia="Arial" w:hAnsi="Arial"/>
          <w:sz w:val="22"/>
          <w:szCs w:val="22"/>
          <w:b w:val="1"/>
          <w:bCs w:val="1"/>
          <w:color w:val="4CA5CD"/>
        </w:rPr>
        <w:t>Fire Protection Technologies</w:t>
      </w:r>
    </w:p>
    <w:p>
      <w:pPr>
        <w:spacing w:after="0" w:line="191" w:lineRule="exact"/>
        <w:rPr>
          <w:sz w:val="20"/>
          <w:szCs w:val="20"/>
          <w:color w:val="auto"/>
        </w:rPr>
      </w:pPr>
    </w:p>
    <w:p>
      <w:pPr>
        <w:ind w:right="340"/>
        <w:spacing w:after="0" w:line="360" w:lineRule="auto"/>
        <w:rPr>
          <w:sz w:val="20"/>
          <w:szCs w:val="20"/>
          <w:color w:val="auto"/>
        </w:rPr>
      </w:pPr>
      <w:r>
        <w:rPr>
          <w:rFonts w:ascii="Times New Roman" w:cs="Times New Roman" w:eastAsia="Times New Roman" w:hAnsi="Times New Roman"/>
          <w:sz w:val="17"/>
          <w:szCs w:val="17"/>
          <w:color w:val="auto"/>
        </w:rPr>
        <w:t>The Company manufactures photoelectric smoke detectors and alarms, visual signaling alarms, photoelectric smoke alarms and electrochemical carbon monoxide alarms, electrochemical carbon monoxide alarms and detectors, audible and visual signaling appliances, and bells and speakers for use in fire detection systems in office buildings, hotels, and other commercial and residential establishments. On January 9, 2024, the Company announced the introduction of a suite of smart home safety products with room-specific functionality called PLACE. PLACE offers a holistic solution that blends smart home safety, comfort, and security features into one sophisticated system, all controlled from a single, user-friendly app. The PLACE portfolio of smart-home solutions is being designed to address the nuanced safety requirements of various home spaces. The base Any Space unit provides smart smoke and carbon monoxide detection and Wi-Fi connectivity for space-specific alerts. The system’s versatility is further demonstrated through specialized units for the kitchen, nursery, and garage, each equipped with additional safeguards like gas and VOC detection, room-monitoring cameras, intercoms, and temperature and humidity sensing, as appropriate to the application.</w:t>
      </w:r>
    </w:p>
    <w:p>
      <w:pPr>
        <w:spacing w:after="0" w:line="59" w:lineRule="exact"/>
        <w:rPr>
          <w:sz w:val="20"/>
          <w:szCs w:val="20"/>
          <w:color w:val="auto"/>
        </w:rPr>
      </w:pPr>
    </w:p>
    <w:p>
      <w:pPr>
        <w:ind w:right="400"/>
        <w:spacing w:after="0" w:line="362" w:lineRule="auto"/>
        <w:rPr>
          <w:sz w:val="20"/>
          <w:szCs w:val="20"/>
          <w:color w:val="auto"/>
        </w:rPr>
      </w:pPr>
      <w:r>
        <w:rPr>
          <w:rFonts w:ascii="Arial" w:cs="Arial" w:eastAsia="Arial" w:hAnsi="Arial"/>
          <w:sz w:val="17"/>
          <w:szCs w:val="17"/>
          <w:b w:val="1"/>
          <w:bCs w:val="1"/>
          <w:color w:val="F4494E"/>
        </w:rPr>
        <w:t xml:space="preserve">MARKETS AND MARKETING. </w:t>
      </w:r>
      <w:r>
        <w:rPr>
          <w:rFonts w:ascii="Times New Roman" w:cs="Times New Roman" w:eastAsia="Times New Roman" w:hAnsi="Times New Roman"/>
          <w:sz w:val="18"/>
          <w:szCs w:val="18"/>
          <w:color w:val="000000"/>
        </w:rPr>
        <w:t>The Company’s fire protection technologies are sold directly to fire protection and security product distributors</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under the Company’s brand name, to electrical wholesale houses, and to OEMs of fire protection systems under both the Company’s brand name and private labels. The Company markets its fire protection products primarily in North America, but also globally through regional sales managers and manufacturer representative organizations. The Company’s PLACE products are being sold to retailers.</w:t>
      </w:r>
    </w:p>
    <w:p>
      <w:pPr>
        <w:spacing w:after="0" w:line="49" w:lineRule="exact"/>
        <w:rPr>
          <w:sz w:val="20"/>
          <w:szCs w:val="20"/>
          <w:color w:val="auto"/>
        </w:rPr>
      </w:pPr>
    </w:p>
    <w:p>
      <w:pPr>
        <w:ind w:right="400"/>
        <w:spacing w:after="0" w:line="370" w:lineRule="auto"/>
        <w:rPr>
          <w:sz w:val="20"/>
          <w:szCs w:val="20"/>
          <w:color w:val="auto"/>
        </w:rPr>
      </w:pPr>
      <w:r>
        <w:rPr>
          <w:rFonts w:ascii="Arial" w:cs="Arial" w:eastAsia="Arial" w:hAnsi="Arial"/>
          <w:sz w:val="16"/>
          <w:szCs w:val="16"/>
          <w:b w:val="1"/>
          <w:bCs w:val="1"/>
          <w:color w:val="F4494E"/>
        </w:rPr>
        <w:t xml:space="preserve">COMPETITION. </w:t>
      </w:r>
      <w:r>
        <w:rPr>
          <w:rFonts w:ascii="Times New Roman" w:cs="Times New Roman" w:eastAsia="Times New Roman" w:hAnsi="Times New Roman"/>
          <w:sz w:val="17"/>
          <w:szCs w:val="17"/>
          <w:color w:val="000000"/>
        </w:rPr>
        <w:t>The fire protection products industry is highly competitive in terms of both the smoke detectors and signaling appliance markets.</w:t>
      </w:r>
      <w:r>
        <w:rPr>
          <w:rFonts w:ascii="Arial" w:cs="Arial" w:eastAsia="Arial" w:hAnsi="Arial"/>
          <w:sz w:val="16"/>
          <w:szCs w:val="16"/>
          <w:b w:val="1"/>
          <w:bCs w:val="1"/>
          <w:color w:val="F4494E"/>
        </w:rPr>
        <w:t xml:space="preserve"> </w:t>
      </w:r>
      <w:r>
        <w:rPr>
          <w:rFonts w:ascii="Times New Roman" w:cs="Times New Roman" w:eastAsia="Times New Roman" w:hAnsi="Times New Roman"/>
          <w:sz w:val="17"/>
          <w:szCs w:val="17"/>
          <w:color w:val="000000"/>
        </w:rPr>
        <w:t>The Company estimates that it competes primarily with eight manufacturers of smoke detection products for commercial use and approximately four manufacturers within the residential market, three of which produce photoelectric smoke detectors. In the signaling appliance markets, the Company estimates it competes with approximately seven manufacturers. While the Company faces significant competition in the sale of smoke detectors and signaling appliances, it believes that the introduction of new products, improvements to its existing products, its diversified product line, and the availability of special features will permit the Company to maintain its competitive position.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Nanofiber Products and Development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completed the acquisition of Vaporsens in 2020. Vaporsens specializes in nanofiber chemical sensing research and development.</w:t>
      </w:r>
    </w:p>
    <w:p>
      <w:pPr>
        <w:spacing w:after="0" w:line="251" w:lineRule="exact"/>
        <w:rPr>
          <w:sz w:val="20"/>
          <w:szCs w:val="20"/>
          <w:color w:val="auto"/>
        </w:rPr>
      </w:pPr>
    </w:p>
    <w:p>
      <w:pPr>
        <w:ind w:right="460"/>
        <w:spacing w:after="0" w:line="362" w:lineRule="auto"/>
        <w:rPr>
          <w:sz w:val="20"/>
          <w:szCs w:val="20"/>
          <w:color w:val="auto"/>
        </w:rPr>
      </w:pPr>
      <w:r>
        <w:rPr>
          <w:rFonts w:ascii="Arial" w:cs="Arial" w:eastAsia="Arial" w:hAnsi="Arial"/>
          <w:sz w:val="17"/>
          <w:szCs w:val="17"/>
          <w:b w:val="1"/>
          <w:bCs w:val="1"/>
          <w:color w:val="F4494E"/>
        </w:rPr>
        <w:t xml:space="preserve">MARKETS AND MARKETING. </w:t>
      </w:r>
      <w:r>
        <w:rPr>
          <w:rFonts w:ascii="Times New Roman" w:cs="Times New Roman" w:eastAsia="Times New Roman" w:hAnsi="Times New Roman"/>
          <w:sz w:val="18"/>
          <w:szCs w:val="18"/>
          <w:color w:val="000000"/>
        </w:rPr>
        <w:t>While no current commercialized product yet exists, this technology has the potential ability to sense explosives,</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toxic industrial chemicals, chemical warfare agents, drugs, consumer goods, and VOC’s. This technology has a wide variety of use cases in various markets and industries, with potential applications for automotive, aerospace, agriculture, chemical manufacturing, military and first responders, worker safety, food and beverage processing, and medical applications.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Medical Products and Development</w:t>
      </w:r>
    </w:p>
    <w:p>
      <w:pPr>
        <w:spacing w:after="0" w:line="191" w:lineRule="exact"/>
        <w:rPr>
          <w:sz w:val="20"/>
          <w:szCs w:val="20"/>
          <w:color w:val="auto"/>
        </w:rPr>
      </w:pPr>
    </w:p>
    <w:p>
      <w:pPr>
        <w:ind w:right="360"/>
        <w:spacing w:after="0" w:line="352" w:lineRule="auto"/>
        <w:rPr>
          <w:sz w:val="20"/>
          <w:szCs w:val="20"/>
          <w:color w:val="auto"/>
        </w:rPr>
      </w:pPr>
      <w:r>
        <w:rPr>
          <w:rFonts w:ascii="Times New Roman" w:cs="Times New Roman" w:eastAsia="Times New Roman" w:hAnsi="Times New Roman"/>
          <w:sz w:val="18"/>
          <w:szCs w:val="18"/>
          <w:color w:val="auto"/>
        </w:rPr>
        <w:t>In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Company continues to further develop and work on the intelligent medical lighting system in order to assess system performance and work toward obtaining any necessary approvals.</w:t>
      </w:r>
    </w:p>
    <w:p>
      <w:pPr>
        <w:spacing w:after="0" w:line="63" w:lineRule="exact"/>
        <w:rPr>
          <w:sz w:val="20"/>
          <w:szCs w:val="20"/>
          <w:color w:val="auto"/>
        </w:rPr>
      </w:pPr>
    </w:p>
    <w:p>
      <w:pPr>
        <w:ind w:right="400"/>
        <w:spacing w:after="0" w:line="353" w:lineRule="auto"/>
        <w:rPr>
          <w:sz w:val="20"/>
          <w:szCs w:val="20"/>
          <w:color w:val="auto"/>
        </w:rPr>
      </w:pPr>
      <w:r>
        <w:rPr>
          <w:rFonts w:ascii="Times New Roman" w:cs="Times New Roman" w:eastAsia="Times New Roman" w:hAnsi="Times New Roman"/>
          <w:sz w:val="18"/>
          <w:szCs w:val="18"/>
          <w:color w:val="auto"/>
        </w:rPr>
        <w:t>On November 2, 2023, the Company acquired certain technology assets from eSight. The technology acquired from eSight provides advanced and versatile low-vision smart glasses for those with visual impairments and is compatible with more than 20 eye conditions including Macular Degeneration, Diabetic Retinopathy, and Stargardt disease. eSight wearables are inspected and registered by public health officials. eSight4 is a Class 1 Medical Device that is registered with the FDA, registered with EUDAMED, and inspected by Health Canada. Deliveries of eSight Go are expected to begin in 2024.</w:t>
      </w:r>
    </w:p>
    <w:p>
      <w:pPr>
        <w:spacing w:after="0" w:line="55" w:lineRule="exact"/>
        <w:rPr>
          <w:sz w:val="20"/>
          <w:szCs w:val="20"/>
          <w:color w:val="auto"/>
        </w:rPr>
      </w:pPr>
    </w:p>
    <w:p>
      <w:pPr>
        <w:ind w:right="740"/>
        <w:spacing w:after="0" w:line="437" w:lineRule="auto"/>
        <w:rPr>
          <w:sz w:val="20"/>
          <w:szCs w:val="20"/>
          <w:color w:val="auto"/>
        </w:rPr>
      </w:pPr>
      <w:r>
        <w:rPr>
          <w:rFonts w:ascii="Arial" w:cs="Arial" w:eastAsia="Arial" w:hAnsi="Arial"/>
          <w:sz w:val="17"/>
          <w:szCs w:val="17"/>
          <w:b w:val="1"/>
          <w:bCs w:val="1"/>
          <w:color w:val="F4494E"/>
        </w:rPr>
        <w:t xml:space="preserve">MARKETS AND MARKETING. </w:t>
      </w:r>
      <w:r>
        <w:rPr>
          <w:rFonts w:ascii="Times New Roman" w:cs="Times New Roman" w:eastAsia="Times New Roman" w:hAnsi="Times New Roman"/>
          <w:sz w:val="18"/>
          <w:szCs w:val="18"/>
          <w:color w:val="000000"/>
        </w:rPr>
        <w:t>The Company markets and sells the eSight smart glasses directly to consumers that have visual impairments</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or eye conditions, The Company also sells the eSight product through authorized distributors.</w:t>
      </w:r>
    </w:p>
    <w:p>
      <w:pPr>
        <w:sectPr>
          <w:pgSz w:w="12240" w:h="15840" w:orient="portrait"/>
          <w:cols w:equalWidth="0" w:num="1">
            <w:col w:w="10760"/>
          </w:cols>
          <w:pgMar w:left="900" w:top="83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27</w:t>
      </w:r>
    </w:p>
    <w:p>
      <w:pPr>
        <w:sectPr>
          <w:pgSz w:w="12240" w:h="15840" w:orient="portrait"/>
          <w:cols w:equalWidth="0" w:num="1">
            <w:col w:w="10760"/>
          </w:cols>
          <w:pgMar w:left="900" w:top="830" w:right="580" w:bottom="0" w:gutter="0" w:footer="0" w:header="0"/>
          <w:type w:val="continuous"/>
        </w:sectPr>
      </w:pPr>
    </w:p>
    <w:bookmarkStart w:id="27" w:name="page28"/>
    <w:bookmarkEnd w:id="27"/>
    <w:p>
      <w:pPr>
        <w:ind w:left="320"/>
        <w:spacing w:after="0"/>
        <w:rPr>
          <w:sz w:val="20"/>
          <w:szCs w:val="20"/>
          <w:color w:val="auto"/>
        </w:rPr>
      </w:pPr>
      <w:r>
        <w:rPr>
          <w:rFonts w:ascii="Arial" w:cs="Arial" w:eastAsia="Arial" w:hAnsi="Arial"/>
          <w:sz w:val="22"/>
          <w:szCs w:val="22"/>
          <w:b w:val="1"/>
          <w:bCs w:val="1"/>
          <w:color w:val="4CA5CD"/>
        </w:rPr>
        <w:t>Trademarks and Patents</w:t>
      </w:r>
    </w:p>
    <w:p>
      <w:pPr>
        <w:spacing w:after="0" w:line="191" w:lineRule="exact"/>
        <w:rPr>
          <w:sz w:val="20"/>
          <w:szCs w:val="20"/>
          <w:color w:val="auto"/>
        </w:rPr>
      </w:pPr>
    </w:p>
    <w:p>
      <w:pPr>
        <w:ind w:left="320" w:right="200"/>
        <w:spacing w:after="0" w:line="362" w:lineRule="auto"/>
        <w:rPr>
          <w:sz w:val="20"/>
          <w:szCs w:val="20"/>
          <w:color w:val="auto"/>
        </w:rPr>
      </w:pPr>
      <w:r>
        <w:rPr>
          <w:rFonts w:ascii="Times New Roman" w:cs="Times New Roman" w:eastAsia="Times New Roman" w:hAnsi="Times New Roman"/>
          <w:sz w:val="18"/>
          <w:szCs w:val="18"/>
          <w:color w:val="auto"/>
        </w:rPr>
        <w:t>The Company owns 50 U.S. Registered Trademarks and 772 U.S. Patents, of which 40 Registered Trademarks and 641 patents relate to electrochromic technology, automotive rearview mirrors, microphones, displays, cameras, sensor technology, smart lighting technology, and/ or HomeLink® products. These patents expire at various times between 2024 and 2044. The Company believes that these patents provide the Company a competitive advantage in its markets, although no single patent is necessarily required for the success of the Company’s products.</w:t>
      </w:r>
    </w:p>
    <w:p>
      <w:pPr>
        <w:spacing w:after="0" w:line="52" w:lineRule="exact"/>
        <w:rPr>
          <w:sz w:val="20"/>
          <w:szCs w:val="20"/>
          <w:color w:val="auto"/>
        </w:rPr>
      </w:pPr>
    </w:p>
    <w:p>
      <w:pPr>
        <w:ind w:left="320" w:right="40"/>
        <w:spacing w:after="0" w:line="363" w:lineRule="auto"/>
        <w:rPr>
          <w:sz w:val="20"/>
          <w:szCs w:val="20"/>
          <w:color w:val="auto"/>
        </w:rPr>
      </w:pPr>
      <w:r>
        <w:rPr>
          <w:rFonts w:ascii="Times New Roman" w:cs="Times New Roman" w:eastAsia="Times New Roman" w:hAnsi="Times New Roman"/>
          <w:sz w:val="18"/>
          <w:szCs w:val="18"/>
          <w:color w:val="auto"/>
        </w:rPr>
        <w:t>The Company also owns 399 foreign Registered Trademarks and 1,458 foreign patents, of which 384 Registered Trademarks and 1,125 patents relate to electrochromic technology, automotive rearview mirrors, microphones, displays, cameras, sensor technology, and/or HomeLink® products. These patents expire at various times between 2024 and 2048. The Company believes that the competitive advantage derived in the relevant foreign markets for these patents is comparable to that applicable in the U.S. market.</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owns 76 U.S. Patents and 99 foreign patents that relate specifically to the Company’s variable dimmable windows. The U.S.</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Patents expire at various times between 2026 and 2044, while the foreign patents expire at various times between 2027 and 2040.</w:t>
      </w:r>
    </w:p>
    <w:p>
      <w:pPr>
        <w:spacing w:after="0" w:line="229" w:lineRule="exact"/>
        <w:rPr>
          <w:sz w:val="20"/>
          <w:szCs w:val="20"/>
          <w:color w:val="auto"/>
        </w:rPr>
      </w:pPr>
    </w:p>
    <w:p>
      <w:pPr>
        <w:ind w:left="320" w:right="280"/>
        <w:spacing w:after="0" w:line="381" w:lineRule="auto"/>
        <w:rPr>
          <w:sz w:val="20"/>
          <w:szCs w:val="20"/>
          <w:color w:val="auto"/>
        </w:rPr>
      </w:pPr>
      <w:r>
        <w:rPr>
          <w:rFonts w:ascii="Times New Roman" w:cs="Times New Roman" w:eastAsia="Times New Roman" w:hAnsi="Times New Roman"/>
          <w:sz w:val="18"/>
          <w:szCs w:val="18"/>
          <w:color w:val="auto"/>
        </w:rPr>
        <w:t>The Company owns 10 U.S. Registered Trademarks, 20 U.S. Patents, 15 foreign Registered Trademarks, and 12 foreign patents that relate to the Company’s fire protection products. The U.S. Patents expire at various times between 2026 and 2043, while the foreign patents expire at various times between 2026 and 2030. The Company believes that the competitive advantage provided by these patents is relatively small.</w:t>
      </w:r>
    </w:p>
    <w:p>
      <w:pPr>
        <w:spacing w:after="0" w:line="34" w:lineRule="exact"/>
        <w:rPr>
          <w:sz w:val="20"/>
          <w:szCs w:val="20"/>
          <w:color w:val="auto"/>
        </w:rPr>
      </w:pPr>
    </w:p>
    <w:p>
      <w:pPr>
        <w:jc w:val="both"/>
        <w:ind w:left="320" w:right="20"/>
        <w:spacing w:after="0" w:line="382" w:lineRule="auto"/>
        <w:rPr>
          <w:sz w:val="20"/>
          <w:szCs w:val="20"/>
          <w:color w:val="auto"/>
        </w:rPr>
      </w:pPr>
      <w:r>
        <w:rPr>
          <w:rFonts w:ascii="Times New Roman" w:cs="Times New Roman" w:eastAsia="Times New Roman" w:hAnsi="Times New Roman"/>
          <w:sz w:val="18"/>
          <w:szCs w:val="18"/>
          <w:color w:val="auto"/>
        </w:rPr>
        <w:t>The Company also has in process 169 U.S. Patent applications, 257 foreign patent applications, and 35 Registered Trademark applications. The Company continuously seeks to improve its core and acquired technologies and apply those technologies to new and existing products. As those efforts produce patentable inventions, the Company expects to file appropriate patent applications.</w:t>
      </w:r>
    </w:p>
    <w:p>
      <w:pPr>
        <w:spacing w:after="0" w:line="32" w:lineRule="exact"/>
        <w:rPr>
          <w:sz w:val="20"/>
          <w:szCs w:val="20"/>
          <w:color w:val="auto"/>
        </w:rPr>
      </w:pPr>
    </w:p>
    <w:p>
      <w:pPr>
        <w:ind w:left="320" w:right="240"/>
        <w:spacing w:after="0" w:line="439" w:lineRule="auto"/>
        <w:rPr>
          <w:sz w:val="20"/>
          <w:szCs w:val="20"/>
          <w:color w:val="auto"/>
        </w:rPr>
      </w:pPr>
      <w:r>
        <w:rPr>
          <w:rFonts w:ascii="Times New Roman" w:cs="Times New Roman" w:eastAsia="Times New Roman" w:hAnsi="Times New Roman"/>
          <w:sz w:val="18"/>
          <w:szCs w:val="18"/>
          <w:color w:val="auto"/>
        </w:rPr>
        <w:t>In addition, the Company periodically obtains intellectual property rights, in the ordinary course of the Company’s business, to strengthen its intellectual property portfolio and minimize potential risks of infringement.</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Human Capital Resources</w:t>
      </w:r>
    </w:p>
    <w:p>
      <w:pPr>
        <w:spacing w:after="0" w:line="191" w:lineRule="exact"/>
        <w:rPr>
          <w:sz w:val="20"/>
          <w:szCs w:val="20"/>
          <w:color w:val="auto"/>
        </w:rPr>
      </w:pPr>
    </w:p>
    <w:p>
      <w:pPr>
        <w:ind w:left="320" w:right="260"/>
        <w:spacing w:after="0" w:line="382" w:lineRule="auto"/>
        <w:rPr>
          <w:sz w:val="20"/>
          <w:szCs w:val="20"/>
          <w:color w:val="auto"/>
        </w:rPr>
      </w:pPr>
      <w:r>
        <w:rPr>
          <w:rFonts w:ascii="Times New Roman" w:cs="Times New Roman" w:eastAsia="Times New Roman" w:hAnsi="Times New Roman"/>
          <w:sz w:val="18"/>
          <w:szCs w:val="18"/>
          <w:color w:val="auto"/>
        </w:rPr>
        <w:t>As of February 1, 2024, the Company had 6,245 full-time employees. None of the Company’s employees are represented by a labor union or other collective bargaining representative. The Company believes that its relations with its employees are in good standing. See “Executive Officers of the Registrant” in Part III, Item 10.</w:t>
      </w:r>
    </w:p>
    <w:p>
      <w:pPr>
        <w:spacing w:after="0" w:line="32" w:lineRule="exact"/>
        <w:rPr>
          <w:sz w:val="20"/>
          <w:szCs w:val="20"/>
          <w:color w:val="auto"/>
        </w:rPr>
      </w:pPr>
    </w:p>
    <w:p>
      <w:pPr>
        <w:ind w:left="320" w:right="120"/>
        <w:spacing w:after="0" w:line="429" w:lineRule="auto"/>
        <w:rPr>
          <w:sz w:val="20"/>
          <w:szCs w:val="20"/>
          <w:color w:val="auto"/>
        </w:rPr>
      </w:pPr>
      <w:r>
        <w:rPr>
          <w:rFonts w:ascii="Times New Roman" w:cs="Times New Roman" w:eastAsia="Times New Roman" w:hAnsi="Times New Roman"/>
          <w:sz w:val="18"/>
          <w:szCs w:val="18"/>
          <w:color w:val="auto"/>
        </w:rPr>
        <w:t>The Company fosters a collaborative culture founded on devotion to quality and innovation. An inclusive environment is nurtured so that team members can perform, support each other, and continue to grow and learn, including on-the-job training.</w:t>
      </w:r>
    </w:p>
    <w:p>
      <w:pPr>
        <w:ind w:left="320" w:right="60"/>
        <w:spacing w:after="0" w:line="337" w:lineRule="auto"/>
        <w:rPr>
          <w:sz w:val="20"/>
          <w:szCs w:val="20"/>
          <w:color w:val="auto"/>
        </w:rPr>
      </w:pPr>
      <w:r>
        <w:rPr>
          <w:rFonts w:ascii="Times New Roman" w:cs="Times New Roman" w:eastAsia="Times New Roman" w:hAnsi="Times New Roman"/>
          <w:sz w:val="18"/>
          <w:szCs w:val="18"/>
          <w:color w:val="auto"/>
        </w:rPr>
        <w:t>This culture is supported by a competitive compensation system that goes beyond base salary and includes for virtually all employees: quarterly profit-sharing bonuses; an extensive stock-based compensation program that extends to all eligible employees; an employee stock purchase plan; 401(k) plan (or other retirement plan for non-US employees) with Company matching; and tuition reimbursement. In keeping with the Company’s core principle of ownership mentality, compensation is structured throughout the organization so that employees win when all of stakeholders win. The Company also provides a healthy and safe climate-controlled work environment that includes an on-site wellness center and on-site health clinic at its headquarters. A number of health-related programs are available to employees, including: asthma/COPD management services; diabetes management; “Smart Health,” which gives employees and spouses a way to earn wellness credits; Gentex Cares+ Employee Assistance Program; and crop share, which offers employees fresh fruits and vegetables weekly. The Company has also announced the creation of the Gentex Discovery Preschool, an on-site daycare and preschool designed to provide employees with convenient, cost-effective access to quality day care.</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Company is extremely proud of its workplace injury prevention programs, which have achieved workplace injury rates well below industry averages.</w:t>
      </w:r>
    </w:p>
    <w:p>
      <w:pPr>
        <w:spacing w:after="0" w:line="276" w:lineRule="exact"/>
        <w:rPr>
          <w:sz w:val="20"/>
          <w:szCs w:val="20"/>
          <w:color w:val="auto"/>
        </w:rPr>
      </w:pPr>
    </w:p>
    <w:p>
      <w:pPr>
        <w:ind w:left="320"/>
        <w:spacing w:after="0" w:line="362" w:lineRule="auto"/>
        <w:rPr>
          <w:sz w:val="20"/>
          <w:szCs w:val="20"/>
          <w:color w:val="auto"/>
        </w:rPr>
      </w:pPr>
      <w:r>
        <w:rPr>
          <w:rFonts w:ascii="Times New Roman" w:cs="Times New Roman" w:eastAsia="Times New Roman" w:hAnsi="Times New Roman"/>
          <w:sz w:val="18"/>
          <w:szCs w:val="18"/>
          <w:color w:val="auto"/>
        </w:rPr>
        <w:t>Evidence of the Company’s commitment to inclusion is its cultivation of a world-class diversity, equity &amp; inclusion (“DE&amp;I”) ethos that allows team members to make a lasting impact in the communities in which the Company operates, all while attracting and retaining diverse talent that can help propel the business forward. While the Company has an environment of equal employment opportunity related to recruitment, hiring, promotion, discipline, and other terms of employment, the commitment to have a skilled and diverse world class workforce goes beyond that.</w:t>
      </w:r>
    </w:p>
    <w:p>
      <w:pPr>
        <w:sectPr>
          <w:pgSz w:w="12240" w:h="15840" w:orient="portrait"/>
          <w:cols w:equalWidth="0" w:num="1">
            <w:col w:w="10760"/>
          </w:cols>
          <w:pgMar w:left="580" w:top="83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28</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30" w:right="900" w:bottom="0" w:gutter="0" w:footer="0" w:header="0"/>
          <w:type w:val="continuous"/>
        </w:sectPr>
      </w:pPr>
    </w:p>
    <w:bookmarkStart w:id="28" w:name="page29"/>
    <w:bookmarkEnd w:id="28"/>
    <w:p>
      <w:pPr>
        <w:ind w:right="560"/>
        <w:spacing w:after="0" w:line="353" w:lineRule="auto"/>
        <w:rPr>
          <w:sz w:val="20"/>
          <w:szCs w:val="20"/>
          <w:color w:val="auto"/>
        </w:rPr>
      </w:pPr>
      <w:r>
        <w:rPr>
          <w:rFonts w:ascii="Times New Roman" w:cs="Times New Roman" w:eastAsia="Times New Roman" w:hAnsi="Times New Roman"/>
          <w:sz w:val="18"/>
          <w:szCs w:val="18"/>
          <w:color w:val="auto"/>
        </w:rPr>
        <w:t>The Company’s DE&amp;I initiatives are supported by its VP of Diversity, Equity, &amp; Inclusion and DE&amp;I Council, which helps implement specific diversity programs, supports internal training, and creates opportunities to spread awareness throughout the organization. The Company’s DE&amp;I Council is led by Mr. Joe Matthews, VP of Diversity, Equity, &amp; Inclusion and includes employees from a variety of departments. The Company’s DE&amp;I initiatives are further supported by the DE&amp;I Advisory Board, which is led by Mr. Matthews, and includes various executives, including the CEO, and two external members who are experts in the field of diversity, equity, and inclusion.</w:t>
      </w:r>
    </w:p>
    <w:p>
      <w:pPr>
        <w:spacing w:after="0" w:line="58" w:lineRule="exact"/>
        <w:rPr>
          <w:sz w:val="20"/>
          <w:szCs w:val="20"/>
          <w:color w:val="auto"/>
        </w:rPr>
      </w:pPr>
    </w:p>
    <w:p>
      <w:pPr>
        <w:ind w:right="460"/>
        <w:spacing w:after="0" w:line="352" w:lineRule="auto"/>
        <w:rPr>
          <w:sz w:val="20"/>
          <w:szCs w:val="20"/>
          <w:color w:val="auto"/>
        </w:rPr>
      </w:pPr>
      <w:r>
        <w:rPr>
          <w:rFonts w:ascii="Times New Roman" w:cs="Times New Roman" w:eastAsia="Times New Roman" w:hAnsi="Times New Roman"/>
          <w:sz w:val="18"/>
          <w:szCs w:val="18"/>
          <w:color w:val="auto"/>
        </w:rPr>
        <w:t>As a part of DE&amp;I initiatives, the Company maintains a growing list of business resource groups (“BRGs”) comprised of individuals with similar interests or backgrounds who work internally to support one another, develop leadership skills, and enhance cultural awareness. Among current BRGs are Women@Gentex and Gentex V.E.T.S. In 2023, the Company received a Pillar Award from the Women’s Resource Center in Grand Rapids for advancing women in the workplace. The Michigan Veterans Affairs agency awarded the Company a silver-level veteran-friendly employer status in recognition of the support and access to resources that the Company provides for military veterans.</w:t>
      </w:r>
    </w:p>
    <w:p>
      <w:pPr>
        <w:spacing w:after="0" w:line="63" w:lineRule="exact"/>
        <w:rPr>
          <w:sz w:val="20"/>
          <w:szCs w:val="20"/>
          <w:color w:val="auto"/>
        </w:rPr>
      </w:pPr>
    </w:p>
    <w:p>
      <w:pPr>
        <w:ind w:right="540"/>
        <w:spacing w:after="0" w:line="381" w:lineRule="auto"/>
        <w:rPr>
          <w:sz w:val="20"/>
          <w:szCs w:val="20"/>
          <w:color w:val="auto"/>
        </w:rPr>
      </w:pPr>
      <w:r>
        <w:rPr>
          <w:rFonts w:ascii="Times New Roman" w:cs="Times New Roman" w:eastAsia="Times New Roman" w:hAnsi="Times New Roman"/>
          <w:sz w:val="18"/>
          <w:szCs w:val="18"/>
          <w:color w:val="auto"/>
        </w:rPr>
        <w:t>In 2022, the Company also established a separate DE&amp;I council in Salt Lake City to serve the Company employees who work at the research and development office located there. This separate council has supported students from diverse backgrounds and sponsored events to raise awareness to global causes.</w:t>
      </w:r>
    </w:p>
    <w:p>
      <w:pPr>
        <w:spacing w:after="0" w:line="34" w:lineRule="exact"/>
        <w:rPr>
          <w:sz w:val="20"/>
          <w:szCs w:val="20"/>
          <w:color w:val="auto"/>
        </w:rPr>
      </w:pPr>
    </w:p>
    <w:p>
      <w:pPr>
        <w:ind w:right="560"/>
        <w:spacing w:after="0" w:line="347" w:lineRule="auto"/>
        <w:rPr>
          <w:sz w:val="20"/>
          <w:szCs w:val="20"/>
          <w:color w:val="auto"/>
        </w:rPr>
      </w:pPr>
      <w:r>
        <w:rPr>
          <w:rFonts w:ascii="Times New Roman" w:cs="Times New Roman" w:eastAsia="Times New Roman" w:hAnsi="Times New Roman"/>
          <w:sz w:val="18"/>
          <w:szCs w:val="18"/>
          <w:color w:val="auto"/>
        </w:rPr>
        <w:t>DE&amp;I efforts at the Company extend to the supply base as well, where the Company has been recognized for ongoing efforts to increase supplier relationships with certified minority, woman, veteran, and LGBTQ+-owned enterprises. In fact, the Company mentors certain such suppliers to help them develop the business systems and technological improvements necessary to support future growth. The Company is a member of, or otherwise involved in, the Michigan Minority Supplier Development Council, Original Equipment Supplier’s Association - Diversity &amp; Inclusion, Board of Governors, Consumer Technology Association - D&amp;I Group, Michigan Diversity Connection, West Michigan Hispanic Chamber of Commerce, and the Great Lakes Women’s Business Council.</w:t>
      </w:r>
    </w:p>
    <w:p>
      <w:pPr>
        <w:spacing w:after="0" w:line="65" w:lineRule="exact"/>
        <w:rPr>
          <w:sz w:val="20"/>
          <w:szCs w:val="20"/>
          <w:color w:val="auto"/>
        </w:rPr>
      </w:pPr>
    </w:p>
    <w:p>
      <w:pPr>
        <w:ind w:right="400"/>
        <w:spacing w:after="0" w:line="331" w:lineRule="auto"/>
        <w:rPr>
          <w:sz w:val="20"/>
          <w:szCs w:val="20"/>
          <w:color w:val="auto"/>
        </w:rPr>
      </w:pPr>
      <w:r>
        <w:rPr>
          <w:rFonts w:ascii="Times New Roman" w:cs="Times New Roman" w:eastAsia="Times New Roman" w:hAnsi="Times New Roman"/>
          <w:sz w:val="18"/>
          <w:szCs w:val="18"/>
          <w:color w:val="auto"/>
        </w:rPr>
        <w:t>Hiring rates, voluntary and involuntary turnover rates, internal rates of hiring and promotion, and safety records are measures of the Company’s success in human capital management. While hiring and diversity policies are in place to remain on track in terms of appropriate human resources management, the DE&amp;I efforts have furthered the process of creating a welcoming environment so the Company can hire and retain the best people. The Company produces a Sustainability Report, referenced below, providing more information regarding diversity</w:t>
      </w:r>
    </w:p>
    <w:p>
      <w:pPr>
        <w:spacing w:after="0" w:line="3" w:lineRule="exact"/>
        <w:rPr>
          <w:sz w:val="20"/>
          <w:szCs w:val="20"/>
          <w:color w:val="auto"/>
        </w:rPr>
      </w:pPr>
    </w:p>
    <w:p>
      <w:pPr>
        <w:ind w:right="520"/>
        <w:spacing w:after="0" w:line="342" w:lineRule="auto"/>
        <w:rPr>
          <w:sz w:val="20"/>
          <w:szCs w:val="20"/>
          <w:color w:val="auto"/>
        </w:rPr>
      </w:pPr>
      <w:r>
        <w:rPr>
          <w:rFonts w:ascii="Times New Roman" w:cs="Times New Roman" w:eastAsia="Times New Roman" w:hAnsi="Times New Roman"/>
          <w:sz w:val="18"/>
          <w:szCs w:val="18"/>
          <w:color w:val="auto"/>
        </w:rPr>
        <w:t>and corporate responsibility. To ensure an excellent and increasingly diverse employment base, the Company has added Spanish speaking manufacturing lines, which involve translating materials for recruiting, orientation, on-boarding, training, and work in the Spanish language. The Company’s Director of Talent Acquisition was honored as one of the 25 Most Influential Latinos in West Michigan for his work to promote the Company’s Limited English Proficiency Program. The Company was also presented with a DE&amp;I Champion Award from the MEMA Original Equipment Suppliers Association for championing the spirit of DEI within the organization and in the communities where its employees live.</w:t>
      </w:r>
    </w:p>
    <w:p>
      <w:pPr>
        <w:spacing w:after="0" w:line="67" w:lineRule="exact"/>
        <w:rPr>
          <w:sz w:val="20"/>
          <w:szCs w:val="20"/>
          <w:color w:val="auto"/>
        </w:rPr>
      </w:pPr>
    </w:p>
    <w:p>
      <w:pPr>
        <w:ind w:right="740"/>
        <w:spacing w:after="0" w:line="363" w:lineRule="auto"/>
        <w:rPr>
          <w:sz w:val="20"/>
          <w:szCs w:val="20"/>
          <w:color w:val="auto"/>
        </w:rPr>
      </w:pPr>
      <w:r>
        <w:rPr>
          <w:rFonts w:ascii="Times New Roman" w:cs="Times New Roman" w:eastAsia="Times New Roman" w:hAnsi="Times New Roman"/>
          <w:sz w:val="18"/>
          <w:szCs w:val="18"/>
          <w:color w:val="auto"/>
        </w:rPr>
        <w:t>Moreover, the Company’s DE&amp;I efforts related to actively developing and using minority, women, and veteran-owned suppliers have been acknowledged and recognized by multiple OEM customers. In fact, Toyota Motor Engineering &amp; Manufacturing North America, Inc. has specifically recognized the Company’s efforts over the last 10 years to increase supplier relationships with minority business enterprises. The Company has also won supplier diversity awards from Honda, Nissan, and Toyota.</w:t>
      </w:r>
    </w:p>
    <w:p>
      <w:pPr>
        <w:spacing w:after="0" w:line="48" w:lineRule="exact"/>
        <w:rPr>
          <w:sz w:val="20"/>
          <w:szCs w:val="20"/>
          <w:color w:val="auto"/>
        </w:rPr>
      </w:pPr>
    </w:p>
    <w:p>
      <w:pPr>
        <w:ind w:right="320"/>
        <w:spacing w:after="0" w:line="343" w:lineRule="auto"/>
        <w:rPr>
          <w:sz w:val="20"/>
          <w:szCs w:val="20"/>
          <w:color w:val="auto"/>
        </w:rPr>
      </w:pPr>
      <w:r>
        <w:rPr>
          <w:rFonts w:ascii="Times New Roman" w:cs="Times New Roman" w:eastAsia="Times New Roman" w:hAnsi="Times New Roman"/>
          <w:sz w:val="18"/>
          <w:szCs w:val="18"/>
          <w:color w:val="auto"/>
        </w:rPr>
        <w:t>In 2022, the Company established the Gentex Foundation, which provides financial grants to organizations across the country in support of economic development, children’s services, public health, housing assistance and diversity initiatives among other causes. The Gentex Foundation is managed by a board of directors that reviews grant applications with a particular focus on communities where Company employees live and work, consistent with the organization’s values of integrity, compassion, innovation and diversity. Employees are encouraged to organize on-site fundraisers and to spend time volunteering at worthy charitable organizations in addition to giving financially. Support is also provided to a number of minority organizations in keeping with the Company’s DE&amp;I efforts and to continue to build an even more diverse and skilled workforce.</w:t>
      </w:r>
    </w:p>
    <w:p>
      <w:pPr>
        <w:spacing w:after="0" w:line="70" w:lineRule="exact"/>
        <w:rPr>
          <w:sz w:val="20"/>
          <w:szCs w:val="20"/>
          <w:color w:val="auto"/>
        </w:rPr>
      </w:pPr>
    </w:p>
    <w:p>
      <w:pPr>
        <w:ind w:right="400"/>
        <w:spacing w:after="0" w:line="347" w:lineRule="auto"/>
        <w:rPr>
          <w:sz w:val="20"/>
          <w:szCs w:val="20"/>
          <w:color w:val="auto"/>
        </w:rPr>
      </w:pPr>
      <w:r>
        <w:rPr>
          <w:rFonts w:ascii="Times New Roman" w:cs="Times New Roman" w:eastAsia="Times New Roman" w:hAnsi="Times New Roman"/>
          <w:sz w:val="18"/>
          <w:szCs w:val="18"/>
          <w:color w:val="auto"/>
        </w:rPr>
        <w:t>The Company’s Board of Directors (the “Board”) has regular touchpoints with management regarding: employee engagement; workforce planning (including capabilities and skills development); safety; understanding workforce demographics and DE&amp;I strategies; and corporate culture. The Board and management know that the right talent is required to implement the Company’s strategies. As such, the Board works with management appropriately regarding the approach to, and investment in, human capital that includes recruitment, talent development, retention, and diversity. The Board has access to all levels of employees in the Company in its efforts to properly oversee human resources and DE&amp;I issues.</w:t>
      </w:r>
    </w:p>
    <w:p>
      <w:pPr>
        <w:sectPr>
          <w:pgSz w:w="12240" w:h="15840" w:orient="portrait"/>
          <w:cols w:equalWidth="0" w:num="1">
            <w:col w:w="10760"/>
          </w:cols>
          <w:pgMar w:left="900" w:top="852" w:right="580" w:bottom="0" w:gutter="0" w:footer="0" w:header="0"/>
        </w:sectPr>
      </w:pPr>
    </w:p>
    <w:p>
      <w:pPr>
        <w:spacing w:after="0" w:line="126"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29</w:t>
      </w:r>
    </w:p>
    <w:p>
      <w:pPr>
        <w:sectPr>
          <w:pgSz w:w="12240" w:h="15840" w:orient="portrait"/>
          <w:cols w:equalWidth="0" w:num="1">
            <w:col w:w="10760"/>
          </w:cols>
          <w:pgMar w:left="900" w:top="852" w:right="580" w:bottom="0" w:gutter="0" w:footer="0" w:header="0"/>
          <w:type w:val="continuous"/>
        </w:sectPr>
      </w:pPr>
    </w:p>
    <w:bookmarkStart w:id="29" w:name="page30"/>
    <w:bookmarkEnd w:id="29"/>
    <w:p>
      <w:pPr>
        <w:ind w:left="320" w:right="60"/>
        <w:spacing w:after="0" w:line="353" w:lineRule="auto"/>
        <w:rPr>
          <w:sz w:val="20"/>
          <w:szCs w:val="20"/>
          <w:color w:val="auto"/>
        </w:rPr>
      </w:pPr>
      <w:r>
        <w:rPr>
          <w:rFonts w:ascii="Times New Roman" w:cs="Times New Roman" w:eastAsia="Times New Roman" w:hAnsi="Times New Roman"/>
          <w:sz w:val="18"/>
          <w:szCs w:val="18"/>
          <w:color w:val="auto"/>
        </w:rPr>
        <w:t>The Company’s commitment to DE&amp;I is very apparent by the inclusiveness of the Board. The Board and the Nominating and Corporate Governance Committee have taken concrete actions to increase Board diversity, including use of various resources and environments to identify qualified and diverse director candidates. Such candidates are contacted and interviewed in order to continue to build an even more diverse, qualified, and capable Board. In the Company’s 2023 Proxy Statement, the Company disclosed Board diversity information as required by NASDAQ, and will continue to do so in the future.</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Board has also implemented a Complaint Submission and Handling Policy for concerns to be raised as needed.</w:t>
      </w:r>
    </w:p>
    <w:p>
      <w:pPr>
        <w:spacing w:after="0" w:line="37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Sustainability</w:t>
      </w:r>
    </w:p>
    <w:p>
      <w:pPr>
        <w:spacing w:after="0" w:line="189" w:lineRule="exact"/>
        <w:rPr>
          <w:sz w:val="20"/>
          <w:szCs w:val="20"/>
          <w:color w:val="auto"/>
        </w:rPr>
      </w:pPr>
    </w:p>
    <w:p>
      <w:pPr>
        <w:ind w:left="320" w:right="80"/>
        <w:spacing w:after="0" w:line="388" w:lineRule="auto"/>
        <w:rPr>
          <w:sz w:val="20"/>
          <w:szCs w:val="20"/>
          <w:color w:val="auto"/>
        </w:rPr>
      </w:pPr>
      <w:r>
        <w:rPr>
          <w:rFonts w:ascii="Arial" w:cs="Arial" w:eastAsia="Arial" w:hAnsi="Arial"/>
          <w:sz w:val="16"/>
          <w:szCs w:val="16"/>
          <w:b w:val="1"/>
          <w:bCs w:val="1"/>
          <w:color w:val="F4494E"/>
        </w:rPr>
        <w:t xml:space="preserve">DISCLOSURE ON WEBSITE. </w:t>
      </w:r>
      <w:r>
        <w:rPr>
          <w:rFonts w:ascii="Times New Roman" w:cs="Times New Roman" w:eastAsia="Times New Roman" w:hAnsi="Times New Roman"/>
          <w:sz w:val="17"/>
          <w:szCs w:val="17"/>
          <w:color w:val="000000"/>
        </w:rPr>
        <w:t>The Company has a Sustainability section of its website (https://www.gentex.com/about/sustainability) to provide</w:t>
      </w:r>
      <w:r>
        <w:rPr>
          <w:rFonts w:ascii="Arial" w:cs="Arial" w:eastAsia="Arial" w:hAnsi="Arial"/>
          <w:sz w:val="16"/>
          <w:szCs w:val="16"/>
          <w:b w:val="1"/>
          <w:bCs w:val="1"/>
          <w:color w:val="F4494E"/>
        </w:rPr>
        <w:t xml:space="preserve"> </w:t>
      </w:r>
      <w:r>
        <w:rPr>
          <w:rFonts w:ascii="Times New Roman" w:cs="Times New Roman" w:eastAsia="Times New Roman" w:hAnsi="Times New Roman"/>
          <w:sz w:val="17"/>
          <w:szCs w:val="17"/>
          <w:color w:val="000000"/>
        </w:rPr>
        <w:t>insight into how the Company is committed to protecting the environment by complying with all environmental laws and related requirements, while at the same time striving for continual improvement in sustainability and environmental performance. The Company’s Sustainability Report, published each year and available on the Company’s website, provides significant details regarding the Company’s approach to sustainability.</w:t>
      </w:r>
    </w:p>
    <w:p>
      <w:pPr>
        <w:spacing w:after="0" w:line="33" w:lineRule="exact"/>
        <w:rPr>
          <w:sz w:val="20"/>
          <w:szCs w:val="20"/>
          <w:color w:val="auto"/>
        </w:rPr>
      </w:pPr>
    </w:p>
    <w:p>
      <w:pPr>
        <w:ind w:left="320"/>
        <w:spacing w:after="0" w:line="427" w:lineRule="auto"/>
        <w:rPr>
          <w:sz w:val="20"/>
          <w:szCs w:val="20"/>
          <w:color w:val="auto"/>
        </w:rPr>
      </w:pPr>
      <w:r>
        <w:rPr>
          <w:rFonts w:ascii="Arial" w:cs="Arial" w:eastAsia="Arial" w:hAnsi="Arial"/>
          <w:sz w:val="17"/>
          <w:szCs w:val="17"/>
          <w:b w:val="1"/>
          <w:bCs w:val="1"/>
          <w:color w:val="F4494E"/>
        </w:rPr>
        <w:t xml:space="preserve">GENERAL. </w:t>
      </w:r>
      <w:r>
        <w:rPr>
          <w:rFonts w:ascii="Times New Roman" w:cs="Times New Roman" w:eastAsia="Times New Roman" w:hAnsi="Times New Roman"/>
          <w:sz w:val="18"/>
          <w:szCs w:val="18"/>
          <w:color w:val="000000"/>
        </w:rPr>
        <w:t>The Company makes intentional decisions that reflect the desire to be responsible with all resources and achieve the Company’s goal</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of meaningful change.</w:t>
      </w:r>
    </w:p>
    <w:p>
      <w:pPr>
        <w:spacing w:after="0" w:line="1" w:lineRule="exact"/>
        <w:rPr>
          <w:sz w:val="20"/>
          <w:szCs w:val="20"/>
          <w:color w:val="auto"/>
        </w:rPr>
      </w:pPr>
    </w:p>
    <w:p>
      <w:pPr>
        <w:ind w:left="320" w:right="300"/>
        <w:spacing w:after="0" w:line="382" w:lineRule="auto"/>
        <w:rPr>
          <w:sz w:val="20"/>
          <w:szCs w:val="20"/>
          <w:color w:val="auto"/>
        </w:rPr>
      </w:pPr>
      <w:r>
        <w:rPr>
          <w:rFonts w:ascii="Arial" w:cs="Arial" w:eastAsia="Arial" w:hAnsi="Arial"/>
          <w:sz w:val="17"/>
          <w:szCs w:val="17"/>
          <w:b w:val="1"/>
          <w:bCs w:val="1"/>
          <w:color w:val="F4494E"/>
        </w:rPr>
        <w:t xml:space="preserve">ENERGY AND CLIMATE CHANGE. </w:t>
      </w:r>
      <w:r>
        <w:rPr>
          <w:rFonts w:ascii="Times New Roman" w:cs="Times New Roman" w:eastAsia="Times New Roman" w:hAnsi="Times New Roman"/>
          <w:sz w:val="18"/>
          <w:szCs w:val="18"/>
          <w:color w:val="000000"/>
        </w:rPr>
        <w:t>The Company understands that energy use and manufacturing are large contributors of the Company’s</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overall greenhouse gas emissions. As such, the Company remains committed to improving energy-efficiency. To that end, the Company has announced to the following carbon reduction and neutrality goals:</w:t>
      </w:r>
    </w:p>
    <w:p>
      <w:pPr>
        <w:spacing w:after="0" w:line="19" w:lineRule="exact"/>
        <w:rPr>
          <w:sz w:val="20"/>
          <w:szCs w:val="20"/>
          <w:color w:val="auto"/>
        </w:rPr>
      </w:pPr>
    </w:p>
    <w:p>
      <w:pPr>
        <w:jc w:val="both"/>
        <w:ind w:left="760" w:right="7660"/>
        <w:spacing w:after="0" w:line="454" w:lineRule="auto"/>
        <w:rPr>
          <w:sz w:val="20"/>
          <w:szCs w:val="20"/>
          <w:color w:val="auto"/>
        </w:rPr>
      </w:pPr>
      <w:r>
        <w:rPr>
          <w:rFonts w:ascii="Times New Roman" w:cs="Times New Roman" w:eastAsia="Times New Roman" w:hAnsi="Times New Roman"/>
          <w:sz w:val="17"/>
          <w:szCs w:val="17"/>
          <w:color w:val="auto"/>
        </w:rPr>
        <w:t>By 2026, 15% below 2020 levels By 2031, 40% below 2020 levels</w:t>
      </w:r>
    </w:p>
    <w:p>
      <w:pPr>
        <w:ind w:left="760" w:right="7660"/>
        <w:spacing w:after="0" w:line="517" w:lineRule="auto"/>
        <w:rPr>
          <w:sz w:val="20"/>
          <w:szCs w:val="20"/>
          <w:color w:val="auto"/>
        </w:rPr>
      </w:pPr>
      <w:r>
        <w:rPr>
          <w:rFonts w:ascii="Times New Roman" w:cs="Times New Roman" w:eastAsia="Times New Roman" w:hAnsi="Times New Roman"/>
          <w:sz w:val="17"/>
          <w:szCs w:val="17"/>
          <w:color w:val="auto"/>
        </w:rPr>
        <w:t>By 2041, 70% below 2020 levels By 2049, carbon neutrality</w:t>
      </w:r>
    </w:p>
    <w:p>
      <w:pPr>
        <w:spacing w:after="0" w:line="1" w:lineRule="exact"/>
        <w:rPr>
          <w:sz w:val="20"/>
          <w:szCs w:val="20"/>
          <w:color w:val="auto"/>
        </w:rPr>
      </w:pPr>
    </w:p>
    <w:p>
      <w:pPr>
        <w:ind w:left="320" w:right="100"/>
        <w:spacing w:after="0" w:line="352" w:lineRule="auto"/>
        <w:rPr>
          <w:sz w:val="20"/>
          <w:szCs w:val="20"/>
          <w:color w:val="auto"/>
        </w:rPr>
      </w:pPr>
      <w:r>
        <w:rPr>
          <w:rFonts w:ascii="Times New Roman" w:cs="Times New Roman" w:eastAsia="Times New Roman" w:hAnsi="Times New Roman"/>
          <w:sz w:val="18"/>
          <w:szCs w:val="18"/>
          <w:color w:val="auto"/>
        </w:rPr>
        <w:t>The Company implements efficient alternatives for capital equipment, uses automated building management systems to use less energy, and has put in place extremely efficient lighting and HVAC equipment. The Company also participates in the local Energy Smart Program, which promotes the implementation of progressive energy efficiency projects, including achieving the maximum goal possible for lighting and HVAC improvements, compressed air leak audits, and building control systems. The Company also converted one of its manufacturing facilities to be powered entirely by renewable energy in 2022.</w:t>
      </w:r>
    </w:p>
    <w:p>
      <w:pPr>
        <w:spacing w:after="0" w:line="60" w:lineRule="exact"/>
        <w:rPr>
          <w:sz w:val="20"/>
          <w:szCs w:val="20"/>
          <w:color w:val="auto"/>
        </w:rPr>
      </w:pPr>
    </w:p>
    <w:p>
      <w:pPr>
        <w:ind w:left="320" w:right="20"/>
        <w:spacing w:after="0" w:line="350" w:lineRule="auto"/>
        <w:rPr>
          <w:sz w:val="20"/>
          <w:szCs w:val="20"/>
          <w:color w:val="auto"/>
        </w:rPr>
      </w:pPr>
      <w:r>
        <w:rPr>
          <w:rFonts w:ascii="Arial" w:cs="Arial" w:eastAsia="Arial" w:hAnsi="Arial"/>
          <w:sz w:val="16"/>
          <w:szCs w:val="16"/>
          <w:b w:val="1"/>
          <w:bCs w:val="1"/>
          <w:color w:val="F4494E"/>
        </w:rPr>
        <w:t xml:space="preserve">GENTEX ENVIRONMENTAL MANAGEMENT SYSTEM (GEMS). </w:t>
      </w:r>
      <w:r>
        <w:rPr>
          <w:rFonts w:ascii="Times New Roman" w:cs="Times New Roman" w:eastAsia="Times New Roman" w:hAnsi="Times New Roman"/>
          <w:sz w:val="17"/>
          <w:szCs w:val="17"/>
          <w:color w:val="000000"/>
        </w:rPr>
        <w:t>The Company’s environmental management system is based on ISO 14001</w:t>
      </w:r>
      <w:r>
        <w:rPr>
          <w:rFonts w:ascii="Arial" w:cs="Arial" w:eastAsia="Arial" w:hAnsi="Arial"/>
          <w:sz w:val="16"/>
          <w:szCs w:val="16"/>
          <w:b w:val="1"/>
          <w:bCs w:val="1"/>
          <w:color w:val="F4494E"/>
        </w:rPr>
        <w:t xml:space="preserve"> </w:t>
      </w:r>
      <w:r>
        <w:rPr>
          <w:rFonts w:ascii="Times New Roman" w:cs="Times New Roman" w:eastAsia="Times New Roman" w:hAnsi="Times New Roman"/>
          <w:sz w:val="17"/>
          <w:szCs w:val="17"/>
          <w:color w:val="000000"/>
        </w:rPr>
        <w:t>(international environmental standard). This system governs environmental performance by addressing the impact of the Company’s activities, products, and services on the environment. At each Company facility, environmental impact is measured and improved upon annually by eliminating waste and emissions, maximizing efficiency of processes and resources, and increased recycling and reuse. The foregoing has allowed the Company to establish long-term measures for minimizing the negative effects on the environment, while maximizing positive outputs</w:t>
      </w:r>
    </w:p>
    <w:p>
      <w:pPr>
        <w:spacing w:after="0" w:line="1" w:lineRule="exact"/>
        <w:rPr>
          <w:sz w:val="20"/>
          <w:szCs w:val="20"/>
          <w:color w:val="auto"/>
        </w:rPr>
      </w:pPr>
    </w:p>
    <w:p>
      <w:pPr>
        <w:jc w:val="both"/>
        <w:ind w:left="320" w:right="240"/>
        <w:spacing w:after="0" w:line="365" w:lineRule="auto"/>
        <w:rPr>
          <w:sz w:val="20"/>
          <w:szCs w:val="20"/>
          <w:color w:val="auto"/>
        </w:rPr>
      </w:pPr>
      <w:r>
        <w:rPr>
          <w:rFonts w:ascii="Times New Roman" w:cs="Times New Roman" w:eastAsia="Times New Roman" w:hAnsi="Times New Roman"/>
          <w:sz w:val="18"/>
          <w:szCs w:val="18"/>
          <w:color w:val="auto"/>
        </w:rPr>
        <w:t>for the communities in which the Company operates. Various metrics are tracked to gauge the environmental performance of the Company’s facilities, including: electricity use; process water use; natural gas use; VOC air emissions; and greenhouse gas emissions (both those directly controlled and those from electricity usage).</w:t>
      </w:r>
    </w:p>
    <w:p>
      <w:pPr>
        <w:spacing w:after="0" w:line="47" w:lineRule="exact"/>
        <w:rPr>
          <w:sz w:val="20"/>
          <w:szCs w:val="20"/>
          <w:color w:val="auto"/>
        </w:rPr>
      </w:pPr>
    </w:p>
    <w:p>
      <w:pPr>
        <w:ind w:left="320" w:right="340"/>
        <w:spacing w:after="0" w:line="421" w:lineRule="auto"/>
        <w:rPr>
          <w:sz w:val="20"/>
          <w:szCs w:val="20"/>
          <w:color w:val="auto"/>
        </w:rPr>
      </w:pPr>
      <w:r>
        <w:rPr>
          <w:rFonts w:ascii="Arial" w:cs="Arial" w:eastAsia="Arial" w:hAnsi="Arial"/>
          <w:sz w:val="17"/>
          <w:szCs w:val="17"/>
          <w:b w:val="1"/>
          <w:bCs w:val="1"/>
          <w:color w:val="F4494E"/>
        </w:rPr>
        <w:t xml:space="preserve">WASTE AND RECYCLING. </w:t>
      </w:r>
      <w:r>
        <w:rPr>
          <w:rFonts w:ascii="Times New Roman" w:cs="Times New Roman" w:eastAsia="Times New Roman" w:hAnsi="Times New Roman"/>
          <w:sz w:val="18"/>
          <w:szCs w:val="18"/>
          <w:color w:val="000000"/>
        </w:rPr>
        <w:t>The Company also has robust waste and recycling strategies, tracking solid waste to landfill, solid waste recycled,</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and regulated waste. As a part of its strategies, the Company has committed to the following landfill avoidance goals:</w:t>
      </w:r>
    </w:p>
    <w:p>
      <w:pPr>
        <w:jc w:val="both"/>
        <w:ind w:left="760" w:right="7660"/>
        <w:spacing w:after="0" w:line="454" w:lineRule="auto"/>
        <w:rPr>
          <w:sz w:val="20"/>
          <w:szCs w:val="20"/>
          <w:color w:val="auto"/>
        </w:rPr>
      </w:pPr>
      <w:r>
        <w:rPr>
          <w:rFonts w:ascii="Times New Roman" w:cs="Times New Roman" w:eastAsia="Times New Roman" w:hAnsi="Times New Roman"/>
          <w:sz w:val="17"/>
          <w:szCs w:val="17"/>
          <w:color w:val="auto"/>
        </w:rPr>
        <w:t>By 2026, 20% below 2020 levels By 2031, 60% below 2020 levels</w:t>
      </w:r>
    </w:p>
    <w:p>
      <w:pPr>
        <w:ind w:left="760" w:right="7540"/>
        <w:spacing w:after="0" w:line="587" w:lineRule="auto"/>
        <w:rPr>
          <w:sz w:val="20"/>
          <w:szCs w:val="20"/>
          <w:color w:val="auto"/>
        </w:rPr>
      </w:pPr>
      <w:r>
        <w:rPr>
          <w:rFonts w:ascii="Times New Roman" w:cs="Times New Roman" w:eastAsia="Times New Roman" w:hAnsi="Times New Roman"/>
          <w:sz w:val="17"/>
          <w:szCs w:val="17"/>
          <w:color w:val="auto"/>
        </w:rPr>
        <w:t>By 2041, 90% below 2020 levels By 2045, 100% zero landfill waste</w:t>
      </w:r>
    </w:p>
    <w:p>
      <w:pPr>
        <w:sectPr>
          <w:pgSz w:w="12240" w:h="15840" w:orient="portrait"/>
          <w:cols w:equalWidth="0" w:num="1">
            <w:col w:w="10740"/>
          </w:cols>
          <w:pgMar w:left="580" w:top="85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30</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40"/>
          </w:cols>
          <w:pgMar w:left="580" w:top="852" w:right="920" w:bottom="0" w:gutter="0" w:footer="0" w:header="0"/>
          <w:type w:val="continuous"/>
        </w:sectPr>
      </w:pPr>
    </w:p>
    <w:bookmarkStart w:id="30" w:name="page31"/>
    <w:bookmarkEnd w:id="30"/>
    <w:p>
      <w:pPr>
        <w:ind w:right="320"/>
        <w:spacing w:after="0" w:line="333" w:lineRule="auto"/>
        <w:rPr>
          <w:sz w:val="20"/>
          <w:szCs w:val="20"/>
          <w:color w:val="auto"/>
        </w:rPr>
      </w:pPr>
      <w:r>
        <w:rPr>
          <w:rFonts w:ascii="Arial" w:cs="Arial" w:eastAsia="Arial" w:hAnsi="Arial"/>
          <w:sz w:val="17"/>
          <w:szCs w:val="17"/>
          <w:b w:val="1"/>
          <w:bCs w:val="1"/>
          <w:color w:val="F4494E"/>
        </w:rPr>
        <w:t xml:space="preserve">INITIATIVES. </w:t>
      </w:r>
      <w:r>
        <w:rPr>
          <w:rFonts w:ascii="Times New Roman" w:cs="Times New Roman" w:eastAsia="Times New Roman" w:hAnsi="Times New Roman"/>
          <w:sz w:val="18"/>
          <w:szCs w:val="18"/>
          <w:color w:val="000000"/>
        </w:rPr>
        <w:t>With respect to sustainability initiatives, the Company has undertaken a number of actions related to energy, waste stewardship,</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water management, and environmental protection. Regarding energy, the Company: utilizes software-managed and occupancy-sensor controlled lighting in all facilities; has air economizers and energy recovery units in HVAC systems; utilizes energy efficient fluorescent lighting; has certain white material roofs to reflect sunlight; has insulated metal panel systems for exterior walls (for energy efficiency); captures excess heat from compressed air systems and uses it to preheat/temper water used in production; takes excess water from production processes to use in boiler/snow melt water; and installed a centralized water chiller plant to lower energy use. Regarding waste stewardship, the Company improved its cleaning method for certain products to reduce material usage preventing thousands of pounds of additional waste material and uses recycled materials in facility carpets. In terms of waste management, the Company: put in place a water recovery system that significantly reduced overall water usage; collects storm water to reduce discharge into municipal drain systems; implemented irrigation software to monitor weather conditions thereby reducing water consumption; and diligently works to monitor and reduce potential pollutants in its facilities. In terms of environmental protection, the Company has: integrated “green roofs”; adopted a highway to clean waste from public lands; constructed wetland and wildlife habitat areas; and acquired property which includes natural wetlands. As regards transportation, the Company maintains: 30 electric vehicle charging stations; a bicycle fleet for travel between facilities; a bus shelter to encourage bus ridership; and Sweed banding choppers at certain facilities to reduce frequency of trips to recycling.</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Available Information</w:t>
      </w:r>
    </w:p>
    <w:p>
      <w:pPr>
        <w:spacing w:after="0" w:line="191" w:lineRule="exact"/>
        <w:rPr>
          <w:sz w:val="20"/>
          <w:szCs w:val="20"/>
          <w:color w:val="auto"/>
        </w:rPr>
      </w:pPr>
    </w:p>
    <w:p>
      <w:pPr>
        <w:ind w:right="360"/>
        <w:spacing w:after="0" w:line="353" w:lineRule="auto"/>
        <w:rPr>
          <w:sz w:val="20"/>
          <w:szCs w:val="20"/>
          <w:color w:val="auto"/>
        </w:rPr>
      </w:pPr>
      <w:r>
        <w:rPr>
          <w:rFonts w:ascii="Times New Roman" w:cs="Times New Roman" w:eastAsia="Times New Roman" w:hAnsi="Times New Roman"/>
          <w:sz w:val="18"/>
          <w:szCs w:val="18"/>
          <w:color w:val="auto"/>
        </w:rPr>
        <w:t>The Company’s Annual Report on Form 10-K, quarterly reports on Form 10-Q, current reports on Form 8-K, and all amendments to those reports, will be made available, free of charge, through the Investor Information section of the Company’s website (http://ir.gentex.com) as soon as practicable after such materials are electronically filed with or furnished to the Securities and Exchange Commission (“SEC”). The SEC maintains a website (http://www.sec.gov) that contains reports, proxy and information statements, and other information regarding issues that a company files electronically with the SEC.</w:t>
      </w:r>
    </w:p>
    <w:p>
      <w:pPr>
        <w:spacing w:after="0" w:line="218" w:lineRule="exact"/>
        <w:rPr>
          <w:sz w:val="20"/>
          <w:szCs w:val="20"/>
          <w:color w:val="auto"/>
        </w:rPr>
      </w:pPr>
    </w:p>
    <w:p>
      <w:pPr>
        <w:spacing w:after="0"/>
        <w:rPr>
          <w:sz w:val="20"/>
          <w:szCs w:val="20"/>
          <w:color w:val="auto"/>
        </w:rPr>
      </w:pPr>
      <w:r>
        <w:rPr>
          <w:rFonts w:ascii="Arial" w:cs="Arial" w:eastAsia="Arial" w:hAnsi="Arial"/>
          <w:sz w:val="32"/>
          <w:szCs w:val="32"/>
          <w:color w:val="808080"/>
        </w:rPr>
        <w:t xml:space="preserve">Item 1A. </w:t>
      </w:r>
      <w:r>
        <w:rPr>
          <w:rFonts w:ascii="Arial" w:cs="Arial" w:eastAsia="Arial" w:hAnsi="Arial"/>
          <w:sz w:val="32"/>
          <w:szCs w:val="32"/>
          <w:color w:val="000000"/>
        </w:rPr>
        <w:t>Risk Factors.</w:t>
      </w:r>
    </w:p>
    <w:p>
      <w:pPr>
        <w:spacing w:after="0" w:line="124" w:lineRule="exact"/>
        <w:rPr>
          <w:sz w:val="20"/>
          <w:szCs w:val="20"/>
          <w:color w:val="auto"/>
        </w:rPr>
      </w:pPr>
    </w:p>
    <w:p>
      <w:pPr>
        <w:ind w:right="340"/>
        <w:spacing w:after="0" w:line="374" w:lineRule="auto"/>
        <w:rPr>
          <w:sz w:val="20"/>
          <w:szCs w:val="20"/>
          <w:color w:val="auto"/>
        </w:rPr>
      </w:pPr>
      <w:r>
        <w:rPr>
          <w:rFonts w:ascii="Arial" w:cs="Arial" w:eastAsia="Arial" w:hAnsi="Arial"/>
          <w:sz w:val="15"/>
          <w:szCs w:val="15"/>
          <w:b w:val="1"/>
          <w:bCs w:val="1"/>
          <w:color w:val="F4494E"/>
        </w:rPr>
        <w:t xml:space="preserve">SAFE HARBOR FOR FORWARD-LOOKING STATEMENTS. </w:t>
      </w:r>
      <w:r>
        <w:rPr>
          <w:rFonts w:ascii="Times New Roman" w:cs="Times New Roman" w:eastAsia="Times New Roman" w:hAnsi="Times New Roman"/>
          <w:sz w:val="16"/>
          <w:szCs w:val="16"/>
          <w:color w:val="000000"/>
        </w:rPr>
        <w:t>This Annual Report on Form 10-K contains forward-looking statements within the</w:t>
      </w:r>
      <w:r>
        <w:rPr>
          <w:rFonts w:ascii="Arial" w:cs="Arial" w:eastAsia="Arial" w:hAnsi="Arial"/>
          <w:sz w:val="15"/>
          <w:szCs w:val="15"/>
          <w:b w:val="1"/>
          <w:bCs w:val="1"/>
          <w:color w:val="F4494E"/>
        </w:rPr>
        <w:t xml:space="preserve"> </w:t>
      </w:r>
      <w:r>
        <w:rPr>
          <w:rFonts w:ascii="Times New Roman" w:cs="Times New Roman" w:eastAsia="Times New Roman" w:hAnsi="Times New Roman"/>
          <w:sz w:val="16"/>
          <w:szCs w:val="16"/>
          <w:color w:val="000000"/>
        </w:rPr>
        <w:t>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“likely”,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and force majeure events. Readers are cautioned not to place undue reliance on these forward-looking statements, which speak only as of the date they are made.</w:t>
      </w:r>
    </w:p>
    <w:p>
      <w:pPr>
        <w:spacing w:after="0" w:line="61" w:lineRule="exact"/>
        <w:rPr>
          <w:sz w:val="20"/>
          <w:szCs w:val="20"/>
          <w:color w:val="auto"/>
        </w:rPr>
      </w:pPr>
    </w:p>
    <w:p>
      <w:pPr>
        <w:ind w:right="360"/>
        <w:spacing w:after="0" w:line="370" w:lineRule="auto"/>
        <w:rPr>
          <w:sz w:val="20"/>
          <w:szCs w:val="20"/>
          <w:color w:val="auto"/>
        </w:rPr>
      </w:pPr>
      <w:r>
        <w:rPr>
          <w:rFonts w:ascii="Times New Roman" w:cs="Times New Roman" w:eastAsia="Times New Roman" w:hAnsi="Times New Roman"/>
          <w:sz w:val="17"/>
          <w:szCs w:val="17"/>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include supply chain constraints that have affected, are affecting, and will continue to affect, general economic and industry conditions, customers, suppliers, and the regulatory environment in which the Company operates. Includes content supplied by S&amp;P Global Mobility Light Vehicle Production Forecast of January 16, 2024 (http://www.gentex.com/forecast-disclaimer).</w:t>
      </w:r>
    </w:p>
    <w:p>
      <w:pPr>
        <w:sectPr>
          <w:pgSz w:w="12240" w:h="15840" w:orient="portrait"/>
          <w:cols w:equalWidth="0" w:num="1">
            <w:col w:w="10760"/>
          </w:cols>
          <w:pgMar w:left="900" w:top="850" w:right="580" w:bottom="0" w:gutter="0" w:footer="0" w:header="0"/>
        </w:sectPr>
      </w:pPr>
    </w:p>
    <w:p>
      <w:pPr>
        <w:spacing w:after="0" w:line="200" w:lineRule="exact"/>
        <w:rPr>
          <w:sz w:val="20"/>
          <w:szCs w:val="20"/>
          <w:color w:val="auto"/>
        </w:rPr>
      </w:pPr>
    </w:p>
    <w:p>
      <w:pPr>
        <w:spacing w:after="0" w:line="253"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31</w:t>
      </w:r>
    </w:p>
    <w:p>
      <w:pPr>
        <w:sectPr>
          <w:pgSz w:w="12240" w:h="15840" w:orient="portrait"/>
          <w:cols w:equalWidth="0" w:num="1">
            <w:col w:w="10760"/>
          </w:cols>
          <w:pgMar w:left="900" w:top="850" w:right="580" w:bottom="0" w:gutter="0" w:footer="0" w:header="0"/>
          <w:type w:val="continuous"/>
        </w:sectPr>
      </w:pPr>
    </w:p>
    <w:bookmarkStart w:id="31" w:name="page32"/>
    <w:bookmarkEnd w:id="31"/>
    <w:p>
      <w:pPr>
        <w:ind w:left="320"/>
        <w:spacing w:after="0"/>
        <w:rPr>
          <w:sz w:val="20"/>
          <w:szCs w:val="20"/>
          <w:color w:val="auto"/>
        </w:rPr>
      </w:pPr>
      <w:r>
        <w:rPr>
          <w:rFonts w:ascii="Times New Roman" w:cs="Times New Roman" w:eastAsia="Times New Roman" w:hAnsi="Times New Roman"/>
          <w:sz w:val="18"/>
          <w:szCs w:val="18"/>
          <w:color w:val="auto"/>
        </w:rPr>
        <w:t>The following risk factors, together with all other information provided in this Annual Report on Form 10-K should be carefully considered.</w:t>
      </w:r>
    </w:p>
    <w:p>
      <w:pPr>
        <w:spacing w:after="0" w:line="251" w:lineRule="exact"/>
        <w:rPr>
          <w:sz w:val="20"/>
          <w:szCs w:val="20"/>
          <w:color w:val="auto"/>
        </w:rPr>
      </w:pPr>
    </w:p>
    <w:p>
      <w:pPr>
        <w:ind w:left="320" w:right="20"/>
        <w:spacing w:after="0" w:line="334" w:lineRule="auto"/>
        <w:rPr>
          <w:sz w:val="20"/>
          <w:szCs w:val="20"/>
          <w:color w:val="auto"/>
        </w:rPr>
      </w:pPr>
      <w:r>
        <w:rPr>
          <w:rFonts w:ascii="Arial" w:cs="Arial" w:eastAsia="Arial" w:hAnsi="Arial"/>
          <w:sz w:val="17"/>
          <w:szCs w:val="17"/>
          <w:b w:val="1"/>
          <w:bCs w:val="1"/>
          <w:color w:val="F4494E"/>
        </w:rPr>
        <w:t xml:space="preserve">AUTOMOTIVE INDUSTRY. </w:t>
      </w:r>
      <w:r>
        <w:rPr>
          <w:rFonts w:ascii="Times New Roman" w:cs="Times New Roman" w:eastAsia="Times New Roman" w:hAnsi="Times New Roman"/>
          <w:sz w:val="18"/>
          <w:szCs w:val="18"/>
          <w:color w:val="000000"/>
        </w:rPr>
        <w:t>Customers within the auto industry comprise approximately 98% of our net sales. The automotive industry has</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always been cyclical and highly impacted by levels of economic activity. The current economic environment, including inflation, continues to be uncertain, and continues to cause financial and production stresses evidenced by volatile automotive production levels, volatility with customer orders, supplier part and material shortages (especially electronics components), automotive and Tier 1 supplier plant shutdowns, customer and supplier financial issues, commodity raw material cost increases, supply constraints, tariffs, consumer vehicle preference shifts (where we have a lower penetration rate and lower content per vehicle), and supply chain stresses. If automotive customers (including their Tier 1 suppliers) and suppliers experience significant plant shutdowns, work stoppages, strikes, part shortages, etc., it will further disrupt our shipments to these customers, which could adversely affect our business, financial condition, and/or results of operations. Automakers continue to experience volatility and uncertainty in executing planned new programs on time, due in part to continued vehicle complexity increases and supply chain constraints. This brings increased risk of delays or cancellations of new vehicle platforms, package configurations, and inaccurate volume forecasts. This makes it challenging for us to forecast future sales and manage costs, inventory, capital, engineering, research and development, and human resource investments, in addition to the aforementioned factors.</w:t>
      </w:r>
    </w:p>
    <w:p>
      <w:pPr>
        <w:spacing w:after="0" w:line="81" w:lineRule="exact"/>
        <w:rPr>
          <w:sz w:val="20"/>
          <w:szCs w:val="20"/>
          <w:color w:val="auto"/>
        </w:rPr>
      </w:pPr>
    </w:p>
    <w:p>
      <w:pPr>
        <w:ind w:left="320" w:right="20"/>
        <w:spacing w:after="0" w:line="362" w:lineRule="auto"/>
        <w:rPr>
          <w:sz w:val="20"/>
          <w:szCs w:val="20"/>
          <w:color w:val="auto"/>
        </w:rPr>
      </w:pPr>
      <w:r>
        <w:rPr>
          <w:rFonts w:ascii="Arial" w:cs="Arial" w:eastAsia="Arial" w:hAnsi="Arial"/>
          <w:sz w:val="17"/>
          <w:szCs w:val="17"/>
          <w:b w:val="1"/>
          <w:bCs w:val="1"/>
          <w:color w:val="F4494E"/>
        </w:rPr>
        <w:t xml:space="preserve">KEY CUSTOMERS. </w:t>
      </w:r>
      <w:r>
        <w:rPr>
          <w:rFonts w:ascii="Times New Roman" w:cs="Times New Roman" w:eastAsia="Times New Roman" w:hAnsi="Times New Roman"/>
          <w:sz w:val="18"/>
          <w:szCs w:val="18"/>
          <w:color w:val="000000"/>
        </w:rPr>
        <w:t>We have a number of large customers, including three automotive customers which each account for 10% or more of our</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annual net sales in 2023 (including direct sales to OEM customers and sales through their Tier 1 suppliers): Volkswagen Group, Toyota Motor Company, and General Motors. The loss of all or a substantial portion of the sales to, or decreases in production by, any of these customers (or certain other significant customers) could have a material adverse effect on our business, financial condition, and/or results of operations.</w:t>
      </w:r>
    </w:p>
    <w:p>
      <w:pPr>
        <w:spacing w:after="0" w:line="49" w:lineRule="exact"/>
        <w:rPr>
          <w:sz w:val="20"/>
          <w:szCs w:val="20"/>
          <w:color w:val="auto"/>
        </w:rPr>
      </w:pPr>
    </w:p>
    <w:p>
      <w:pPr>
        <w:ind w:left="320" w:right="40"/>
        <w:spacing w:after="0" w:line="353" w:lineRule="auto"/>
        <w:rPr>
          <w:sz w:val="20"/>
          <w:szCs w:val="20"/>
          <w:color w:val="auto"/>
        </w:rPr>
      </w:pPr>
      <w:r>
        <w:rPr>
          <w:rFonts w:ascii="Arial" w:cs="Arial" w:eastAsia="Arial" w:hAnsi="Arial"/>
          <w:sz w:val="17"/>
          <w:szCs w:val="17"/>
          <w:b w:val="1"/>
          <w:bCs w:val="1"/>
          <w:color w:val="F4494E"/>
        </w:rPr>
        <w:t xml:space="preserve">PRICING PRESSURES. </w:t>
      </w:r>
      <w:r>
        <w:rPr>
          <w:rFonts w:ascii="Times New Roman" w:cs="Times New Roman" w:eastAsia="Times New Roman" w:hAnsi="Times New Roman"/>
          <w:sz w:val="18"/>
          <w:szCs w:val="18"/>
          <w:color w:val="000000"/>
        </w:rPr>
        <w:t>We continue to experience ongoing pricing pressures from our automotive customers and competitors, which have</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affected, and which will continue to affect our profit margins to the extent that we are unable to offset the pricing pressures with price adjustments, engineering and purchasing cost reductions, productivity improvements, increases in unit shipments of mirrors and electronics with advanced features, and/or new or advanced technologies, each of which pose ongoing challenges, which continue to adversely impact our business, financial condition, and/or results of operations.</w:t>
      </w:r>
    </w:p>
    <w:p>
      <w:pPr>
        <w:spacing w:after="0" w:line="55" w:lineRule="exact"/>
        <w:rPr>
          <w:sz w:val="20"/>
          <w:szCs w:val="20"/>
          <w:color w:val="auto"/>
        </w:rPr>
      </w:pPr>
    </w:p>
    <w:p>
      <w:pPr>
        <w:ind w:left="320" w:right="100"/>
        <w:spacing w:after="0" w:line="352" w:lineRule="auto"/>
        <w:rPr>
          <w:sz w:val="20"/>
          <w:szCs w:val="20"/>
          <w:color w:val="auto"/>
        </w:rPr>
      </w:pPr>
      <w:r>
        <w:rPr>
          <w:rFonts w:ascii="Arial" w:cs="Arial" w:eastAsia="Arial" w:hAnsi="Arial"/>
          <w:sz w:val="17"/>
          <w:szCs w:val="17"/>
          <w:b w:val="1"/>
          <w:bCs w:val="1"/>
          <w:color w:val="F4494E"/>
        </w:rPr>
        <w:t xml:space="preserve">RAW MATERIALS AND OTHER PRODUCT COMPONENT COSTS. </w:t>
      </w:r>
      <w:r>
        <w:rPr>
          <w:rFonts w:ascii="Times New Roman" w:cs="Times New Roman" w:eastAsia="Times New Roman" w:hAnsi="Times New Roman"/>
          <w:sz w:val="18"/>
          <w:szCs w:val="18"/>
          <w:color w:val="000000"/>
        </w:rPr>
        <w:t>Increasing costs in raw materials, energy, commodities, labor, and other</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product component costs adversely affects our business, financial condition and/or results of operations. These costs have generally increased as a result of supply chain disruptions, constrained labor availability, global economic factors, as well as inflationary impacts. When these prices rise and we are unable to recover such cost increases from our customers, those increases have an adverse effect on our business, financial condition and/or results of operations;</w:t>
      </w:r>
    </w:p>
    <w:p>
      <w:pPr>
        <w:spacing w:after="0" w:line="60" w:lineRule="exact"/>
        <w:rPr>
          <w:sz w:val="20"/>
          <w:szCs w:val="20"/>
          <w:color w:val="auto"/>
        </w:rPr>
      </w:pPr>
    </w:p>
    <w:p>
      <w:pPr>
        <w:ind w:left="320" w:right="80"/>
        <w:spacing w:after="0" w:line="343" w:lineRule="auto"/>
        <w:rPr>
          <w:sz w:val="20"/>
          <w:szCs w:val="20"/>
          <w:color w:val="auto"/>
        </w:rPr>
      </w:pPr>
      <w:r>
        <w:rPr>
          <w:rFonts w:ascii="Arial" w:cs="Arial" w:eastAsia="Arial" w:hAnsi="Arial"/>
          <w:sz w:val="17"/>
          <w:szCs w:val="17"/>
          <w:b w:val="1"/>
          <w:bCs w:val="1"/>
          <w:color w:val="F4494E"/>
        </w:rPr>
        <w:t xml:space="preserve">TARIFFS. </w:t>
      </w:r>
      <w:r>
        <w:rPr>
          <w:rFonts w:ascii="Times New Roman" w:cs="Times New Roman" w:eastAsia="Times New Roman" w:hAnsi="Times New Roman"/>
          <w:sz w:val="18"/>
          <w:szCs w:val="18"/>
          <w:color w:val="000000"/>
        </w:rPr>
        <w:t>The geopolitical environment between the Unites States and other jurisdictions, most significantly China, continues to cause</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uncertainty on tariffs and trade. Previously enacted tariffs have increased the Company’s input costs and challenge the Company’s competitive position in foreign markets. The continuance of these tariffs and/or escalation of disputes in the geopolitical environment interferes with automotive supply chains and have a continued negative impact on the Company’s business, financial condition, and/or results of operations, especially since the Company primarily manufactures and ships from one location. We cannot predict what further action may be taken with respect to tariffs or trade relations between the U.S. and other governments, and any further changes in U.S. or international trade policy could have a further adverse impact on our business.</w:t>
      </w:r>
    </w:p>
    <w:p>
      <w:pPr>
        <w:spacing w:after="0" w:line="67" w:lineRule="exact"/>
        <w:rPr>
          <w:sz w:val="20"/>
          <w:szCs w:val="20"/>
          <w:color w:val="auto"/>
        </w:rPr>
      </w:pPr>
    </w:p>
    <w:p>
      <w:pPr>
        <w:ind w:left="320"/>
        <w:spacing w:after="0" w:line="411" w:lineRule="auto"/>
        <w:rPr>
          <w:sz w:val="20"/>
          <w:szCs w:val="20"/>
          <w:color w:val="auto"/>
        </w:rPr>
      </w:pPr>
      <w:r>
        <w:rPr>
          <w:rFonts w:ascii="Arial" w:cs="Arial" w:eastAsia="Arial" w:hAnsi="Arial"/>
          <w:sz w:val="16"/>
          <w:szCs w:val="16"/>
          <w:b w:val="1"/>
          <w:bCs w:val="1"/>
          <w:color w:val="F4494E"/>
        </w:rPr>
        <w:t xml:space="preserve">COMPETITION. </w:t>
      </w:r>
      <w:r>
        <w:rPr>
          <w:rFonts w:ascii="Times New Roman" w:cs="Times New Roman" w:eastAsia="Times New Roman" w:hAnsi="Times New Roman"/>
          <w:sz w:val="17"/>
          <w:szCs w:val="17"/>
          <w:color w:val="000000"/>
        </w:rPr>
        <w:t>We recognize that Magna Mirrors, our main competitor, has considerably more resources available to it, and presents a formidable</w:t>
      </w:r>
      <w:r>
        <w:rPr>
          <w:rFonts w:ascii="Arial" w:cs="Arial" w:eastAsia="Arial" w:hAnsi="Arial"/>
          <w:sz w:val="16"/>
          <w:szCs w:val="16"/>
          <w:b w:val="1"/>
          <w:bCs w:val="1"/>
          <w:color w:val="F4494E"/>
        </w:rPr>
        <w:t xml:space="preserve"> </w:t>
      </w:r>
      <w:r>
        <w:rPr>
          <w:rFonts w:ascii="Times New Roman" w:cs="Times New Roman" w:eastAsia="Times New Roman" w:hAnsi="Times New Roman"/>
          <w:sz w:val="17"/>
          <w:szCs w:val="17"/>
          <w:color w:val="000000"/>
        </w:rPr>
        <w:t>competitive threat. Additionally, other companies have demonstrated products that are competitive to our FDM® system and other products. We acknowledge that dimming device (e.g., electrochromic) technology is the subject of research and development efforts by numerous third parties.</w:t>
      </w:r>
    </w:p>
    <w:p>
      <w:pPr>
        <w:spacing w:after="0" w:line="15" w:lineRule="exact"/>
        <w:rPr>
          <w:sz w:val="20"/>
          <w:szCs w:val="20"/>
          <w:color w:val="auto"/>
        </w:rPr>
      </w:pPr>
    </w:p>
    <w:p>
      <w:pPr>
        <w:ind w:left="320" w:right="20"/>
        <w:spacing w:after="0" w:line="360" w:lineRule="auto"/>
        <w:rPr>
          <w:sz w:val="20"/>
          <w:szCs w:val="20"/>
          <w:color w:val="auto"/>
        </w:rPr>
      </w:pPr>
      <w:r>
        <w:rPr>
          <w:rFonts w:ascii="Times New Roman" w:cs="Times New Roman" w:eastAsia="Times New Roman" w:hAnsi="Times New Roman"/>
          <w:sz w:val="17"/>
          <w:szCs w:val="17"/>
          <w:color w:val="auto"/>
        </w:rPr>
        <w:t>On March 31, 2014 the Alliance of Automobile Manufacturers petitioned the National Highway Traffic Safety Administration (“NHTSA”) to allow automakers to use CMS as an option to replace conventional rearview mirrors within North America, however, no final rule or legislation was made in response to this petition.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w:t>
      </w:r>
    </w:p>
    <w:p>
      <w:pPr>
        <w:sectPr>
          <w:pgSz w:w="12240" w:h="15840" w:orient="portrait"/>
          <w:cols w:equalWidth="0" w:num="1">
            <w:col w:w="10700"/>
          </w:cols>
          <w:pgMar w:left="580" w:top="852" w:right="960" w:bottom="0" w:gutter="0" w:footer="0" w:header="0"/>
        </w:sectPr>
      </w:pPr>
    </w:p>
    <w:p>
      <w:pPr>
        <w:spacing w:after="0" w:line="18"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32</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00"/>
          </w:cols>
          <w:pgMar w:left="580" w:top="852" w:right="960" w:bottom="0" w:gutter="0" w:footer="0" w:header="0"/>
          <w:type w:val="continuous"/>
        </w:sectPr>
      </w:pPr>
    </w:p>
    <w:bookmarkStart w:id="32" w:name="page33"/>
    <w:bookmarkEnd w:id="32"/>
    <w:p>
      <w:pPr>
        <w:ind w:right="520"/>
        <w:spacing w:after="0" w:line="330" w:lineRule="auto"/>
        <w:rPr>
          <w:sz w:val="20"/>
          <w:szCs w:val="20"/>
          <w:color w:val="auto"/>
        </w:rPr>
      </w:pPr>
      <w:r>
        <w:rPr>
          <w:rFonts w:ascii="Times New Roman" w:cs="Times New Roman" w:eastAsia="Times New Roman" w:hAnsi="Times New Roman"/>
          <w:sz w:val="18"/>
          <w:szCs w:val="18"/>
          <w:color w:val="auto"/>
        </w:rPr>
        <w:t>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 In November 2022, NHTSA conducted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public meeting and discussed the on-going research of this technology.</w:t>
      </w:r>
    </w:p>
    <w:p>
      <w:pPr>
        <w:spacing w:after="0" w:line="227" w:lineRule="exact"/>
        <w:rPr>
          <w:sz w:val="20"/>
          <w:szCs w:val="20"/>
          <w:color w:val="auto"/>
        </w:rPr>
      </w:pPr>
    </w:p>
    <w:p>
      <w:pPr>
        <w:ind w:right="360"/>
        <w:spacing w:after="0" w:line="332" w:lineRule="auto"/>
        <w:rPr>
          <w:sz w:val="20"/>
          <w:szCs w:val="20"/>
          <w:color w:val="auto"/>
        </w:rPr>
      </w:pPr>
      <w:r>
        <w:rPr>
          <w:rFonts w:ascii="Times New Roman" w:cs="Times New Roman" w:eastAsia="Times New Roman" w:hAnsi="Times New Roman"/>
          <w:sz w:val="18"/>
          <w:szCs w:val="18"/>
          <w:color w:val="auto"/>
        </w:rPr>
        <w:t>In July 2016, a revision to UN-ECE Regulation 46 was published with an effective date of June 18, 2016, which allows for camera monitor systems to replace mirrors within Japan and European countries. Since January 2017, camera monitoring systems are also permitted as an alternative to replace mirrors in the Korean market. In 2023, China released and made effective an updated version of its GB15084, which allows for camera monitoring systems, frameless mirrors and aspheric (free-form) glass surfaces.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 of the camera. Nonetheless, the Company continues designing and manufacturing not only rearview mirrors, but CMOS imagers and video displays as well. The Company believes that combining video displays with mirrors provides a more robust product by addressing all driving conditions in a single solution that can be controlled by the driver. The Company has been in production with the Company’s FDM® since 2015 and has, in the ordinary course of business, been awarded programs with fourteen (14) OEM customers. The Company is currently shipping production FDM® to all fourteen of these customers. The Company’s CMS solution uses three cameras to provide a comprehensive view of the sides and rear of the vehicle while still providing the traditional safety of interior and exterior mirrors, that still function when cameras are obstructed, or not functioning. The Company has previously announced that the Company continues to develop in the areas of imager performance, camera dynamic range, lens design, image processing from the camera to the display, and camera lens cleaning. The Company acknowledges that as such technology evolves over time, such as cameras replacing mirrors and/or autonomous driving, there will be increased competition.</w:t>
      </w:r>
    </w:p>
    <w:p>
      <w:pPr>
        <w:spacing w:after="0" w:line="76" w:lineRule="exact"/>
        <w:rPr>
          <w:sz w:val="20"/>
          <w:szCs w:val="20"/>
          <w:color w:val="auto"/>
        </w:rPr>
      </w:pPr>
    </w:p>
    <w:p>
      <w:pPr>
        <w:ind w:right="460"/>
        <w:spacing w:after="0" w:line="339" w:lineRule="auto"/>
        <w:rPr>
          <w:sz w:val="20"/>
          <w:szCs w:val="20"/>
          <w:color w:val="auto"/>
        </w:rPr>
      </w:pPr>
      <w:r>
        <w:rPr>
          <w:rFonts w:ascii="Arial" w:cs="Arial" w:eastAsia="Arial" w:hAnsi="Arial"/>
          <w:sz w:val="17"/>
          <w:szCs w:val="17"/>
          <w:b w:val="1"/>
          <w:bCs w:val="1"/>
          <w:color w:val="F4494E"/>
        </w:rPr>
        <w:t xml:space="preserve">SUPPLY CHAIN DISRUPTIONS. </w:t>
      </w:r>
      <w:r>
        <w:rPr>
          <w:rFonts w:ascii="Times New Roman" w:cs="Times New Roman" w:eastAsia="Times New Roman" w:hAnsi="Times New Roman"/>
          <w:sz w:val="18"/>
          <w:szCs w:val="18"/>
          <w:color w:val="000000"/>
        </w:rPr>
        <w:t>As a result of just-in-time supply chains within our business and the automotive industry, disruptions in our</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supply chain have occurred, are occurring, and may continue to occur due to the industry-wide parts shortages, labor shortages, and other global supply chain constraints. We have and continue to take a number of steps to mitigate the current supply chain challenges, which include strategies involving the additional procurement of available raw materials to prepare for assembling finished goods more quickly when supply constraints ease for certain common components. These inventory strategies further introduce obsolescence risk that impacts our business, financial conditions, and/or results of operations. As our customers’ forecasted demand changes, inventory becomes obsolete and write-offs or write-downs of our inventory are exacerbated. Disruptions can also occur due to natural disasters, pandemics, work stoppages, strikes, bankruptcy, etc. Such circumstances have disrupted, are disrupting, and will continue to disrupt our shipments to automakers and Tier 1 customers, which adversely affects our business, financial condition, and/or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F4494E"/>
        </w:rPr>
        <w:t xml:space="preserve">WORKFORCE DISRUPTIONS. </w:t>
      </w:r>
      <w:r>
        <w:rPr>
          <w:rFonts w:ascii="Times New Roman" w:cs="Times New Roman" w:eastAsia="Times New Roman" w:hAnsi="Times New Roman"/>
          <w:sz w:val="18"/>
          <w:szCs w:val="18"/>
          <w:color w:val="000000"/>
        </w:rPr>
        <w:t>We have experienced, and may continue to experience in the future, disruptions to our workforce as a result</w:t>
      </w:r>
    </w:p>
    <w:p>
      <w:pPr>
        <w:spacing w:after="0" w:line="98" w:lineRule="exact"/>
        <w:rPr>
          <w:sz w:val="20"/>
          <w:szCs w:val="20"/>
          <w:color w:val="auto"/>
        </w:rPr>
      </w:pPr>
    </w:p>
    <w:p>
      <w:pPr>
        <w:ind w:right="540"/>
        <w:spacing w:after="0" w:line="411" w:lineRule="auto"/>
        <w:rPr>
          <w:sz w:val="20"/>
          <w:szCs w:val="20"/>
          <w:color w:val="auto"/>
        </w:rPr>
      </w:pPr>
      <w:r>
        <w:rPr>
          <w:rFonts w:ascii="Times New Roman" w:cs="Times New Roman" w:eastAsia="Times New Roman" w:hAnsi="Times New Roman"/>
          <w:sz w:val="18"/>
          <w:szCs w:val="18"/>
          <w:color w:val="auto"/>
        </w:rPr>
        <w:t>of a tight labor market, employee illness, quarantines, and absenteeism.. The impacts of continued disruptions to our workforce have affected, are affecting, and are expected to continue to affect our business, financial condition, and/or results of operations.</w:t>
      </w:r>
    </w:p>
    <w:p>
      <w:pPr>
        <w:spacing w:after="0" w:line="5" w:lineRule="exact"/>
        <w:rPr>
          <w:sz w:val="20"/>
          <w:szCs w:val="20"/>
          <w:color w:val="auto"/>
        </w:rPr>
      </w:pPr>
    </w:p>
    <w:p>
      <w:pPr>
        <w:ind w:right="440"/>
        <w:spacing w:after="0" w:line="337" w:lineRule="auto"/>
        <w:rPr>
          <w:sz w:val="20"/>
          <w:szCs w:val="20"/>
          <w:color w:val="auto"/>
        </w:rPr>
      </w:pPr>
      <w:r>
        <w:rPr>
          <w:rFonts w:ascii="Arial" w:cs="Arial" w:eastAsia="Arial" w:hAnsi="Arial"/>
          <w:sz w:val="17"/>
          <w:szCs w:val="17"/>
          <w:b w:val="1"/>
          <w:bCs w:val="1"/>
          <w:color w:val="F4494E"/>
        </w:rPr>
        <w:t xml:space="preserve">PRODUCT MIX. </w:t>
      </w:r>
      <w:r>
        <w:rPr>
          <w:rFonts w:ascii="Times New Roman" w:cs="Times New Roman" w:eastAsia="Times New Roman" w:hAnsi="Times New Roman"/>
          <w:sz w:val="18"/>
          <w:szCs w:val="18"/>
          <w:color w:val="000000"/>
        </w:rPr>
        <w:t>We sell products that have varying profit margins. Our financial performance can be impacted depending on the mix of</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products we sell and to which customers, during a given period. The automotive industry is subject to rapid technological change, vigorous competition, short product life cycles and cyclical, ever-changing consumer demand patterns. When our customers are adversely affected by these factors, we may be similarly affected to the extent that our customers reduce the volume of orders for our products. As a result of such changes and circumstances impacting our customers, our sales mix can shift, which may have either favorable or unfavorable impact on revenue and would include shifts in regional growth, in OEM sales demand, as well as in consumer demand related to vehicle segment purchases, and content penetration. A decrease in consumer demand for specific types of vehicles where we have traditionally provided higher value content would have a significant effect on our business, financial condition, and/or results of operations. Our forward guidance and estimates assume a certain geographic sales mix as well as a product sales mix. When actual results vary from this projected geographic and product mix of sales, our business, financial condition, and/or results of operations are impacted.</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33</w:t>
      </w:r>
    </w:p>
    <w:p>
      <w:pPr>
        <w:sectPr>
          <w:pgSz w:w="12240" w:h="15840" w:orient="portrait"/>
          <w:cols w:equalWidth="0" w:num="1">
            <w:col w:w="10760"/>
          </w:cols>
          <w:pgMar w:left="900" w:top="852" w:right="580" w:bottom="0" w:gutter="0" w:footer="0" w:header="0"/>
          <w:type w:val="continuous"/>
        </w:sectPr>
      </w:pPr>
    </w:p>
    <w:bookmarkStart w:id="33" w:name="page34"/>
    <w:bookmarkEnd w:id="33"/>
    <w:p>
      <w:pPr>
        <w:ind w:left="320" w:right="40"/>
        <w:spacing w:after="0" w:line="340" w:lineRule="auto"/>
        <w:rPr>
          <w:sz w:val="20"/>
          <w:szCs w:val="20"/>
          <w:color w:val="auto"/>
        </w:rPr>
      </w:pPr>
      <w:r>
        <w:rPr>
          <w:rFonts w:ascii="Arial" w:cs="Arial" w:eastAsia="Arial" w:hAnsi="Arial"/>
          <w:sz w:val="17"/>
          <w:szCs w:val="17"/>
          <w:b w:val="1"/>
          <w:bCs w:val="1"/>
          <w:color w:val="F4494E"/>
        </w:rPr>
        <w:t xml:space="preserve">BUSINESS COMBINATIONS. </w:t>
      </w:r>
      <w:r>
        <w:rPr>
          <w:rFonts w:ascii="Times New Roman" w:cs="Times New Roman" w:eastAsia="Times New Roman" w:hAnsi="Times New Roman"/>
          <w:sz w:val="18"/>
          <w:szCs w:val="18"/>
          <w:color w:val="000000"/>
        </w:rPr>
        <w:t>Acquisitions of businesses, technologies, and assets play a role in our future growth. We cannot be certain that</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we will be able to identify attractive acquisition targets, have resources available for or obtain financing for acquisitions on satisfactory terms, successfully acquire identified targets or manage timing of acquisitions with capital obligations across our businesses. Additionally, we may not be successful in integrating acquired businesses into our existing operations, achieving projected synergies, and/or maximizing the value of acquired technologies and businesses. Competition for acquisition opportunities in the various industries in which we operate already exists and may increase, thereby increasing our costs of making acquisitions or causing us to refrain from making further acquisitions. We are also subject to applicable antitrust laws and must avoid anticompetitive behavior. These and other acquisition-related factors may negatively and adversely impact our business, financial condition, and/or results of operations.</w:t>
      </w:r>
    </w:p>
    <w:p>
      <w:pPr>
        <w:spacing w:after="0" w:line="72" w:lineRule="exact"/>
        <w:rPr>
          <w:sz w:val="20"/>
          <w:szCs w:val="20"/>
          <w:color w:val="auto"/>
        </w:rPr>
      </w:pPr>
    </w:p>
    <w:p>
      <w:pPr>
        <w:ind w:left="320" w:right="240"/>
        <w:spacing w:after="0" w:line="352" w:lineRule="auto"/>
        <w:rPr>
          <w:sz w:val="20"/>
          <w:szCs w:val="20"/>
          <w:color w:val="auto"/>
        </w:rPr>
      </w:pPr>
      <w:r>
        <w:rPr>
          <w:rFonts w:ascii="Arial" w:cs="Arial" w:eastAsia="Arial" w:hAnsi="Arial"/>
          <w:sz w:val="17"/>
          <w:szCs w:val="17"/>
          <w:b w:val="1"/>
          <w:bCs w:val="1"/>
          <w:color w:val="F4494E"/>
        </w:rPr>
        <w:t xml:space="preserve">INTELLECTUAL PROPERTY. </w:t>
      </w:r>
      <w:r>
        <w:rPr>
          <w:rFonts w:ascii="Times New Roman" w:cs="Times New Roman" w:eastAsia="Times New Roman" w:hAnsi="Times New Roman"/>
          <w:sz w:val="18"/>
          <w:szCs w:val="18"/>
          <w:color w:val="000000"/>
        </w:rPr>
        <w:t>We believe that our patents and trade secrets provide us with a competitive advantage in automotive rearview</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mirrors, variable dimmable devices, certain electronics, and fire protection products, although no single patent is necessarily required for the success of our products. The loss of any significant combination of patents and trade secrets regarding our products could adversely affect our business, financial condition, and/or results of operations. Lack of intellectual property protection in a number of countries, including China, represents a current and ongoing risk for the Company.</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F4494E"/>
        </w:rPr>
        <w:t xml:space="preserve">NEW TECHNOLOGY AND PRODUCT DEVELOPMENT. </w:t>
      </w:r>
      <w:r>
        <w:rPr>
          <w:rFonts w:ascii="Times New Roman" w:cs="Times New Roman" w:eastAsia="Times New Roman" w:hAnsi="Times New Roman"/>
          <w:sz w:val="17"/>
          <w:szCs w:val="17"/>
          <w:color w:val="000000"/>
        </w:rPr>
        <w:t>We continue to invest significantly in engineering, research and development projects.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Should these efforts ultimately prove unsuccessful, our business, financial condition, and/or results of operations could be adversely affected.</w:t>
      </w:r>
    </w:p>
    <w:p>
      <w:pPr>
        <w:spacing w:after="0" w:line="225" w:lineRule="exact"/>
        <w:rPr>
          <w:sz w:val="20"/>
          <w:szCs w:val="20"/>
          <w:color w:val="auto"/>
        </w:rPr>
      </w:pPr>
    </w:p>
    <w:p>
      <w:pPr>
        <w:ind w:left="320"/>
        <w:spacing w:after="0" w:line="341" w:lineRule="auto"/>
        <w:rPr>
          <w:sz w:val="20"/>
          <w:szCs w:val="20"/>
          <w:color w:val="auto"/>
        </w:rPr>
      </w:pPr>
      <w:r>
        <w:rPr>
          <w:rFonts w:ascii="Arial" w:cs="Arial" w:eastAsia="Arial" w:hAnsi="Arial"/>
          <w:sz w:val="17"/>
          <w:szCs w:val="17"/>
          <w:b w:val="1"/>
          <w:bCs w:val="1"/>
          <w:color w:val="F4494E"/>
        </w:rPr>
        <w:t xml:space="preserve">INTELLECTUAL PROPERTY LITIGATION AND INFRINGEMENT CLAIMS. </w:t>
      </w:r>
      <w:r>
        <w:rPr>
          <w:rFonts w:ascii="Times New Roman" w:cs="Times New Roman" w:eastAsia="Times New Roman" w:hAnsi="Times New Roman"/>
          <w:sz w:val="18"/>
          <w:szCs w:val="18"/>
          <w:color w:val="000000"/>
        </w:rPr>
        <w:t>A successful claim of patent or other intellectual property infringement</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and damages against us could affect business, financial condition, and/or results of operations. If a person or company claims that our products infringed their intellectual property rights, any resulting litigation would be costly, time consuming, and would divert the attention of management and key personnel from other business issues. The complexity of the technology involved in our business and the uncertainty of intellectual property litigation significantly increases these risks and makes such risk part of our ongoing business. To that end, we periodically obtain intellectual property rights, in the ordinary course of business, to strengthen our intellectual property portfolio and minimize potential risks of infringement. The increasing tendency of patents granted to others on combinations of known technology is a potential threat to our Company. Any of these adverse consequences could potentially have an effect on our business, financial condition and/or results of operations.</w:t>
      </w:r>
    </w:p>
    <w:p>
      <w:pPr>
        <w:spacing w:after="0" w:line="65" w:lineRule="exact"/>
        <w:rPr>
          <w:sz w:val="20"/>
          <w:szCs w:val="20"/>
          <w:color w:val="auto"/>
        </w:rPr>
      </w:pPr>
    </w:p>
    <w:p>
      <w:pPr>
        <w:ind w:left="320" w:right="220"/>
        <w:spacing w:after="0" w:line="352" w:lineRule="auto"/>
        <w:rPr>
          <w:sz w:val="20"/>
          <w:szCs w:val="20"/>
          <w:color w:val="auto"/>
        </w:rPr>
      </w:pPr>
      <w:r>
        <w:rPr>
          <w:rFonts w:ascii="Arial" w:cs="Arial" w:eastAsia="Arial" w:hAnsi="Arial"/>
          <w:sz w:val="17"/>
          <w:szCs w:val="17"/>
          <w:b w:val="1"/>
          <w:bCs w:val="1"/>
          <w:color w:val="F4494E"/>
        </w:rPr>
        <w:t xml:space="preserve">CREDIT RISK. </w:t>
      </w:r>
      <w:r>
        <w:rPr>
          <w:rFonts w:ascii="Times New Roman" w:cs="Times New Roman" w:eastAsia="Times New Roman" w:hAnsi="Times New Roman"/>
          <w:sz w:val="18"/>
          <w:szCs w:val="18"/>
          <w:color w:val="000000"/>
        </w:rPr>
        <w:t>Certain automakers and Tier 1 customers from time to time may consider the sale of certain business segments or bankruptcy</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as a result of financial stress. Should one or more of our larger customers (including sales through their Tier 1 suppliers) declare bankruptcy or sell their business, it could adversely affect the collection of receivables, our business, financial condition, and/or results of operations. The current economic environment continues to cause increased financial pressures and production stresses on our customers, which could impact the timeliness of customer payments and ultimately the collectability of receivables.</w:t>
      </w:r>
    </w:p>
    <w:p>
      <w:pPr>
        <w:spacing w:after="0" w:line="62" w:lineRule="exact"/>
        <w:rPr>
          <w:sz w:val="20"/>
          <w:szCs w:val="20"/>
          <w:color w:val="auto"/>
        </w:rPr>
      </w:pPr>
    </w:p>
    <w:p>
      <w:pPr>
        <w:ind w:left="320" w:right="160"/>
        <w:spacing w:after="0" w:line="427" w:lineRule="auto"/>
        <w:rPr>
          <w:sz w:val="20"/>
          <w:szCs w:val="20"/>
          <w:color w:val="auto"/>
        </w:rPr>
      </w:pPr>
      <w:r>
        <w:rPr>
          <w:rFonts w:ascii="Times New Roman" w:cs="Times New Roman" w:eastAsia="Times New Roman" w:hAnsi="Times New Roman"/>
          <w:sz w:val="18"/>
          <w:szCs w:val="18"/>
          <w:color w:val="auto"/>
        </w:rPr>
        <w:t>Our allowance for doubtful accounts primarily relates to financially distressed automotive mirror and electronics customers. We continue to work with these financially distressed customers in collecting past due balances. Refer to Note 1 of the Consolidated Financial Statements.</w:t>
      </w:r>
    </w:p>
    <w:p>
      <w:pPr>
        <w:spacing w:after="0" w:line="1" w:lineRule="exact"/>
        <w:rPr>
          <w:sz w:val="20"/>
          <w:szCs w:val="20"/>
          <w:color w:val="auto"/>
        </w:rPr>
      </w:pPr>
    </w:p>
    <w:p>
      <w:pPr>
        <w:ind w:left="320" w:right="120"/>
        <w:spacing w:after="0" w:line="347" w:lineRule="auto"/>
        <w:rPr>
          <w:sz w:val="20"/>
          <w:szCs w:val="20"/>
          <w:color w:val="auto"/>
        </w:rPr>
      </w:pPr>
      <w:r>
        <w:rPr>
          <w:rFonts w:ascii="Arial" w:cs="Arial" w:eastAsia="Arial" w:hAnsi="Arial"/>
          <w:sz w:val="17"/>
          <w:szCs w:val="17"/>
          <w:b w:val="1"/>
          <w:bCs w:val="1"/>
          <w:color w:val="F4494E"/>
        </w:rPr>
        <w:t xml:space="preserve">BUSINESS DISRUPTIONS. </w:t>
      </w:r>
      <w:r>
        <w:rPr>
          <w:rFonts w:ascii="Times New Roman" w:cs="Times New Roman" w:eastAsia="Times New Roman" w:hAnsi="Times New Roman"/>
          <w:sz w:val="18"/>
          <w:szCs w:val="18"/>
          <w:color w:val="000000"/>
        </w:rPr>
        <w:t>Manufacturing of our proprietary products employing electro-optic technology is performed primarily at our</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manufacturing facilities in Zeeland and Holland, Michigan. One of our manufacturing facilities is located in Holland, Michigan, which is approximately three miles from our other primary manufacturing facilities in Zeeland, Michigan. Should a catastrophic event occur, our ability to manufacture product, complete existing orders and provide other services could be severely impacted for an undetermined period of time. We have purchased business interruption insurance to address some of these risks. Our inability to conduct normal business operations for a period of time may have an adverse impact on our business, financial condition, and/or results of operations.</w:t>
      </w:r>
    </w:p>
    <w:p>
      <w:pPr>
        <w:spacing w:after="0" w:line="62" w:lineRule="exact"/>
        <w:rPr>
          <w:sz w:val="20"/>
          <w:szCs w:val="20"/>
          <w:color w:val="auto"/>
        </w:rPr>
      </w:pPr>
    </w:p>
    <w:p>
      <w:pPr>
        <w:ind w:left="320" w:right="40"/>
        <w:spacing w:after="0" w:line="340" w:lineRule="auto"/>
        <w:rPr>
          <w:sz w:val="20"/>
          <w:szCs w:val="20"/>
          <w:color w:val="auto"/>
        </w:rPr>
      </w:pPr>
      <w:r>
        <w:rPr>
          <w:rFonts w:ascii="Arial" w:cs="Arial" w:eastAsia="Arial" w:hAnsi="Arial"/>
          <w:sz w:val="17"/>
          <w:szCs w:val="17"/>
          <w:b w:val="1"/>
          <w:bCs w:val="1"/>
          <w:color w:val="F4494E"/>
        </w:rPr>
        <w:t xml:space="preserve">IT INFRASTRUCTURE AND CYBERSECURITY. </w:t>
      </w:r>
      <w:r>
        <w:rPr>
          <w:rFonts w:ascii="Times New Roman" w:cs="Times New Roman" w:eastAsia="Times New Roman" w:hAnsi="Times New Roman"/>
          <w:sz w:val="18"/>
          <w:szCs w:val="18"/>
          <w:color w:val="000000"/>
        </w:rPr>
        <w:t>Any failure of our information technology (“IT”) infrastructure adversely impacts our business,</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financial condition, and/or results of operations. We rely upon the capacity, reliability and security of our information technology infrastructure and our ability to expand and continually update this infrastructure in response to the changing needs of our business. For example, we have implemented enterprise resource planning and other IT systems in certain aspects of our business over a period of several years and continue to update and further implement new systems going forward. Like many systems, these systems may not always perform as expected. We also face the challenge of supporting our older systems and implementing necessary upgrades. When we experience a problem with the functioning of an important IT system or a security breach of our IT systems, the resulting disruptions have an adverse effect on our business, financial condition, and/or results of operations.</w:t>
      </w:r>
    </w:p>
    <w:p>
      <w:pPr>
        <w:sectPr>
          <w:pgSz w:w="12240" w:h="15840" w:orient="portrait"/>
          <w:cols w:equalWidth="0" w:num="1">
            <w:col w:w="10720"/>
          </w:cols>
          <w:pgMar w:left="580" w:top="850" w:right="940" w:bottom="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34</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20"/>
          </w:cols>
          <w:pgMar w:left="580" w:top="850" w:right="940" w:bottom="0" w:gutter="0" w:footer="0" w:header="0"/>
          <w:type w:val="continuous"/>
        </w:sectPr>
      </w:pPr>
    </w:p>
    <w:bookmarkStart w:id="34" w:name="page35"/>
    <w:bookmarkEnd w:id="34"/>
    <w:p>
      <w:pPr>
        <w:ind w:right="380"/>
        <w:spacing w:after="0" w:line="334" w:lineRule="auto"/>
        <w:rPr>
          <w:sz w:val="20"/>
          <w:szCs w:val="20"/>
          <w:color w:val="auto"/>
        </w:rPr>
      </w:pPr>
      <w:r>
        <w:rPr>
          <w:rFonts w:ascii="Times New Roman" w:cs="Times New Roman" w:eastAsia="Times New Roman" w:hAnsi="Times New Roman"/>
          <w:sz w:val="18"/>
          <w:szCs w:val="18"/>
          <w:color w:val="auto"/>
        </w:rPr>
        <w:t>We face certain security threats, including threats to the confidentiality, availability and integrity of our data and systems. We maintain an extensive network of technical security controls, policy enforcement mechanisms, monitoring systems and management and Board oversight in order to address these threats. While these measures are designed to prevent, detect and respond to unauthorized activity in, or otherwise compromise of, our systems, certain types of attacks, including cyber-attacks, could result in significant financial or information losses and/ or reputational harm. We, and certain of our third-party vendors, receive and store personal information in connection with our human resources operations and other aspects of our business. Despite our implementation of security measures, our IT systems, like all IT systems, are vulnerable to damages from computer viruses, natural disasters, unauthorized access, cyber-attack and other similar disruptions. Any such system failure, accident or security breach results in disruptions to our operations. A material network breach in the security of our IT systems could include the theft of our intellectual property, trade secrets or customer information. To the extent that any disruptions or security breach results in a loss or damage to our data, or an inappropriate disclosure of confidential or customer information, it could cause significant damage to our reputation, affect our relationships with our customers, lead to claims against the Company and ultimately harm our business, reputation, financial condition, and/or results of operations. In addition, we incur significant costs to protect against damage caused by these disruptions or security breaches.</w:t>
      </w:r>
    </w:p>
    <w:p>
      <w:pPr>
        <w:spacing w:after="0" w:line="73" w:lineRule="exact"/>
        <w:rPr>
          <w:sz w:val="20"/>
          <w:szCs w:val="20"/>
          <w:color w:val="auto"/>
        </w:rPr>
      </w:pPr>
    </w:p>
    <w:p>
      <w:pPr>
        <w:ind w:right="320"/>
        <w:spacing w:after="0" w:line="348" w:lineRule="auto"/>
        <w:rPr>
          <w:sz w:val="20"/>
          <w:szCs w:val="20"/>
          <w:color w:val="auto"/>
        </w:rPr>
      </w:pPr>
      <w:r>
        <w:rPr>
          <w:rFonts w:ascii="Arial" w:cs="Arial" w:eastAsia="Arial" w:hAnsi="Arial"/>
          <w:sz w:val="16"/>
          <w:szCs w:val="16"/>
          <w:b w:val="1"/>
          <w:bCs w:val="1"/>
          <w:color w:val="F4494E"/>
        </w:rPr>
        <w:t xml:space="preserve">GOVERNMENT REGULATIONS. </w:t>
      </w:r>
      <w:r>
        <w:rPr>
          <w:rFonts w:ascii="Times New Roman" w:cs="Times New Roman" w:eastAsia="Times New Roman" w:hAnsi="Times New Roman"/>
          <w:sz w:val="17"/>
          <w:szCs w:val="17"/>
          <w:color w:val="000000"/>
        </w:rPr>
        <w:t>The Dodd-Frank Wall Street Reform and Consumer Protection Act contains provisions to improve</w:t>
      </w:r>
      <w:r>
        <w:rPr>
          <w:rFonts w:ascii="Arial" w:cs="Arial" w:eastAsia="Arial" w:hAnsi="Arial"/>
          <w:sz w:val="16"/>
          <w:szCs w:val="16"/>
          <w:b w:val="1"/>
          <w:bCs w:val="1"/>
          <w:color w:val="F4494E"/>
        </w:rPr>
        <w:t xml:space="preserve"> </w:t>
      </w:r>
      <w:r>
        <w:rPr>
          <w:rFonts w:ascii="Times New Roman" w:cs="Times New Roman" w:eastAsia="Times New Roman" w:hAnsi="Times New Roman"/>
          <w:sz w:val="17"/>
          <w:szCs w:val="17"/>
          <w:color w:val="000000"/>
        </w:rPr>
        <w:t>transparency and accountability concerning the supply of certain minerals, known as conflict minerals, originating from the Democratic Republic of Congo (“DRC”) and adjoining countries. As a result, in August 2012 the SEC adopted annual disclosure and reporting requirements for those companies who use conflict minerals mined from the DRC and adjoining countries in their products. These requirements necessitate due diligence efforts, and the Company has disclosed its findings annually to the SEC on Form SD around May 30 each year since 2012. As there are only a limited number of suppliers offering “conflict free” minerals necessary for our products, the Company cannot always be absolutely certain that we will be able to obtain necessary conflict minerals from such suppliers in sufficient quantities or at competitive prices. Also, the Company may face reputational challenges if we determine that certain of our products contain minerals not determined to be conflict free or</w:t>
      </w:r>
    </w:p>
    <w:p>
      <w:pPr>
        <w:ind w:right="560"/>
        <w:spacing w:after="0" w:line="409" w:lineRule="auto"/>
        <w:rPr>
          <w:sz w:val="20"/>
          <w:szCs w:val="20"/>
          <w:color w:val="auto"/>
        </w:rPr>
      </w:pPr>
      <w:r>
        <w:rPr>
          <w:rFonts w:ascii="Times New Roman" w:cs="Times New Roman" w:eastAsia="Times New Roman" w:hAnsi="Times New Roman"/>
          <w:sz w:val="18"/>
          <w:szCs w:val="18"/>
          <w:color w:val="auto"/>
        </w:rPr>
        <w:t>if the Company is unable to sufficiently verify the origins for all conflict minerals used in the Company’s products through the procedures the Company has implemented.</w:t>
      </w:r>
    </w:p>
    <w:p>
      <w:pPr>
        <w:spacing w:after="0" w:line="8" w:lineRule="exact"/>
        <w:rPr>
          <w:sz w:val="20"/>
          <w:szCs w:val="20"/>
          <w:color w:val="auto"/>
        </w:rPr>
      </w:pPr>
    </w:p>
    <w:p>
      <w:pPr>
        <w:jc w:val="both"/>
        <w:ind w:right="400"/>
        <w:spacing w:after="0" w:line="334" w:lineRule="auto"/>
        <w:rPr>
          <w:sz w:val="20"/>
          <w:szCs w:val="20"/>
          <w:color w:val="auto"/>
        </w:rPr>
      </w:pPr>
      <w:r>
        <w:rPr>
          <w:rFonts w:ascii="Times New Roman" w:cs="Times New Roman" w:eastAsia="Times New Roman" w:hAnsi="Times New Roman"/>
          <w:sz w:val="18"/>
          <w:szCs w:val="18"/>
          <w:color w:val="auto"/>
        </w:rPr>
        <w:t>On December 8, 2015, NHTSA proposed changes to the Administration’s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w:t>
      </w:r>
    </w:p>
    <w:p>
      <w:pPr>
        <w:ind w:right="400"/>
        <w:spacing w:after="0" w:line="337" w:lineRule="auto"/>
        <w:rPr>
          <w:sz w:val="20"/>
          <w:szCs w:val="20"/>
          <w:color w:val="auto"/>
        </w:rPr>
      </w:pPr>
      <w:r>
        <w:rPr>
          <w:rFonts w:ascii="Times New Roman" w:cs="Times New Roman" w:eastAsia="Times New Roman" w:hAnsi="Times New Roman"/>
          <w:sz w:val="18"/>
          <w:szCs w:val="18"/>
          <w:color w:val="auto"/>
        </w:rPr>
        <w:t>NHTSA originally intended to implement the enhancements in NCAP in 2018 beginning with model year 2019 vehicles. The NCAP implementation has been delayed. Under these proposed changes, the Company believes that its SmartBeam® technology will qualify with the semi-automatic headlamp NCAP rating system, and that its SmartBeam®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 On January 14, 2021, NHTSA issued a request for comment regarding NCAP with advanced driver assist features, including forward collision, lane keeping, blind spot detection and forward pedestrian impact avoidance technologies.</w:t>
      </w:r>
    </w:p>
    <w:p>
      <w:pPr>
        <w:spacing w:after="0" w:line="71" w:lineRule="exact"/>
        <w:rPr>
          <w:sz w:val="20"/>
          <w:szCs w:val="20"/>
          <w:color w:val="auto"/>
        </w:rPr>
      </w:pPr>
    </w:p>
    <w:p>
      <w:pPr>
        <w:ind w:right="320"/>
        <w:spacing w:after="0" w:line="363" w:lineRule="auto"/>
        <w:rPr>
          <w:sz w:val="20"/>
          <w:szCs w:val="20"/>
          <w:color w:val="auto"/>
        </w:rPr>
      </w:pPr>
      <w:r>
        <w:rPr>
          <w:rFonts w:ascii="Times New Roman" w:cs="Times New Roman" w:eastAsia="Times New Roman" w:hAnsi="Times New Roman"/>
          <w:sz w:val="17"/>
          <w:szCs w:val="17"/>
          <w:color w:val="auto"/>
        </w:rPr>
        <w:t>As noted, on October 10, 2019, an Advanced Notice of Proposed Rulemaking (“ANPRM”) was published seeking public comment on permitting camera-based rear visibility systems, as an alternative to inside and outside rearview mirrors required under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 In November 2022, NHTSA conducted a public meeting and discussed the ongoing research of this technology.</w:t>
      </w:r>
    </w:p>
    <w:p>
      <w:pPr>
        <w:spacing w:after="0" w:line="51" w:lineRule="exact"/>
        <w:rPr>
          <w:sz w:val="20"/>
          <w:szCs w:val="20"/>
          <w:color w:val="auto"/>
        </w:rPr>
      </w:pPr>
    </w:p>
    <w:p>
      <w:pPr>
        <w:jc w:val="both"/>
        <w:ind w:right="360"/>
        <w:spacing w:after="0" w:line="382" w:lineRule="auto"/>
        <w:rPr>
          <w:sz w:val="20"/>
          <w:szCs w:val="20"/>
          <w:color w:val="auto"/>
        </w:rPr>
      </w:pPr>
      <w:r>
        <w:rPr>
          <w:rFonts w:ascii="Arial" w:cs="Arial" w:eastAsia="Arial" w:hAnsi="Arial"/>
          <w:sz w:val="17"/>
          <w:szCs w:val="17"/>
          <w:b w:val="1"/>
          <w:bCs w:val="1"/>
          <w:color w:val="F4494E"/>
        </w:rPr>
        <w:t xml:space="preserve">ANTITAKEOVER PROVISIONS. </w:t>
      </w:r>
      <w:r>
        <w:rPr>
          <w:rFonts w:ascii="Times New Roman" w:cs="Times New Roman" w:eastAsia="Times New Roman" w:hAnsi="Times New Roman"/>
          <w:sz w:val="18"/>
          <w:szCs w:val="18"/>
          <w:color w:val="000000"/>
        </w:rPr>
        <w:t>Our articles of incorporation, bylaws, and the laws of the state of Michigan include provisions that may provide</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our Board with adequate time to consider whether a hostile takeover offer is in our best interest and the best interests of our shareholders. These provisions, however, could discourage potential acquisition proposals and could delay or prevent a change in control.</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35</w:t>
      </w:r>
    </w:p>
    <w:p>
      <w:pPr>
        <w:sectPr>
          <w:pgSz w:w="12240" w:h="15840" w:orient="portrait"/>
          <w:cols w:equalWidth="0" w:num="1">
            <w:col w:w="10760"/>
          </w:cols>
          <w:pgMar w:left="900" w:top="852" w:right="580" w:bottom="0" w:gutter="0" w:footer="0" w:header="0"/>
          <w:type w:val="continuous"/>
        </w:sectPr>
      </w:pPr>
    </w:p>
    <w:bookmarkStart w:id="35" w:name="page36"/>
    <w:bookmarkEnd w:id="35"/>
    <w:p>
      <w:pPr>
        <w:ind w:left="320"/>
        <w:spacing w:after="0" w:line="411" w:lineRule="auto"/>
        <w:rPr>
          <w:sz w:val="20"/>
          <w:szCs w:val="20"/>
          <w:color w:val="auto"/>
        </w:rPr>
      </w:pPr>
      <w:r>
        <w:rPr>
          <w:rFonts w:ascii="Arial" w:cs="Arial" w:eastAsia="Arial" w:hAnsi="Arial"/>
          <w:sz w:val="16"/>
          <w:szCs w:val="16"/>
          <w:b w:val="1"/>
          <w:bCs w:val="1"/>
          <w:color w:val="F4494E"/>
        </w:rPr>
        <w:t xml:space="preserve">FLUCTUATIONS IN MARKET PRICE. </w:t>
      </w:r>
      <w:r>
        <w:rPr>
          <w:rFonts w:ascii="Times New Roman" w:cs="Times New Roman" w:eastAsia="Times New Roman" w:hAnsi="Times New Roman"/>
          <w:sz w:val="17"/>
          <w:szCs w:val="17"/>
          <w:color w:val="000000"/>
        </w:rPr>
        <w:t>The market price for our common stock has fluctuated, ranging from a low closing price of $25.77 to a</w:t>
      </w:r>
      <w:r>
        <w:rPr>
          <w:rFonts w:ascii="Arial" w:cs="Arial" w:eastAsia="Arial" w:hAnsi="Arial"/>
          <w:sz w:val="16"/>
          <w:szCs w:val="16"/>
          <w:b w:val="1"/>
          <w:bCs w:val="1"/>
          <w:color w:val="F4494E"/>
        </w:rPr>
        <w:t xml:space="preserve"> </w:t>
      </w:r>
      <w:r>
        <w:rPr>
          <w:rFonts w:ascii="Times New Roman" w:cs="Times New Roman" w:eastAsia="Times New Roman" w:hAnsi="Times New Roman"/>
          <w:sz w:val="17"/>
          <w:szCs w:val="17"/>
          <w:color w:val="000000"/>
        </w:rPr>
        <w:t>high closing price of $34.33 during calendar year 2023. The overall market and the price of our common stock may continue to fluctuate. There may be a significant impact on the market price for our common stock relating to the issues discussed above or due to any of the following:</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Variations in our anticipated or actual operating results or the results of our competitors;</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investors’ or analysts’ perceptions of the risks and conditions of our business and in particular our primary industry;</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Intellectual property litigation and infringement claims or other litigation;</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size of the public float of our common stock;</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Market conditions, including the industry in which we operate; and</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General macroeconomic conditions.</w:t>
      </w:r>
    </w:p>
    <w:p>
      <w:pPr>
        <w:spacing w:after="0" w:line="389"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General Risk Factors</w:t>
      </w:r>
    </w:p>
    <w:p>
      <w:pPr>
        <w:spacing w:after="0" w:line="189" w:lineRule="exact"/>
        <w:rPr>
          <w:sz w:val="20"/>
          <w:szCs w:val="20"/>
          <w:color w:val="auto"/>
        </w:rPr>
      </w:pPr>
    </w:p>
    <w:p>
      <w:pPr>
        <w:ind w:left="320" w:right="40"/>
        <w:spacing w:after="0" w:line="362" w:lineRule="auto"/>
        <w:rPr>
          <w:sz w:val="20"/>
          <w:szCs w:val="20"/>
          <w:color w:val="auto"/>
        </w:rPr>
      </w:pPr>
      <w:r>
        <w:rPr>
          <w:rFonts w:ascii="Arial" w:cs="Arial" w:eastAsia="Arial" w:hAnsi="Arial"/>
          <w:sz w:val="17"/>
          <w:szCs w:val="17"/>
          <w:b w:val="1"/>
          <w:bCs w:val="1"/>
          <w:color w:val="F4494E"/>
        </w:rPr>
        <w:t xml:space="preserve">INCOME TAXES. </w:t>
      </w:r>
      <w:r>
        <w:rPr>
          <w:rFonts w:ascii="Times New Roman" w:cs="Times New Roman" w:eastAsia="Times New Roman" w:hAnsi="Times New Roman"/>
          <w:sz w:val="18"/>
          <w:szCs w:val="18"/>
          <w:color w:val="000000"/>
        </w:rPr>
        <w:t>The Company is subject to income taxes in the U.S. and other foreign jurisdictions. Changes in tax rates, adoption of new</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tax laws or other additional tax policies, and other proposals to reform United States and foreign tax laws could adversely affect the Company’s operating results, cash flows, and financial condition. The Company’s domestic and international tax liabilities are dependent upon the location of earnings among these different jurisdictions.</w:t>
      </w:r>
    </w:p>
    <w:p>
      <w:pPr>
        <w:spacing w:after="0" w:line="49" w:lineRule="exact"/>
        <w:rPr>
          <w:sz w:val="20"/>
          <w:szCs w:val="20"/>
          <w:color w:val="auto"/>
        </w:rPr>
      </w:pPr>
    </w:p>
    <w:p>
      <w:pPr>
        <w:ind w:left="320" w:right="140"/>
        <w:spacing w:after="0" w:line="370" w:lineRule="auto"/>
        <w:rPr>
          <w:sz w:val="20"/>
          <w:szCs w:val="20"/>
          <w:color w:val="auto"/>
        </w:rPr>
      </w:pPr>
      <w:r>
        <w:rPr>
          <w:rFonts w:ascii="Arial" w:cs="Arial" w:eastAsia="Arial" w:hAnsi="Arial"/>
          <w:sz w:val="16"/>
          <w:szCs w:val="16"/>
          <w:b w:val="1"/>
          <w:bCs w:val="1"/>
          <w:color w:val="F4494E"/>
        </w:rPr>
        <w:t xml:space="preserve">EMPLOYEES. </w:t>
      </w:r>
      <w:r>
        <w:rPr>
          <w:rFonts w:ascii="Times New Roman" w:cs="Times New Roman" w:eastAsia="Times New Roman" w:hAnsi="Times New Roman"/>
          <w:sz w:val="17"/>
          <w:szCs w:val="17"/>
          <w:color w:val="000000"/>
        </w:rPr>
        <w:t>Our business success depends on attracting and retaining qualified personnel. Throughout our Company, our ability to sustain and</w:t>
      </w:r>
      <w:r>
        <w:rPr>
          <w:rFonts w:ascii="Arial" w:cs="Arial" w:eastAsia="Arial" w:hAnsi="Arial"/>
          <w:sz w:val="16"/>
          <w:szCs w:val="16"/>
          <w:b w:val="1"/>
          <w:bCs w:val="1"/>
          <w:color w:val="F4494E"/>
        </w:rPr>
        <w:t xml:space="preserve"> </w:t>
      </w:r>
      <w:r>
        <w:rPr>
          <w:rFonts w:ascii="Times New Roman" w:cs="Times New Roman" w:eastAsia="Times New Roman" w:hAnsi="Times New Roman"/>
          <w:sz w:val="17"/>
          <w:szCs w:val="17"/>
          <w:color w:val="000000"/>
        </w:rPr>
        <w:t>grow our business requires us to hire, retain and develop a highly skilled and diverse management team and workforce. Failure to ensure that we have the leadership capacity with the necessary skill sets and experience and a skilled workforce could impede our ability to deliver our growth objectives and execute our strategic plan. Organizational and reporting changes within management could result in, and low unemployment has contributed to, increased turnover. Turnover, inability to attract and retain key employees, including managers, or government mandated remote work have had, and may continue to have a negative effect on our business, financial condition and/or results of operations.</w:t>
      </w:r>
    </w:p>
    <w:p>
      <w:pPr>
        <w:spacing w:after="0" w:line="50" w:lineRule="exact"/>
        <w:rPr>
          <w:sz w:val="20"/>
          <w:szCs w:val="20"/>
          <w:color w:val="auto"/>
        </w:rPr>
      </w:pPr>
    </w:p>
    <w:p>
      <w:pPr>
        <w:ind w:left="320" w:right="140"/>
        <w:spacing w:after="0" w:line="362" w:lineRule="auto"/>
        <w:rPr>
          <w:sz w:val="20"/>
          <w:szCs w:val="20"/>
          <w:color w:val="auto"/>
        </w:rPr>
      </w:pPr>
      <w:r>
        <w:rPr>
          <w:rFonts w:ascii="Arial" w:cs="Arial" w:eastAsia="Arial" w:hAnsi="Arial"/>
          <w:sz w:val="17"/>
          <w:szCs w:val="17"/>
          <w:b w:val="1"/>
          <w:bCs w:val="1"/>
          <w:color w:val="F4494E"/>
        </w:rPr>
        <w:t xml:space="preserve">INTERNATIONAL OPERATIONS. </w:t>
      </w:r>
      <w:r>
        <w:rPr>
          <w:rFonts w:ascii="Times New Roman" w:cs="Times New Roman" w:eastAsia="Times New Roman" w:hAnsi="Times New Roman"/>
          <w:sz w:val="18"/>
          <w:szCs w:val="18"/>
          <w:color w:val="000000"/>
        </w:rPr>
        <w:t>We currently conduct operations in various countries and jurisdictions, including purchasing raw materials</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and other supplies from many different countries around the world, which subjects us to the legal, political, regulatory and social requirements as well as various economic conditions in these jurisdictions. Some of these countries are considered growth markets. International sales and operations, especially in growth markets, subject us to certain risks inherent in doing business abroad, including:</w:t>
      </w:r>
    </w:p>
    <w:p>
      <w:pPr>
        <w:spacing w:after="0" w:line="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Exposure to local economic, political and labor conditions;</w:t>
      </w:r>
    </w:p>
    <w:p>
      <w:pPr>
        <w:spacing w:after="0" w:line="163" w:lineRule="exact"/>
        <w:rPr>
          <w:sz w:val="20"/>
          <w:szCs w:val="20"/>
          <w:color w:val="auto"/>
        </w:rPr>
      </w:pPr>
    </w:p>
    <w:p>
      <w:pPr>
        <w:ind w:left="760" w:right="480"/>
        <w:spacing w:after="0" w:line="376" w:lineRule="auto"/>
        <w:rPr>
          <w:sz w:val="20"/>
          <w:szCs w:val="20"/>
          <w:color w:val="auto"/>
        </w:rPr>
      </w:pPr>
      <w:r>
        <w:rPr>
          <w:rFonts w:ascii="Times New Roman" w:cs="Times New Roman" w:eastAsia="Times New Roman" w:hAnsi="Times New Roman"/>
          <w:sz w:val="18"/>
          <w:szCs w:val="18"/>
          <w:color w:val="auto"/>
        </w:rPr>
        <w:t>Unexpected changes in laws, regulations, trade or monetary or fiscal policy, including interest rates, foreign currency exchange rates and changes in the rate of inflation in the U.S. and other foreign countries;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Tariffs (as discussed herein), quotas, customs and other import or export restrictions and other trade barriers;</w:t>
      </w:r>
    </w:p>
    <w:p>
      <w:pPr>
        <w:spacing w:after="0" w:line="163" w:lineRule="exact"/>
        <w:rPr>
          <w:sz w:val="20"/>
          <w:szCs w:val="20"/>
          <w:color w:val="auto"/>
        </w:rPr>
      </w:pPr>
    </w:p>
    <w:p>
      <w:pPr>
        <w:ind w:left="760" w:right="540"/>
        <w:spacing w:after="0" w:line="376" w:lineRule="auto"/>
        <w:rPr>
          <w:sz w:val="20"/>
          <w:szCs w:val="20"/>
          <w:color w:val="auto"/>
        </w:rPr>
      </w:pPr>
      <w:r>
        <w:rPr>
          <w:rFonts w:ascii="Times New Roman" w:cs="Times New Roman" w:eastAsia="Times New Roman" w:hAnsi="Times New Roman"/>
          <w:sz w:val="18"/>
          <w:szCs w:val="18"/>
          <w:color w:val="auto"/>
        </w:rPr>
        <w:t>Natural disasters, political crises, and public health crises (e.g. pandemics), which have caused, are causing, and will likely continue to cause downtime and closures at both supplier and customer facilities;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Expropriation and nationalization;</w:t>
      </w:r>
    </w:p>
    <w:p>
      <w:pPr>
        <w:spacing w:after="0" w:line="163" w:lineRule="exact"/>
        <w:rPr>
          <w:sz w:val="20"/>
          <w:szCs w:val="20"/>
          <w:color w:val="auto"/>
        </w:rPr>
      </w:pPr>
    </w:p>
    <w:p>
      <w:pPr>
        <w:ind w:left="760" w:right="1940"/>
        <w:spacing w:after="0" w:line="429" w:lineRule="auto"/>
        <w:rPr>
          <w:sz w:val="20"/>
          <w:szCs w:val="20"/>
          <w:color w:val="auto"/>
        </w:rPr>
      </w:pPr>
      <w:r>
        <w:rPr>
          <w:rFonts w:ascii="Times New Roman" w:cs="Times New Roman" w:eastAsia="Times New Roman" w:hAnsi="Times New Roman"/>
          <w:sz w:val="18"/>
          <w:szCs w:val="18"/>
          <w:color w:val="auto"/>
        </w:rPr>
        <w:t>Difficulty of enforcing agreements, collecting receivables and protecting assets through non-U.S. legal systems; Reduced intellectual property protection;</w:t>
      </w:r>
    </w:p>
    <w:p>
      <w:pPr>
        <w:ind w:left="760" w:right="4140"/>
        <w:spacing w:after="0" w:line="429" w:lineRule="auto"/>
        <w:rPr>
          <w:sz w:val="20"/>
          <w:szCs w:val="20"/>
          <w:color w:val="auto"/>
        </w:rPr>
      </w:pPr>
      <w:r>
        <w:rPr>
          <w:rFonts w:ascii="Times New Roman" w:cs="Times New Roman" w:eastAsia="Times New Roman" w:hAnsi="Times New Roman"/>
          <w:sz w:val="18"/>
          <w:szCs w:val="18"/>
          <w:color w:val="auto"/>
        </w:rPr>
        <w:t>Withholding and other taxes on remittances and other payments by subsidiaries; Investment restrictions or requirements;</w:t>
      </w:r>
    </w:p>
    <w:p>
      <w:pPr>
        <w:ind w:left="500"/>
        <w:spacing w:after="0"/>
        <w:rPr>
          <w:sz w:val="20"/>
          <w:szCs w:val="20"/>
          <w:color w:val="auto"/>
        </w:rPr>
      </w:pPr>
      <w:r>
        <w:rPr>
          <w:rFonts w:ascii="Times New Roman" w:cs="Times New Roman" w:eastAsia="Times New Roman" w:hAnsi="Times New Roman"/>
          <w:sz w:val="18"/>
          <w:szCs w:val="18"/>
          <w:color w:val="auto"/>
        </w:rPr>
        <w:t>Export and import restrictions;</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Violence and civil unrest in local countries;</w:t>
      </w:r>
    </w:p>
    <w:p>
      <w:pPr>
        <w:spacing w:after="0" w:line="163" w:lineRule="exact"/>
        <w:rPr>
          <w:sz w:val="20"/>
          <w:szCs w:val="20"/>
          <w:color w:val="auto"/>
        </w:rPr>
      </w:pPr>
    </w:p>
    <w:p>
      <w:pPr>
        <w:ind w:left="760" w:right="100"/>
        <w:spacing w:after="0" w:line="381" w:lineRule="auto"/>
        <w:rPr>
          <w:sz w:val="20"/>
          <w:szCs w:val="20"/>
          <w:color w:val="auto"/>
        </w:rPr>
      </w:pPr>
      <w:r>
        <w:rPr>
          <w:rFonts w:ascii="Times New Roman" w:cs="Times New Roman" w:eastAsia="Times New Roman" w:hAnsi="Times New Roman"/>
          <w:sz w:val="18"/>
          <w:szCs w:val="18"/>
          <w:color w:val="auto"/>
        </w:rPr>
        <w:t>Compliance with the requirements of an increasing body of applicable anti-bribery laws, including the U.S. Foreign Corrupt Practices Act, the U.K. Bribery Act and similar laws of various other countries; and Exposure related to buying, selling and financing in currencies other than the local currencies of the countries in which we operate.</w:t>
      </w:r>
    </w:p>
    <w:p>
      <w:pPr>
        <w:sectPr>
          <w:pgSz w:w="12240" w:h="15840" w:orient="portrait"/>
          <w:cols w:equalWidth="0" w:num="1">
            <w:col w:w="10700"/>
          </w:cols>
          <w:pgMar w:left="580" w:top="850" w:right="960" w:bottom="0" w:gutter="0" w:footer="0" w:header="0"/>
        </w:sectPr>
      </w:pP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36</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00"/>
          </w:cols>
          <w:pgMar w:left="580" w:top="850" w:right="960" w:bottom="0" w:gutter="0" w:footer="0" w:header="0"/>
          <w:type w:val="continuous"/>
        </w:sectPr>
      </w:pPr>
    </w:p>
    <w:bookmarkStart w:id="36" w:name="page37"/>
    <w:bookmarkEnd w:id="36"/>
    <w:p>
      <w:pPr>
        <w:spacing w:after="0"/>
        <w:rPr>
          <w:sz w:val="20"/>
          <w:szCs w:val="20"/>
          <w:color w:val="auto"/>
        </w:rPr>
      </w:pPr>
      <w:r>
        <w:rPr>
          <w:rFonts w:ascii="Arial" w:cs="Arial" w:eastAsia="Arial" w:hAnsi="Arial"/>
          <w:sz w:val="17"/>
          <w:szCs w:val="17"/>
          <w:b w:val="1"/>
          <w:bCs w:val="1"/>
          <w:color w:val="F4494E"/>
        </w:rPr>
        <w:t xml:space="preserve">OTHER. </w:t>
      </w:r>
      <w:r>
        <w:rPr>
          <w:rFonts w:ascii="Times New Roman" w:cs="Times New Roman" w:eastAsia="Times New Roman" w:hAnsi="Times New Roman"/>
          <w:sz w:val="18"/>
          <w:szCs w:val="18"/>
          <w:color w:val="000000"/>
        </w:rPr>
        <w:t>Other issues and uncertainties which could adversely impact our business, financial condition, and/or results of operations include:</w:t>
      </w: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Rising commodity prices and inflation generally, where we are unable to recover such increases from customers;</w:t>
      </w:r>
    </w:p>
    <w:p>
      <w:pPr>
        <w:spacing w:after="0" w:line="163" w:lineRule="exact"/>
        <w:rPr>
          <w:sz w:val="20"/>
          <w:szCs w:val="20"/>
          <w:color w:val="auto"/>
        </w:rPr>
      </w:pPr>
    </w:p>
    <w:p>
      <w:pPr>
        <w:ind w:left="440" w:right="320"/>
        <w:spacing w:after="0" w:line="399" w:lineRule="auto"/>
        <w:rPr>
          <w:sz w:val="20"/>
          <w:szCs w:val="20"/>
          <w:color w:val="auto"/>
        </w:rPr>
      </w:pPr>
      <w:r>
        <w:rPr>
          <w:rFonts w:ascii="Times New Roman" w:cs="Times New Roman" w:eastAsia="Times New Roman" w:hAnsi="Times New Roman"/>
          <w:sz w:val="17"/>
          <w:szCs w:val="17"/>
          <w:color w:val="auto"/>
        </w:rPr>
        <w:t>Increasing interest rates impact our financial performance due to an increase in realized losses on the sale of fixed income investments and/ or recognized losses due to a corresponding impairment adjustment on investment securities and can impact customer demand as well;</w:t>
      </w:r>
    </w:p>
    <w:p>
      <w:pPr>
        <w:ind w:left="440" w:right="520"/>
        <w:spacing w:after="0" w:line="350" w:lineRule="auto"/>
        <w:rPr>
          <w:sz w:val="20"/>
          <w:szCs w:val="20"/>
          <w:color w:val="auto"/>
        </w:rPr>
      </w:pPr>
      <w:r>
        <w:rPr>
          <w:rFonts w:ascii="Times New Roman" w:cs="Times New Roman" w:eastAsia="Times New Roman" w:hAnsi="Times New Roman"/>
          <w:sz w:val="18"/>
          <w:szCs w:val="18"/>
          <w:color w:val="auto"/>
        </w:rPr>
        <w:t>General economic conditions continue to be of concern in many of the regions in which we do business, given that our primary industry is greatly impacted by overall general economic conditions. Any continued adverse worldwide economic conditions, currency exchange rates, trade war, war or significant terrorist acts, could each affect worldwide automotive sales and production levels, thereby impacting the Company;</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Public health crises (e.g. pandemics) that can result in part shortages, labor shortages, or other impacts to the supply chain or customers;</w:t>
      </w:r>
    </w:p>
    <w:p>
      <w:pPr>
        <w:spacing w:after="0" w:line="1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Manufacturing yield issues; and</w:t>
      </w:r>
    </w:p>
    <w:p>
      <w:pPr>
        <w:spacing w:after="0" w:line="1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Obligations and costs associated with addressing quality issues or warranty claims.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808080"/>
        </w:rPr>
        <w:t xml:space="preserve">Item 1B. </w:t>
      </w:r>
      <w:r>
        <w:rPr>
          <w:rFonts w:ascii="Arial" w:cs="Arial" w:eastAsia="Arial" w:hAnsi="Arial"/>
          <w:sz w:val="32"/>
          <w:szCs w:val="32"/>
          <w:color w:val="000000"/>
        </w:rPr>
        <w:t>Unresolved Staff Comments.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color w:val="808080"/>
        </w:rPr>
        <w:t xml:space="preserve">Item 1C. </w:t>
      </w:r>
      <w:r>
        <w:rPr>
          <w:rFonts w:ascii="Arial" w:cs="Arial" w:eastAsia="Arial" w:hAnsi="Arial"/>
          <w:sz w:val="32"/>
          <w:szCs w:val="32"/>
          <w:color w:val="000000"/>
        </w:rPr>
        <w:t>Cybersecurity.</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Risk Management and Strategy</w:t>
      </w:r>
    </w:p>
    <w:p>
      <w:pPr>
        <w:spacing w:after="0" w:line="191"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8"/>
          <w:szCs w:val="18"/>
          <w:color w:val="auto"/>
        </w:rPr>
        <w:t>The Company has implemented and maintain multiple layers of physical, administrative and technical security processes designed to protect our manufacturing facilities from disruptions that may result from cybersecurity incidents, as well as safeguard the confidentiality of our critical systems, and data residing on those systems, including employee data, customer data, and intellectual property. Our risk assessment and management of material risks from cybersecurity threats is integrated into our overall enterprise risk management process, as well as our information systems processes. Our strategy includes regular formal risk assessments, dynamic risk and threat analysis, utilization of security tools, regular cybersecurity-related tabletop and phishing exercises designed to simulate cybersecurity incidents, and frequent security awareness and technical security trainings. We conduct periodic internal and third-party assessments to evaluate our cybersecurity posture and test and assess our incident response program, incident roles and responsibilities, material impact evaluation, and decision-making processes in the event of a cybersecurity incident. We use our risk and security assessments to enhance our information security capabilities.</w:t>
      </w:r>
    </w:p>
    <w:p>
      <w:pPr>
        <w:spacing w:after="0" w:line="69" w:lineRule="exact"/>
        <w:rPr>
          <w:sz w:val="20"/>
          <w:szCs w:val="20"/>
          <w:color w:val="auto"/>
        </w:rPr>
      </w:pPr>
    </w:p>
    <w:p>
      <w:pPr>
        <w:ind w:right="360"/>
        <w:spacing w:after="0" w:line="347"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an incident response policy, plan, procedures and scenario-based playbooks, an incident detection and response program, a vulnerability management program, disaster recovery and business continuity plans, risk assessment processes, security standards, network security controls, access controls, systems monitoring, employee awareness training and cybersecurity insurance. The Company has obtained Trusted Information Security Assessment Exchange (TISAX) certification labels within the United States and Germany.</w:t>
      </w:r>
    </w:p>
    <w:p>
      <w:pPr>
        <w:spacing w:after="0" w:line="65" w:lineRule="exact"/>
        <w:rPr>
          <w:sz w:val="20"/>
          <w:szCs w:val="20"/>
          <w:color w:val="auto"/>
        </w:rPr>
      </w:pPr>
    </w:p>
    <w:p>
      <w:pPr>
        <w:ind w:right="380"/>
        <w:spacing w:after="0" w:line="389" w:lineRule="auto"/>
        <w:rPr>
          <w:sz w:val="20"/>
          <w:szCs w:val="20"/>
          <w:color w:val="auto"/>
        </w:rPr>
      </w:pPr>
      <w:r>
        <w:rPr>
          <w:rFonts w:ascii="Times New Roman" w:cs="Times New Roman" w:eastAsia="Times New Roman" w:hAnsi="Times New Roman"/>
          <w:sz w:val="17"/>
          <w:szCs w:val="17"/>
          <w:color w:val="auto"/>
        </w:rPr>
        <w:t>Our internal information security team oversees and works collaboratively with various information security service providers. Our cybersecurity program incorporates external guidance and expertise through the use of third-party service providers to assist in the identification, assessment and management of risks specific to cybersecurity threats, including vendors providing threat intelligence, risk mitigation, dark web monitoring, external scanning and scoring, threat and reputation monitoring, forensics, cyber-insurance, advisory services and legal counsel.</w:t>
      </w:r>
    </w:p>
    <w:p>
      <w:pPr>
        <w:spacing w:after="0" w:line="33" w:lineRule="exact"/>
        <w:rPr>
          <w:sz w:val="20"/>
          <w:szCs w:val="20"/>
          <w:color w:val="auto"/>
        </w:rPr>
      </w:pPr>
    </w:p>
    <w:p>
      <w:pPr>
        <w:ind w:right="700"/>
        <w:spacing w:after="0" w:line="429" w:lineRule="auto"/>
        <w:rPr>
          <w:sz w:val="20"/>
          <w:szCs w:val="20"/>
          <w:color w:val="auto"/>
        </w:rPr>
      </w:pPr>
      <w:r>
        <w:rPr>
          <w:rFonts w:ascii="Times New Roman" w:cs="Times New Roman" w:eastAsia="Times New Roman" w:hAnsi="Times New Roman"/>
          <w:sz w:val="18"/>
          <w:szCs w:val="18"/>
          <w:color w:val="auto"/>
        </w:rPr>
        <w:t>We have an incident response plan that includes scenario-based playbooks for managing cybersecurity incidents and associated crisis communication procedures designed to facilitate coordination across the Company and with our partners, customers, the public and others.</w:t>
      </w:r>
    </w:p>
    <w:p>
      <w:pPr>
        <w:ind w:right="500"/>
        <w:spacing w:after="0" w:line="382" w:lineRule="auto"/>
        <w:rPr>
          <w:sz w:val="20"/>
          <w:szCs w:val="20"/>
          <w:color w:val="auto"/>
        </w:rPr>
      </w:pPr>
      <w:r>
        <w:rPr>
          <w:rFonts w:ascii="Times New Roman" w:cs="Times New Roman" w:eastAsia="Times New Roman" w:hAnsi="Times New Roman"/>
          <w:sz w:val="18"/>
          <w:szCs w:val="18"/>
          <w:color w:val="auto"/>
        </w:rPr>
        <w:t>For the year ended December 31, 2023, there have been no risks from cybersecurity threats that have materially affected or are reasonably likely to materially affect our business strategy, results of operations or financial condition. For a description of risks related to our information technology systems, including cybersecurity threats, see Item 1A, “Risk Factors.”</w:t>
      </w:r>
    </w:p>
    <w:p>
      <w:pPr>
        <w:sectPr>
          <w:pgSz w:w="12240" w:h="15840" w:orient="portrait"/>
          <w:cols w:equalWidth="0" w:num="1">
            <w:col w:w="10760"/>
          </w:cols>
          <w:pgMar w:left="900" w:top="850" w:right="58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37</w:t>
      </w:r>
    </w:p>
    <w:p>
      <w:pPr>
        <w:sectPr>
          <w:pgSz w:w="12240" w:h="15840" w:orient="portrait"/>
          <w:cols w:equalWidth="0" w:num="1">
            <w:col w:w="10760"/>
          </w:cols>
          <w:pgMar w:left="900" w:top="850" w:right="580" w:bottom="0" w:gutter="0" w:footer="0" w:header="0"/>
          <w:type w:val="continuous"/>
        </w:sectPr>
      </w:pPr>
    </w:p>
    <w:bookmarkStart w:id="37" w:name="page38"/>
    <w:bookmarkEnd w:id="37"/>
    <w:p>
      <w:pPr>
        <w:ind w:left="320"/>
        <w:spacing w:after="0"/>
        <w:rPr>
          <w:sz w:val="20"/>
          <w:szCs w:val="20"/>
          <w:color w:val="auto"/>
        </w:rPr>
      </w:pPr>
      <w:r>
        <w:rPr>
          <w:rFonts w:ascii="Arial" w:cs="Arial" w:eastAsia="Arial" w:hAnsi="Arial"/>
          <w:sz w:val="22"/>
          <w:szCs w:val="22"/>
          <w:b w:val="1"/>
          <w:bCs w:val="1"/>
          <w:color w:val="4CA5CD"/>
        </w:rPr>
        <w:t>Governance</w:t>
      </w:r>
    </w:p>
    <w:p>
      <w:pPr>
        <w:spacing w:after="0" w:line="191" w:lineRule="exact"/>
        <w:rPr>
          <w:sz w:val="20"/>
          <w:szCs w:val="20"/>
          <w:color w:val="auto"/>
        </w:rPr>
      </w:pPr>
    </w:p>
    <w:p>
      <w:pPr>
        <w:jc w:val="both"/>
        <w:ind w:left="320" w:right="360"/>
        <w:spacing w:after="0" w:line="377" w:lineRule="auto"/>
        <w:rPr>
          <w:sz w:val="20"/>
          <w:szCs w:val="20"/>
          <w:color w:val="auto"/>
        </w:rPr>
      </w:pPr>
      <w:r>
        <w:rPr>
          <w:rFonts w:ascii="Times New Roman" w:cs="Times New Roman" w:eastAsia="Times New Roman" w:hAnsi="Times New Roman"/>
          <w:sz w:val="17"/>
          <w:szCs w:val="17"/>
          <w:color w:val="auto"/>
        </w:rPr>
        <w:t>Our Board addresses our cybersecurity risk management as part of its general oversight function. The Audit Committee of the Board (the “Audit Committee”) is responsible for overseeing our cybersecurity risk management processes, including our assessment and mitigation of material risks from cybersecurity threats. The Audit Committee receives regular reports, summaries or presentations related to cybersecurity threats, risk, mitigation and related processes from our information technology and cybersecurity experts. In addition, on at least an annual basis, the Board receives reports, summaries or presentations related to cybersecurity threats, risk, mitigation and related processes.</w:t>
      </w:r>
    </w:p>
    <w:p>
      <w:pPr>
        <w:spacing w:after="0" w:line="45" w:lineRule="exact"/>
        <w:rPr>
          <w:sz w:val="20"/>
          <w:szCs w:val="20"/>
          <w:color w:val="auto"/>
        </w:rPr>
      </w:pPr>
    </w:p>
    <w:p>
      <w:pPr>
        <w:ind w:left="320" w:right="60"/>
        <w:spacing w:after="0" w:line="337"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our VP of Information Technology and Information Security Officer (“VP of IT”), who is supported by other members of management, as necessary. Our VP of IT is responsible for approving budgets, cybersecurity incident preparedness, approving cybersecurity processes, reviewing security assessments and other security-related reports, and providing the Chief Financial Officer (“CFO”) with regular updates on cybersecurity-related matters. The Company also has an IT Executive Steering Committee comprised of the VP of IT, CFO, General Counsel, CTO and VP of Operations. The VP of IT provides regular cybersecurity updates to the audit committee. The Company’s VP of IT has served in this role for two years and has more than 24 years of relevant experience. In addition, we have an information security team comprised of dozens of employees dedicated to cybersecurity with extensive experience and relevant certifications. The VP of IT is responsible for hiring appropriate personnel, assisting with the integration of cybersecurity risk considerations into our overall risk management strategy, communicating key priorities to relevant personnel, and mitigating and remediating in the event of a cybersecurity incident.</w:t>
      </w:r>
    </w:p>
    <w:p>
      <w:pPr>
        <w:spacing w:after="0" w:line="74" w:lineRule="exact"/>
        <w:rPr>
          <w:sz w:val="20"/>
          <w:szCs w:val="20"/>
          <w:color w:val="auto"/>
        </w:rPr>
      </w:pPr>
    </w:p>
    <w:p>
      <w:pPr>
        <w:ind w:left="320" w:right="220"/>
        <w:spacing w:after="0" w:line="352" w:lineRule="auto"/>
        <w:rPr>
          <w:sz w:val="20"/>
          <w:szCs w:val="20"/>
          <w:color w:val="auto"/>
        </w:rPr>
      </w:pPr>
      <w:r>
        <w:rPr>
          <w:rFonts w:ascii="Times New Roman" w:cs="Times New Roman" w:eastAsia="Times New Roman" w:hAnsi="Times New Roman"/>
          <w:sz w:val="18"/>
          <w:szCs w:val="18"/>
          <w:color w:val="auto"/>
        </w:rPr>
        <w:t>Our cybersecurity incident response and vulnerability management programs are designed to escalate certain cybersecurity incidents to various levels of management depending on the circumstances, including our VP of Information Technology and Information Security Officer, General Counsel, CFO and/or Chief Executive Officer. Management works with our incident response team to help mitigate and remediate certain escalated cybersecurity incidents. In addition, our incident response and vulnerability management programs include reporting certain cybersecurity incidents to the Audit Committee and, in certain circumstances, to the Board.</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32"/>
          <w:szCs w:val="32"/>
          <w:color w:val="808080"/>
        </w:rPr>
        <w:t xml:space="preserve">Item 2. </w:t>
      </w:r>
      <w:r>
        <w:rPr>
          <w:rFonts w:ascii="Arial" w:cs="Arial" w:eastAsia="Arial" w:hAnsi="Arial"/>
          <w:sz w:val="32"/>
          <w:szCs w:val="32"/>
          <w:color w:val="000000"/>
        </w:rPr>
        <w:t>Properties.</w:t>
      </w:r>
    </w:p>
    <w:p>
      <w:pPr>
        <w:spacing w:after="0" w:line="126" w:lineRule="exact"/>
        <w:rPr>
          <w:sz w:val="20"/>
          <w:szCs w:val="20"/>
          <w:color w:val="auto"/>
        </w:rPr>
      </w:pPr>
    </w:p>
    <w:p>
      <w:pPr>
        <w:ind w:left="320" w:right="40"/>
        <w:spacing w:after="0" w:line="362" w:lineRule="auto"/>
        <w:rPr>
          <w:sz w:val="20"/>
          <w:szCs w:val="20"/>
          <w:color w:val="auto"/>
        </w:rPr>
      </w:pPr>
      <w:r>
        <w:rPr>
          <w:rFonts w:ascii="Times New Roman" w:cs="Times New Roman" w:eastAsia="Times New Roman" w:hAnsi="Times New Roman"/>
          <w:sz w:val="18"/>
          <w:szCs w:val="18"/>
          <w:color w:val="auto"/>
        </w:rPr>
        <w:t>As of December 31, 2023, the Company operates primarily out of facilities in Zeeland and Holland, Michigan, which consist of manufacturing, warehouse, and office space. The Company also operates a chemistry lab facility in Zeeland, Michigan to support production. In addition, the Company operates overseas offices in Europe and Asia as further discussed below. The location, square footage and use of the most significant facilities as of December 31, 2023 were as follows:</w:t>
      </w:r>
    </w:p>
    <w:p>
      <w:pPr>
        <w:spacing w:after="0" w:line="97" w:lineRule="exact"/>
        <w:rPr>
          <w:sz w:val="20"/>
          <w:szCs w:val="20"/>
          <w:color w:val="auto"/>
        </w:rPr>
      </w:pPr>
    </w:p>
    <w:tbl>
      <w:tblPr>
        <w:tblLayout w:type="fixed"/>
        <w:tblInd w:w="320" w:type="dxa"/>
        <w:tblCellMar>
          <w:top w:w="0" w:type="dxa"/>
          <w:left w:w="0" w:type="dxa"/>
          <w:bottom w:w="0" w:type="dxa"/>
          <w:right w:w="0" w:type="dxa"/>
        </w:tblCellMar>
      </w:tblPr>
      <w:tr>
        <w:trPr>
          <w:trHeight w:val="290"/>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Owned Locations</w:t>
            </w:r>
          </w:p>
        </w:tc>
        <w:tc>
          <w:tcPr>
            <w:tcW w:w="2520" w:type="dxa"/>
            <w:vAlign w:val="bottom"/>
            <w:tcBorders>
              <w:bottom w:val="single" w:sz="8" w:color="808080"/>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30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Date of Acquisition/Build</w:t>
            </w:r>
            <w:r>
              <w:rPr>
                <w:rFonts w:ascii="Times New Roman" w:cs="Times New Roman" w:eastAsia="Times New Roman" w:hAnsi="Times New Roman"/>
                <w:sz w:val="20"/>
                <w:szCs w:val="20"/>
                <w:b w:val="1"/>
                <w:bCs w:val="1"/>
                <w:color w:val="auto"/>
                <w:vertAlign w:val="superscript"/>
              </w:rPr>
              <w:t>(1)</w:t>
            </w:r>
          </w:p>
        </w:tc>
        <w:tc>
          <w:tcPr>
            <w:tcW w:w="2860" w:type="dxa"/>
            <w:vAlign w:val="bottom"/>
            <w:tcBorders>
              <w:bottom w:val="single" w:sz="8" w:color="808080"/>
            </w:tcBorders>
          </w:tcPr>
          <w:p>
            <w:pPr>
              <w:ind w:left="2580"/>
              <w:spacing w:after="0"/>
              <w:rPr>
                <w:sz w:val="20"/>
                <w:szCs w:val="20"/>
                <w:color w:val="auto"/>
              </w:rPr>
            </w:pPr>
            <w:r>
              <w:rPr>
                <w:rFonts w:ascii="Times New Roman" w:cs="Times New Roman" w:eastAsia="Times New Roman" w:hAnsi="Times New Roman"/>
                <w:sz w:val="18"/>
                <w:szCs w:val="18"/>
                <w:b w:val="1"/>
                <w:bCs w:val="1"/>
                <w:color w:val="auto"/>
                <w:w w:val="92"/>
              </w:rPr>
              <w:t>Use</w:t>
            </w:r>
          </w:p>
        </w:tc>
      </w:tr>
      <w:tr>
        <w:trPr>
          <w:trHeight w:val="340"/>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520" w:type="dxa"/>
            <w:vAlign w:val="bottom"/>
            <w:tcBorders>
              <w:bottom w:val="single" w:sz="8" w:color="808080"/>
            </w:tcBorders>
          </w:tcPr>
          <w:p>
            <w:pPr>
              <w:ind w:left="640"/>
              <w:spacing w:after="0"/>
              <w:rPr>
                <w:sz w:val="20"/>
                <w:szCs w:val="20"/>
                <w:color w:val="auto"/>
              </w:rPr>
            </w:pPr>
            <w:r>
              <w:rPr>
                <w:rFonts w:ascii="Times New Roman" w:cs="Times New Roman" w:eastAsia="Times New Roman" w:hAnsi="Times New Roman"/>
                <w:sz w:val="18"/>
                <w:szCs w:val="18"/>
                <w:color w:val="auto"/>
              </w:rPr>
              <w:t>26,600</w:t>
            </w:r>
          </w:p>
        </w:tc>
        <w:tc>
          <w:tcPr>
            <w:tcW w:w="30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1970</w:t>
            </w:r>
          </w:p>
        </w:tc>
        <w:tc>
          <w:tcPr>
            <w:tcW w:w="286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Warehouse, Office</w:t>
            </w:r>
          </w:p>
        </w:tc>
      </w:tr>
      <w:tr>
        <w:trPr>
          <w:trHeight w:val="340"/>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520" w:type="dxa"/>
            <w:vAlign w:val="bottom"/>
            <w:tcBorders>
              <w:bottom w:val="single" w:sz="8" w:color="808080"/>
            </w:tcBorders>
          </w:tcPr>
          <w:p>
            <w:pPr>
              <w:ind w:left="640"/>
              <w:spacing w:after="0"/>
              <w:rPr>
                <w:sz w:val="20"/>
                <w:szCs w:val="20"/>
                <w:color w:val="auto"/>
              </w:rPr>
            </w:pPr>
            <w:r>
              <w:rPr>
                <w:rFonts w:ascii="Times New Roman" w:cs="Times New Roman" w:eastAsia="Times New Roman" w:hAnsi="Times New Roman"/>
                <w:sz w:val="18"/>
                <w:szCs w:val="18"/>
                <w:color w:val="auto"/>
              </w:rPr>
              <w:t>197,200</w:t>
            </w:r>
          </w:p>
        </w:tc>
        <w:tc>
          <w:tcPr>
            <w:tcW w:w="30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1972</w:t>
            </w:r>
          </w:p>
        </w:tc>
        <w:tc>
          <w:tcPr>
            <w:tcW w:w="286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Manufacturing, Office</w:t>
            </w:r>
          </w:p>
        </w:tc>
      </w:tr>
      <w:tr>
        <w:trPr>
          <w:trHeight w:val="340"/>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520" w:type="dxa"/>
            <w:vAlign w:val="bottom"/>
            <w:tcBorders>
              <w:bottom w:val="single" w:sz="8" w:color="808080"/>
            </w:tcBorders>
          </w:tcPr>
          <w:p>
            <w:pPr>
              <w:ind w:left="640"/>
              <w:spacing w:after="0"/>
              <w:rPr>
                <w:sz w:val="20"/>
                <w:szCs w:val="20"/>
                <w:color w:val="auto"/>
              </w:rPr>
            </w:pPr>
            <w:r>
              <w:rPr>
                <w:rFonts w:ascii="Times New Roman" w:cs="Times New Roman" w:eastAsia="Times New Roman" w:hAnsi="Times New Roman"/>
                <w:sz w:val="18"/>
                <w:szCs w:val="18"/>
                <w:color w:val="auto"/>
              </w:rPr>
              <w:t>70,000</w:t>
            </w:r>
          </w:p>
        </w:tc>
        <w:tc>
          <w:tcPr>
            <w:tcW w:w="30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1989</w:t>
            </w:r>
          </w:p>
        </w:tc>
        <w:tc>
          <w:tcPr>
            <w:tcW w:w="286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Manufacturing</w:t>
            </w:r>
          </w:p>
        </w:tc>
      </w:tr>
      <w:tr>
        <w:trPr>
          <w:trHeight w:val="340"/>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520" w:type="dxa"/>
            <w:vAlign w:val="bottom"/>
            <w:tcBorders>
              <w:bottom w:val="single" w:sz="8" w:color="808080"/>
            </w:tcBorders>
          </w:tcPr>
          <w:p>
            <w:pPr>
              <w:ind w:left="640"/>
              <w:spacing w:after="0"/>
              <w:rPr>
                <w:sz w:val="20"/>
                <w:szCs w:val="20"/>
                <w:color w:val="auto"/>
              </w:rPr>
            </w:pPr>
            <w:r>
              <w:rPr>
                <w:rFonts w:ascii="Times New Roman" w:cs="Times New Roman" w:eastAsia="Times New Roman" w:hAnsi="Times New Roman"/>
                <w:sz w:val="18"/>
                <w:szCs w:val="18"/>
                <w:color w:val="auto"/>
              </w:rPr>
              <w:t>70,000</w:t>
            </w:r>
          </w:p>
        </w:tc>
        <w:tc>
          <w:tcPr>
            <w:tcW w:w="30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1989</w:t>
            </w:r>
          </w:p>
        </w:tc>
        <w:tc>
          <w:tcPr>
            <w:tcW w:w="286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Office</w:t>
            </w:r>
          </w:p>
        </w:tc>
      </w:tr>
      <w:tr>
        <w:trPr>
          <w:trHeight w:val="340"/>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520" w:type="dxa"/>
            <w:vAlign w:val="bottom"/>
            <w:tcBorders>
              <w:bottom w:val="single" w:sz="8" w:color="808080"/>
            </w:tcBorders>
          </w:tcPr>
          <w:p>
            <w:pPr>
              <w:ind w:left="640"/>
              <w:spacing w:after="0"/>
              <w:rPr>
                <w:sz w:val="20"/>
                <w:szCs w:val="20"/>
                <w:color w:val="auto"/>
              </w:rPr>
            </w:pPr>
            <w:r>
              <w:rPr>
                <w:rFonts w:ascii="Times New Roman" w:cs="Times New Roman" w:eastAsia="Times New Roman" w:hAnsi="Times New Roman"/>
                <w:sz w:val="18"/>
                <w:szCs w:val="18"/>
                <w:color w:val="auto"/>
              </w:rPr>
              <w:t>359,100</w:t>
            </w:r>
          </w:p>
        </w:tc>
        <w:tc>
          <w:tcPr>
            <w:tcW w:w="30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1996</w:t>
            </w:r>
          </w:p>
        </w:tc>
        <w:tc>
          <w:tcPr>
            <w:tcW w:w="286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Manufacturing</w:t>
            </w:r>
          </w:p>
        </w:tc>
      </w:tr>
      <w:tr>
        <w:trPr>
          <w:trHeight w:val="340"/>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520" w:type="dxa"/>
            <w:vAlign w:val="bottom"/>
            <w:tcBorders>
              <w:bottom w:val="single" w:sz="8" w:color="808080"/>
            </w:tcBorders>
          </w:tcPr>
          <w:p>
            <w:pPr>
              <w:ind w:left="640"/>
              <w:spacing w:after="0"/>
              <w:rPr>
                <w:sz w:val="20"/>
                <w:szCs w:val="20"/>
                <w:color w:val="auto"/>
              </w:rPr>
            </w:pPr>
            <w:r>
              <w:rPr>
                <w:rFonts w:ascii="Times New Roman" w:cs="Times New Roman" w:eastAsia="Times New Roman" w:hAnsi="Times New Roman"/>
                <w:sz w:val="18"/>
                <w:szCs w:val="18"/>
                <w:color w:val="auto"/>
              </w:rPr>
              <w:t>168,900</w:t>
            </w:r>
          </w:p>
        </w:tc>
        <w:tc>
          <w:tcPr>
            <w:tcW w:w="30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2000</w:t>
            </w:r>
          </w:p>
        </w:tc>
        <w:tc>
          <w:tcPr>
            <w:tcW w:w="286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Manufacturing</w:t>
            </w:r>
          </w:p>
        </w:tc>
      </w:tr>
      <w:tr>
        <w:trPr>
          <w:trHeight w:val="340"/>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520" w:type="dxa"/>
            <w:vAlign w:val="bottom"/>
            <w:tcBorders>
              <w:bottom w:val="single" w:sz="8" w:color="808080"/>
            </w:tcBorders>
          </w:tcPr>
          <w:p>
            <w:pPr>
              <w:ind w:left="640"/>
              <w:spacing w:after="0"/>
              <w:rPr>
                <w:sz w:val="20"/>
                <w:szCs w:val="20"/>
                <w:color w:val="auto"/>
              </w:rPr>
            </w:pPr>
            <w:r>
              <w:rPr>
                <w:rFonts w:ascii="Times New Roman" w:cs="Times New Roman" w:eastAsia="Times New Roman" w:hAnsi="Times New Roman"/>
                <w:sz w:val="18"/>
                <w:szCs w:val="18"/>
                <w:color w:val="auto"/>
              </w:rPr>
              <w:t>334,000</w:t>
            </w:r>
          </w:p>
        </w:tc>
        <w:tc>
          <w:tcPr>
            <w:tcW w:w="30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2006</w:t>
            </w:r>
          </w:p>
        </w:tc>
        <w:tc>
          <w:tcPr>
            <w:tcW w:w="286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Manufacturing, Office</w:t>
            </w:r>
          </w:p>
        </w:tc>
      </w:tr>
      <w:tr>
        <w:trPr>
          <w:trHeight w:val="340"/>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520" w:type="dxa"/>
            <w:vAlign w:val="bottom"/>
            <w:tcBorders>
              <w:bottom w:val="single" w:sz="8" w:color="808080"/>
            </w:tcBorders>
          </w:tcPr>
          <w:p>
            <w:pPr>
              <w:ind w:left="640"/>
              <w:spacing w:after="0"/>
              <w:rPr>
                <w:sz w:val="20"/>
                <w:szCs w:val="20"/>
                <w:color w:val="auto"/>
              </w:rPr>
            </w:pPr>
            <w:r>
              <w:rPr>
                <w:rFonts w:ascii="Times New Roman" w:cs="Times New Roman" w:eastAsia="Times New Roman" w:hAnsi="Times New Roman"/>
                <w:sz w:val="18"/>
                <w:szCs w:val="18"/>
                <w:color w:val="auto"/>
              </w:rPr>
              <w:t>100,000</w:t>
            </w:r>
          </w:p>
        </w:tc>
        <w:tc>
          <w:tcPr>
            <w:tcW w:w="30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2010</w:t>
            </w:r>
          </w:p>
        </w:tc>
        <w:tc>
          <w:tcPr>
            <w:tcW w:w="286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Manufacturing, Warehouse</w:t>
            </w:r>
          </w:p>
        </w:tc>
      </w:tr>
      <w:tr>
        <w:trPr>
          <w:trHeight w:val="340"/>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520" w:type="dxa"/>
            <w:vAlign w:val="bottom"/>
            <w:tcBorders>
              <w:bottom w:val="single" w:sz="8" w:color="808080"/>
            </w:tcBorders>
          </w:tcPr>
          <w:p>
            <w:pPr>
              <w:ind w:left="640"/>
              <w:spacing w:after="0"/>
              <w:rPr>
                <w:sz w:val="20"/>
                <w:szCs w:val="20"/>
                <w:color w:val="auto"/>
              </w:rPr>
            </w:pPr>
            <w:r>
              <w:rPr>
                <w:rFonts w:ascii="Times New Roman" w:cs="Times New Roman" w:eastAsia="Times New Roman" w:hAnsi="Times New Roman"/>
                <w:sz w:val="18"/>
                <w:szCs w:val="18"/>
                <w:color w:val="auto"/>
              </w:rPr>
              <w:t>31,800</w:t>
            </w:r>
          </w:p>
        </w:tc>
        <w:tc>
          <w:tcPr>
            <w:tcW w:w="30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2011</w:t>
            </w:r>
          </w:p>
        </w:tc>
        <w:tc>
          <w:tcPr>
            <w:tcW w:w="286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Office</w:t>
            </w:r>
          </w:p>
        </w:tc>
      </w:tr>
      <w:tr>
        <w:trPr>
          <w:trHeight w:val="340"/>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520" w:type="dxa"/>
            <w:vAlign w:val="bottom"/>
            <w:tcBorders>
              <w:bottom w:val="single" w:sz="8" w:color="808080"/>
            </w:tcBorders>
          </w:tcPr>
          <w:p>
            <w:pPr>
              <w:ind w:left="640"/>
              <w:spacing w:after="0"/>
              <w:rPr>
                <w:sz w:val="20"/>
                <w:szCs w:val="20"/>
                <w:color w:val="auto"/>
              </w:rPr>
            </w:pPr>
            <w:r>
              <w:rPr>
                <w:rFonts w:ascii="Times New Roman" w:cs="Times New Roman" w:eastAsia="Times New Roman" w:hAnsi="Times New Roman"/>
                <w:sz w:val="18"/>
                <w:szCs w:val="18"/>
                <w:color w:val="auto"/>
              </w:rPr>
              <w:t>349,600</w:t>
            </w:r>
          </w:p>
        </w:tc>
        <w:tc>
          <w:tcPr>
            <w:tcW w:w="30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2016</w:t>
            </w:r>
          </w:p>
        </w:tc>
        <w:tc>
          <w:tcPr>
            <w:tcW w:w="286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Manufacturing, Warehouse</w:t>
            </w:r>
          </w:p>
        </w:tc>
      </w:tr>
      <w:tr>
        <w:trPr>
          <w:trHeight w:val="340"/>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520" w:type="dxa"/>
            <w:vAlign w:val="bottom"/>
            <w:tcBorders>
              <w:bottom w:val="single" w:sz="8" w:color="808080"/>
            </w:tcBorders>
          </w:tcPr>
          <w:p>
            <w:pPr>
              <w:ind w:left="640"/>
              <w:spacing w:after="0"/>
              <w:rPr>
                <w:sz w:val="20"/>
                <w:szCs w:val="20"/>
                <w:color w:val="auto"/>
              </w:rPr>
            </w:pPr>
            <w:r>
              <w:rPr>
                <w:rFonts w:ascii="Times New Roman" w:cs="Times New Roman" w:eastAsia="Times New Roman" w:hAnsi="Times New Roman"/>
                <w:sz w:val="18"/>
                <w:szCs w:val="18"/>
                <w:color w:val="auto"/>
              </w:rPr>
              <w:t>258,400</w:t>
            </w:r>
          </w:p>
        </w:tc>
        <w:tc>
          <w:tcPr>
            <w:tcW w:w="30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2018</w:t>
            </w:r>
          </w:p>
        </w:tc>
        <w:tc>
          <w:tcPr>
            <w:tcW w:w="286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Warehouse</w:t>
            </w:r>
          </w:p>
        </w:tc>
      </w:tr>
      <w:tr>
        <w:trPr>
          <w:trHeight w:val="340"/>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Zeeland, MI</w:t>
            </w:r>
          </w:p>
        </w:tc>
        <w:tc>
          <w:tcPr>
            <w:tcW w:w="2520" w:type="dxa"/>
            <w:vAlign w:val="bottom"/>
            <w:tcBorders>
              <w:bottom w:val="single" w:sz="8" w:color="808080"/>
            </w:tcBorders>
          </w:tcPr>
          <w:p>
            <w:pPr>
              <w:ind w:left="640"/>
              <w:spacing w:after="0"/>
              <w:rPr>
                <w:sz w:val="20"/>
                <w:szCs w:val="20"/>
                <w:color w:val="auto"/>
              </w:rPr>
            </w:pPr>
            <w:r>
              <w:rPr>
                <w:rFonts w:ascii="Times New Roman" w:cs="Times New Roman" w:eastAsia="Times New Roman" w:hAnsi="Times New Roman"/>
                <w:sz w:val="18"/>
                <w:szCs w:val="18"/>
                <w:color w:val="auto"/>
              </w:rPr>
              <w:t>345,000</w:t>
            </w:r>
          </w:p>
        </w:tc>
        <w:tc>
          <w:tcPr>
            <w:tcW w:w="30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2023</w:t>
            </w:r>
          </w:p>
        </w:tc>
        <w:tc>
          <w:tcPr>
            <w:tcW w:w="286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Manufacturing, Warehouse</w:t>
            </w:r>
          </w:p>
        </w:tc>
      </w:tr>
      <w:tr>
        <w:trPr>
          <w:trHeight w:val="340"/>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Holland, MI</w:t>
            </w:r>
          </w:p>
        </w:tc>
        <w:tc>
          <w:tcPr>
            <w:tcW w:w="2520" w:type="dxa"/>
            <w:vAlign w:val="bottom"/>
            <w:tcBorders>
              <w:bottom w:val="single" w:sz="8" w:color="808080"/>
            </w:tcBorders>
          </w:tcPr>
          <w:p>
            <w:pPr>
              <w:ind w:left="640"/>
              <w:spacing w:after="0"/>
              <w:rPr>
                <w:sz w:val="20"/>
                <w:szCs w:val="20"/>
                <w:color w:val="auto"/>
              </w:rPr>
            </w:pPr>
            <w:r>
              <w:rPr>
                <w:rFonts w:ascii="Times New Roman" w:cs="Times New Roman" w:eastAsia="Times New Roman" w:hAnsi="Times New Roman"/>
                <w:sz w:val="18"/>
                <w:szCs w:val="18"/>
                <w:color w:val="auto"/>
              </w:rPr>
              <w:t>242,300</w:t>
            </w:r>
          </w:p>
        </w:tc>
        <w:tc>
          <w:tcPr>
            <w:tcW w:w="30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2012</w:t>
            </w:r>
          </w:p>
        </w:tc>
        <w:tc>
          <w:tcPr>
            <w:tcW w:w="286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Manufacturing, Warehouse</w:t>
            </w:r>
          </w:p>
        </w:tc>
      </w:tr>
      <w:tr>
        <w:trPr>
          <w:trHeight w:val="340"/>
        </w:trPr>
        <w:tc>
          <w:tcPr>
            <w:tcW w:w="19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Holland, MI</w:t>
            </w:r>
          </w:p>
        </w:tc>
        <w:tc>
          <w:tcPr>
            <w:tcW w:w="2520" w:type="dxa"/>
            <w:vAlign w:val="bottom"/>
            <w:tcBorders>
              <w:bottom w:val="single" w:sz="8" w:color="808080"/>
            </w:tcBorders>
          </w:tcPr>
          <w:p>
            <w:pPr>
              <w:ind w:left="640"/>
              <w:spacing w:after="0"/>
              <w:rPr>
                <w:sz w:val="20"/>
                <w:szCs w:val="20"/>
                <w:color w:val="auto"/>
              </w:rPr>
            </w:pPr>
            <w:r>
              <w:rPr>
                <w:rFonts w:ascii="Times New Roman" w:cs="Times New Roman" w:eastAsia="Times New Roman" w:hAnsi="Times New Roman"/>
                <w:sz w:val="18"/>
                <w:szCs w:val="18"/>
                <w:color w:val="auto"/>
              </w:rPr>
              <w:t>29,900</w:t>
            </w:r>
          </w:p>
        </w:tc>
        <w:tc>
          <w:tcPr>
            <w:tcW w:w="30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2021</w:t>
            </w:r>
          </w:p>
        </w:tc>
        <w:tc>
          <w:tcPr>
            <w:tcW w:w="286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Office</w:t>
            </w:r>
          </w:p>
        </w:tc>
      </w:tr>
    </w:tbl>
    <w:p>
      <w:pPr>
        <w:spacing w:after="0" w:line="200" w:lineRule="exact"/>
        <w:rPr>
          <w:sz w:val="20"/>
          <w:szCs w:val="20"/>
          <w:color w:val="auto"/>
        </w:rPr>
      </w:pPr>
    </w:p>
    <w:p>
      <w:pPr>
        <w:sectPr>
          <w:pgSz w:w="12240" w:h="15840" w:orient="portrait"/>
          <w:cols w:equalWidth="0" w:num="1">
            <w:col w:w="10760"/>
          </w:cols>
          <w:pgMar w:left="580" w:top="830" w:right="900" w:bottom="0" w:gutter="0" w:footer="0" w:header="0"/>
        </w:sectPr>
      </w:pPr>
    </w:p>
    <w:p>
      <w:pPr>
        <w:spacing w:after="0" w:line="176"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38</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30" w:right="900" w:bottom="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89"/>
        </w:trPr>
        <w:tc>
          <w:tcPr>
            <w:tcW w:w="20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Erlenbach, Germany</w:t>
            </w:r>
          </w:p>
        </w:tc>
        <w:tc>
          <w:tcPr>
            <w:tcW w:w="2100" w:type="dxa"/>
            <w:vAlign w:val="bottom"/>
            <w:tcBorders>
              <w:bottom w:val="single" w:sz="8" w:color="808080"/>
            </w:tcBorders>
          </w:tcPr>
          <w:p>
            <w:pPr>
              <w:jc w:val="right"/>
              <w:ind w:right="970"/>
              <w:spacing w:after="0"/>
              <w:rPr>
                <w:sz w:val="20"/>
                <w:szCs w:val="20"/>
                <w:color w:val="auto"/>
              </w:rPr>
            </w:pPr>
            <w:r>
              <w:rPr>
                <w:rFonts w:ascii="Times New Roman" w:cs="Times New Roman" w:eastAsia="Times New Roman" w:hAnsi="Times New Roman"/>
                <w:sz w:val="18"/>
                <w:szCs w:val="18"/>
                <w:color w:val="auto"/>
              </w:rPr>
              <w:t>90,000</w:t>
            </w:r>
          </w:p>
        </w:tc>
        <w:tc>
          <w:tcPr>
            <w:tcW w:w="2540" w:type="dxa"/>
            <w:vAlign w:val="bottom"/>
            <w:tcBorders>
              <w:bottom w:val="single" w:sz="8" w:color="808080"/>
            </w:tcBorders>
          </w:tcPr>
          <w:p>
            <w:pPr>
              <w:jc w:val="right"/>
              <w:ind w:right="1030"/>
              <w:spacing w:after="0"/>
              <w:rPr>
                <w:sz w:val="20"/>
                <w:szCs w:val="20"/>
                <w:color w:val="auto"/>
              </w:rPr>
            </w:pPr>
            <w:r>
              <w:rPr>
                <w:rFonts w:ascii="Times New Roman" w:cs="Times New Roman" w:eastAsia="Times New Roman" w:hAnsi="Times New Roman"/>
                <w:sz w:val="18"/>
                <w:szCs w:val="18"/>
                <w:color w:val="auto"/>
              </w:rPr>
              <w:t>2003</w:t>
            </w:r>
          </w:p>
        </w:tc>
        <w:tc>
          <w:tcPr>
            <w:tcW w:w="3740" w:type="dxa"/>
            <w:vAlign w:val="bottom"/>
            <w:tcBorders>
              <w:bottom w:val="single" w:sz="8" w:color="808080"/>
            </w:tcBorders>
          </w:tcPr>
          <w:p>
            <w:pPr>
              <w:ind w:left="1140"/>
              <w:spacing w:after="0"/>
              <w:rPr>
                <w:sz w:val="20"/>
                <w:szCs w:val="20"/>
                <w:color w:val="auto"/>
              </w:rPr>
            </w:pPr>
            <w:r>
              <w:rPr>
                <w:rFonts w:ascii="Times New Roman" w:cs="Times New Roman" w:eastAsia="Times New Roman" w:hAnsi="Times New Roman"/>
                <w:sz w:val="18"/>
                <w:szCs w:val="18"/>
                <w:color w:val="auto"/>
              </w:rPr>
              <w:t>Office</w:t>
            </w:r>
          </w:p>
        </w:tc>
        <w:tc>
          <w:tcPr>
            <w:tcW w:w="0" w:type="dxa"/>
            <w:vAlign w:val="bottom"/>
          </w:tcPr>
          <w:p>
            <w:pPr>
              <w:spacing w:after="0"/>
              <w:rPr>
                <w:sz w:val="1"/>
                <w:szCs w:val="1"/>
                <w:color w:val="auto"/>
              </w:rPr>
            </w:pPr>
          </w:p>
        </w:tc>
      </w:tr>
      <w:tr>
        <w:trPr>
          <w:trHeight w:val="340"/>
        </w:trPr>
        <w:tc>
          <w:tcPr>
            <w:tcW w:w="20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Shanghai, China</w:t>
            </w:r>
          </w:p>
        </w:tc>
        <w:tc>
          <w:tcPr>
            <w:tcW w:w="2100" w:type="dxa"/>
            <w:vAlign w:val="bottom"/>
            <w:tcBorders>
              <w:bottom w:val="single" w:sz="8" w:color="808080"/>
            </w:tcBorders>
          </w:tcPr>
          <w:p>
            <w:pPr>
              <w:jc w:val="right"/>
              <w:ind w:right="970"/>
              <w:spacing w:after="0"/>
              <w:rPr>
                <w:sz w:val="20"/>
                <w:szCs w:val="20"/>
                <w:color w:val="auto"/>
              </w:rPr>
            </w:pPr>
            <w:r>
              <w:rPr>
                <w:rFonts w:ascii="Times New Roman" w:cs="Times New Roman" w:eastAsia="Times New Roman" w:hAnsi="Times New Roman"/>
                <w:sz w:val="18"/>
                <w:szCs w:val="18"/>
                <w:color w:val="auto"/>
              </w:rPr>
              <w:t>25,000</w:t>
            </w:r>
          </w:p>
        </w:tc>
        <w:tc>
          <w:tcPr>
            <w:tcW w:w="2540" w:type="dxa"/>
            <w:vAlign w:val="bottom"/>
            <w:tcBorders>
              <w:bottom w:val="single" w:sz="8" w:color="808080"/>
            </w:tcBorders>
          </w:tcPr>
          <w:p>
            <w:pPr>
              <w:jc w:val="right"/>
              <w:ind w:right="1030"/>
              <w:spacing w:after="0"/>
              <w:rPr>
                <w:sz w:val="20"/>
                <w:szCs w:val="20"/>
                <w:color w:val="auto"/>
              </w:rPr>
            </w:pPr>
            <w:r>
              <w:rPr>
                <w:rFonts w:ascii="Times New Roman" w:cs="Times New Roman" w:eastAsia="Times New Roman" w:hAnsi="Times New Roman"/>
                <w:sz w:val="18"/>
                <w:szCs w:val="18"/>
                <w:color w:val="auto"/>
              </w:rPr>
              <w:t>2006</w:t>
            </w:r>
          </w:p>
        </w:tc>
        <w:tc>
          <w:tcPr>
            <w:tcW w:w="3740" w:type="dxa"/>
            <w:vAlign w:val="bottom"/>
            <w:tcBorders>
              <w:bottom w:val="single" w:sz="8" w:color="808080"/>
            </w:tcBorders>
          </w:tcPr>
          <w:p>
            <w:pPr>
              <w:ind w:left="1140"/>
              <w:spacing w:after="0"/>
              <w:rPr>
                <w:sz w:val="20"/>
                <w:szCs w:val="20"/>
                <w:color w:val="auto"/>
              </w:rPr>
            </w:pPr>
            <w:r>
              <w:rPr>
                <w:rFonts w:ascii="Times New Roman" w:cs="Times New Roman" w:eastAsia="Times New Roman" w:hAnsi="Times New Roman"/>
                <w:sz w:val="18"/>
                <w:szCs w:val="18"/>
                <w:color w:val="auto"/>
              </w:rPr>
              <w:t>Office, Warehouse</w:t>
            </w:r>
          </w:p>
        </w:tc>
        <w:tc>
          <w:tcPr>
            <w:tcW w:w="0" w:type="dxa"/>
            <w:vAlign w:val="bottom"/>
          </w:tcPr>
          <w:p>
            <w:pPr>
              <w:spacing w:after="0"/>
              <w:rPr>
                <w:sz w:val="1"/>
                <w:szCs w:val="1"/>
                <w:color w:val="auto"/>
              </w:rPr>
            </w:pPr>
          </w:p>
        </w:tc>
      </w:tr>
      <w:tr>
        <w:trPr>
          <w:trHeight w:val="261"/>
        </w:trPr>
        <w:tc>
          <w:tcPr>
            <w:tcW w:w="2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Shanghai, China</w:t>
            </w:r>
          </w:p>
        </w:tc>
        <w:tc>
          <w:tcPr>
            <w:tcW w:w="210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85,000</w:t>
            </w:r>
          </w:p>
        </w:tc>
        <w:tc>
          <w:tcPr>
            <w:tcW w:w="254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rPr>
              <w:t>2017</w:t>
            </w:r>
          </w:p>
        </w:tc>
        <w:tc>
          <w:tcPr>
            <w:tcW w:w="37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Office, Warehouse,</w:t>
            </w:r>
          </w:p>
        </w:tc>
        <w:tc>
          <w:tcPr>
            <w:tcW w:w="0" w:type="dxa"/>
            <w:vAlign w:val="bottom"/>
          </w:tcPr>
          <w:p>
            <w:pPr>
              <w:spacing w:after="0"/>
              <w:rPr>
                <w:sz w:val="1"/>
                <w:szCs w:val="1"/>
                <w:color w:val="auto"/>
              </w:rPr>
            </w:pPr>
          </w:p>
        </w:tc>
      </w:tr>
      <w:tr>
        <w:trPr>
          <w:trHeight w:val="180"/>
        </w:trPr>
        <w:tc>
          <w:tcPr>
            <w:tcW w:w="206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374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color w:val="auto"/>
              </w:rPr>
              <w:t>Light Assembly</w:t>
            </w:r>
          </w:p>
        </w:tc>
        <w:tc>
          <w:tcPr>
            <w:tcW w:w="0" w:type="dxa"/>
            <w:vAlign w:val="bottom"/>
          </w:tcPr>
          <w:p>
            <w:pPr>
              <w:spacing w:after="0"/>
              <w:rPr>
                <w:sz w:val="1"/>
                <w:szCs w:val="1"/>
                <w:color w:val="auto"/>
              </w:rPr>
            </w:pPr>
          </w:p>
        </w:tc>
      </w:tr>
      <w:tr>
        <w:trPr>
          <w:trHeight w:val="79"/>
        </w:trPr>
        <w:tc>
          <w:tcPr>
            <w:tcW w:w="2060" w:type="dxa"/>
            <w:vAlign w:val="bottom"/>
            <w:tcBorders>
              <w:bottom w:val="single" w:sz="8" w:color="808080"/>
            </w:tcBorders>
          </w:tcPr>
          <w:p>
            <w:pPr>
              <w:spacing w:after="0"/>
              <w:rPr>
                <w:sz w:val="6"/>
                <w:szCs w:val="6"/>
                <w:color w:val="auto"/>
              </w:rPr>
            </w:pPr>
          </w:p>
        </w:tc>
        <w:tc>
          <w:tcPr>
            <w:tcW w:w="2100" w:type="dxa"/>
            <w:vAlign w:val="bottom"/>
            <w:tcBorders>
              <w:bottom w:val="single" w:sz="8" w:color="808080"/>
            </w:tcBorders>
          </w:tcPr>
          <w:p>
            <w:pPr>
              <w:spacing w:after="0"/>
              <w:rPr>
                <w:sz w:val="6"/>
                <w:szCs w:val="6"/>
                <w:color w:val="auto"/>
              </w:rPr>
            </w:pPr>
          </w:p>
        </w:tc>
        <w:tc>
          <w:tcPr>
            <w:tcW w:w="2540" w:type="dxa"/>
            <w:vAlign w:val="bottom"/>
            <w:tcBorders>
              <w:bottom w:val="single" w:sz="8" w:color="808080"/>
            </w:tcBorders>
          </w:tcPr>
          <w:p>
            <w:pPr>
              <w:spacing w:after="0"/>
              <w:rPr>
                <w:sz w:val="6"/>
                <w:szCs w:val="6"/>
                <w:color w:val="auto"/>
              </w:rPr>
            </w:pPr>
          </w:p>
        </w:tc>
        <w:tc>
          <w:tcPr>
            <w:tcW w:w="3740" w:type="dxa"/>
            <w:vAlign w:val="bottom"/>
            <w:tcBorders>
              <w:bottom w:val="single" w:sz="8" w:color="808080"/>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572770</wp:posOffset>
                </wp:positionH>
                <wp:positionV relativeFrom="page">
                  <wp:posOffset>574675</wp:posOffset>
                </wp:positionV>
                <wp:extent cx="66294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1pt,45.25pt" to="567.1pt,45.25pt" o:allowincell="f" strokecolor="#808080" strokeweight="0.5pt">
                <w10:wrap anchorx="page" anchory="page"/>
              </v:line>
            </w:pict>
          </mc:Fallback>
        </mc:AlternateContent>
      </w:r>
    </w:p>
    <w:p>
      <w:pPr>
        <w:ind w:left="180" w:hanging="178"/>
        <w:spacing w:after="0"/>
        <w:tabs>
          <w:tab w:leader="none" w:pos="180" w:val="left"/>
        </w:tabs>
        <w:numPr>
          <w:ilvl w:val="0"/>
          <w:numId w:val="7"/>
        </w:numPr>
        <w:rPr>
          <w:rFonts w:ascii="Times New Roman" w:cs="Times New Roman" w:eastAsia="Times New Roman" w:hAnsi="Times New Roman"/>
          <w:sz w:val="16"/>
          <w:szCs w:val="16"/>
          <w:color w:val="808080"/>
          <w:vertAlign w:val="superscript"/>
        </w:rPr>
      </w:pPr>
      <w:r>
        <w:rPr>
          <w:rFonts w:ascii="Times New Roman" w:cs="Times New Roman" w:eastAsia="Times New Roman" w:hAnsi="Times New Roman"/>
          <w:sz w:val="14"/>
          <w:szCs w:val="14"/>
          <w:color w:val="808080"/>
        </w:rPr>
        <w:t>Date of Acquisition/Build refers to first year of operations and does not refer to subsequent additions or expansions.</w:t>
      </w:r>
    </w:p>
    <w:p>
      <w:pPr>
        <w:spacing w:after="0" w:line="234" w:lineRule="exact"/>
        <w:rPr>
          <w:sz w:val="20"/>
          <w:szCs w:val="20"/>
          <w:color w:val="auto"/>
        </w:rPr>
      </w:pPr>
    </w:p>
    <w:p>
      <w:pPr>
        <w:ind w:right="640"/>
        <w:spacing w:after="0" w:line="454" w:lineRule="auto"/>
        <w:rPr>
          <w:sz w:val="20"/>
          <w:szCs w:val="20"/>
          <w:color w:val="auto"/>
        </w:rPr>
      </w:pPr>
      <w:r>
        <w:rPr>
          <w:rFonts w:ascii="Times New Roman" w:cs="Times New Roman" w:eastAsia="Times New Roman" w:hAnsi="Times New Roman"/>
          <w:sz w:val="17"/>
          <w:szCs w:val="17"/>
          <w:color w:val="auto"/>
        </w:rPr>
        <w:t>In 2021, the Company completed construction of a 36,000 square-foot addition to its main corporate office and manufacturing facility to expand its chemistry lab facilities, with a total cost of approximately $10 million, which was funded from cash and cash equivalents on hand.</w:t>
      </w:r>
    </w:p>
    <w:p>
      <w:pPr>
        <w:spacing w:after="0" w:line="1" w:lineRule="exact"/>
        <w:rPr>
          <w:sz w:val="20"/>
          <w:szCs w:val="20"/>
          <w:color w:val="auto"/>
        </w:rPr>
      </w:pPr>
    </w:p>
    <w:p>
      <w:pPr>
        <w:ind w:right="400"/>
        <w:spacing w:after="0" w:line="410" w:lineRule="auto"/>
        <w:rPr>
          <w:sz w:val="20"/>
          <w:szCs w:val="20"/>
          <w:color w:val="auto"/>
        </w:rPr>
      </w:pPr>
      <w:r>
        <w:rPr>
          <w:rFonts w:ascii="Times New Roman" w:cs="Times New Roman" w:eastAsia="Times New Roman" w:hAnsi="Times New Roman"/>
          <w:sz w:val="17"/>
          <w:szCs w:val="17"/>
          <w:color w:val="auto"/>
        </w:rPr>
        <w:t>Additionally, in the fourth quarter of 2023, the Company completed construction on a 345,000 square-foot manufacturing facility located at a 140 acre site in Zeeland, Michigan, where the Company previously performed master planning and completed land infrastructure improvements. The total cost of the building project was approximately $85 million, which was funded with cash and cash equivalents on hand.</w:t>
      </w:r>
    </w:p>
    <w:p>
      <w:pPr>
        <w:spacing w:after="0" w:line="18" w:lineRule="exact"/>
        <w:rPr>
          <w:sz w:val="20"/>
          <w:szCs w:val="20"/>
          <w:color w:val="auto"/>
        </w:rPr>
      </w:pPr>
    </w:p>
    <w:p>
      <w:pPr>
        <w:ind w:right="400"/>
        <w:spacing w:after="0" w:line="389" w:lineRule="auto"/>
        <w:rPr>
          <w:sz w:val="20"/>
          <w:szCs w:val="20"/>
          <w:color w:val="auto"/>
        </w:rPr>
      </w:pPr>
      <w:r>
        <w:rPr>
          <w:rFonts w:ascii="Times New Roman" w:cs="Times New Roman" w:eastAsia="Times New Roman" w:hAnsi="Times New Roman"/>
          <w:sz w:val="17"/>
          <w:szCs w:val="17"/>
          <w:color w:val="auto"/>
        </w:rPr>
        <w:t>The Company began construction on two building expansions during the second quarter of 2022. The Company is expanding its current distribution center by an additional 300,000 square feet, with a total cost still expected to be approximately $40 - $45 million. The Company is also expanding another of its manufacturing facilities by an additional 60,000 feet, with a total cost still expected to be $20 - $30 million. Both of these expansion projects will be funded with cash and cash equivalents on hand. Both facilities are expected to operational sometime in 2024.</w:t>
      </w:r>
    </w:p>
    <w:p>
      <w:pPr>
        <w:spacing w:after="0" w:line="33" w:lineRule="exact"/>
        <w:rPr>
          <w:sz w:val="20"/>
          <w:szCs w:val="20"/>
          <w:color w:val="auto"/>
        </w:rPr>
      </w:pPr>
    </w:p>
    <w:p>
      <w:pPr>
        <w:ind w:right="340"/>
        <w:spacing w:after="0" w:line="362" w:lineRule="auto"/>
        <w:rPr>
          <w:sz w:val="20"/>
          <w:szCs w:val="20"/>
          <w:color w:val="auto"/>
        </w:rPr>
      </w:pPr>
      <w:r>
        <w:rPr>
          <w:rFonts w:ascii="Times New Roman" w:cs="Times New Roman" w:eastAsia="Times New Roman" w:hAnsi="Times New Roman"/>
          <w:sz w:val="18"/>
          <w:szCs w:val="18"/>
          <w:color w:val="auto"/>
        </w:rPr>
        <w:t>During 2023, the Company began the design and initial build phase of the previously announced Gentex Discovery Preschool, an on-site daycare and preschool designed to provide Company employees with convenient, cost-effective access to quality childcare. Construction is expected to begin in 2024, subject to regulatory approval as a result of wetlands mitigation, with an expected completion date in 2025. The total cost of the building project is expected to be $12 - $15 million, which will be funded with cash and cash equivalents on hand.</w:t>
      </w:r>
    </w:p>
    <w:p>
      <w:pPr>
        <w:spacing w:after="0" w:line="52" w:lineRule="exact"/>
        <w:rPr>
          <w:sz w:val="20"/>
          <w:szCs w:val="20"/>
          <w:color w:val="auto"/>
        </w:rPr>
      </w:pPr>
    </w:p>
    <w:p>
      <w:pPr>
        <w:ind w:right="560"/>
        <w:spacing w:after="0" w:line="437" w:lineRule="auto"/>
        <w:rPr>
          <w:sz w:val="20"/>
          <w:szCs w:val="20"/>
          <w:color w:val="auto"/>
        </w:rPr>
      </w:pPr>
      <w:r>
        <w:rPr>
          <w:rFonts w:ascii="Times New Roman" w:cs="Times New Roman" w:eastAsia="Times New Roman" w:hAnsi="Times New Roman"/>
          <w:sz w:val="18"/>
          <w:szCs w:val="18"/>
          <w:color w:val="auto"/>
        </w:rPr>
        <w:t>The Company also has leased sales and engineering offices throughout North America, Europe, and Asia to support its sales and engineering efforts, as well as a leased manufacturing facility in Grand Rapids, Michigan: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18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3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Leased Offices/Facilities</w:t>
            </w:r>
          </w:p>
        </w:tc>
      </w:tr>
      <w:tr>
        <w:trPr>
          <w:trHeight w:val="340"/>
        </w:trPr>
        <w:tc>
          <w:tcPr>
            <w:tcW w:w="18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40"/>
        </w:trPr>
        <w:tc>
          <w:tcPr>
            <w:tcW w:w="18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3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40"/>
        </w:trPr>
        <w:tc>
          <w:tcPr>
            <w:tcW w:w="18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3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40"/>
        </w:trPr>
        <w:tc>
          <w:tcPr>
            <w:tcW w:w="18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3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40"/>
        </w:trPr>
        <w:tc>
          <w:tcPr>
            <w:tcW w:w="18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Israel</w:t>
            </w:r>
          </w:p>
        </w:tc>
        <w:tc>
          <w:tcPr>
            <w:tcW w:w="3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40"/>
        </w:trPr>
        <w:tc>
          <w:tcPr>
            <w:tcW w:w="18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40"/>
        </w:trPr>
        <w:tc>
          <w:tcPr>
            <w:tcW w:w="18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France</w:t>
            </w:r>
          </w:p>
        </w:tc>
        <w:tc>
          <w:tcPr>
            <w:tcW w:w="3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40"/>
        </w:trPr>
        <w:tc>
          <w:tcPr>
            <w:tcW w:w="18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Sweden</w:t>
            </w:r>
          </w:p>
        </w:tc>
        <w:tc>
          <w:tcPr>
            <w:tcW w:w="3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40"/>
        </w:trPr>
        <w:tc>
          <w:tcPr>
            <w:tcW w:w="18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Korea</w:t>
            </w:r>
          </w:p>
        </w:tc>
        <w:tc>
          <w:tcPr>
            <w:tcW w:w="3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0" w:lineRule="exact"/>
        <w:rPr>
          <w:sz w:val="20"/>
          <w:szCs w:val="20"/>
          <w:color w:val="auto"/>
        </w:rPr>
      </w:pPr>
    </w:p>
    <w:p>
      <w:pPr>
        <w:ind w:right="360"/>
        <w:spacing w:after="0" w:line="439" w:lineRule="auto"/>
        <w:rPr>
          <w:sz w:val="20"/>
          <w:szCs w:val="20"/>
          <w:color w:val="auto"/>
        </w:rPr>
      </w:pPr>
      <w:r>
        <w:rPr>
          <w:rFonts w:ascii="Times New Roman" w:cs="Times New Roman" w:eastAsia="Times New Roman" w:hAnsi="Times New Roman"/>
          <w:sz w:val="18"/>
          <w:szCs w:val="18"/>
          <w:color w:val="auto"/>
        </w:rPr>
        <w:t>The Company’s Automotive Products segment operates in virtually all of the foregoing facilities. The Company’s Other segment operates in certain Zeeland, Michigan facilities, as well as a research and development offices in Salt Lake City, Utah; Santa Clara, CA; Canada; and Israel.</w:t>
      </w:r>
    </w:p>
    <w:p>
      <w:pPr>
        <w:sectPr>
          <w:pgSz w:w="12240" w:h="15840" w:orient="portrait"/>
          <w:cols w:equalWidth="0" w:num="1">
            <w:col w:w="10760"/>
          </w:cols>
          <w:pgMar w:left="900" w:top="97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39</w:t>
      </w:r>
    </w:p>
    <w:p>
      <w:pPr>
        <w:sectPr>
          <w:pgSz w:w="12240" w:h="15840" w:orient="portrait"/>
          <w:cols w:equalWidth="0" w:num="1">
            <w:col w:w="10760"/>
          </w:cols>
          <w:pgMar w:left="900" w:top="970" w:right="580" w:bottom="0" w:gutter="0" w:footer="0" w:header="0"/>
          <w:type w:val="continuous"/>
        </w:sectPr>
      </w:pPr>
    </w:p>
    <w:bookmarkStart w:id="39" w:name="page40"/>
    <w:bookmarkEnd w:id="39"/>
    <w:p>
      <w:pPr>
        <w:ind w:left="320"/>
        <w:spacing w:after="0"/>
        <w:rPr>
          <w:sz w:val="20"/>
          <w:szCs w:val="20"/>
          <w:color w:val="auto"/>
        </w:rPr>
      </w:pPr>
      <w:r>
        <w:rPr>
          <w:rFonts w:ascii="Arial" w:cs="Arial" w:eastAsia="Arial" w:hAnsi="Arial"/>
          <w:sz w:val="22"/>
          <w:szCs w:val="22"/>
          <w:b w:val="1"/>
          <w:bCs w:val="1"/>
          <w:color w:val="4CA5CD"/>
        </w:rPr>
        <w:t>Capacity.</w:t>
      </w:r>
    </w:p>
    <w:p>
      <w:pPr>
        <w:spacing w:after="0" w:line="191" w:lineRule="exact"/>
        <w:rPr>
          <w:sz w:val="20"/>
          <w:szCs w:val="20"/>
          <w:color w:val="auto"/>
        </w:rPr>
      </w:pPr>
    </w:p>
    <w:p>
      <w:pPr>
        <w:ind w:left="320" w:right="280"/>
        <w:spacing w:after="0" w:line="429" w:lineRule="auto"/>
        <w:rPr>
          <w:sz w:val="20"/>
          <w:szCs w:val="20"/>
          <w:color w:val="auto"/>
        </w:rPr>
      </w:pPr>
      <w:r>
        <w:rPr>
          <w:rFonts w:ascii="Times New Roman" w:cs="Times New Roman" w:eastAsia="Times New Roman" w:hAnsi="Times New Roman"/>
          <w:sz w:val="18"/>
          <w:szCs w:val="18"/>
          <w:color w:val="auto"/>
        </w:rPr>
        <w:t>The Company believes its existing and planned facilities are currently suitable, adequate, and have the capacity required for current and near-term planned business. Nevertheless, the Company continues to evaluate longer term facilities needs.</w:t>
      </w:r>
    </w:p>
    <w:p>
      <w:pPr>
        <w:ind w:left="320"/>
        <w:spacing w:after="0" w:line="381" w:lineRule="auto"/>
        <w:rPr>
          <w:sz w:val="20"/>
          <w:szCs w:val="20"/>
          <w:color w:val="auto"/>
        </w:rPr>
      </w:pPr>
      <w:r>
        <w:rPr>
          <w:rFonts w:ascii="Times New Roman" w:cs="Times New Roman" w:eastAsia="Times New Roman" w:hAnsi="Times New Roman"/>
          <w:sz w:val="18"/>
          <w:szCs w:val="18"/>
          <w:color w:val="auto"/>
        </w:rPr>
        <w:t>The Company estimates that it currently has building capacity to manufacture approximately 34 - 37 million interior automatic-dimming mirror units annually, based on current product mix (excluding the impact of the above referenced construction). The Company evaluates equipment capacity on an ongoing basis and adds equipment as needed. In 2023, the Company shipped 31.8 million interior automatic-dimming mirrors.</w:t>
      </w:r>
    </w:p>
    <w:p>
      <w:pPr>
        <w:spacing w:after="0" w:line="34" w:lineRule="exact"/>
        <w:rPr>
          <w:sz w:val="20"/>
          <w:szCs w:val="20"/>
          <w:color w:val="auto"/>
        </w:rPr>
      </w:pPr>
    </w:p>
    <w:p>
      <w:pPr>
        <w:ind w:left="320" w:right="200"/>
        <w:spacing w:after="0" w:line="362" w:lineRule="auto"/>
        <w:rPr>
          <w:sz w:val="20"/>
          <w:szCs w:val="20"/>
          <w:color w:val="auto"/>
        </w:rPr>
      </w:pPr>
      <w:r>
        <w:rPr>
          <w:rFonts w:ascii="Times New Roman" w:cs="Times New Roman" w:eastAsia="Times New Roman" w:hAnsi="Times New Roman"/>
          <w:sz w:val="18"/>
          <w:szCs w:val="18"/>
          <w:color w:val="auto"/>
        </w:rPr>
        <w:t>The Company’s automotive exterior mirror manufacturing facility has an estimated building capacity to manufacture approximately 19 - 22 million units annually, based on the current product mix (excluding the impact of the above referenced construction). The Company evaluates equipment capacity on an ongoing basis and adds equipment as needed. In 2023, the Company shipped approximately 18.8 million exterior automatic-dimming mirrors.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32"/>
          <w:szCs w:val="32"/>
          <w:color w:val="808080"/>
        </w:rPr>
        <w:t xml:space="preserve">Item 3. </w:t>
      </w:r>
      <w:r>
        <w:rPr>
          <w:rFonts w:ascii="Arial" w:cs="Arial" w:eastAsia="Arial" w:hAnsi="Arial"/>
          <w:sz w:val="32"/>
          <w:szCs w:val="32"/>
          <w:color w:val="000000"/>
        </w:rPr>
        <w:t>Legal Proceedings.</w:t>
      </w:r>
    </w:p>
    <w:p>
      <w:pPr>
        <w:spacing w:after="0" w:line="126" w:lineRule="exact"/>
        <w:rPr>
          <w:sz w:val="20"/>
          <w:szCs w:val="20"/>
          <w:color w:val="auto"/>
        </w:rPr>
      </w:pPr>
    </w:p>
    <w:p>
      <w:pPr>
        <w:ind w:left="320" w:right="180"/>
        <w:spacing w:after="0" w:line="353" w:lineRule="auto"/>
        <w:rPr>
          <w:sz w:val="20"/>
          <w:szCs w:val="20"/>
          <w:color w:val="auto"/>
        </w:rPr>
      </w:pPr>
      <w:r>
        <w:rPr>
          <w:rFonts w:ascii="Times New Roman" w:cs="Times New Roman" w:eastAsia="Times New Roman" w:hAnsi="Times New Roman"/>
          <w:sz w:val="18"/>
          <w:szCs w:val="18"/>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any matters that constitute material pending legal proceedings that will have a material adverse effect on the financial position, future results of operations, or cash flows of the Company.</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32"/>
          <w:szCs w:val="32"/>
          <w:color w:val="808080"/>
        </w:rPr>
        <w:t xml:space="preserve">Item 4. </w:t>
      </w:r>
      <w:r>
        <w:rPr>
          <w:rFonts w:ascii="Arial" w:cs="Arial" w:eastAsia="Arial" w:hAnsi="Arial"/>
          <w:sz w:val="32"/>
          <w:szCs w:val="32"/>
          <w:color w:val="000000"/>
        </w:rPr>
        <w:t>Mine Safety Disclosures.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ectPr>
          <w:pgSz w:w="12240" w:h="15840" w:orient="portrait"/>
          <w:cols w:equalWidth="0" w:num="1">
            <w:col w:w="10760"/>
          </w:cols>
          <w:pgMar w:left="580" w:top="83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40</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30" w:right="900" w:bottom="0" w:gutter="0" w:footer="0" w:header="0"/>
          <w:type w:val="continuous"/>
        </w:sectPr>
      </w:pPr>
    </w:p>
    <w:bookmarkStart w:id="40" w:name="page41"/>
    <w:bookmarkEnd w:id="40"/>
    <w:p>
      <w:pPr>
        <w:spacing w:after="0" w:line="237" w:lineRule="auto"/>
        <w:rPr>
          <w:sz w:val="20"/>
          <w:szCs w:val="20"/>
          <w:color w:val="auto"/>
        </w:rPr>
      </w:pPr>
      <w:r>
        <w:rPr>
          <w:rFonts w:ascii="Arial" w:cs="Arial" w:eastAsia="Arial" w:hAnsi="Arial"/>
          <w:sz w:val="32"/>
          <w:szCs w:val="32"/>
          <w:color w:val="808080"/>
        </w:rPr>
        <w:t xml:space="preserve">Item 5. </w:t>
      </w:r>
      <w:r>
        <w:rPr>
          <w:rFonts w:ascii="Arial" w:cs="Arial" w:eastAsia="Arial" w:hAnsi="Arial"/>
          <w:sz w:val="32"/>
          <w:szCs w:val="32"/>
          <w:color w:val="000000"/>
        </w:rPr>
        <w:t>Market for the Registrant’s Common Equity, Related Stockholder Matters and Issuer</w:t>
      </w:r>
      <w:r>
        <w:rPr>
          <w:rFonts w:ascii="Arial" w:cs="Arial" w:eastAsia="Arial" w:hAnsi="Arial"/>
          <w:sz w:val="32"/>
          <w:szCs w:val="32"/>
          <w:color w:val="808080"/>
        </w:rPr>
        <w:t xml:space="preserve"> </w:t>
      </w:r>
      <w:r>
        <w:rPr>
          <w:rFonts w:ascii="Arial" w:cs="Arial" w:eastAsia="Arial" w:hAnsi="Arial"/>
          <w:sz w:val="32"/>
          <w:szCs w:val="32"/>
          <w:color w:val="000000"/>
        </w:rPr>
        <w:t>Purchases of Equity Securities.</w:t>
      </w:r>
    </w:p>
    <w:p>
      <w:pPr>
        <w:spacing w:after="0" w:line="218" w:lineRule="exact"/>
        <w:rPr>
          <w:sz w:val="20"/>
          <w:szCs w:val="20"/>
          <w:color w:val="auto"/>
        </w:rPr>
      </w:pPr>
    </w:p>
    <w:p>
      <w:pPr>
        <w:ind w:right="160" w:firstLine="2"/>
        <w:spacing w:after="0" w:line="376" w:lineRule="auto"/>
        <w:tabs>
          <w:tab w:leader="none" w:pos="267" w:val="left"/>
        </w:tabs>
        <w:numPr>
          <w:ilvl w:val="0"/>
          <w:numId w:val="8"/>
        </w:numPr>
        <w:rPr>
          <w:rFonts w:ascii="Arial" w:cs="Arial" w:eastAsia="Arial" w:hAnsi="Arial"/>
          <w:sz w:val="18"/>
          <w:szCs w:val="18"/>
          <w:b w:val="1"/>
          <w:bCs w:val="1"/>
          <w:color w:val="808080"/>
        </w:rPr>
      </w:pPr>
      <w:r>
        <w:rPr>
          <w:rFonts w:ascii="Times New Roman" w:cs="Times New Roman" w:eastAsia="Times New Roman" w:hAnsi="Times New Roman"/>
          <w:sz w:val="18"/>
          <w:szCs w:val="18"/>
          <w:color w:val="auto"/>
        </w:rPr>
        <w:t>The Company’s common stock trades on The NASDAQ Global Select Market® under the symbol GNTX. As of February 1, 2024, there were 5,005 record-holders of the Company’s common stock and restricted common stock.</w:t>
      </w:r>
    </w:p>
    <w:p>
      <w:pPr>
        <w:spacing w:after="0"/>
        <w:rPr>
          <w:sz w:val="20"/>
          <w:szCs w:val="20"/>
          <w:color w:val="auto"/>
        </w:rPr>
      </w:pPr>
      <w:r>
        <w:rPr>
          <w:rFonts w:ascii="Times New Roman" w:cs="Times New Roman" w:eastAsia="Times New Roman" w:hAnsi="Times New Roman"/>
          <w:sz w:val="18"/>
          <w:szCs w:val="18"/>
          <w:color w:val="auto"/>
        </w:rPr>
        <w:t>See Item 12 of Part III with respect to “Equity Compensation Plan Information”, which is incorporated herein by reference.</w:t>
      </w:r>
    </w:p>
    <w:p>
      <w:pPr>
        <w:spacing w:after="0" w:line="253" w:lineRule="exact"/>
        <w:rPr>
          <w:sz w:val="20"/>
          <w:szCs w:val="20"/>
          <w:color w:val="auto"/>
        </w:rPr>
      </w:pPr>
    </w:p>
    <w:p>
      <w:pPr>
        <w:spacing w:after="0" w:line="381" w:lineRule="auto"/>
        <w:rPr>
          <w:sz w:val="20"/>
          <w:szCs w:val="20"/>
          <w:color w:val="auto"/>
        </w:rPr>
      </w:pPr>
      <w:r>
        <w:rPr>
          <w:rFonts w:ascii="Times New Roman" w:cs="Times New Roman" w:eastAsia="Times New Roman" w:hAnsi="Times New Roman"/>
          <w:sz w:val="18"/>
          <w:szCs w:val="18"/>
          <w:color w:val="auto"/>
        </w:rPr>
        <w:t>Stock Performance Graph: The following graph depicts the cumulative total return on the Company’s common stock compared to the cumulative total return on the NASDAQ Composite Index (all U.S. companies) and the Dow Jones U.S. Auto Parts Index (excluding tire and rubber makers). The graph assumes an investment of $100 on the last trading day of 2018 and reinvestment of dividends in all cases.</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69"/>
        </w:trPr>
        <w:tc>
          <w:tcPr>
            <w:tcW w:w="220" w:type="dxa"/>
            <w:vAlign w:val="bottom"/>
          </w:tcPr>
          <w:p>
            <w:pPr>
              <w:spacing w:after="0"/>
              <w:rPr>
                <w:sz w:val="23"/>
                <w:szCs w:val="23"/>
                <w:color w:val="auto"/>
              </w:rPr>
            </w:pPr>
          </w:p>
        </w:tc>
        <w:tc>
          <w:tcPr>
            <w:tcW w:w="4460" w:type="dxa"/>
            <w:vAlign w:val="bottom"/>
          </w:tcPr>
          <w:p>
            <w:pPr>
              <w:jc w:val="right"/>
              <w:ind w:right="3960"/>
              <w:spacing w:after="0"/>
              <w:rPr>
                <w:sz w:val="20"/>
                <w:szCs w:val="20"/>
                <w:color w:val="auto"/>
              </w:rPr>
            </w:pPr>
            <w:r>
              <w:rPr>
                <w:rFonts w:ascii="Times New Roman" w:cs="Times New Roman" w:eastAsia="Times New Roman" w:hAnsi="Times New Roman"/>
                <w:sz w:val="16"/>
                <w:szCs w:val="16"/>
                <w:color w:val="auto"/>
              </w:rPr>
              <w:t>$275</w:t>
            </w:r>
          </w:p>
        </w:tc>
        <w:tc>
          <w:tcPr>
            <w:tcW w:w="5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220" w:type="dxa"/>
            <w:vAlign w:val="bottom"/>
          </w:tcPr>
          <w:p>
            <w:pPr>
              <w:spacing w:after="0"/>
              <w:rPr>
                <w:sz w:val="24"/>
                <w:szCs w:val="24"/>
                <w:color w:val="auto"/>
              </w:rPr>
            </w:pPr>
          </w:p>
        </w:tc>
        <w:tc>
          <w:tcPr>
            <w:tcW w:w="4460" w:type="dxa"/>
            <w:vAlign w:val="bottom"/>
          </w:tcPr>
          <w:p>
            <w:pPr>
              <w:jc w:val="right"/>
              <w:ind w:right="3960"/>
              <w:spacing w:after="0"/>
              <w:rPr>
                <w:sz w:val="20"/>
                <w:szCs w:val="20"/>
                <w:color w:val="auto"/>
              </w:rPr>
            </w:pPr>
            <w:r>
              <w:rPr>
                <w:rFonts w:ascii="Times New Roman" w:cs="Times New Roman" w:eastAsia="Times New Roman" w:hAnsi="Times New Roman"/>
                <w:sz w:val="16"/>
                <w:szCs w:val="16"/>
                <w:color w:val="auto"/>
              </w:rPr>
              <w:t>$250</w:t>
            </w:r>
          </w:p>
        </w:tc>
        <w:tc>
          <w:tcPr>
            <w:tcW w:w="5720" w:type="dxa"/>
            <w:vAlign w:val="bottom"/>
          </w:tcPr>
          <w:p>
            <w:pPr>
              <w:ind w:left="4040"/>
              <w:spacing w:after="0"/>
              <w:rPr>
                <w:sz w:val="20"/>
                <w:szCs w:val="20"/>
                <w:color w:val="auto"/>
              </w:rPr>
            </w:pPr>
            <w:r>
              <w:rPr>
                <w:rFonts w:ascii="Times New Roman" w:cs="Times New Roman" w:eastAsia="Times New Roman" w:hAnsi="Times New Roman"/>
                <w:sz w:val="16"/>
                <w:szCs w:val="16"/>
                <w:color w:val="auto"/>
              </w:rPr>
              <w:t>NASDAQ Composite</w:t>
            </w:r>
          </w:p>
        </w:tc>
        <w:tc>
          <w:tcPr>
            <w:tcW w:w="0" w:type="dxa"/>
            <w:vAlign w:val="bottom"/>
          </w:tcPr>
          <w:p>
            <w:pPr>
              <w:spacing w:after="0"/>
              <w:rPr>
                <w:sz w:val="1"/>
                <w:szCs w:val="1"/>
                <w:color w:val="auto"/>
              </w:rPr>
            </w:pPr>
          </w:p>
        </w:tc>
      </w:tr>
      <w:tr>
        <w:trPr>
          <w:trHeight w:val="413"/>
        </w:trPr>
        <w:tc>
          <w:tcPr>
            <w:tcW w:w="220" w:type="dxa"/>
            <w:vAlign w:val="bottom"/>
          </w:tcPr>
          <w:p>
            <w:pPr>
              <w:spacing w:after="0"/>
              <w:rPr>
                <w:sz w:val="24"/>
                <w:szCs w:val="24"/>
                <w:color w:val="auto"/>
              </w:rPr>
            </w:pPr>
          </w:p>
        </w:tc>
        <w:tc>
          <w:tcPr>
            <w:tcW w:w="4460" w:type="dxa"/>
            <w:vAlign w:val="bottom"/>
          </w:tcPr>
          <w:p>
            <w:pPr>
              <w:jc w:val="right"/>
              <w:ind w:right="3960"/>
              <w:spacing w:after="0"/>
              <w:rPr>
                <w:sz w:val="20"/>
                <w:szCs w:val="20"/>
                <w:color w:val="auto"/>
              </w:rPr>
            </w:pPr>
            <w:r>
              <w:rPr>
                <w:rFonts w:ascii="Times New Roman" w:cs="Times New Roman" w:eastAsia="Times New Roman" w:hAnsi="Times New Roman"/>
                <w:sz w:val="16"/>
                <w:szCs w:val="16"/>
                <w:color w:val="auto"/>
              </w:rPr>
              <w:t>$225</w:t>
            </w:r>
          </w:p>
        </w:tc>
        <w:tc>
          <w:tcPr>
            <w:tcW w:w="5720" w:type="dxa"/>
            <w:vAlign w:val="bottom"/>
          </w:tcPr>
          <w:p>
            <w:pPr>
              <w:ind w:left="4040"/>
              <w:spacing w:after="0"/>
              <w:rPr>
                <w:sz w:val="20"/>
                <w:szCs w:val="20"/>
                <w:color w:val="auto"/>
              </w:rPr>
            </w:pPr>
            <w:r>
              <w:rPr>
                <w:rFonts w:ascii="Times New Roman" w:cs="Times New Roman" w:eastAsia="Times New Roman" w:hAnsi="Times New Roman"/>
                <w:sz w:val="16"/>
                <w:szCs w:val="16"/>
                <w:color w:val="auto"/>
                <w:w w:val="99"/>
              </w:rPr>
              <w:t>Dow Jones US Auto Parts</w:t>
            </w:r>
          </w:p>
        </w:tc>
        <w:tc>
          <w:tcPr>
            <w:tcW w:w="0" w:type="dxa"/>
            <w:vAlign w:val="bottom"/>
          </w:tcPr>
          <w:p>
            <w:pPr>
              <w:spacing w:after="0"/>
              <w:rPr>
                <w:sz w:val="1"/>
                <w:szCs w:val="1"/>
                <w:color w:val="auto"/>
              </w:rPr>
            </w:pPr>
          </w:p>
        </w:tc>
      </w:tr>
      <w:tr>
        <w:trPr>
          <w:trHeight w:val="413"/>
        </w:trPr>
        <w:tc>
          <w:tcPr>
            <w:tcW w:w="220" w:type="dxa"/>
            <w:vAlign w:val="bottom"/>
          </w:tcPr>
          <w:p>
            <w:pPr>
              <w:spacing w:after="0"/>
              <w:rPr>
                <w:sz w:val="24"/>
                <w:szCs w:val="24"/>
                <w:color w:val="auto"/>
              </w:rPr>
            </w:pPr>
          </w:p>
        </w:tc>
        <w:tc>
          <w:tcPr>
            <w:tcW w:w="4460" w:type="dxa"/>
            <w:vAlign w:val="bottom"/>
          </w:tcPr>
          <w:p>
            <w:pPr>
              <w:jc w:val="right"/>
              <w:ind w:right="3960"/>
              <w:spacing w:after="0"/>
              <w:rPr>
                <w:sz w:val="20"/>
                <w:szCs w:val="20"/>
                <w:color w:val="auto"/>
              </w:rPr>
            </w:pPr>
            <w:r>
              <w:rPr>
                <w:rFonts w:ascii="Times New Roman" w:cs="Times New Roman" w:eastAsia="Times New Roman" w:hAnsi="Times New Roman"/>
                <w:sz w:val="16"/>
                <w:szCs w:val="16"/>
                <w:color w:val="auto"/>
              </w:rPr>
              <w:t>$200</w:t>
            </w:r>
          </w:p>
        </w:tc>
        <w:tc>
          <w:tcPr>
            <w:tcW w:w="5720" w:type="dxa"/>
            <w:vAlign w:val="bottom"/>
          </w:tcPr>
          <w:p>
            <w:pPr>
              <w:ind w:left="4040"/>
              <w:spacing w:after="0"/>
              <w:rPr>
                <w:sz w:val="20"/>
                <w:szCs w:val="20"/>
                <w:color w:val="auto"/>
              </w:rPr>
            </w:pPr>
            <w:r>
              <w:rPr>
                <w:rFonts w:ascii="Times New Roman" w:cs="Times New Roman" w:eastAsia="Times New Roman" w:hAnsi="Times New Roman"/>
                <w:sz w:val="16"/>
                <w:szCs w:val="16"/>
                <w:color w:val="auto"/>
              </w:rPr>
              <w:t>Gentex Corporation</w:t>
            </w:r>
          </w:p>
        </w:tc>
        <w:tc>
          <w:tcPr>
            <w:tcW w:w="0" w:type="dxa"/>
            <w:vAlign w:val="bottom"/>
          </w:tcPr>
          <w:p>
            <w:pPr>
              <w:spacing w:after="0"/>
              <w:rPr>
                <w:sz w:val="1"/>
                <w:szCs w:val="1"/>
                <w:color w:val="auto"/>
              </w:rPr>
            </w:pPr>
          </w:p>
        </w:tc>
      </w:tr>
      <w:tr>
        <w:trPr>
          <w:trHeight w:val="379"/>
        </w:trPr>
        <w:tc>
          <w:tcPr>
            <w:tcW w:w="220" w:type="dxa"/>
            <w:vAlign w:val="bottom"/>
            <w:vMerge w:val="restart"/>
            <w:textDirection w:val="btLr"/>
          </w:tcPr>
          <w:p>
            <w:pPr>
              <w:spacing w:after="0"/>
              <w:rPr>
                <w:sz w:val="20"/>
                <w:szCs w:val="20"/>
                <w:color w:val="auto"/>
              </w:rPr>
            </w:pPr>
            <w:r>
              <w:rPr>
                <w:rFonts w:ascii="Arial" w:cs="Arial" w:eastAsia="Arial" w:hAnsi="Arial"/>
                <w:sz w:val="13"/>
                <w:szCs w:val="13"/>
                <w:b w:val="1"/>
                <w:bCs w:val="1"/>
                <w:color w:val="808080"/>
                <w:w w:val="92"/>
              </w:rPr>
              <w:t>Value</w:t>
            </w:r>
          </w:p>
        </w:tc>
        <w:tc>
          <w:tcPr>
            <w:tcW w:w="4460" w:type="dxa"/>
            <w:vAlign w:val="bottom"/>
          </w:tcPr>
          <w:p>
            <w:pPr>
              <w:jc w:val="right"/>
              <w:ind w:right="3960"/>
              <w:spacing w:after="0"/>
              <w:rPr>
                <w:sz w:val="20"/>
                <w:szCs w:val="20"/>
                <w:color w:val="auto"/>
              </w:rPr>
            </w:pPr>
            <w:r>
              <w:rPr>
                <w:rFonts w:ascii="Times New Roman" w:cs="Times New Roman" w:eastAsia="Times New Roman" w:hAnsi="Times New Roman"/>
                <w:sz w:val="16"/>
                <w:szCs w:val="16"/>
                <w:color w:val="auto"/>
              </w:rPr>
              <w:t>$175</w:t>
            </w: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20" w:type="dxa"/>
            <w:vAlign w:val="bottom"/>
            <w:vMerge w:val="continue"/>
          </w:tcPr>
          <w:p>
            <w:pPr>
              <w:spacing w:after="0"/>
              <w:rPr>
                <w:sz w:val="22"/>
                <w:szCs w:val="22"/>
                <w:color w:val="auto"/>
              </w:rPr>
            </w:pPr>
          </w:p>
        </w:tc>
        <w:tc>
          <w:tcPr>
            <w:tcW w:w="4460" w:type="dxa"/>
            <w:vAlign w:val="bottom"/>
            <w:vMerge w:val="restart"/>
          </w:tcPr>
          <w:p>
            <w:pPr>
              <w:jc w:val="right"/>
              <w:ind w:right="3960"/>
              <w:spacing w:after="0"/>
              <w:rPr>
                <w:sz w:val="20"/>
                <w:szCs w:val="20"/>
                <w:color w:val="auto"/>
              </w:rPr>
            </w:pPr>
            <w:r>
              <w:rPr>
                <w:rFonts w:ascii="Times New Roman" w:cs="Times New Roman" w:eastAsia="Times New Roman" w:hAnsi="Times New Roman"/>
                <w:sz w:val="16"/>
                <w:szCs w:val="16"/>
                <w:color w:val="auto"/>
              </w:rPr>
              <w:t>$150</w:t>
            </w:r>
          </w:p>
        </w:tc>
        <w:tc>
          <w:tcPr>
            <w:tcW w:w="5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20" w:type="dxa"/>
            <w:vAlign w:val="bottom"/>
            <w:vMerge w:val="restart"/>
            <w:textDirection w:val="btLr"/>
          </w:tcPr>
          <w:p>
            <w:pPr>
              <w:spacing w:after="0"/>
              <w:rPr>
                <w:sz w:val="20"/>
                <w:szCs w:val="20"/>
                <w:color w:val="auto"/>
              </w:rPr>
            </w:pPr>
            <w:r>
              <w:rPr>
                <w:rFonts w:ascii="Arial" w:cs="Arial" w:eastAsia="Arial" w:hAnsi="Arial"/>
                <w:sz w:val="13"/>
                <w:szCs w:val="13"/>
                <w:b w:val="1"/>
                <w:bCs w:val="1"/>
                <w:color w:val="808080"/>
                <w:w w:val="90"/>
              </w:rPr>
              <w:t>Stock</w:t>
            </w:r>
          </w:p>
        </w:tc>
        <w:tc>
          <w:tcPr>
            <w:tcW w:w="4460" w:type="dxa"/>
            <w:vAlign w:val="bottom"/>
            <w:vMerge w:val="continue"/>
          </w:tcPr>
          <w:p>
            <w:pPr>
              <w:spacing w:after="0"/>
              <w:rPr>
                <w:sz w:val="14"/>
                <w:szCs w:val="14"/>
                <w:color w:val="auto"/>
              </w:rPr>
            </w:pPr>
          </w:p>
        </w:tc>
        <w:tc>
          <w:tcPr>
            <w:tcW w:w="5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20" w:type="dxa"/>
            <w:vAlign w:val="bottom"/>
            <w:vMerge w:val="continue"/>
          </w:tcPr>
          <w:p>
            <w:pPr>
              <w:spacing w:after="0"/>
              <w:rPr>
                <w:sz w:val="15"/>
                <w:szCs w:val="15"/>
                <w:color w:val="auto"/>
              </w:rPr>
            </w:pPr>
          </w:p>
        </w:tc>
        <w:tc>
          <w:tcPr>
            <w:tcW w:w="4460" w:type="dxa"/>
            <w:vAlign w:val="bottom"/>
            <w:vMerge w:val="restart"/>
          </w:tcPr>
          <w:p>
            <w:pPr>
              <w:jc w:val="right"/>
              <w:ind w:right="3960"/>
              <w:spacing w:after="0"/>
              <w:rPr>
                <w:sz w:val="20"/>
                <w:szCs w:val="20"/>
                <w:color w:val="auto"/>
              </w:rPr>
            </w:pPr>
            <w:r>
              <w:rPr>
                <w:rFonts w:ascii="Times New Roman" w:cs="Times New Roman" w:eastAsia="Times New Roman" w:hAnsi="Times New Roman"/>
                <w:sz w:val="16"/>
                <w:szCs w:val="16"/>
                <w:color w:val="auto"/>
              </w:rPr>
              <w:t>$125</w:t>
            </w:r>
          </w:p>
        </w:tc>
        <w:tc>
          <w:tcPr>
            <w:tcW w:w="5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4460" w:type="dxa"/>
            <w:vAlign w:val="bottom"/>
            <w:vMerge w:val="continue"/>
          </w:tcPr>
          <w:p>
            <w:pPr>
              <w:spacing w:after="0"/>
              <w:rPr>
                <w:sz w:val="21"/>
                <w:szCs w:val="21"/>
                <w:color w:val="auto"/>
              </w:rPr>
            </w:pPr>
          </w:p>
        </w:tc>
        <w:tc>
          <w:tcPr>
            <w:tcW w:w="5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-1713230</wp:posOffset>
            </wp:positionV>
            <wp:extent cx="5014595" cy="27254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3">
                      <a:extLst>
                        <a:ext uri="{28A0092B-C50C-407E-A947-70E740481C1C}"/>
                      </a:extLst>
                    </a:blip>
                    <a:srcRect/>
                    <a:stretch>
                      <a:fillRect/>
                    </a:stretch>
                  </pic:blipFill>
                  <pic:spPr bwMode="auto">
                    <a:xfrm>
                      <a:off x="0" y="0"/>
                      <a:ext cx="5014595" cy="2725420"/>
                    </a:xfrm>
                    <a:prstGeom prst="rect">
                      <a:avLst/>
                    </a:prstGeom>
                    <a:noFill/>
                  </pic:spPr>
                </pic:pic>
              </a:graphicData>
            </a:graphic>
          </wp:anchor>
        </w:drawing>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$100</w:t>
      </w:r>
    </w:p>
    <w:p>
      <w:pPr>
        <w:spacing w:after="0" w:line="2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$75</w:t>
      </w:r>
    </w:p>
    <w:p>
      <w:pPr>
        <w:spacing w:after="0" w:line="2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$50</w:t>
      </w:r>
    </w:p>
    <w:p>
      <w:pPr>
        <w:spacing w:after="0" w:line="2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$25</w:t>
      </w:r>
    </w:p>
    <w:p>
      <w:pPr>
        <w:spacing w:after="0" w:line="42" w:lineRule="exact"/>
        <w:rPr>
          <w:sz w:val="20"/>
          <w:szCs w:val="20"/>
          <w:color w:val="auto"/>
        </w:rPr>
      </w:pPr>
    </w:p>
    <w:tbl>
      <w:tblPr>
        <w:tblLayout w:type="fixed"/>
        <w:tblInd w:w="820" w:type="dxa"/>
        <w:tblCellMar>
          <w:top w:w="0" w:type="dxa"/>
          <w:left w:w="0" w:type="dxa"/>
          <w:bottom w:w="0" w:type="dxa"/>
          <w:right w:w="0" w:type="dxa"/>
        </w:tblCellMar>
      </w:tblPr>
      <w:tr>
        <w:trPr>
          <w:trHeight w:val="401"/>
        </w:trPr>
        <w:tc>
          <w:tcPr>
            <w:tcW w:w="24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12.18</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193.</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196.</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9.19</w:t>
            </w:r>
          </w:p>
        </w:tc>
        <w:tc>
          <w:tcPr>
            <w:tcW w:w="38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1912.</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3.20</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206.</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209.</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2012.</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3.21</w:t>
            </w:r>
          </w:p>
        </w:tc>
        <w:tc>
          <w:tcPr>
            <w:tcW w:w="38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6.21</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219.</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12.21</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3.22</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226.</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229.</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12.22</w:t>
            </w:r>
          </w:p>
        </w:tc>
        <w:tc>
          <w:tcPr>
            <w:tcW w:w="38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233.</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6.23</w:t>
            </w:r>
          </w:p>
        </w:tc>
        <w:tc>
          <w:tcPr>
            <w:tcW w:w="360" w:type="dxa"/>
            <w:vAlign w:val="bottom"/>
            <w:textDirection w:val="btLr"/>
          </w:tcPr>
          <w:p>
            <w:pPr>
              <w:spacing w:after="0"/>
              <w:rPr>
                <w:sz w:val="20"/>
                <w:szCs w:val="20"/>
                <w:color w:val="auto"/>
              </w:rPr>
            </w:pPr>
            <w:r>
              <w:rPr>
                <w:rFonts w:ascii="Times New Roman" w:cs="Times New Roman" w:eastAsia="Times New Roman" w:hAnsi="Times New Roman"/>
                <w:sz w:val="16"/>
                <w:szCs w:val="16"/>
                <w:color w:val="auto"/>
                <w:w w:val="99"/>
              </w:rPr>
              <w:t>239.</w:t>
            </w:r>
          </w:p>
        </w:tc>
        <w:tc>
          <w:tcPr>
            <w:tcW w:w="240" w:type="dxa"/>
            <w:vAlign w:val="bottom"/>
            <w:textDirection w:val="btLr"/>
          </w:tcPr>
          <w:p>
            <w:pPr>
              <w:spacing w:after="0" w:line="182" w:lineRule="auto"/>
              <w:rPr>
                <w:sz w:val="20"/>
                <w:szCs w:val="20"/>
                <w:color w:val="auto"/>
              </w:rPr>
            </w:pPr>
            <w:r>
              <w:rPr>
                <w:rFonts w:ascii="Times New Roman" w:cs="Times New Roman" w:eastAsia="Times New Roman" w:hAnsi="Times New Roman"/>
                <w:sz w:val="18"/>
                <w:szCs w:val="18"/>
                <w:color w:val="auto"/>
                <w:w w:val="98"/>
              </w:rPr>
              <w:t>2312.</w:t>
            </w:r>
          </w:p>
        </w:tc>
      </w:tr>
      <w:tr>
        <w:trPr>
          <w:trHeight w:val="264"/>
        </w:trPr>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3"/>
                <w:szCs w:val="13"/>
                <w:b w:val="1"/>
                <w:bCs w:val="1"/>
                <w:color w:val="808080"/>
              </w:rPr>
              <w:t>Period Ending</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r>
    </w:tbl>
    <w:p>
      <w:pPr>
        <w:spacing w:after="0" w:line="150" w:lineRule="exact"/>
        <w:rPr>
          <w:sz w:val="20"/>
          <w:szCs w:val="20"/>
          <w:color w:val="auto"/>
        </w:rPr>
      </w:pPr>
    </w:p>
    <w:p>
      <w:pPr>
        <w:ind w:right="340"/>
        <w:spacing w:after="0" w:line="362" w:lineRule="auto"/>
        <w:rPr>
          <w:sz w:val="20"/>
          <w:szCs w:val="20"/>
          <w:color w:val="auto"/>
        </w:rPr>
      </w:pPr>
      <w:r>
        <w:rPr>
          <w:rFonts w:ascii="Times New Roman" w:cs="Times New Roman" w:eastAsia="Times New Roman" w:hAnsi="Times New Roman"/>
          <w:sz w:val="18"/>
          <w:szCs w:val="18"/>
          <w:color w:val="auto"/>
        </w:rPr>
        <w:t>In February 2022, the Board approved a continuing resolution to pay a quarterly dividend at a rate of $0.120 per share until the Board takes other action with respect to the payment of dividends. The Company intends to continue to pay a quarterly cash dividend and will consider future dividend rate adjustments based on the Company’s financial condition, profitability, cash flow, liquidity and other relevant business factors.</w:t>
      </w:r>
    </w:p>
    <w:p>
      <w:pPr>
        <w:spacing w:after="0" w:line="142" w:lineRule="exact"/>
        <w:rPr>
          <w:sz w:val="20"/>
          <w:szCs w:val="20"/>
          <w:color w:val="auto"/>
        </w:rPr>
      </w:pPr>
    </w:p>
    <w:p>
      <w:pPr>
        <w:ind w:left="260" w:hanging="258"/>
        <w:spacing w:after="0"/>
        <w:tabs>
          <w:tab w:leader="none" w:pos="260" w:val="left"/>
        </w:tabs>
        <w:numPr>
          <w:ilvl w:val="0"/>
          <w:numId w:val="9"/>
        </w:numPr>
        <w:rPr>
          <w:rFonts w:ascii="Arial" w:cs="Arial" w:eastAsia="Arial" w:hAnsi="Arial"/>
          <w:sz w:val="18"/>
          <w:szCs w:val="18"/>
          <w:b w:val="1"/>
          <w:bCs w:val="1"/>
          <w:color w:val="808080"/>
        </w:rPr>
      </w:pPr>
      <w:r>
        <w:rPr>
          <w:rFonts w:ascii="Times New Roman" w:cs="Times New Roman" w:eastAsia="Times New Roman" w:hAnsi="Times New Roman"/>
          <w:sz w:val="18"/>
          <w:szCs w:val="18"/>
          <w:color w:val="auto"/>
        </w:rPr>
        <w:t>Not applicable.</w:t>
      </w:r>
    </w:p>
    <w:p>
      <w:pPr>
        <w:spacing w:after="0" w:line="252" w:lineRule="exact"/>
        <w:rPr>
          <w:rFonts w:ascii="Arial" w:cs="Arial" w:eastAsia="Arial" w:hAnsi="Arial"/>
          <w:sz w:val="18"/>
          <w:szCs w:val="18"/>
          <w:b w:val="1"/>
          <w:bCs w:val="1"/>
          <w:color w:val="808080"/>
        </w:rPr>
      </w:pPr>
    </w:p>
    <w:p>
      <w:pPr>
        <w:ind w:right="20" w:firstLine="2"/>
        <w:spacing w:after="0" w:line="350" w:lineRule="auto"/>
        <w:tabs>
          <w:tab w:leader="none" w:pos="268" w:val="left"/>
        </w:tabs>
        <w:numPr>
          <w:ilvl w:val="0"/>
          <w:numId w:val="9"/>
        </w:numPr>
        <w:rPr>
          <w:rFonts w:ascii="Arial" w:cs="Arial" w:eastAsia="Arial" w:hAnsi="Arial"/>
          <w:sz w:val="18"/>
          <w:szCs w:val="18"/>
          <w:b w:val="1"/>
          <w:bCs w:val="1"/>
          <w:color w:val="808080"/>
        </w:rPr>
      </w:pPr>
      <w:r>
        <w:rPr>
          <w:rFonts w:ascii="Times New Roman" w:cs="Times New Roman" w:eastAsia="Times New Roman" w:hAnsi="Times New Roman"/>
          <w:sz w:val="18"/>
          <w:szCs w:val="18"/>
          <w:color w:val="auto"/>
        </w:rPr>
        <w:t>The Company has in place and has announced a share repurchase plan. As previously disclosed, the Company may purchase authorized shares of its common stock under the plan based on a number of factors, including: market, economic, and industry conditions; the market price of the Company’s common stock; anti-dilutive effect on earnings; available cash; and other factors that the Company deems appropriate. The plan does not have an expiration date, but the Board of Directors reviews such plan periodically.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share repurchase activity during 2023:</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20"/>
        </w:trPr>
        <w:tc>
          <w:tcPr>
            <w:tcW w:w="230" w:type="dxa"/>
            <w:vAlign w:val="bottom"/>
            <w:textDirection w:val="btLr"/>
          </w:tcPr>
          <w:p>
            <w:pPr>
              <w:spacing w:after="0"/>
              <w:rPr>
                <w:sz w:val="20"/>
                <w:szCs w:val="20"/>
                <w:color w:val="auto"/>
              </w:rPr>
            </w:pPr>
            <w:r>
              <w:rPr>
                <w:rFonts w:ascii="Arial" w:cs="Arial" w:eastAsia="Arial" w:hAnsi="Arial"/>
                <w:sz w:val="20"/>
                <w:szCs w:val="20"/>
                <w:color w:val="FFFFFF"/>
              </w:rPr>
              <w:t>10-K PART 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-875665</wp:posOffset>
            </wp:positionV>
            <wp:extent cx="384175" cy="1002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4">
                      <a:extLst>
                        <a:ext uri="{28A0092B-C50C-407E-A947-70E740481C1C}"/>
                      </a:extLst>
                    </a:blip>
                    <a:srcRect/>
                    <a:stretch>
                      <a:fillRect/>
                    </a:stretch>
                  </pic:blipFill>
                  <pic:spPr bwMode="auto">
                    <a:xfrm>
                      <a:off x="0" y="0"/>
                      <a:ext cx="384175" cy="1002030"/>
                    </a:xfrm>
                    <a:prstGeom prst="rect">
                      <a:avLst/>
                    </a:prstGeom>
                    <a:noFill/>
                  </pic:spPr>
                </pic:pic>
              </a:graphicData>
            </a:graphic>
          </wp:anchor>
        </w:drawing>
      </w:r>
    </w:p>
    <w:p>
      <w:pPr>
        <w:spacing w:after="0" w:line="10441" w:lineRule="exact"/>
        <w:rPr>
          <w:sz w:val="20"/>
          <w:szCs w:val="20"/>
          <w:color w:val="auto"/>
        </w:rPr>
      </w:pPr>
    </w:p>
    <w:p>
      <w:pPr>
        <w:sectPr>
          <w:pgSz w:w="12240" w:h="15840" w:orient="portrait"/>
          <w:cols w:equalWidth="0" w:num="2">
            <w:col w:w="10420" w:space="558"/>
            <w:col w:w="230"/>
          </w:cols>
          <w:pgMar w:left="900" w:top="859" w:right="132"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41</w:t>
      </w:r>
    </w:p>
    <w:p>
      <w:pPr>
        <w:sectPr>
          <w:pgSz w:w="12240" w:h="15840" w:orient="portrait"/>
          <w:cols w:equalWidth="0" w:num="1">
            <w:col w:w="11208"/>
          </w:cols>
          <w:pgMar w:left="900" w:top="859" w:right="132" w:bottom="0" w:gutter="0" w:footer="0" w:header="0"/>
          <w:type w:val="continuous"/>
        </w:sectPr>
      </w:pPr>
    </w:p>
    <w:bookmarkStart w:id="41" w:name="page42"/>
    <w:bookmarkEnd w:id="4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Issuer Purchase of Equity Securities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203200</wp:posOffset>
                </wp:positionH>
                <wp:positionV relativeFrom="paragraph">
                  <wp:posOffset>55245</wp:posOffset>
                </wp:positionV>
                <wp:extent cx="66294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pt,4.35pt" to="538pt,4.35pt" o:allowincell="f" strokecolor="#808080" strokeweight="0.5pt"/>
            </w:pict>
          </mc:Fallback>
        </mc:AlternateConten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240"/>
        </w:trPr>
        <w:tc>
          <w:tcPr>
            <w:tcW w:w="1780" w:type="dxa"/>
            <w:vAlign w:val="bottom"/>
          </w:tcPr>
          <w:p>
            <w:pPr>
              <w:spacing w:after="0"/>
              <w:rPr>
                <w:sz w:val="20"/>
                <w:szCs w:val="20"/>
                <w:color w:val="auto"/>
              </w:rPr>
            </w:pPr>
          </w:p>
        </w:tc>
        <w:tc>
          <w:tcPr>
            <w:tcW w:w="22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7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Maximum Number of Shares</w:t>
            </w:r>
          </w:p>
        </w:tc>
        <w:tc>
          <w:tcPr>
            <w:tcW w:w="0" w:type="dxa"/>
            <w:vAlign w:val="bottom"/>
          </w:tcPr>
          <w:p>
            <w:pPr>
              <w:spacing w:after="0"/>
              <w:rPr>
                <w:sz w:val="1"/>
                <w:szCs w:val="1"/>
                <w:color w:val="auto"/>
              </w:rPr>
            </w:pPr>
          </w:p>
        </w:tc>
      </w:tr>
      <w:tr>
        <w:trPr>
          <w:trHeight w:val="120"/>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20" w:type="dxa"/>
            <w:vAlign w:val="bottom"/>
            <w:gridSpan w:val="2"/>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Purchased As Part of a</w:t>
            </w:r>
          </w:p>
        </w:tc>
        <w:tc>
          <w:tcPr>
            <w:tcW w:w="2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That May Yet Be Purchased</w:t>
            </w:r>
          </w:p>
        </w:tc>
        <w:tc>
          <w:tcPr>
            <w:tcW w:w="0" w:type="dxa"/>
            <w:vAlign w:val="bottom"/>
          </w:tcPr>
          <w:p>
            <w:pPr>
              <w:spacing w:after="0"/>
              <w:rPr>
                <w:sz w:val="1"/>
                <w:szCs w:val="1"/>
                <w:color w:val="auto"/>
              </w:rPr>
            </w:pPr>
          </w:p>
        </w:tc>
      </w:tr>
      <w:tr>
        <w:trPr>
          <w:trHeight w:val="120"/>
        </w:trPr>
        <w:tc>
          <w:tcPr>
            <w:tcW w:w="1780" w:type="dxa"/>
            <w:vAlign w:val="bottom"/>
            <w:vMerge w:val="continue"/>
          </w:tcPr>
          <w:p>
            <w:pPr>
              <w:spacing w:after="0"/>
              <w:rPr>
                <w:sz w:val="10"/>
                <w:szCs w:val="10"/>
                <w:color w:val="auto"/>
              </w:rPr>
            </w:pPr>
          </w:p>
        </w:tc>
        <w:tc>
          <w:tcPr>
            <w:tcW w:w="22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7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8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780" w:type="dxa"/>
            <w:vAlign w:val="bottom"/>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Publicly Announced Plan*</w:t>
            </w:r>
          </w:p>
        </w:tc>
        <w:tc>
          <w:tcPr>
            <w:tcW w:w="2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Under the Plan*</w:t>
            </w:r>
          </w:p>
        </w:tc>
        <w:tc>
          <w:tcPr>
            <w:tcW w:w="0" w:type="dxa"/>
            <w:vAlign w:val="bottom"/>
          </w:tcPr>
          <w:p>
            <w:pPr>
              <w:spacing w:after="0"/>
              <w:rPr>
                <w:sz w:val="1"/>
                <w:szCs w:val="1"/>
                <w:color w:val="auto"/>
              </w:rPr>
            </w:pPr>
          </w:p>
        </w:tc>
      </w:tr>
      <w:tr>
        <w:trPr>
          <w:trHeight w:val="94"/>
        </w:trPr>
        <w:tc>
          <w:tcPr>
            <w:tcW w:w="17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vMerge w:val="continue"/>
          </w:tcPr>
          <w:p>
            <w:pPr>
              <w:spacing w:after="0"/>
              <w:rPr>
                <w:sz w:val="8"/>
                <w:szCs w:val="8"/>
                <w:color w:val="auto"/>
              </w:rPr>
            </w:pPr>
          </w:p>
        </w:tc>
        <w:tc>
          <w:tcPr>
            <w:tcW w:w="246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0"/>
        </w:trPr>
        <w:tc>
          <w:tcPr>
            <w:tcW w:w="17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Jan-23</w:t>
            </w:r>
          </w:p>
        </w:tc>
        <w:tc>
          <w:tcPr>
            <w:tcW w:w="2220" w:type="dxa"/>
            <w:vAlign w:val="bottom"/>
            <w:tcBorders>
              <w:bottom w:val="single" w:sz="8" w:color="808080"/>
            </w:tcBorders>
            <w:gridSpan w:val="2"/>
          </w:tcPr>
          <w:p>
            <w:pPr>
              <w:ind w:left="172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Borders>
              <w:bottom w:val="single" w:sz="8" w:color="808080"/>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20,783,165</w:t>
            </w:r>
          </w:p>
        </w:tc>
        <w:tc>
          <w:tcPr>
            <w:tcW w:w="0" w:type="dxa"/>
            <w:vAlign w:val="bottom"/>
          </w:tcPr>
          <w:p>
            <w:pPr>
              <w:spacing w:after="0"/>
              <w:rPr>
                <w:sz w:val="1"/>
                <w:szCs w:val="1"/>
                <w:color w:val="auto"/>
              </w:rPr>
            </w:pPr>
          </w:p>
        </w:tc>
      </w:tr>
      <w:tr>
        <w:trPr>
          <w:trHeight w:val="340"/>
        </w:trPr>
        <w:tc>
          <w:tcPr>
            <w:tcW w:w="17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Feb-23</w:t>
            </w:r>
          </w:p>
        </w:tc>
        <w:tc>
          <w:tcPr>
            <w:tcW w:w="1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46,835</w:t>
            </w:r>
          </w:p>
        </w:tc>
        <w:tc>
          <w:tcPr>
            <w:tcW w:w="3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28.58</w:t>
            </w:r>
          </w:p>
        </w:tc>
        <w:tc>
          <w:tcPr>
            <w:tcW w:w="22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46,835</w:t>
            </w:r>
          </w:p>
        </w:tc>
        <w:tc>
          <w:tcPr>
            <w:tcW w:w="2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20,736,330</w:t>
            </w:r>
          </w:p>
        </w:tc>
        <w:tc>
          <w:tcPr>
            <w:tcW w:w="0" w:type="dxa"/>
            <w:vAlign w:val="bottom"/>
          </w:tcPr>
          <w:p>
            <w:pPr>
              <w:spacing w:after="0"/>
              <w:rPr>
                <w:sz w:val="1"/>
                <w:szCs w:val="1"/>
                <w:color w:val="auto"/>
              </w:rPr>
            </w:pPr>
          </w:p>
        </w:tc>
      </w:tr>
      <w:tr>
        <w:trPr>
          <w:trHeight w:val="340"/>
        </w:trPr>
        <w:tc>
          <w:tcPr>
            <w:tcW w:w="17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Mar-23</w:t>
            </w:r>
          </w:p>
        </w:tc>
        <w:tc>
          <w:tcPr>
            <w:tcW w:w="1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1,000,091</w:t>
            </w:r>
          </w:p>
        </w:tc>
        <w:tc>
          <w:tcPr>
            <w:tcW w:w="3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27.12</w:t>
            </w:r>
          </w:p>
        </w:tc>
        <w:tc>
          <w:tcPr>
            <w:tcW w:w="22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1,000,091</w:t>
            </w:r>
          </w:p>
        </w:tc>
        <w:tc>
          <w:tcPr>
            <w:tcW w:w="2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19,736,239</w:t>
            </w:r>
          </w:p>
        </w:tc>
        <w:tc>
          <w:tcPr>
            <w:tcW w:w="0" w:type="dxa"/>
            <w:vAlign w:val="bottom"/>
          </w:tcPr>
          <w:p>
            <w:pPr>
              <w:spacing w:after="0"/>
              <w:rPr>
                <w:sz w:val="1"/>
                <w:szCs w:val="1"/>
                <w:color w:val="auto"/>
              </w:rPr>
            </w:pPr>
          </w:p>
        </w:tc>
      </w:tr>
      <w:tr>
        <w:trPr>
          <w:trHeight w:val="340"/>
        </w:trPr>
        <w:tc>
          <w:tcPr>
            <w:tcW w:w="17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Apr-23</w:t>
            </w:r>
          </w:p>
        </w:tc>
        <w:tc>
          <w:tcPr>
            <w:tcW w:w="2220" w:type="dxa"/>
            <w:vAlign w:val="bottom"/>
            <w:tcBorders>
              <w:bottom w:val="single" w:sz="8" w:color="808080"/>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808080"/>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19,736,239</w:t>
            </w:r>
          </w:p>
        </w:tc>
        <w:tc>
          <w:tcPr>
            <w:tcW w:w="0" w:type="dxa"/>
            <w:vAlign w:val="bottom"/>
          </w:tcPr>
          <w:p>
            <w:pPr>
              <w:spacing w:after="0"/>
              <w:rPr>
                <w:sz w:val="1"/>
                <w:szCs w:val="1"/>
                <w:color w:val="auto"/>
              </w:rPr>
            </w:pPr>
          </w:p>
        </w:tc>
      </w:tr>
      <w:tr>
        <w:trPr>
          <w:trHeight w:val="340"/>
        </w:trPr>
        <w:tc>
          <w:tcPr>
            <w:tcW w:w="17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May-23</w:t>
            </w:r>
          </w:p>
        </w:tc>
        <w:tc>
          <w:tcPr>
            <w:tcW w:w="1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400,062</w:t>
            </w:r>
          </w:p>
        </w:tc>
        <w:tc>
          <w:tcPr>
            <w:tcW w:w="3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26.78</w:t>
            </w:r>
          </w:p>
        </w:tc>
        <w:tc>
          <w:tcPr>
            <w:tcW w:w="22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400,062</w:t>
            </w:r>
          </w:p>
        </w:tc>
        <w:tc>
          <w:tcPr>
            <w:tcW w:w="2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19,336,177</w:t>
            </w:r>
          </w:p>
        </w:tc>
        <w:tc>
          <w:tcPr>
            <w:tcW w:w="0" w:type="dxa"/>
            <w:vAlign w:val="bottom"/>
          </w:tcPr>
          <w:p>
            <w:pPr>
              <w:spacing w:after="0"/>
              <w:rPr>
                <w:sz w:val="1"/>
                <w:szCs w:val="1"/>
                <w:color w:val="auto"/>
              </w:rPr>
            </w:pPr>
          </w:p>
        </w:tc>
      </w:tr>
      <w:tr>
        <w:trPr>
          <w:trHeight w:val="340"/>
        </w:trPr>
        <w:tc>
          <w:tcPr>
            <w:tcW w:w="17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Jun-23</w:t>
            </w:r>
          </w:p>
        </w:tc>
        <w:tc>
          <w:tcPr>
            <w:tcW w:w="1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520,312</w:t>
            </w:r>
          </w:p>
        </w:tc>
        <w:tc>
          <w:tcPr>
            <w:tcW w:w="3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27.64</w:t>
            </w:r>
          </w:p>
        </w:tc>
        <w:tc>
          <w:tcPr>
            <w:tcW w:w="22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520,312</w:t>
            </w:r>
          </w:p>
        </w:tc>
        <w:tc>
          <w:tcPr>
            <w:tcW w:w="2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18,815,865</w:t>
            </w:r>
          </w:p>
        </w:tc>
        <w:tc>
          <w:tcPr>
            <w:tcW w:w="0" w:type="dxa"/>
            <w:vAlign w:val="bottom"/>
          </w:tcPr>
          <w:p>
            <w:pPr>
              <w:spacing w:after="0"/>
              <w:rPr>
                <w:sz w:val="1"/>
                <w:szCs w:val="1"/>
                <w:color w:val="auto"/>
              </w:rPr>
            </w:pPr>
          </w:p>
        </w:tc>
      </w:tr>
      <w:tr>
        <w:trPr>
          <w:trHeight w:val="340"/>
        </w:trPr>
        <w:tc>
          <w:tcPr>
            <w:tcW w:w="17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Jul-23</w:t>
            </w:r>
          </w:p>
        </w:tc>
        <w:tc>
          <w:tcPr>
            <w:tcW w:w="2220" w:type="dxa"/>
            <w:vAlign w:val="bottom"/>
            <w:tcBorders>
              <w:bottom w:val="single" w:sz="8" w:color="808080"/>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808080"/>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18,815,865</w:t>
            </w:r>
          </w:p>
        </w:tc>
        <w:tc>
          <w:tcPr>
            <w:tcW w:w="0" w:type="dxa"/>
            <w:vAlign w:val="bottom"/>
          </w:tcPr>
          <w:p>
            <w:pPr>
              <w:spacing w:after="0"/>
              <w:rPr>
                <w:sz w:val="1"/>
                <w:szCs w:val="1"/>
                <w:color w:val="auto"/>
              </w:rPr>
            </w:pPr>
          </w:p>
        </w:tc>
      </w:tr>
      <w:tr>
        <w:trPr>
          <w:trHeight w:val="340"/>
        </w:trPr>
        <w:tc>
          <w:tcPr>
            <w:tcW w:w="17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Aug-23</w:t>
            </w:r>
          </w:p>
        </w:tc>
        <w:tc>
          <w:tcPr>
            <w:tcW w:w="1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210,525</w:t>
            </w:r>
          </w:p>
        </w:tc>
        <w:tc>
          <w:tcPr>
            <w:tcW w:w="3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32.51</w:t>
            </w:r>
          </w:p>
        </w:tc>
        <w:tc>
          <w:tcPr>
            <w:tcW w:w="22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210,525</w:t>
            </w:r>
          </w:p>
        </w:tc>
        <w:tc>
          <w:tcPr>
            <w:tcW w:w="2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18,605,340</w:t>
            </w:r>
          </w:p>
        </w:tc>
        <w:tc>
          <w:tcPr>
            <w:tcW w:w="0" w:type="dxa"/>
            <w:vAlign w:val="bottom"/>
          </w:tcPr>
          <w:p>
            <w:pPr>
              <w:spacing w:after="0"/>
              <w:rPr>
                <w:sz w:val="1"/>
                <w:szCs w:val="1"/>
                <w:color w:val="auto"/>
              </w:rPr>
            </w:pPr>
          </w:p>
        </w:tc>
      </w:tr>
      <w:tr>
        <w:trPr>
          <w:trHeight w:val="340"/>
        </w:trPr>
        <w:tc>
          <w:tcPr>
            <w:tcW w:w="17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Sept-23</w:t>
            </w:r>
          </w:p>
        </w:tc>
        <w:tc>
          <w:tcPr>
            <w:tcW w:w="1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565,963</w:t>
            </w:r>
          </w:p>
        </w:tc>
        <w:tc>
          <w:tcPr>
            <w:tcW w:w="3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32.38</w:t>
            </w:r>
          </w:p>
        </w:tc>
        <w:tc>
          <w:tcPr>
            <w:tcW w:w="22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565,963</w:t>
            </w:r>
          </w:p>
        </w:tc>
        <w:tc>
          <w:tcPr>
            <w:tcW w:w="2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18,039,377</w:t>
            </w:r>
          </w:p>
        </w:tc>
        <w:tc>
          <w:tcPr>
            <w:tcW w:w="0" w:type="dxa"/>
            <w:vAlign w:val="bottom"/>
          </w:tcPr>
          <w:p>
            <w:pPr>
              <w:spacing w:after="0"/>
              <w:rPr>
                <w:sz w:val="1"/>
                <w:szCs w:val="1"/>
                <w:color w:val="auto"/>
              </w:rPr>
            </w:pPr>
          </w:p>
        </w:tc>
      </w:tr>
      <w:tr>
        <w:trPr>
          <w:trHeight w:val="340"/>
        </w:trPr>
        <w:tc>
          <w:tcPr>
            <w:tcW w:w="17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Oct-23</w:t>
            </w:r>
          </w:p>
        </w:tc>
        <w:tc>
          <w:tcPr>
            <w:tcW w:w="1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150,127</w:t>
            </w:r>
          </w:p>
        </w:tc>
        <w:tc>
          <w:tcPr>
            <w:tcW w:w="3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28.76</w:t>
            </w:r>
          </w:p>
        </w:tc>
        <w:tc>
          <w:tcPr>
            <w:tcW w:w="22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150,127</w:t>
            </w:r>
          </w:p>
        </w:tc>
        <w:tc>
          <w:tcPr>
            <w:tcW w:w="2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17,889,250</w:t>
            </w:r>
          </w:p>
        </w:tc>
        <w:tc>
          <w:tcPr>
            <w:tcW w:w="0" w:type="dxa"/>
            <w:vAlign w:val="bottom"/>
          </w:tcPr>
          <w:p>
            <w:pPr>
              <w:spacing w:after="0"/>
              <w:rPr>
                <w:sz w:val="1"/>
                <w:szCs w:val="1"/>
                <w:color w:val="auto"/>
              </w:rPr>
            </w:pPr>
          </w:p>
        </w:tc>
      </w:tr>
      <w:tr>
        <w:trPr>
          <w:trHeight w:val="340"/>
        </w:trPr>
        <w:tc>
          <w:tcPr>
            <w:tcW w:w="17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Nov-23</w:t>
            </w:r>
          </w:p>
        </w:tc>
        <w:tc>
          <w:tcPr>
            <w:tcW w:w="1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1,296,575</w:t>
            </w:r>
          </w:p>
        </w:tc>
        <w:tc>
          <w:tcPr>
            <w:tcW w:w="3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30.45</w:t>
            </w:r>
          </w:p>
        </w:tc>
        <w:tc>
          <w:tcPr>
            <w:tcW w:w="22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1,296,575</w:t>
            </w:r>
          </w:p>
        </w:tc>
        <w:tc>
          <w:tcPr>
            <w:tcW w:w="2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16,592,675</w:t>
            </w:r>
          </w:p>
        </w:tc>
        <w:tc>
          <w:tcPr>
            <w:tcW w:w="0" w:type="dxa"/>
            <w:vAlign w:val="bottom"/>
          </w:tcPr>
          <w:p>
            <w:pPr>
              <w:spacing w:after="0"/>
              <w:rPr>
                <w:sz w:val="1"/>
                <w:szCs w:val="1"/>
                <w:color w:val="auto"/>
              </w:rPr>
            </w:pPr>
          </w:p>
        </w:tc>
      </w:tr>
      <w:tr>
        <w:trPr>
          <w:trHeight w:val="355"/>
        </w:trPr>
        <w:tc>
          <w:tcPr>
            <w:tcW w:w="17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Dec-23</w:t>
            </w:r>
          </w:p>
        </w:tc>
        <w:tc>
          <w:tcPr>
            <w:tcW w:w="19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741,496</w:t>
            </w:r>
          </w:p>
        </w:tc>
        <w:tc>
          <w:tcPr>
            <w:tcW w:w="3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31.7</w:t>
            </w:r>
          </w:p>
        </w:tc>
        <w:tc>
          <w:tcPr>
            <w:tcW w:w="22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741,496</w:t>
            </w:r>
          </w:p>
        </w:tc>
        <w:tc>
          <w:tcPr>
            <w:tcW w:w="24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15,851,179</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4,931,986</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4,931,986</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900" w:type="dxa"/>
            <w:vAlign w:val="bottom"/>
            <w:tcBorders>
              <w:bottom w:val="single" w:sz="8" w:color="4CA5CD"/>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80" w:type="dxa"/>
            <w:vAlign w:val="bottom"/>
            <w:tcBorders>
              <w:bottom w:val="single" w:sz="8" w:color="4CA5CD"/>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320"/>
        <w:spacing w:after="0"/>
        <w:tabs>
          <w:tab w:leader="none" w:pos="480" w:val="left"/>
        </w:tabs>
        <w:rPr>
          <w:sz w:val="20"/>
          <w:szCs w:val="20"/>
          <w:color w:val="auto"/>
        </w:rPr>
      </w:pPr>
      <w:r>
        <w:rPr>
          <w:rFonts w:ascii="Times New Roman" w:cs="Times New Roman" w:eastAsia="Times New Roman" w:hAnsi="Times New Roman"/>
          <w:sz w:val="14"/>
          <w:szCs w:val="14"/>
          <w:color w:val="808080"/>
        </w:rPr>
        <w:t>*</w:t>
      </w:r>
      <w:r>
        <w:rPr>
          <w:sz w:val="20"/>
          <w:szCs w:val="20"/>
          <w:color w:val="auto"/>
        </w:rPr>
        <w:tab/>
      </w:r>
      <w:r>
        <w:rPr>
          <w:rFonts w:ascii="Times New Roman" w:cs="Times New Roman" w:eastAsia="Times New Roman" w:hAnsi="Times New Roman"/>
          <w:sz w:val="13"/>
          <w:szCs w:val="13"/>
          <w:color w:val="808080"/>
        </w:rPr>
        <w:t>See above paragraph with respect to the publicly announced share repurchase plan</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32"/>
          <w:szCs w:val="32"/>
          <w:color w:val="808080"/>
        </w:rPr>
        <w:t xml:space="preserve">Item 6. </w:t>
      </w:r>
      <w:r>
        <w:rPr>
          <w:rFonts w:ascii="Arial" w:cs="Arial" w:eastAsia="Arial" w:hAnsi="Arial"/>
          <w:sz w:val="32"/>
          <w:szCs w:val="32"/>
          <w:color w:val="000000"/>
        </w:rPr>
        <w:t>[Reserved]</w:t>
      </w:r>
    </w:p>
    <w:p>
      <w:pPr>
        <w:spacing w:after="0" w:line="309" w:lineRule="exact"/>
        <w:rPr>
          <w:sz w:val="20"/>
          <w:szCs w:val="20"/>
          <w:color w:val="auto"/>
        </w:rPr>
      </w:pPr>
    </w:p>
    <w:p>
      <w:pPr>
        <w:ind w:left="320"/>
        <w:spacing w:after="0"/>
        <w:rPr>
          <w:sz w:val="20"/>
          <w:szCs w:val="20"/>
          <w:color w:val="auto"/>
        </w:rPr>
      </w:pPr>
      <w:r>
        <w:rPr>
          <w:rFonts w:ascii="Arial" w:cs="Arial" w:eastAsia="Arial" w:hAnsi="Arial"/>
          <w:sz w:val="24"/>
          <w:szCs w:val="24"/>
          <w:color w:val="808080"/>
        </w:rPr>
        <w:t xml:space="preserve">Item 7. </w:t>
      </w:r>
      <w:r>
        <w:rPr>
          <w:rFonts w:ascii="Arial" w:cs="Arial" w:eastAsia="Arial" w:hAnsi="Arial"/>
          <w:sz w:val="24"/>
          <w:szCs w:val="24"/>
          <w:color w:val="000000"/>
        </w:rPr>
        <w:t>Management’s Discussion and Analysis of Financial Condition and Results of Operations.</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Results of Operations</w:t>
      </w:r>
    </w:p>
    <w:p>
      <w:pPr>
        <w:spacing w:after="0" w:line="191" w:lineRule="exact"/>
        <w:rPr>
          <w:sz w:val="20"/>
          <w:szCs w:val="20"/>
          <w:color w:val="auto"/>
        </w:rPr>
      </w:pPr>
    </w:p>
    <w:p>
      <w:pPr>
        <w:jc w:val="both"/>
        <w:ind w:left="320" w:right="20"/>
        <w:spacing w:after="0" w:line="437"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ectPr>
          <w:pgSz w:w="12240" w:h="15840" w:orient="portrait"/>
          <w:cols w:equalWidth="0" w:num="1">
            <w:col w:w="10760"/>
          </w:cols>
          <w:pgMar w:left="580" w:top="965" w:right="900" w:bottom="0" w:gutter="0" w:footer="0" w:header="0"/>
        </w:sectPr>
      </w:pPr>
    </w:p>
    <w:p>
      <w:pPr>
        <w:spacing w:after="0" w:line="2" w:lineRule="exact"/>
        <w:rPr>
          <w:sz w:val="20"/>
          <w:szCs w:val="20"/>
          <w:color w:val="auto"/>
        </w:rPr>
      </w:pPr>
    </w:p>
    <w:tbl>
      <w:tblPr>
        <w:tblLayout w:type="fixed"/>
        <w:tblInd w:w="320" w:type="dxa"/>
        <w:tblCellMar>
          <w:top w:w="0" w:type="dxa"/>
          <w:left w:w="0" w:type="dxa"/>
          <w:bottom w:w="0" w:type="dxa"/>
          <w:right w:w="0" w:type="dxa"/>
        </w:tblCellMar>
      </w:tblPr>
      <w:tr>
        <w:trPr>
          <w:trHeight w:val="240"/>
        </w:trPr>
        <w:tc>
          <w:tcPr>
            <w:tcW w:w="4140" w:type="dxa"/>
            <w:vAlign w:val="bottom"/>
          </w:tcPr>
          <w:p>
            <w:pPr>
              <w:spacing w:after="0"/>
              <w:rPr>
                <w:sz w:val="20"/>
                <w:szCs w:val="20"/>
                <w:color w:val="auto"/>
              </w:rPr>
            </w:pPr>
          </w:p>
        </w:tc>
        <w:tc>
          <w:tcPr>
            <w:tcW w:w="2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580" w:type="dxa"/>
            <w:vAlign w:val="bottom"/>
          </w:tcPr>
          <w:p>
            <w:pPr>
              <w:spacing w:after="0"/>
              <w:rPr>
                <w:sz w:val="20"/>
                <w:szCs w:val="20"/>
                <w:color w:val="auto"/>
              </w:rPr>
            </w:pPr>
          </w:p>
        </w:tc>
      </w:tr>
      <w:tr>
        <w:trPr>
          <w:trHeight w:val="260"/>
        </w:trPr>
        <w:tc>
          <w:tcPr>
            <w:tcW w:w="4140" w:type="dxa"/>
            <w:vAlign w:val="bottom"/>
            <w:tcBorders>
              <w:bottom w:val="single" w:sz="8" w:color="808080"/>
            </w:tcBorders>
          </w:tcPr>
          <w:p>
            <w:pPr>
              <w:spacing w:after="0"/>
              <w:rPr>
                <w:sz w:val="22"/>
                <w:szCs w:val="22"/>
                <w:color w:val="auto"/>
              </w:rPr>
            </w:pPr>
          </w:p>
        </w:tc>
        <w:tc>
          <w:tcPr>
            <w:tcW w:w="2680" w:type="dxa"/>
            <w:vAlign w:val="bottom"/>
            <w:tcBorders>
              <w:bottom w:val="single" w:sz="8" w:color="808080"/>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808080"/>
            </w:tcBorders>
          </w:tcPr>
          <w:p>
            <w:pPr>
              <w:spacing w:after="0"/>
              <w:rPr>
                <w:sz w:val="22"/>
                <w:szCs w:val="22"/>
                <w:color w:val="auto"/>
              </w:rPr>
            </w:pPr>
          </w:p>
        </w:tc>
      </w:tr>
      <w:tr>
        <w:trPr>
          <w:trHeight w:val="340"/>
        </w:trPr>
        <w:tc>
          <w:tcPr>
            <w:tcW w:w="41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tcBorders>
              <w:bottom w:val="single" w:sz="8" w:color="808080"/>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340"/>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138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tcBorders>
              <w:bottom w:val="single" w:sz="8" w:color="808080"/>
            </w:tcBorders>
          </w:tcPr>
          <w:p>
            <w:pPr>
              <w:jc w:val="right"/>
              <w:ind w:right="430"/>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55"/>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8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66.8</w:t>
            </w:r>
          </w:p>
        </w:tc>
        <w:tc>
          <w:tcPr>
            <w:tcW w:w="1300" w:type="dxa"/>
            <w:vAlign w:val="bottom"/>
            <w:tcBorders>
              <w:bottom w:val="single" w:sz="8" w:color="4CA5CD"/>
            </w:tcBorders>
          </w:tcPr>
          <w:p>
            <w:pPr>
              <w:jc w:val="right"/>
              <w:ind w:right="430"/>
              <w:spacing w:after="0"/>
              <w:rPr>
                <w:sz w:val="20"/>
                <w:szCs w:val="20"/>
                <w:color w:val="auto"/>
              </w:rPr>
            </w:pPr>
            <w:r>
              <w:rPr>
                <w:rFonts w:ascii="Times New Roman" w:cs="Times New Roman" w:eastAsia="Times New Roman" w:hAnsi="Times New Roman"/>
                <w:sz w:val="18"/>
                <w:szCs w:val="18"/>
                <w:color w:val="auto"/>
              </w:rPr>
              <w:t>68.2</w:t>
            </w:r>
          </w:p>
        </w:tc>
        <w:tc>
          <w:tcPr>
            <w:tcW w:w="5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325"/>
        </w:trPr>
        <w:tc>
          <w:tcPr>
            <w:tcW w:w="414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138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33.2</w:t>
            </w:r>
          </w:p>
        </w:tc>
        <w:tc>
          <w:tcPr>
            <w:tcW w:w="1300" w:type="dxa"/>
            <w:vAlign w:val="bottom"/>
            <w:tcBorders>
              <w:bottom w:val="single" w:sz="8" w:color="808080"/>
            </w:tcBorders>
          </w:tcPr>
          <w:p>
            <w:pPr>
              <w:jc w:val="right"/>
              <w:ind w:right="430"/>
              <w:spacing w:after="0"/>
              <w:rPr>
                <w:sz w:val="20"/>
                <w:szCs w:val="20"/>
                <w:color w:val="auto"/>
              </w:rPr>
            </w:pPr>
            <w:r>
              <w:rPr>
                <w:rFonts w:ascii="Times New Roman" w:cs="Times New Roman" w:eastAsia="Times New Roman" w:hAnsi="Times New Roman"/>
                <w:sz w:val="18"/>
                <w:szCs w:val="18"/>
                <w:color w:val="auto"/>
              </w:rPr>
              <w:t>31.8</w:t>
            </w: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340"/>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r>
      <w:tr>
        <w:trPr>
          <w:trHeight w:val="340"/>
        </w:trPr>
        <w:tc>
          <w:tcPr>
            <w:tcW w:w="414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138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6.7</w:t>
            </w:r>
          </w:p>
        </w:tc>
        <w:tc>
          <w:tcPr>
            <w:tcW w:w="1300" w:type="dxa"/>
            <w:vAlign w:val="bottom"/>
            <w:tcBorders>
              <w:bottom w:val="single" w:sz="8" w:color="808080"/>
            </w:tcBorders>
          </w:tcPr>
          <w:p>
            <w:pPr>
              <w:jc w:val="right"/>
              <w:ind w:right="430"/>
              <w:spacing w:after="0"/>
              <w:rPr>
                <w:sz w:val="20"/>
                <w:szCs w:val="20"/>
                <w:color w:val="auto"/>
              </w:rPr>
            </w:pPr>
            <w:r>
              <w:rPr>
                <w:rFonts w:ascii="Times New Roman" w:cs="Times New Roman" w:eastAsia="Times New Roman" w:hAnsi="Times New Roman"/>
                <w:sz w:val="18"/>
                <w:szCs w:val="18"/>
                <w:color w:val="auto"/>
              </w:rPr>
              <w:t>6.9</w:t>
            </w: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40"/>
        </w:trPr>
        <w:tc>
          <w:tcPr>
            <w:tcW w:w="414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8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4.9</w:t>
            </w:r>
          </w:p>
        </w:tc>
        <w:tc>
          <w:tcPr>
            <w:tcW w:w="1300" w:type="dxa"/>
            <w:vAlign w:val="bottom"/>
            <w:tcBorders>
              <w:bottom w:val="single" w:sz="8" w:color="808080"/>
            </w:tcBorders>
          </w:tcPr>
          <w:p>
            <w:pPr>
              <w:jc w:val="right"/>
              <w:ind w:right="430"/>
              <w:spacing w:after="0"/>
              <w:rPr>
                <w:sz w:val="20"/>
                <w:szCs w:val="20"/>
                <w:color w:val="auto"/>
              </w:rPr>
            </w:pPr>
            <w:r>
              <w:rPr>
                <w:rFonts w:ascii="Times New Roman" w:cs="Times New Roman" w:eastAsia="Times New Roman" w:hAnsi="Times New Roman"/>
                <w:sz w:val="18"/>
                <w:szCs w:val="18"/>
                <w:color w:val="auto"/>
              </w:rPr>
              <w:t>5.5</w:t>
            </w: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55"/>
        </w:trPr>
        <w:tc>
          <w:tcPr>
            <w:tcW w:w="414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8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11.6</w:t>
            </w:r>
          </w:p>
        </w:tc>
        <w:tc>
          <w:tcPr>
            <w:tcW w:w="1300" w:type="dxa"/>
            <w:vAlign w:val="bottom"/>
            <w:tcBorders>
              <w:bottom w:val="single" w:sz="8" w:color="4CA5CD"/>
            </w:tcBorders>
          </w:tcPr>
          <w:p>
            <w:pPr>
              <w:jc w:val="right"/>
              <w:ind w:right="430"/>
              <w:spacing w:after="0"/>
              <w:rPr>
                <w:sz w:val="20"/>
                <w:szCs w:val="20"/>
                <w:color w:val="auto"/>
              </w:rPr>
            </w:pPr>
            <w:r>
              <w:rPr>
                <w:rFonts w:ascii="Times New Roman" w:cs="Times New Roman" w:eastAsia="Times New Roman" w:hAnsi="Times New Roman"/>
                <w:sz w:val="18"/>
                <w:szCs w:val="18"/>
                <w:color w:val="auto"/>
              </w:rPr>
              <w:t>12.5</w:t>
            </w:r>
          </w:p>
        </w:tc>
        <w:tc>
          <w:tcPr>
            <w:tcW w:w="5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25"/>
        </w:trPr>
        <w:tc>
          <w:tcPr>
            <w:tcW w:w="414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138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21.6</w:t>
            </w:r>
          </w:p>
        </w:tc>
        <w:tc>
          <w:tcPr>
            <w:tcW w:w="1300" w:type="dxa"/>
            <w:vAlign w:val="bottom"/>
            <w:tcBorders>
              <w:bottom w:val="single" w:sz="8" w:color="808080"/>
            </w:tcBorders>
          </w:tcPr>
          <w:p>
            <w:pPr>
              <w:jc w:val="right"/>
              <w:ind w:right="430"/>
              <w:spacing w:after="0"/>
              <w:rPr>
                <w:sz w:val="20"/>
                <w:szCs w:val="20"/>
                <w:color w:val="auto"/>
              </w:rPr>
            </w:pPr>
            <w:r>
              <w:rPr>
                <w:rFonts w:ascii="Times New Roman" w:cs="Times New Roman" w:eastAsia="Times New Roman" w:hAnsi="Times New Roman"/>
                <w:sz w:val="18"/>
                <w:szCs w:val="18"/>
                <w:color w:val="auto"/>
              </w:rPr>
              <w:t>19.3</w:t>
            </w: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340"/>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Other (Loss)/Income</w:t>
            </w:r>
          </w:p>
        </w:tc>
        <w:tc>
          <w:tcPr>
            <w:tcW w:w="138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0.4</w:t>
            </w:r>
          </w:p>
        </w:tc>
        <w:tc>
          <w:tcPr>
            <w:tcW w:w="1300" w:type="dxa"/>
            <w:vAlign w:val="bottom"/>
            <w:tcBorders>
              <w:bottom w:val="single" w:sz="8" w:color="808080"/>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340"/>
        </w:trPr>
        <w:tc>
          <w:tcPr>
            <w:tcW w:w="414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38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22</w:t>
            </w:r>
          </w:p>
        </w:tc>
        <w:tc>
          <w:tcPr>
            <w:tcW w:w="1300" w:type="dxa"/>
            <w:vAlign w:val="bottom"/>
            <w:tcBorders>
              <w:bottom w:val="single" w:sz="8" w:color="808080"/>
            </w:tcBorders>
          </w:tcPr>
          <w:p>
            <w:pPr>
              <w:jc w:val="right"/>
              <w:ind w:right="430"/>
              <w:spacing w:after="0"/>
              <w:rPr>
                <w:sz w:val="20"/>
                <w:szCs w:val="20"/>
                <w:color w:val="auto"/>
              </w:rPr>
            </w:pPr>
            <w:r>
              <w:rPr>
                <w:rFonts w:ascii="Times New Roman" w:cs="Times New Roman" w:eastAsia="Times New Roman" w:hAnsi="Times New Roman"/>
                <w:sz w:val="18"/>
                <w:szCs w:val="18"/>
                <w:color w:val="auto"/>
              </w:rPr>
              <w:t>19.3</w:t>
            </w: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355"/>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8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w:t>
            </w:r>
          </w:p>
        </w:tc>
        <w:tc>
          <w:tcPr>
            <w:tcW w:w="1300" w:type="dxa"/>
            <w:vAlign w:val="bottom"/>
            <w:tcBorders>
              <w:bottom w:val="single" w:sz="8" w:color="4CA5CD"/>
            </w:tcBorders>
          </w:tcPr>
          <w:p>
            <w:pPr>
              <w:jc w:val="right"/>
              <w:ind w:right="430"/>
              <w:spacing w:after="0"/>
              <w:rPr>
                <w:sz w:val="20"/>
                <w:szCs w:val="20"/>
                <w:color w:val="auto"/>
              </w:rPr>
            </w:pPr>
            <w:r>
              <w:rPr>
                <w:rFonts w:ascii="Times New Roman" w:cs="Times New Roman" w:eastAsia="Times New Roman" w:hAnsi="Times New Roman"/>
                <w:sz w:val="18"/>
                <w:szCs w:val="18"/>
                <w:color w:val="auto"/>
              </w:rPr>
              <w:t>2.7</w:t>
            </w:r>
          </w:p>
        </w:tc>
        <w:tc>
          <w:tcPr>
            <w:tcW w:w="5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30"/>
        </w:trPr>
        <w:tc>
          <w:tcPr>
            <w:tcW w:w="414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18.6%</w:t>
            </w:r>
          </w:p>
        </w:tc>
        <w:tc>
          <w:tcPr>
            <w:tcW w:w="1300" w:type="dxa"/>
            <w:vAlign w:val="bottom"/>
            <w:tcBorders>
              <w:bottom w:val="single" w:sz="8" w:color="4CA5CD"/>
            </w:tcBorders>
          </w:tcPr>
          <w:p>
            <w:pPr>
              <w:jc w:val="right"/>
              <w:ind w:right="430"/>
              <w:spacing w:after="0"/>
              <w:rPr>
                <w:sz w:val="20"/>
                <w:szCs w:val="20"/>
                <w:color w:val="auto"/>
              </w:rPr>
            </w:pPr>
            <w:r>
              <w:rPr>
                <w:rFonts w:ascii="Times New Roman" w:cs="Times New Roman" w:eastAsia="Times New Roman" w:hAnsi="Times New Roman"/>
                <w:sz w:val="18"/>
                <w:szCs w:val="18"/>
                <w:color w:val="auto"/>
              </w:rPr>
              <w:t>16.6%</w:t>
            </w:r>
          </w:p>
        </w:tc>
        <w:tc>
          <w:tcPr>
            <w:tcW w:w="5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r>
    </w:tbl>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Percentage 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112395</wp:posOffset>
                </wp:positionV>
                <wp:extent cx="159956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8.85pt" to="112pt,8.85pt" o:allowincell="f" strokecolor="#808080" strokeweight="0.5pt"/>
            </w:pict>
          </mc:Fallback>
        </mc:AlternateContent>
      </w:r>
    </w:p>
    <w:p>
      <w:pPr>
        <w:spacing w:after="0" w:line="22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2023 Vs 2022</w:t>
      </w:r>
      <w:r>
        <w:rPr>
          <w:sz w:val="20"/>
          <w:szCs w:val="20"/>
          <w:color w:val="auto"/>
        </w:rPr>
        <w:tab/>
      </w:r>
      <w:r>
        <w:rPr>
          <w:rFonts w:ascii="Times New Roman" w:cs="Times New Roman" w:eastAsia="Times New Roman" w:hAnsi="Times New Roman"/>
          <w:sz w:val="17"/>
          <w:szCs w:val="17"/>
          <w:b w:val="1"/>
          <w:bCs w:val="1"/>
          <w:color w:val="auto"/>
        </w:rPr>
        <w:t>2022 Vs 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53975</wp:posOffset>
                </wp:positionV>
                <wp:extent cx="159956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25pt" to="112pt,4.25pt" o:allowincell="f" strokecolor="#808080" strokeweight="0.5pt"/>
            </w:pict>
          </mc:Fallback>
        </mc:AlternateContent>
      </w:r>
    </w:p>
    <w:p>
      <w:pPr>
        <w:spacing w:after="0" w:line="131" w:lineRule="exact"/>
        <w:rPr>
          <w:sz w:val="20"/>
          <w:szCs w:val="20"/>
          <w:color w:val="auto"/>
        </w:rPr>
      </w:pPr>
    </w:p>
    <w:p>
      <w:pPr>
        <w:ind w:left="520"/>
        <w:spacing w:after="0"/>
        <w:tabs>
          <w:tab w:leader="none" w:pos="1760" w:val="left"/>
        </w:tabs>
        <w:rPr>
          <w:sz w:val="20"/>
          <w:szCs w:val="20"/>
          <w:color w:val="auto"/>
        </w:rPr>
      </w:pPr>
      <w:r>
        <w:rPr>
          <w:rFonts w:ascii="Times New Roman" w:cs="Times New Roman" w:eastAsia="Times New Roman" w:hAnsi="Times New Roman"/>
          <w:sz w:val="18"/>
          <w:szCs w:val="18"/>
          <w:color w:val="auto"/>
        </w:rPr>
        <w:t>19.8%</w:t>
      </w:r>
      <w:r>
        <w:rPr>
          <w:sz w:val="20"/>
          <w:szCs w:val="20"/>
          <w:color w:val="auto"/>
        </w:rPr>
        <w:tab/>
      </w: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55245</wp:posOffset>
                </wp:positionV>
                <wp:extent cx="159956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35pt" to="112pt,4.35pt" o:allowincell="f" strokecolor="#808080" strokeweight="0.5pt"/>
            </w:pict>
          </mc:Fallback>
        </mc:AlternateContent>
      </w:r>
    </w:p>
    <w:p>
      <w:pPr>
        <w:spacing w:after="0" w:line="13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56515</wp:posOffset>
                </wp:positionV>
                <wp:extent cx="159956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700">
                          <a:solidFill>
                            <a:srgbClr val="4CA5CD"/>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45pt" to="112pt,4.45pt" o:allowincell="f" strokecolor="#4CA5CD" strokeweight="1pt"/>
            </w:pict>
          </mc:Fallback>
        </mc:AlternateContent>
      </w:r>
    </w:p>
    <w:p>
      <w:pPr>
        <w:spacing w:after="0" w:line="13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53340</wp:posOffset>
                </wp:positionV>
                <wp:extent cx="159956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2pt" to="112pt,4.2pt" o:allowincell="f" strokecolor="#808080" strokeweight="0.5pt"/>
            </w:pict>
          </mc:Fallback>
        </mc:AlternateContent>
        <mc:AlternateContent>
          <mc:Choice Requires="wps">
            <w:drawing>
              <wp:anchor simplePos="0" relativeHeight="251657728" behindDoc="1" locked="0" layoutInCell="0" allowOverlap="1">
                <wp:simplePos x="0" y="0"/>
                <wp:positionH relativeFrom="column">
                  <wp:posOffset>-177165</wp:posOffset>
                </wp:positionH>
                <wp:positionV relativeFrom="paragraph">
                  <wp:posOffset>281940</wp:posOffset>
                </wp:positionV>
                <wp:extent cx="159956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2.2pt" to="112pt,22.2pt" o:allowincell="f" strokecolor="#808080" strokeweight="0.5pt"/>
            </w:pict>
          </mc:Fallback>
        </mc:AlternateContent>
      </w:r>
    </w:p>
    <w:p>
      <w:pPr>
        <w:spacing w:after="0" w:line="200" w:lineRule="exact"/>
        <w:rPr>
          <w:sz w:val="20"/>
          <w:szCs w:val="20"/>
          <w:color w:val="auto"/>
        </w:rPr>
      </w:pPr>
    </w:p>
    <w:p>
      <w:pPr>
        <w:spacing w:after="0" w:line="29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55245</wp:posOffset>
                </wp:positionV>
                <wp:extent cx="159956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35pt" to="112pt,4.35pt" o:allowincell="f" strokecolor="#808080" strokeweight="0.5pt"/>
            </w:pict>
          </mc:Fallback>
        </mc:AlternateContent>
      </w:r>
    </w:p>
    <w:p>
      <w:pPr>
        <w:spacing w:after="0" w:line="133" w:lineRule="exact"/>
        <w:rPr>
          <w:sz w:val="20"/>
          <w:szCs w:val="20"/>
          <w:color w:val="auto"/>
        </w:rPr>
      </w:pPr>
    </w:p>
    <w:p>
      <w:pPr>
        <w:ind w:left="760"/>
        <w:spacing w:after="0"/>
        <w:tabs>
          <w:tab w:leader="none" w:pos="190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55245</wp:posOffset>
                </wp:positionV>
                <wp:extent cx="159956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35pt" to="112pt,4.35pt" o:allowincell="f" strokecolor="#808080" strokeweight="0.5pt"/>
            </w:pict>
          </mc:Fallback>
        </mc:AlternateContent>
      </w:r>
    </w:p>
    <w:p>
      <w:pPr>
        <w:spacing w:after="0" w:line="13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56515</wp:posOffset>
                </wp:positionV>
                <wp:extent cx="159956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700">
                          <a:solidFill>
                            <a:srgbClr val="4CA5CD"/>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45pt" to="112pt,4.45pt" o:allowincell="f" strokecolor="#4CA5CD" strokeweight="1pt"/>
            </w:pict>
          </mc:Fallback>
        </mc:AlternateContent>
      </w:r>
    </w:p>
    <w:p>
      <w:pPr>
        <w:spacing w:after="0" w:line="138" w:lineRule="exact"/>
        <w:rPr>
          <w:sz w:val="20"/>
          <w:szCs w:val="20"/>
          <w:color w:val="auto"/>
        </w:rPr>
      </w:pPr>
    </w:p>
    <w:p>
      <w:pPr>
        <w:ind w:left="800"/>
        <w:spacing w:after="0"/>
        <w:tabs>
          <w:tab w:leader="none" w:pos="19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53340</wp:posOffset>
                </wp:positionV>
                <wp:extent cx="159956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2pt" to="112pt,4.2pt" o:allowincell="f" strokecolor="#808080" strokeweight="0.5pt"/>
            </w:pict>
          </mc:Fallback>
        </mc:AlternateContent>
      </w:r>
    </w:p>
    <w:p>
      <w:pPr>
        <w:spacing w:after="0" w:line="130" w:lineRule="exact"/>
        <w:rPr>
          <w:sz w:val="20"/>
          <w:szCs w:val="20"/>
          <w:color w:val="auto"/>
        </w:rPr>
      </w:pPr>
    </w:p>
    <w:p>
      <w:pPr>
        <w:ind w:left="580"/>
        <w:spacing w:after="0"/>
        <w:tabs>
          <w:tab w:leader="none" w:pos="1740" w:val="left"/>
        </w:tabs>
        <w:rPr>
          <w:sz w:val="20"/>
          <w:szCs w:val="20"/>
          <w:color w:val="auto"/>
        </w:rPr>
      </w:pPr>
      <w:r>
        <w:rPr>
          <w:rFonts w:ascii="Times New Roman" w:cs="Times New Roman" w:eastAsia="Times New Roman" w:hAnsi="Times New Roman"/>
          <w:sz w:val="18"/>
          <w:szCs w:val="18"/>
          <w:color w:val="auto"/>
        </w:rPr>
        <w:t>3,368</w:t>
      </w:r>
      <w:r>
        <w:rPr>
          <w:sz w:val="20"/>
          <w:szCs w:val="20"/>
          <w:color w:val="auto"/>
        </w:rPr>
        <w:tab/>
      </w:r>
      <w:r>
        <w:rPr>
          <w:rFonts w:ascii="Times New Roman" w:cs="Times New Roman" w:eastAsia="Times New Roman" w:hAnsi="Times New Roman"/>
          <w:sz w:val="18"/>
          <w:szCs w:val="18"/>
          <w:color w:val="auto"/>
        </w:rPr>
        <w:t>-104.3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55245</wp:posOffset>
                </wp:positionV>
                <wp:extent cx="159956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35pt" to="112pt,4.35pt" o:allowincell="f" strokecolor="#808080" strokeweight="0.5pt"/>
            </w:pict>
          </mc:Fallback>
        </mc:AlternateContent>
      </w:r>
    </w:p>
    <w:p>
      <w:pPr>
        <w:spacing w:after="0" w:line="133"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36.6</w:t>
      </w:r>
      <w:r>
        <w:rPr>
          <w:sz w:val="20"/>
          <w:szCs w:val="20"/>
          <w:color w:val="auto"/>
        </w:rPr>
        <w:tab/>
      </w: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55245</wp:posOffset>
                </wp:positionV>
                <wp:extent cx="159893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8930" cy="4763"/>
                        </a:xfrm>
                        <a:prstGeom prst="line">
                          <a:avLst/>
                        </a:prstGeom>
                        <a:solidFill>
                          <a:srgbClr val="FFFFFF"/>
                        </a:solidFill>
                        <a:ln w="6350">
                          <a:solidFill>
                            <a:srgbClr val="80808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35pt" to="111.95pt,4.35pt" o:allowincell="f" strokecolor="#808080" strokeweight="0.5pt"/>
            </w:pict>
          </mc:Fallback>
        </mc:AlternateContent>
      </w:r>
    </w:p>
    <w:p>
      <w:pPr>
        <w:spacing w:after="0" w:line="13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50.3</w:t>
      </w:r>
      <w:r>
        <w:rPr>
          <w:sz w:val="20"/>
          <w:szCs w:val="20"/>
          <w:color w:val="auto"/>
        </w:rPr>
        <w:tab/>
      </w: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56515</wp:posOffset>
                </wp:positionV>
                <wp:extent cx="159956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12700">
                          <a:solidFill>
                            <a:srgbClr val="4CA5CD"/>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4.45pt" to="112pt,4.45pt" o:allowincell="f" strokecolor="#4CA5CD" strokeweight="1pt"/>
            </w:pict>
          </mc:Fallback>
        </mc:AlternateContent>
      </w:r>
    </w:p>
    <w:p>
      <w:pPr>
        <w:spacing w:after="0" w:line="130" w:lineRule="exact"/>
        <w:rPr>
          <w:sz w:val="20"/>
          <w:szCs w:val="20"/>
          <w:color w:val="auto"/>
        </w:rPr>
      </w:pPr>
    </w:p>
    <w:p>
      <w:pPr>
        <w:ind w:left="520"/>
        <w:spacing w:after="0"/>
        <w:tabs>
          <w:tab w:leader="none" w:pos="1700" w:val="left"/>
        </w:tabs>
        <w:rPr>
          <w:sz w:val="20"/>
          <w:szCs w:val="20"/>
          <w:color w:val="auto"/>
        </w:rPr>
      </w:pPr>
      <w:r>
        <w:rPr>
          <w:rFonts w:ascii="Times New Roman" w:cs="Times New Roman" w:eastAsia="Times New Roman" w:hAnsi="Times New Roman"/>
          <w:sz w:val="18"/>
          <w:szCs w:val="18"/>
          <w:color w:val="auto"/>
        </w:rPr>
        <w:t>34.4%</w:t>
      </w:r>
      <w:r>
        <w:rPr>
          <w:sz w:val="20"/>
          <w:szCs w:val="20"/>
          <w:color w:val="auto"/>
        </w:rPr>
        <w:tab/>
      </w: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49530</wp:posOffset>
                </wp:positionV>
                <wp:extent cx="159956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8458">
                          <a:solidFill>
                            <a:srgbClr val="4CA5CD"/>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3.9pt" to="112pt,3.9pt" o:allowincell="f" strokecolor="#4CA5CD" strokeweight="0.666pt"/>
            </w:pict>
          </mc:Fallback>
        </mc:AlternateContent>
        <mc:AlternateContent>
          <mc:Choice Requires="wps">
            <w:drawing>
              <wp:anchor simplePos="0" relativeHeight="251657728" behindDoc="1" locked="0" layoutInCell="0" allowOverlap="1">
                <wp:simplePos x="0" y="0"/>
                <wp:positionH relativeFrom="column">
                  <wp:posOffset>-177165</wp:posOffset>
                </wp:positionH>
                <wp:positionV relativeFrom="paragraph">
                  <wp:posOffset>66675</wp:posOffset>
                </wp:positionV>
                <wp:extent cx="159956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9565" cy="4763"/>
                        </a:xfrm>
                        <a:prstGeom prst="line">
                          <a:avLst/>
                        </a:prstGeom>
                        <a:solidFill>
                          <a:srgbClr val="FFFFFF"/>
                        </a:solidFill>
                        <a:ln w="8458">
                          <a:solidFill>
                            <a:srgbClr val="4CA5CD"/>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5.25pt" to="112pt,5.25pt" o:allowincell="f" strokecolor="#4CA5CD" strokeweight="0.666pt"/>
            </w:pict>
          </mc:Fallback>
        </mc:AlternateContent>
      </w:r>
    </w:p>
    <w:p>
      <w:pPr>
        <w:spacing w:after="0" w:line="166" w:lineRule="exact"/>
        <w:rPr>
          <w:sz w:val="20"/>
          <w:szCs w:val="20"/>
          <w:color w:val="auto"/>
        </w:rPr>
      </w:pPr>
    </w:p>
    <w:p>
      <w:pPr>
        <w:sectPr>
          <w:pgSz w:w="12240" w:h="15840" w:orient="portrait"/>
          <w:cols w:equalWidth="0" w:num="2">
            <w:col w:w="7800" w:space="720"/>
            <w:col w:w="2240"/>
          </w:cols>
          <w:pgMar w:left="580" w:top="965" w:right="900" w:bottom="0" w:gutter="0" w:footer="0" w:header="0"/>
          <w:type w:val="continuous"/>
        </w:sectPr>
      </w:pPr>
    </w:p>
    <w:p>
      <w:pPr>
        <w:spacing w:after="0"/>
        <w:tabs>
          <w:tab w:leader="none" w:pos="400" w:val="left"/>
        </w:tabs>
        <w:rPr>
          <w:sz w:val="20"/>
          <w:szCs w:val="20"/>
          <w:color w:val="auto"/>
        </w:rPr>
      </w:pPr>
      <w:r>
        <w:rPr>
          <w:rFonts w:ascii="Arial" w:cs="Arial" w:eastAsia="Arial" w:hAnsi="Arial"/>
          <w:sz w:val="24"/>
          <w:szCs w:val="24"/>
          <w:b w:val="1"/>
          <w:bCs w:val="1"/>
          <w:color w:val="auto"/>
        </w:rPr>
        <w:t>42</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965" w:right="900" w:bottom="0" w:gutter="0" w:footer="0" w:header="0"/>
          <w:type w:val="continuous"/>
        </w:sectPr>
      </w:pPr>
    </w:p>
    <w:bookmarkStart w:id="42" w:name="page43"/>
    <w:bookmarkEnd w:id="42"/>
    <w:p>
      <w:pPr>
        <w:spacing w:after="0"/>
        <w:rPr>
          <w:sz w:val="20"/>
          <w:szCs w:val="20"/>
          <w:color w:val="auto"/>
        </w:rPr>
      </w:pPr>
      <w:r>
        <w:rPr>
          <w:rFonts w:ascii="Arial" w:cs="Arial" w:eastAsia="Arial" w:hAnsi="Arial"/>
          <w:sz w:val="22"/>
          <w:szCs w:val="22"/>
          <w:b w:val="1"/>
          <w:bCs w:val="1"/>
          <w:color w:val="4CA5CD"/>
        </w:rPr>
        <w:t>Results of Operations: 2023 to 2022</w:t>
      </w:r>
    </w:p>
    <w:p>
      <w:pPr>
        <w:spacing w:after="0" w:line="189" w:lineRule="exact"/>
        <w:rPr>
          <w:sz w:val="20"/>
          <w:szCs w:val="20"/>
          <w:color w:val="auto"/>
        </w:rPr>
      </w:pPr>
    </w:p>
    <w:p>
      <w:pPr>
        <w:ind w:right="460"/>
        <w:spacing w:after="0" w:line="347" w:lineRule="auto"/>
        <w:rPr>
          <w:sz w:val="20"/>
          <w:szCs w:val="20"/>
          <w:color w:val="auto"/>
        </w:rPr>
      </w:pPr>
      <w:r>
        <w:rPr>
          <w:rFonts w:ascii="Arial" w:cs="Arial" w:eastAsia="Arial" w:hAnsi="Arial"/>
          <w:sz w:val="17"/>
          <w:szCs w:val="17"/>
          <w:b w:val="1"/>
          <w:bCs w:val="1"/>
          <w:color w:val="F4494E"/>
        </w:rPr>
        <w:t xml:space="preserve">NET SALES. </w:t>
      </w:r>
      <w:r>
        <w:rPr>
          <w:rFonts w:ascii="Times New Roman" w:cs="Times New Roman" w:eastAsia="Times New Roman" w:hAnsi="Times New Roman"/>
          <w:sz w:val="18"/>
          <w:szCs w:val="18"/>
          <w:color w:val="000000"/>
        </w:rPr>
        <w:t>In 2023, the Company’s net sales increased by $380.3 million, or 20% compared to the prior year, representing the highest annual</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sales in Company history. Overall light vehicle production in 2023 increased by 12%, when compared to 2022 in the Company’s primary markets, meaning net sales in 2023 outperformed the underlying market by 8%. The outperformance versus the underlying market was driven by growth from the continued adoption of FDM, exterior auto-dimming mirrors, and continued penetration of the Company’s base interior mirrors and electronic features. The Company’s sales growth was driven by a 15% year over year increase in automatic-dimming mirror shipments, from 44.2 million units in 2022 to 50.6 million units in 2023, together with product mix.</w:t>
      </w:r>
    </w:p>
    <w:p>
      <w:pPr>
        <w:spacing w:after="0" w:line="65" w:lineRule="exact"/>
        <w:rPr>
          <w:sz w:val="20"/>
          <w:szCs w:val="20"/>
          <w:color w:val="auto"/>
        </w:rPr>
      </w:pPr>
    </w:p>
    <w:p>
      <w:pPr>
        <w:ind w:right="540"/>
        <w:spacing w:after="0" w:line="452" w:lineRule="auto"/>
        <w:rPr>
          <w:sz w:val="20"/>
          <w:szCs w:val="20"/>
          <w:color w:val="auto"/>
        </w:rPr>
      </w:pPr>
      <w:r>
        <w:rPr>
          <w:rFonts w:ascii="Times New Roman" w:cs="Times New Roman" w:eastAsia="Times New Roman" w:hAnsi="Times New Roman"/>
          <w:sz w:val="17"/>
          <w:szCs w:val="17"/>
          <w:color w:val="auto"/>
        </w:rPr>
        <w:t>Other net sales for calendar year 2023 were $44.6 million, compared to Other net sales of $44.2 million in calendar year 2022. Fire protection sales in 2023 decreased by 32% year over year, while dimmable aircraft windows increased by 211% in 2023 compared to calendar year 2022.</w:t>
      </w:r>
    </w:p>
    <w:p>
      <w:pPr>
        <w:spacing w:after="0" w:line="1" w:lineRule="exact"/>
        <w:rPr>
          <w:sz w:val="20"/>
          <w:szCs w:val="20"/>
          <w:color w:val="auto"/>
        </w:rPr>
      </w:pPr>
    </w:p>
    <w:p>
      <w:pPr>
        <w:ind w:right="360"/>
        <w:spacing w:after="0" w:line="343" w:lineRule="auto"/>
        <w:rPr>
          <w:sz w:val="20"/>
          <w:szCs w:val="20"/>
          <w:color w:val="auto"/>
        </w:rPr>
      </w:pPr>
      <w:r>
        <w:rPr>
          <w:rFonts w:ascii="Arial" w:cs="Arial" w:eastAsia="Arial" w:hAnsi="Arial"/>
          <w:sz w:val="17"/>
          <w:szCs w:val="17"/>
          <w:b w:val="1"/>
          <w:bCs w:val="1"/>
          <w:color w:val="F4494E"/>
        </w:rPr>
        <w:t xml:space="preserve">COST OF GOODS SOLD. </w:t>
      </w:r>
      <w:r>
        <w:rPr>
          <w:rFonts w:ascii="Times New Roman" w:cs="Times New Roman" w:eastAsia="Times New Roman" w:hAnsi="Times New Roman"/>
          <w:sz w:val="18"/>
          <w:szCs w:val="18"/>
          <w:color w:val="000000"/>
        </w:rPr>
        <w:t>As a percentage of net sales, cost of goods sold decreased from 68.2% in 2022 to 66.8% in 2023. The year over year</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increase in the gross margin was primarily the result of improved overhead leverage created by growth in revenue, lower freight costs, pricing increases and cost recoveries, and product mix. These positive impacts were partially offset by increased raw materials costs and annual customer price reductions. On a year over year basis, fixed overhead leverage and lower freights costs each had a positive impact of approximately 100 - 150 basis points on gross margin on a year over year basis. Price increases and cost recoveries, and product mix, each had a positive impact of approximately 50 - 100 basis points on gross margin on a year over year basis. Increased raw material costs and annual customer price reductions each had a negative impact of approximately 50 - 100 basis points on gross margin on a year over year basis.</w:t>
      </w:r>
    </w:p>
    <w:p>
      <w:pPr>
        <w:spacing w:after="0" w:line="67" w:lineRule="exact"/>
        <w:rPr>
          <w:sz w:val="20"/>
          <w:szCs w:val="20"/>
          <w:color w:val="auto"/>
        </w:rPr>
      </w:pPr>
    </w:p>
    <w:p>
      <w:pPr>
        <w:jc w:val="both"/>
        <w:ind w:right="400"/>
        <w:spacing w:after="0" w:line="411" w:lineRule="auto"/>
        <w:rPr>
          <w:sz w:val="20"/>
          <w:szCs w:val="20"/>
          <w:color w:val="auto"/>
        </w:rPr>
      </w:pPr>
      <w:r>
        <w:rPr>
          <w:rFonts w:ascii="Arial" w:cs="Arial" w:eastAsia="Arial" w:hAnsi="Arial"/>
          <w:sz w:val="16"/>
          <w:szCs w:val="16"/>
          <w:b w:val="1"/>
          <w:bCs w:val="1"/>
          <w:color w:val="F4494E"/>
        </w:rPr>
        <w:t xml:space="preserve">OPERATING EXPENSES. </w:t>
      </w:r>
      <w:r>
        <w:rPr>
          <w:rFonts w:ascii="Times New Roman" w:cs="Times New Roman" w:eastAsia="Times New Roman" w:hAnsi="Times New Roman"/>
          <w:sz w:val="17"/>
          <w:szCs w:val="17"/>
          <w:color w:val="000000"/>
        </w:rPr>
        <w:t>Engineering, research and development expenses (“E, R &amp; D”) increased by $21.1 million or 16% from 2022 to 2023,</w:t>
      </w:r>
      <w:r>
        <w:rPr>
          <w:rFonts w:ascii="Arial" w:cs="Arial" w:eastAsia="Arial" w:hAnsi="Arial"/>
          <w:sz w:val="16"/>
          <w:szCs w:val="16"/>
          <w:b w:val="1"/>
          <w:bCs w:val="1"/>
          <w:color w:val="F4494E"/>
        </w:rPr>
        <w:t xml:space="preserve"> </w:t>
      </w:r>
      <w:r>
        <w:rPr>
          <w:rFonts w:ascii="Times New Roman" w:cs="Times New Roman" w:eastAsia="Times New Roman" w:hAnsi="Times New Roman"/>
          <w:sz w:val="17"/>
          <w:szCs w:val="17"/>
          <w:color w:val="000000"/>
        </w:rPr>
        <w:t>but remained at 7% of net sales. E, R &amp; D increased year over year primarily due to additional staffing and engineering related professional fees to assist with the execution of a high number of new product launches, product redesigns to optimize costs, and new product development.</w:t>
      </w:r>
    </w:p>
    <w:p>
      <w:pPr>
        <w:spacing w:after="0" w:line="17" w:lineRule="exact"/>
        <w:rPr>
          <w:sz w:val="20"/>
          <w:szCs w:val="20"/>
          <w:color w:val="auto"/>
        </w:rPr>
      </w:pPr>
    </w:p>
    <w:p>
      <w:pPr>
        <w:jc w:val="both"/>
        <w:ind w:right="440"/>
        <w:spacing w:after="0" w:line="381" w:lineRule="auto"/>
        <w:rPr>
          <w:sz w:val="20"/>
          <w:szCs w:val="20"/>
          <w:color w:val="auto"/>
        </w:rPr>
      </w:pPr>
      <w:r>
        <w:rPr>
          <w:rFonts w:ascii="Times New Roman" w:cs="Times New Roman" w:eastAsia="Times New Roman" w:hAnsi="Times New Roman"/>
          <w:sz w:val="18"/>
          <w:szCs w:val="18"/>
          <w:color w:val="auto"/>
        </w:rPr>
        <w:t>Selling, general and administrative (“S, G &amp; A”) expenses increased by $6.0 million or 6% from 2022 to 2023, which represents 5% of net sales in 2023 compared to 6% of net sales in 2022. The primary reason for the year over year increase in S, G &amp; A from 2022 to 2023 was increased staffing expenses, which were partially offset by lower freight expenses.</w:t>
      </w:r>
    </w:p>
    <w:p>
      <w:pPr>
        <w:spacing w:after="0" w:line="32" w:lineRule="exact"/>
        <w:rPr>
          <w:sz w:val="20"/>
          <w:szCs w:val="20"/>
          <w:color w:val="auto"/>
        </w:rPr>
      </w:pPr>
    </w:p>
    <w:p>
      <w:pPr>
        <w:jc w:val="both"/>
        <w:ind w:right="820"/>
        <w:spacing w:after="0" w:line="382" w:lineRule="auto"/>
        <w:rPr>
          <w:sz w:val="20"/>
          <w:szCs w:val="20"/>
          <w:color w:val="auto"/>
        </w:rPr>
      </w:pPr>
      <w:r>
        <w:rPr>
          <w:rFonts w:ascii="Arial" w:cs="Arial" w:eastAsia="Arial" w:hAnsi="Arial"/>
          <w:sz w:val="17"/>
          <w:szCs w:val="17"/>
          <w:b w:val="1"/>
          <w:bCs w:val="1"/>
          <w:color w:val="F4494E"/>
        </w:rPr>
        <w:t xml:space="preserve">TOTAL OTHER (LOSS)/INCOME. </w:t>
      </w:r>
      <w:r>
        <w:rPr>
          <w:rFonts w:ascii="Times New Roman" w:cs="Times New Roman" w:eastAsia="Times New Roman" w:hAnsi="Times New Roman"/>
          <w:sz w:val="18"/>
          <w:szCs w:val="18"/>
          <w:color w:val="000000"/>
        </w:rPr>
        <w:t>Investment income increased $8.7 million to $13.5 million for 2023 compared to $4.8 million for 2022,</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primarily due to increases in interest income from fixed income investments and interest rates on other cash holdings. Other income – net increased $0.8 million in 2023 versus 2022, primarily due to increases in interest income from fixed income investments.</w:t>
      </w:r>
    </w:p>
    <w:p>
      <w:pPr>
        <w:spacing w:after="0" w:line="29" w:lineRule="exact"/>
        <w:rPr>
          <w:sz w:val="20"/>
          <w:szCs w:val="20"/>
          <w:color w:val="auto"/>
        </w:rPr>
      </w:pPr>
    </w:p>
    <w:p>
      <w:pPr>
        <w:ind w:right="580"/>
        <w:spacing w:after="0" w:line="381" w:lineRule="auto"/>
        <w:rPr>
          <w:sz w:val="20"/>
          <w:szCs w:val="20"/>
          <w:color w:val="auto"/>
        </w:rPr>
      </w:pPr>
      <w:r>
        <w:rPr>
          <w:rFonts w:ascii="Arial" w:cs="Arial" w:eastAsia="Arial" w:hAnsi="Arial"/>
          <w:sz w:val="17"/>
          <w:szCs w:val="17"/>
          <w:b w:val="1"/>
          <w:bCs w:val="1"/>
          <w:color w:val="F4494E"/>
        </w:rPr>
        <w:t xml:space="preserve">TAXES. </w:t>
      </w:r>
      <w:r>
        <w:rPr>
          <w:rFonts w:ascii="Times New Roman" w:cs="Times New Roman" w:eastAsia="Times New Roman" w:hAnsi="Times New Roman"/>
          <w:sz w:val="18"/>
          <w:szCs w:val="18"/>
          <w:color w:val="000000"/>
        </w:rPr>
        <w:t>The effective tax rate was 15.2% for the year ended December 31, 2023, compared to 13.8% for the prior year. The effective tax rates</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in 2023 and 2022 differed from the statutory federal income tax rate, primarily due to the Foreign Derived Intangible Income Deduction, as well as additional equity compensation deductions and various tax credits.</w:t>
      </w:r>
    </w:p>
    <w:p>
      <w:pPr>
        <w:spacing w:after="0" w:line="32" w:lineRule="exact"/>
        <w:rPr>
          <w:sz w:val="20"/>
          <w:szCs w:val="20"/>
          <w:color w:val="auto"/>
        </w:rPr>
      </w:pPr>
    </w:p>
    <w:p>
      <w:pPr>
        <w:ind w:right="480"/>
        <w:spacing w:after="0" w:line="437" w:lineRule="auto"/>
        <w:rPr>
          <w:sz w:val="20"/>
          <w:szCs w:val="20"/>
          <w:color w:val="auto"/>
        </w:rPr>
      </w:pPr>
      <w:r>
        <w:rPr>
          <w:rFonts w:ascii="Arial" w:cs="Arial" w:eastAsia="Arial" w:hAnsi="Arial"/>
          <w:sz w:val="17"/>
          <w:szCs w:val="17"/>
          <w:b w:val="1"/>
          <w:bCs w:val="1"/>
          <w:color w:val="F4494E"/>
        </w:rPr>
        <w:t xml:space="preserve">NET INCOME. </w:t>
      </w:r>
      <w:r>
        <w:rPr>
          <w:rFonts w:ascii="Times New Roman" w:cs="Times New Roman" w:eastAsia="Times New Roman" w:hAnsi="Times New Roman"/>
          <w:sz w:val="18"/>
          <w:szCs w:val="18"/>
          <w:color w:val="000000"/>
        </w:rPr>
        <w:t>Net income increased by $109.6 million in 2023, or 34% compared to 2022, primarily due to the year over year changes in gross</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margin and operating profits.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Results of Operations: 2022 to 2021</w:t>
      </w:r>
    </w:p>
    <w:p>
      <w:pPr>
        <w:spacing w:after="0" w:line="189" w:lineRule="exact"/>
        <w:rPr>
          <w:sz w:val="20"/>
          <w:szCs w:val="20"/>
          <w:color w:val="auto"/>
        </w:rPr>
      </w:pPr>
    </w:p>
    <w:p>
      <w:pPr>
        <w:ind w:right="320"/>
        <w:spacing w:after="0" w:line="353" w:lineRule="auto"/>
        <w:rPr>
          <w:sz w:val="20"/>
          <w:szCs w:val="20"/>
          <w:color w:val="auto"/>
        </w:rPr>
      </w:pPr>
      <w:r>
        <w:rPr>
          <w:rFonts w:ascii="Arial" w:cs="Arial" w:eastAsia="Arial" w:hAnsi="Arial"/>
          <w:sz w:val="17"/>
          <w:szCs w:val="17"/>
          <w:b w:val="1"/>
          <w:bCs w:val="1"/>
          <w:color w:val="F4494E"/>
        </w:rPr>
        <w:t xml:space="preserve">NET SALES. </w:t>
      </w:r>
      <w:r>
        <w:rPr>
          <w:rFonts w:ascii="Times New Roman" w:cs="Times New Roman" w:eastAsia="Times New Roman" w:hAnsi="Times New Roman"/>
          <w:sz w:val="18"/>
          <w:szCs w:val="18"/>
          <w:color w:val="000000"/>
        </w:rPr>
        <w:t>In 2022, the Company’s net sales increased by $187.8 million, or 11% compared to the prior year. Light vehicle production in 2022</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increased by 3% when compared to 2021 in the Company’s primary markets, but total revenue for the year outperformed the underlying market by 8% despite the many supply chain challenges and customer order volatility encountered during the year. The increase in the Company’s sales was primarily driven by a 6% year over year increase in automatic-dimming mirror shipments, from 41.8 million units in 2021 to 44.2 million units in 2022.</w:t>
      </w:r>
    </w:p>
    <w:p>
      <w:pPr>
        <w:spacing w:after="0" w:line="58" w:lineRule="exact"/>
        <w:rPr>
          <w:sz w:val="20"/>
          <w:szCs w:val="20"/>
          <w:color w:val="auto"/>
        </w:rPr>
      </w:pPr>
    </w:p>
    <w:p>
      <w:pPr>
        <w:ind w:right="540"/>
        <w:spacing w:after="0" w:line="363" w:lineRule="auto"/>
        <w:rPr>
          <w:sz w:val="20"/>
          <w:szCs w:val="20"/>
          <w:color w:val="auto"/>
        </w:rPr>
      </w:pPr>
      <w:r>
        <w:rPr>
          <w:rFonts w:ascii="Times New Roman" w:cs="Times New Roman" w:eastAsia="Times New Roman" w:hAnsi="Times New Roman"/>
          <w:sz w:val="18"/>
          <w:szCs w:val="18"/>
          <w:color w:val="auto"/>
        </w:rPr>
        <w:t>Other net sales for calendar year 2022 were $44.2 million, compared to Other net sales of $34.0 million in calendar year 2021. Fire protection sales in 2022 increased by 53% year over year, while dimmable aircraft windows were down 33% in 2022 compared to calendar year 2021. The Company expects that dimmable aircraft window sales will continue to be impacted until there is a meaningful recovery of the aerospace industry and the Boeing 787 production levels improve.</w:t>
      </w:r>
    </w:p>
    <w:p>
      <w:pPr>
        <w:sectPr>
          <w:pgSz w:w="12240" w:h="15840" w:orient="portrait"/>
          <w:cols w:equalWidth="0" w:num="1">
            <w:col w:w="10760"/>
          </w:cols>
          <w:pgMar w:left="900" w:top="83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43</w:t>
      </w:r>
    </w:p>
    <w:p>
      <w:pPr>
        <w:sectPr>
          <w:pgSz w:w="12240" w:h="15840" w:orient="portrait"/>
          <w:cols w:equalWidth="0" w:num="1">
            <w:col w:w="10760"/>
          </w:cols>
          <w:pgMar w:left="900" w:top="830" w:right="580" w:bottom="0" w:gutter="0" w:footer="0" w:header="0"/>
          <w:type w:val="continuous"/>
        </w:sectPr>
      </w:pPr>
    </w:p>
    <w:bookmarkStart w:id="43" w:name="page44"/>
    <w:bookmarkEnd w:id="43"/>
    <w:p>
      <w:pPr>
        <w:ind w:left="320" w:right="40"/>
        <w:spacing w:after="0" w:line="377" w:lineRule="auto"/>
        <w:rPr>
          <w:sz w:val="20"/>
          <w:szCs w:val="20"/>
          <w:color w:val="auto"/>
        </w:rPr>
      </w:pPr>
      <w:r>
        <w:rPr>
          <w:rFonts w:ascii="Arial" w:cs="Arial" w:eastAsia="Arial" w:hAnsi="Arial"/>
          <w:sz w:val="16"/>
          <w:szCs w:val="16"/>
          <w:b w:val="1"/>
          <w:bCs w:val="1"/>
          <w:color w:val="F4494E"/>
        </w:rPr>
        <w:t xml:space="preserve">COST OF GOODS SOLD. </w:t>
      </w:r>
      <w:r>
        <w:rPr>
          <w:rFonts w:ascii="Times New Roman" w:cs="Times New Roman" w:eastAsia="Times New Roman" w:hAnsi="Times New Roman"/>
          <w:sz w:val="17"/>
          <w:szCs w:val="17"/>
          <w:color w:val="000000"/>
        </w:rPr>
        <w:t>As a percentage of net sales, cost of goods sold increased from 64.2% in 2021 to 68.2% in 2022. The year over year decrease</w:t>
      </w:r>
      <w:r>
        <w:rPr>
          <w:rFonts w:ascii="Arial" w:cs="Arial" w:eastAsia="Arial" w:hAnsi="Arial"/>
          <w:sz w:val="16"/>
          <w:szCs w:val="16"/>
          <w:b w:val="1"/>
          <w:bCs w:val="1"/>
          <w:color w:val="F4494E"/>
        </w:rPr>
        <w:t xml:space="preserve"> </w:t>
      </w:r>
      <w:r>
        <w:rPr>
          <w:rFonts w:ascii="Times New Roman" w:cs="Times New Roman" w:eastAsia="Times New Roman" w:hAnsi="Times New Roman"/>
          <w:sz w:val="17"/>
          <w:szCs w:val="17"/>
          <w:color w:val="000000"/>
        </w:rPr>
        <w:t>in the gross margin was primarily the result of increased raw material costs, increased manufacturing costs, higher freight and logistics costs, and certain previously agreed to annual customer price reductions. On a year over year basis, increased raw material costs had a negative impact of approximately 250 - 300 basis points on gross margin. Manufacturing cost increases, freight and logistics cost increases, and annual customer price reductions each independently had a negative impact of approximately 50 - 100 basis points on gross margin on a year over year basis.</w:t>
      </w:r>
    </w:p>
    <w:p>
      <w:pPr>
        <w:spacing w:after="0" w:line="42" w:lineRule="exact"/>
        <w:rPr>
          <w:sz w:val="20"/>
          <w:szCs w:val="20"/>
          <w:color w:val="auto"/>
        </w:rPr>
      </w:pPr>
    </w:p>
    <w:p>
      <w:pPr>
        <w:ind w:left="320" w:right="20"/>
        <w:spacing w:after="0" w:line="381" w:lineRule="auto"/>
        <w:rPr>
          <w:sz w:val="20"/>
          <w:szCs w:val="20"/>
          <w:color w:val="auto"/>
        </w:rPr>
      </w:pPr>
      <w:r>
        <w:rPr>
          <w:rFonts w:ascii="Arial" w:cs="Arial" w:eastAsia="Arial" w:hAnsi="Arial"/>
          <w:sz w:val="17"/>
          <w:szCs w:val="17"/>
          <w:b w:val="1"/>
          <w:bCs w:val="1"/>
          <w:color w:val="F4494E"/>
        </w:rPr>
        <w:t xml:space="preserve">OPERATING EXPENSES. </w:t>
      </w:r>
      <w:r>
        <w:rPr>
          <w:rFonts w:ascii="Times New Roman" w:cs="Times New Roman" w:eastAsia="Times New Roman" w:hAnsi="Times New Roman"/>
          <w:sz w:val="18"/>
          <w:szCs w:val="18"/>
          <w:color w:val="000000"/>
        </w:rPr>
        <w:t>E, R &amp; D increased by $15.5 million or 13% from 2021 to 2022, but remained at 7% of net sales. E, R &amp; D decreased</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primarily due to additional staffing, professional fees, new product development, and the ongoing product re-designs necessary to mitigate electronics part shortages.</w:t>
      </w:r>
    </w:p>
    <w:p>
      <w:pPr>
        <w:spacing w:after="0" w:line="34" w:lineRule="exact"/>
        <w:rPr>
          <w:sz w:val="20"/>
          <w:szCs w:val="20"/>
          <w:color w:val="auto"/>
        </w:rPr>
      </w:pPr>
    </w:p>
    <w:p>
      <w:pPr>
        <w:jc w:val="both"/>
        <w:ind w:left="320" w:right="140"/>
        <w:spacing w:after="0" w:line="352" w:lineRule="auto"/>
        <w:rPr>
          <w:sz w:val="20"/>
          <w:szCs w:val="20"/>
          <w:color w:val="auto"/>
        </w:rPr>
      </w:pPr>
      <w:r>
        <w:rPr>
          <w:rFonts w:ascii="Times New Roman" w:cs="Times New Roman" w:eastAsia="Times New Roman" w:hAnsi="Times New Roman"/>
          <w:sz w:val="18"/>
          <w:szCs w:val="18"/>
          <w:color w:val="auto"/>
        </w:rPr>
        <w:t>S, G &amp; A expenses increased by $14.3 million or 16% from 2021 to 2022, which represents 6% of net sales in 2022 compared to 5% in 2021. The primary reason for the increase in S, G &amp; A from 2021 to 2022 was primarily due to staffing, increases in outbound freight expenses, and the return of in-person customer meetings and trade show related expenses. S, G &amp; A expenses were also impacted on a year over year basis by the $4.0 million settlement with the SEC that was accrued for in the second and third quarters of 2022, and the related legal and professional fees.</w:t>
      </w:r>
    </w:p>
    <w:p>
      <w:pPr>
        <w:spacing w:after="0" w:line="60" w:lineRule="exact"/>
        <w:rPr>
          <w:sz w:val="20"/>
          <w:szCs w:val="20"/>
          <w:color w:val="auto"/>
        </w:rPr>
      </w:pPr>
    </w:p>
    <w:p>
      <w:pPr>
        <w:ind w:left="320" w:right="240"/>
        <w:spacing w:after="0" w:line="381" w:lineRule="auto"/>
        <w:rPr>
          <w:sz w:val="20"/>
          <w:szCs w:val="20"/>
          <w:color w:val="auto"/>
        </w:rPr>
      </w:pPr>
      <w:r>
        <w:rPr>
          <w:rFonts w:ascii="Arial" w:cs="Arial" w:eastAsia="Arial" w:hAnsi="Arial"/>
          <w:sz w:val="17"/>
          <w:szCs w:val="17"/>
          <w:b w:val="1"/>
          <w:bCs w:val="1"/>
          <w:color w:val="F4494E"/>
        </w:rPr>
        <w:t xml:space="preserve">TOTAL OTHER (LOSS)/INCOME. </w:t>
      </w:r>
      <w:r>
        <w:rPr>
          <w:rFonts w:ascii="Times New Roman" w:cs="Times New Roman" w:eastAsia="Times New Roman" w:hAnsi="Times New Roman"/>
          <w:sz w:val="18"/>
          <w:szCs w:val="18"/>
          <w:color w:val="000000"/>
        </w:rPr>
        <w:t>Investment income increased $1.2 million to $4.8 million for 2022 compared to $3.6 million for 2021</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primarily due to increases in interest income from fixed income investments. Other income – net decreased $8.1 million in 2022 versus 2021, primarily due to additional losses on sales of debt investments on a year over year basis.</w:t>
      </w:r>
    </w:p>
    <w:p>
      <w:pPr>
        <w:spacing w:after="0" w:line="32" w:lineRule="exact"/>
        <w:rPr>
          <w:sz w:val="20"/>
          <w:szCs w:val="20"/>
          <w:color w:val="auto"/>
        </w:rPr>
      </w:pPr>
    </w:p>
    <w:p>
      <w:pPr>
        <w:jc w:val="both"/>
        <w:ind w:left="320" w:right="100"/>
        <w:spacing w:after="0" w:line="382" w:lineRule="auto"/>
        <w:rPr>
          <w:sz w:val="20"/>
          <w:szCs w:val="20"/>
          <w:color w:val="auto"/>
        </w:rPr>
      </w:pPr>
      <w:r>
        <w:rPr>
          <w:rFonts w:ascii="Arial" w:cs="Arial" w:eastAsia="Arial" w:hAnsi="Arial"/>
          <w:sz w:val="17"/>
          <w:szCs w:val="17"/>
          <w:b w:val="1"/>
          <w:bCs w:val="1"/>
          <w:color w:val="F4494E"/>
        </w:rPr>
        <w:t xml:space="preserve">TAXES. </w:t>
      </w:r>
      <w:r>
        <w:rPr>
          <w:rFonts w:ascii="Times New Roman" w:cs="Times New Roman" w:eastAsia="Times New Roman" w:hAnsi="Times New Roman"/>
          <w:sz w:val="18"/>
          <w:szCs w:val="18"/>
          <w:color w:val="000000"/>
        </w:rPr>
        <w:t>The effective tax rate was 13.8% for the year ended December 31, 2022 compared to 13.3% for the prior year. The effective tax rates in</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2022 and 2021 differed from the statutory federal income tax rate, primarily due to the Foreign Derived Intangible Income Deduction, as well as additional equity compensation deductions and various tax credits.</w:t>
      </w:r>
    </w:p>
    <w:p>
      <w:pPr>
        <w:spacing w:after="0" w:line="29" w:lineRule="exact"/>
        <w:rPr>
          <w:sz w:val="20"/>
          <w:szCs w:val="20"/>
          <w:color w:val="auto"/>
        </w:rPr>
      </w:pPr>
    </w:p>
    <w:p>
      <w:pPr>
        <w:ind w:left="320" w:right="200"/>
        <w:spacing w:after="0" w:line="439" w:lineRule="auto"/>
        <w:rPr>
          <w:sz w:val="20"/>
          <w:szCs w:val="20"/>
          <w:color w:val="auto"/>
        </w:rPr>
      </w:pPr>
      <w:r>
        <w:rPr>
          <w:rFonts w:ascii="Arial" w:cs="Arial" w:eastAsia="Arial" w:hAnsi="Arial"/>
          <w:sz w:val="17"/>
          <w:szCs w:val="17"/>
          <w:b w:val="1"/>
          <w:bCs w:val="1"/>
          <w:color w:val="F4494E"/>
        </w:rPr>
        <w:t xml:space="preserve">NET INCOME. </w:t>
      </w:r>
      <w:r>
        <w:rPr>
          <w:rFonts w:ascii="Times New Roman" w:cs="Times New Roman" w:eastAsia="Times New Roman" w:hAnsi="Times New Roman"/>
          <w:sz w:val="18"/>
          <w:szCs w:val="18"/>
          <w:color w:val="000000"/>
        </w:rPr>
        <w:t>Net income decreased by $42.0 million in 2022, or 12% compared to 2021, primarily due to the year over year changes in gross</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margin and operating profits.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Liquidity and Capital Resources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financial condition throughout the periods presented has remained very strong.</w:t>
      </w:r>
    </w:p>
    <w:p>
      <w:pPr>
        <w:spacing w:after="0" w:line="253" w:lineRule="exact"/>
        <w:rPr>
          <w:sz w:val="20"/>
          <w:szCs w:val="20"/>
          <w:color w:val="auto"/>
        </w:rPr>
      </w:pPr>
    </w:p>
    <w:p>
      <w:pPr>
        <w:jc w:val="both"/>
        <w:ind w:left="320" w:right="140"/>
        <w:spacing w:after="0" w:line="382" w:lineRule="auto"/>
        <w:rPr>
          <w:sz w:val="20"/>
          <w:szCs w:val="20"/>
          <w:color w:val="auto"/>
        </w:rPr>
      </w:pPr>
      <w:r>
        <w:rPr>
          <w:rFonts w:ascii="Times New Roman" w:cs="Times New Roman" w:eastAsia="Times New Roman" w:hAnsi="Times New Roman"/>
          <w:sz w:val="18"/>
          <w:szCs w:val="18"/>
          <w:color w:val="auto"/>
        </w:rPr>
        <w:t>The Company’s cash and cash equivalents were $226.4 million, $214.8 million, and $262.3 million as of December 31, 2023, 2022 and 2021, respectively. The Company’s cash and cash equivalents include amounts held by foreign subsidiaries of $14.8 million, $12.5 million, and $10.7 million as of December 31, 2023, 2022 and 2021, respectively.</w:t>
      </w:r>
    </w:p>
    <w:p>
      <w:pPr>
        <w:spacing w:after="0" w:line="32" w:lineRule="exact"/>
        <w:rPr>
          <w:sz w:val="20"/>
          <w:szCs w:val="20"/>
          <w:color w:val="auto"/>
        </w:rPr>
      </w:pPr>
    </w:p>
    <w:p>
      <w:pPr>
        <w:ind w:left="320" w:right="240"/>
        <w:spacing w:after="0" w:line="353" w:lineRule="auto"/>
        <w:rPr>
          <w:sz w:val="20"/>
          <w:szCs w:val="20"/>
          <w:color w:val="auto"/>
        </w:rPr>
      </w:pPr>
      <w:r>
        <w:rPr>
          <w:rFonts w:ascii="Times New Roman" w:cs="Times New Roman" w:eastAsia="Times New Roman" w:hAnsi="Times New Roman"/>
          <w:sz w:val="18"/>
          <w:szCs w:val="18"/>
          <w:color w:val="auto"/>
        </w:rPr>
        <w:t>Cash flow from operating activities was $537.2 million, $338.2 million and $362.2 million for the years ended December 31, 2023, 2022 and 2021, respectively. Cash flow from operating activities increased $199.0 million for the year ended December 31, 2023 compared to the prior year, primarily due to increases in net income and changes in working capital. Cash flow from operating activities decreased $24.0 million for the year ended December 31, 2022 compared to the same period in 2021, primarily due to changes in working capital and a decrease in net income, which were partially offset by changes in deferred taxes.</w:t>
      </w:r>
    </w:p>
    <w:p>
      <w:pPr>
        <w:spacing w:after="0" w:line="58" w:lineRule="exact"/>
        <w:rPr>
          <w:sz w:val="20"/>
          <w:szCs w:val="20"/>
          <w:color w:val="auto"/>
        </w:rPr>
      </w:pPr>
    </w:p>
    <w:p>
      <w:pPr>
        <w:ind w:left="320"/>
        <w:spacing w:after="0" w:line="377" w:lineRule="auto"/>
        <w:rPr>
          <w:sz w:val="20"/>
          <w:szCs w:val="20"/>
          <w:color w:val="auto"/>
        </w:rPr>
      </w:pPr>
      <w:r>
        <w:rPr>
          <w:rFonts w:ascii="Times New Roman" w:cs="Times New Roman" w:eastAsia="Times New Roman" w:hAnsi="Times New Roman"/>
          <w:sz w:val="17"/>
          <w:szCs w:val="17"/>
          <w:color w:val="auto"/>
        </w:rPr>
        <w:t>Cash flow used for investing activities for the year ended December 31, 2023 increased by $126.7 million to $299.4 million, compared with cash flow used for investing activities of $172.7 million for the year ended December 31, 2022, primarily due to increased technology investment purchases during the year, as well as increased capital expenditures in 2023 compared to 2022. Cash flow used for investing activities for the year ended December 31, 2022 increased by $59.6 million to $172.7 million, compared to cash flow used for investment activities for the year ended December 31, 2021, primarily due to increased investment purchases of equity method investments in 2022 compared to 2021.</w:t>
      </w:r>
    </w:p>
    <w:p>
      <w:pPr>
        <w:spacing w:after="0" w:line="45" w:lineRule="exact"/>
        <w:rPr>
          <w:sz w:val="20"/>
          <w:szCs w:val="20"/>
          <w:color w:val="auto"/>
        </w:rPr>
      </w:pPr>
    </w:p>
    <w:p>
      <w:pPr>
        <w:ind w:left="320" w:right="100"/>
        <w:spacing w:after="0" w:line="353" w:lineRule="auto"/>
        <w:rPr>
          <w:sz w:val="20"/>
          <w:szCs w:val="20"/>
          <w:color w:val="auto"/>
        </w:rPr>
      </w:pPr>
      <w:r>
        <w:rPr>
          <w:rFonts w:ascii="Times New Roman" w:cs="Times New Roman" w:eastAsia="Times New Roman" w:hAnsi="Times New Roman"/>
          <w:sz w:val="18"/>
          <w:szCs w:val="18"/>
          <w:color w:val="auto"/>
        </w:rPr>
        <w:t>Capital expenditures were $183.7 million, $146.4 million, and $68.8 million for the years ended December 31, 2023, 2022, and 2021, respectively. Capital expenditures for the year ended December 31, 2023 increased by $37.2 million compared with the year ended December 31, 2022, primarily due to increased in expenditures related to building and facility construction projects previously discussed. Capital expenditures for the year ended December 31, 2022 increased by $77.6 million compared to the year ended December 31, 2020, also due to the same building and facility construction projects previously discussed.</w:t>
      </w:r>
    </w:p>
    <w:p>
      <w:pPr>
        <w:sectPr>
          <w:pgSz w:w="12240" w:h="15840" w:orient="portrait"/>
          <w:cols w:equalWidth="0" w:num="1">
            <w:col w:w="10740"/>
          </w:cols>
          <w:pgMar w:left="580" w:top="850" w:right="920" w:bottom="0" w:gutter="0" w:footer="0" w:header="0"/>
        </w:sectPr>
      </w:pPr>
    </w:p>
    <w:p>
      <w:pPr>
        <w:spacing w:after="0" w:line="200" w:lineRule="exact"/>
        <w:rPr>
          <w:sz w:val="20"/>
          <w:szCs w:val="20"/>
          <w:color w:val="auto"/>
        </w:rPr>
      </w:pPr>
    </w:p>
    <w:p>
      <w:pPr>
        <w:spacing w:after="0" w:line="386"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44</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40"/>
          </w:cols>
          <w:pgMar w:left="580" w:top="850" w:right="920" w:bottom="0" w:gutter="0" w:footer="0" w:header="0"/>
          <w:type w:val="continuous"/>
        </w:sectPr>
      </w:pPr>
    </w:p>
    <w:bookmarkStart w:id="44" w:name="page45"/>
    <w:bookmarkEnd w:id="44"/>
    <w:p>
      <w:pPr>
        <w:ind w:right="360"/>
        <w:spacing w:after="0" w:line="347" w:lineRule="auto"/>
        <w:rPr>
          <w:sz w:val="20"/>
          <w:szCs w:val="20"/>
          <w:color w:val="auto"/>
        </w:rPr>
      </w:pPr>
      <w:r>
        <w:rPr>
          <w:rFonts w:ascii="Times New Roman" w:cs="Times New Roman" w:eastAsia="Times New Roman" w:hAnsi="Times New Roman"/>
          <w:sz w:val="18"/>
          <w:szCs w:val="18"/>
          <w:color w:val="auto"/>
        </w:rPr>
        <w:t>Cash flow used for financing activities for the year ended December 31, 2023, increased $21.1 million to $230.2 million, compared to $209.0 million for the year ended December 31, 2022, primarily due to an increase in the amount of shares of common stock repurchased which totaled $147.4 million during the calendar year 2023 as compared to $112.5 million during the calendar year 2022. Cash flow used for financing activities for the year ended December 31, 2022, decreased $201.1 million to $209.0 million compared to the year ended December 31, 2021, primarily due to a decrease in the amount of shares of common stock repurchased which totaled $112.5 million during the calendar year 2022 as compared to $324.6 million during the calendar year 2021.</w:t>
      </w:r>
    </w:p>
    <w:p>
      <w:pPr>
        <w:spacing w:after="0" w:line="65" w:lineRule="exact"/>
        <w:rPr>
          <w:sz w:val="20"/>
          <w:szCs w:val="20"/>
          <w:color w:val="auto"/>
        </w:rPr>
      </w:pPr>
    </w:p>
    <w:p>
      <w:pPr>
        <w:ind w:right="440"/>
        <w:spacing w:after="0" w:line="382" w:lineRule="auto"/>
        <w:rPr>
          <w:sz w:val="20"/>
          <w:szCs w:val="20"/>
          <w:color w:val="auto"/>
        </w:rPr>
      </w:pPr>
      <w:r>
        <w:rPr>
          <w:rFonts w:ascii="Times New Roman" w:cs="Times New Roman" w:eastAsia="Times New Roman" w:hAnsi="Times New Roman"/>
          <w:sz w:val="18"/>
          <w:szCs w:val="18"/>
          <w:color w:val="auto"/>
        </w:rPr>
        <w:t>Short-term investments as of December 31, 2023 were $14.4 million, down from $23.0 million as of December 31, 2022 and long-term investments were $299.1 million as of December 31, 2023, up from $202.3 million as of December 31, 2022, due to changes in the Company’s overall investment portfolio and increased investment in technology investments.</w:t>
      </w:r>
    </w:p>
    <w:p>
      <w:pPr>
        <w:spacing w:after="0" w:line="32" w:lineRule="exact"/>
        <w:rPr>
          <w:sz w:val="20"/>
          <w:szCs w:val="20"/>
          <w:color w:val="auto"/>
        </w:rPr>
      </w:pPr>
    </w:p>
    <w:p>
      <w:pPr>
        <w:ind w:right="340"/>
        <w:spacing w:after="0" w:line="429" w:lineRule="auto"/>
        <w:rPr>
          <w:sz w:val="20"/>
          <w:szCs w:val="20"/>
          <w:color w:val="auto"/>
        </w:rPr>
      </w:pPr>
      <w:r>
        <w:rPr>
          <w:rFonts w:ascii="Times New Roman" w:cs="Times New Roman" w:eastAsia="Times New Roman" w:hAnsi="Times New Roman"/>
          <w:sz w:val="18"/>
          <w:szCs w:val="18"/>
          <w:color w:val="auto"/>
        </w:rPr>
        <w:t>Accounts receivable as of December 31, 2023 increased $45.3 million compared to December 31, 2022, primarily due to an increase in sales year over year.</w:t>
      </w:r>
    </w:p>
    <w:p>
      <w:pPr>
        <w:ind w:right="760"/>
        <w:spacing w:after="0" w:line="429" w:lineRule="auto"/>
        <w:rPr>
          <w:sz w:val="20"/>
          <w:szCs w:val="20"/>
          <w:color w:val="auto"/>
        </w:rPr>
      </w:pPr>
      <w:r>
        <w:rPr>
          <w:rFonts w:ascii="Times New Roman" w:cs="Times New Roman" w:eastAsia="Times New Roman" w:hAnsi="Times New Roman"/>
          <w:sz w:val="18"/>
          <w:szCs w:val="18"/>
          <w:color w:val="auto"/>
        </w:rPr>
        <w:t>Inventories as of December 31, 2023, decreased $1.9 million compared to December 31, 2022, primarily due to decreases in raw materials, which were partially offset by increases in finished goods to meet customer order demand.</w:t>
      </w:r>
    </w:p>
    <w:p>
      <w:pPr>
        <w:ind w:right="680"/>
        <w:spacing w:after="0" w:line="429" w:lineRule="auto"/>
        <w:rPr>
          <w:sz w:val="20"/>
          <w:szCs w:val="20"/>
          <w:color w:val="auto"/>
        </w:rPr>
      </w:pPr>
      <w:r>
        <w:rPr>
          <w:rFonts w:ascii="Times New Roman" w:cs="Times New Roman" w:eastAsia="Times New Roman" w:hAnsi="Times New Roman"/>
          <w:sz w:val="18"/>
          <w:szCs w:val="18"/>
          <w:color w:val="auto"/>
        </w:rPr>
        <w:t>Intangible Assets, net as of December 31, 2023 decreased $5.4 million compared to December 31, 2022, due to the amortization of definite lived intangible assets and patents, which is discussed further in Note 10 of the Consolidated Financial Statements.</w:t>
      </w:r>
    </w:p>
    <w:p>
      <w:pPr>
        <w:ind w:right="760"/>
        <w:spacing w:after="0" w:line="429" w:lineRule="auto"/>
        <w:rPr>
          <w:sz w:val="20"/>
          <w:szCs w:val="20"/>
          <w:color w:val="auto"/>
        </w:rPr>
      </w:pPr>
      <w:r>
        <w:rPr>
          <w:rFonts w:ascii="Times New Roman" w:cs="Times New Roman" w:eastAsia="Times New Roman" w:hAnsi="Times New Roman"/>
          <w:sz w:val="18"/>
          <w:szCs w:val="18"/>
          <w:color w:val="auto"/>
        </w:rPr>
        <w:t>Accounts payable as of December 31, 2023, increased $32.7 million compared to December 31, 2022, primarily due to increases in, and/or timing of capital expenditure payments.</w:t>
      </w:r>
    </w:p>
    <w:p>
      <w:pPr>
        <w:ind w:right="520"/>
        <w:spacing w:after="0" w:line="362" w:lineRule="auto"/>
        <w:rPr>
          <w:sz w:val="20"/>
          <w:szCs w:val="20"/>
          <w:color w:val="auto"/>
        </w:rPr>
      </w:pPr>
      <w:r>
        <w:rPr>
          <w:rFonts w:ascii="Times New Roman" w:cs="Times New Roman" w:eastAsia="Times New Roman" w:hAnsi="Times New Roman"/>
          <w:sz w:val="18"/>
          <w:szCs w:val="18"/>
          <w:color w:val="auto"/>
        </w:rPr>
        <w:t>Management considers the Company’s current working capital and long-term investments, as well as its existing credit financing arrangement (notwithstanding covenants prohibiting additional indebtedness), discussed further in Note 2 of the Consolidated Financial Statements, in addition to internally generated cash flow, to be sufficient to cover anticipated cash needs for the foreseeable future considering its contractual obligations and commitments.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working capital and fixed income long-term investments: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345"/>
        </w:trPr>
        <w:tc>
          <w:tcPr>
            <w:tcW w:w="36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680" w:type="dxa"/>
            <w:vAlign w:val="bottom"/>
            <w:tcBorders>
              <w:bottom w:val="single" w:sz="8" w:color="808080"/>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726,129,177</w:t>
            </w:r>
          </w:p>
        </w:tc>
        <w:tc>
          <w:tcPr>
            <w:tcW w:w="760" w:type="dxa"/>
            <w:vAlign w:val="bottom"/>
            <w:tcBorders>
              <w:bottom w:val="single" w:sz="8" w:color="808080"/>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698,099,624</w:t>
            </w:r>
          </w:p>
        </w:tc>
        <w:tc>
          <w:tcPr>
            <w:tcW w:w="760" w:type="dxa"/>
            <w:vAlign w:val="bottom"/>
            <w:tcBorders>
              <w:bottom w:val="single" w:sz="8" w:color="808080"/>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801,593,707</w:t>
            </w:r>
          </w:p>
        </w:tc>
      </w:tr>
      <w:tr>
        <w:trPr>
          <w:trHeight w:val="335"/>
        </w:trPr>
        <w:tc>
          <w:tcPr>
            <w:tcW w:w="36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Fixed Income Long Term Investments</w:t>
            </w:r>
          </w:p>
        </w:tc>
        <w:tc>
          <w:tcPr>
            <w:tcW w:w="680" w:type="dxa"/>
            <w:vAlign w:val="bottom"/>
            <w:tcBorders>
              <w:bottom w:val="single" w:sz="8" w:color="4CA5CD"/>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155,863,252</w:t>
            </w:r>
          </w:p>
        </w:tc>
        <w:tc>
          <w:tcPr>
            <w:tcW w:w="760" w:type="dxa"/>
            <w:vAlign w:val="bottom"/>
            <w:tcBorders>
              <w:bottom w:val="single" w:sz="8" w:color="4CA5CD"/>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140,341,898</w:t>
            </w:r>
          </w:p>
        </w:tc>
        <w:tc>
          <w:tcPr>
            <w:tcW w:w="760" w:type="dxa"/>
            <w:vAlign w:val="bottom"/>
            <w:tcBorders>
              <w:bottom w:val="single" w:sz="8" w:color="4CA5CD"/>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190,875,668</w:t>
            </w:r>
          </w:p>
        </w:tc>
      </w:tr>
      <w:tr>
        <w:trPr>
          <w:trHeight w:val="3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4CA5CD"/>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881,992,429</w:t>
            </w:r>
          </w:p>
        </w:tc>
        <w:tc>
          <w:tcPr>
            <w:tcW w:w="760" w:type="dxa"/>
            <w:vAlign w:val="bottom"/>
            <w:tcBorders>
              <w:bottom w:val="single" w:sz="8" w:color="4CA5CD"/>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838,441,522</w:t>
            </w:r>
          </w:p>
        </w:tc>
        <w:tc>
          <w:tcPr>
            <w:tcW w:w="760" w:type="dxa"/>
            <w:vAlign w:val="bottom"/>
            <w:tcBorders>
              <w:bottom w:val="single" w:sz="8" w:color="4CA5CD"/>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992,469,375</w:t>
            </w:r>
          </w:p>
        </w:tc>
      </w:tr>
      <w:tr>
        <w:trPr>
          <w:trHeight w:val="20"/>
        </w:trPr>
        <w:tc>
          <w:tcPr>
            <w:tcW w:w="3600" w:type="dxa"/>
            <w:vAlign w:val="bottom"/>
          </w:tcPr>
          <w:p>
            <w:pPr>
              <w:spacing w:after="0" w:line="20" w:lineRule="exact"/>
              <w:rPr>
                <w:sz w:val="1"/>
                <w:szCs w:val="1"/>
                <w:color w:val="auto"/>
              </w:rPr>
            </w:pPr>
          </w:p>
        </w:tc>
        <w:tc>
          <w:tcPr>
            <w:tcW w:w="680" w:type="dxa"/>
            <w:vAlign w:val="bottom"/>
            <w:tcBorders>
              <w:bottom w:val="single" w:sz="8" w:color="4CA5CD"/>
            </w:tcBorders>
          </w:tcPr>
          <w:p>
            <w:pPr>
              <w:spacing w:after="0" w:line="20" w:lineRule="exact"/>
              <w:rPr>
                <w:sz w:val="1"/>
                <w:szCs w:val="1"/>
                <w:color w:val="auto"/>
              </w:rPr>
            </w:pPr>
          </w:p>
        </w:tc>
        <w:tc>
          <w:tcPr>
            <w:tcW w:w="1580" w:type="dxa"/>
            <w:vAlign w:val="bottom"/>
            <w:tcBorders>
              <w:bottom w:val="single" w:sz="8" w:color="4CA5CD"/>
            </w:tcBorders>
          </w:tcPr>
          <w:p>
            <w:pPr>
              <w:spacing w:after="0" w:line="20" w:lineRule="exact"/>
              <w:rPr>
                <w:sz w:val="1"/>
                <w:szCs w:val="1"/>
                <w:color w:val="auto"/>
              </w:rPr>
            </w:pPr>
          </w:p>
        </w:tc>
        <w:tc>
          <w:tcPr>
            <w:tcW w:w="760" w:type="dxa"/>
            <w:vAlign w:val="bottom"/>
            <w:tcBorders>
              <w:bottom w:val="single" w:sz="8" w:color="4CA5CD"/>
            </w:tcBorders>
          </w:tcPr>
          <w:p>
            <w:pPr>
              <w:spacing w:after="0" w:line="20" w:lineRule="exact"/>
              <w:rPr>
                <w:sz w:val="1"/>
                <w:szCs w:val="1"/>
                <w:color w:val="auto"/>
              </w:rPr>
            </w:pPr>
          </w:p>
        </w:tc>
        <w:tc>
          <w:tcPr>
            <w:tcW w:w="1580" w:type="dxa"/>
            <w:vAlign w:val="bottom"/>
            <w:tcBorders>
              <w:bottom w:val="single" w:sz="8" w:color="4CA5CD"/>
            </w:tcBorders>
          </w:tcPr>
          <w:p>
            <w:pPr>
              <w:spacing w:after="0" w:line="20" w:lineRule="exact"/>
              <w:rPr>
                <w:sz w:val="1"/>
                <w:szCs w:val="1"/>
                <w:color w:val="auto"/>
              </w:rPr>
            </w:pPr>
          </w:p>
        </w:tc>
        <w:tc>
          <w:tcPr>
            <w:tcW w:w="760" w:type="dxa"/>
            <w:vAlign w:val="bottom"/>
            <w:tcBorders>
              <w:bottom w:val="single" w:sz="8" w:color="4CA5CD"/>
            </w:tcBorders>
          </w:tcPr>
          <w:p>
            <w:pPr>
              <w:spacing w:after="0" w:line="20" w:lineRule="exact"/>
              <w:rPr>
                <w:sz w:val="1"/>
                <w:szCs w:val="1"/>
                <w:color w:val="auto"/>
              </w:rPr>
            </w:pPr>
          </w:p>
        </w:tc>
        <w:tc>
          <w:tcPr>
            <w:tcW w:w="1480" w:type="dxa"/>
            <w:vAlign w:val="bottom"/>
            <w:tcBorders>
              <w:bottom w:val="single" w:sz="8" w:color="4CA5CD"/>
            </w:tcBorders>
          </w:tcPr>
          <w:p>
            <w:pPr>
              <w:spacing w:after="0" w:line="20" w:lineRule="exact"/>
              <w:rPr>
                <w:sz w:val="1"/>
                <w:szCs w:val="1"/>
                <w:color w:val="auto"/>
              </w:rPr>
            </w:pPr>
          </w:p>
        </w:tc>
      </w:tr>
    </w:tbl>
    <w:p>
      <w:pPr>
        <w:spacing w:after="0" w:line="290" w:lineRule="exact"/>
        <w:rPr>
          <w:sz w:val="20"/>
          <w:szCs w:val="20"/>
          <w:color w:val="auto"/>
        </w:rPr>
      </w:pPr>
    </w:p>
    <w:p>
      <w:pPr>
        <w:ind w:right="460"/>
        <w:spacing w:after="0" w:line="411" w:lineRule="auto"/>
        <w:rPr>
          <w:sz w:val="20"/>
          <w:szCs w:val="20"/>
          <w:color w:val="auto"/>
        </w:rPr>
      </w:pPr>
      <w:r>
        <w:rPr>
          <w:rFonts w:ascii="Times New Roman" w:cs="Times New Roman" w:eastAsia="Times New Roman" w:hAnsi="Times New Roman"/>
          <w:sz w:val="17"/>
          <w:szCs w:val="17"/>
          <w:color w:val="auto"/>
        </w:rPr>
        <w:t>The increase in working capital as of December 31, 2023 compared to December 31, 2022 is primarily due to increases in cash and accounts receivable, which was partially offset by increases in accounts payable. The decrease in working capital as of December 31, 2022 compared to 2021 is primarily due to increases in inventory and accounts receivable, which were partially offset by decreases in cash and prepaid expenses and other.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Part II, Item 5, with regard to the Company’s previously announced share repurchase plan.</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Outlook</w:t>
      </w:r>
    </w:p>
    <w:p>
      <w:pPr>
        <w:spacing w:after="0" w:line="191" w:lineRule="exact"/>
        <w:rPr>
          <w:sz w:val="20"/>
          <w:szCs w:val="20"/>
          <w:color w:val="auto"/>
        </w:rPr>
      </w:pPr>
    </w:p>
    <w:p>
      <w:pPr>
        <w:ind w:right="500"/>
        <w:spacing w:after="0" w:line="382" w:lineRule="auto"/>
        <w:rPr>
          <w:sz w:val="20"/>
          <w:szCs w:val="20"/>
          <w:color w:val="auto"/>
        </w:rPr>
      </w:pPr>
      <w:r>
        <w:rPr>
          <w:rFonts w:ascii="Times New Roman" w:cs="Times New Roman" w:eastAsia="Times New Roman" w:hAnsi="Times New Roman"/>
          <w:sz w:val="18"/>
          <w:szCs w:val="18"/>
          <w:color w:val="auto"/>
        </w:rPr>
        <w:t>The Company utilizes the light vehicle production forecasting services of S&amp;P Global Mobility. The S&amp;P Global Mobility mid-January 2024 forecast for light vehicle production for calendar year 2024 are approximately 15.8 million units for North America, 17.4 million units for Europe, 12.2 million units for Japan and Korea, and 28.9 million units for China.</w:t>
      </w:r>
    </w:p>
    <w:p>
      <w:pPr>
        <w:spacing w:after="0" w:line="32" w:lineRule="exact"/>
        <w:rPr>
          <w:sz w:val="20"/>
          <w:szCs w:val="20"/>
          <w:color w:val="auto"/>
        </w:rPr>
      </w:pPr>
    </w:p>
    <w:p>
      <w:pPr>
        <w:ind w:right="400"/>
        <w:spacing w:after="0" w:line="377" w:lineRule="auto"/>
        <w:rPr>
          <w:sz w:val="20"/>
          <w:szCs w:val="20"/>
          <w:color w:val="auto"/>
        </w:rPr>
      </w:pPr>
      <w:r>
        <w:rPr>
          <w:rFonts w:ascii="Times New Roman" w:cs="Times New Roman" w:eastAsia="Times New Roman" w:hAnsi="Times New Roman"/>
          <w:sz w:val="17"/>
          <w:szCs w:val="17"/>
          <w:color w:val="auto"/>
        </w:rPr>
        <w:t>Based on the foregoing, the Company estimates that top line revenue for calendar year 2024 will be between $2.45 and $2.55 billion. All estimates are based on light vehicle production forecasts in the primary regions to which the Company ships product, as well as the estimated option rates for its mirrors and electronics on prospective vehicle models and anticipated product mix. Continuing uncertainties, such as: light vehicle production volumes; the Ukraine-Russia war; the Israel-Hamas war; labor shortages; automotive plant shutdowns; sales rates in Europe, Asia and North America; challenging macroeconomic and geopolitical environments, including inflation, tariffs and potential tax law changes;</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341"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45</w:t>
      </w:r>
    </w:p>
    <w:p>
      <w:pPr>
        <w:sectPr>
          <w:pgSz w:w="12240" w:h="15840" w:orient="portrait"/>
          <w:cols w:equalWidth="0" w:num="1">
            <w:col w:w="10760"/>
          </w:cols>
          <w:pgMar w:left="900" w:top="852" w:right="580" w:bottom="0" w:gutter="0" w:footer="0" w:header="0"/>
          <w:type w:val="continuous"/>
        </w:sectPr>
      </w:pPr>
    </w:p>
    <w:bookmarkStart w:id="45" w:name="page46"/>
    <w:bookmarkEnd w:id="45"/>
    <w:p>
      <w:pPr>
        <w:ind w:left="320" w:right="240"/>
        <w:spacing w:after="0" w:line="429" w:lineRule="auto"/>
        <w:rPr>
          <w:sz w:val="20"/>
          <w:szCs w:val="20"/>
          <w:color w:val="auto"/>
        </w:rPr>
      </w:pPr>
      <w:r>
        <w:rPr>
          <w:rFonts w:ascii="Times New Roman" w:cs="Times New Roman" w:eastAsia="Times New Roman" w:hAnsi="Times New Roman"/>
          <w:sz w:val="18"/>
          <w:szCs w:val="18"/>
          <w:color w:val="auto"/>
        </w:rPr>
        <w:t>OEM strategies and cost pressures; customer inventory management and the impact of potential automotive customer (including their Tier 1 suppliers) and supplier bankruptcies; work stoppages, strikes, etc.; could disrupt shipments to customers and make forecasting difficult.</w:t>
      </w:r>
    </w:p>
    <w:p>
      <w:pPr>
        <w:jc w:val="both"/>
        <w:ind w:left="320" w:right="340"/>
        <w:spacing w:after="0" w:line="362" w:lineRule="auto"/>
        <w:rPr>
          <w:sz w:val="20"/>
          <w:szCs w:val="20"/>
          <w:color w:val="auto"/>
        </w:rPr>
      </w:pPr>
      <w:r>
        <w:rPr>
          <w:rFonts w:ascii="Times New Roman" w:cs="Times New Roman" w:eastAsia="Times New Roman" w:hAnsi="Times New Roman"/>
          <w:sz w:val="18"/>
          <w:szCs w:val="18"/>
          <w:color w:val="auto"/>
        </w:rPr>
        <w:t>The Company is estimating that the gross margin will be between 34% and 35% for calendar year 2024. Historically, annual customer price reductions have placed pressure on gross margin on an annual basis. Given the current revenue forecast and projected product mix for 2024, the Company hopes it may be able to offset certain annual customer price reductions with raw material cost decreases, improved operational efficiencies, and leverage on the Company’s fixed costs, but there is no certainty of being able to do so.</w:t>
      </w:r>
    </w:p>
    <w:p>
      <w:pPr>
        <w:spacing w:after="0" w:line="52" w:lineRule="exact"/>
        <w:rPr>
          <w:sz w:val="20"/>
          <w:szCs w:val="20"/>
          <w:color w:val="auto"/>
        </w:rPr>
      </w:pPr>
    </w:p>
    <w:p>
      <w:pPr>
        <w:ind w:left="320" w:right="60"/>
        <w:spacing w:after="0" w:line="352" w:lineRule="auto"/>
        <w:rPr>
          <w:sz w:val="20"/>
          <w:szCs w:val="20"/>
          <w:color w:val="auto"/>
        </w:rPr>
      </w:pPr>
      <w:r>
        <w:rPr>
          <w:rFonts w:ascii="Times New Roman" w:cs="Times New Roman" w:eastAsia="Times New Roman" w:hAnsi="Times New Roman"/>
          <w:sz w:val="18"/>
          <w:szCs w:val="18"/>
          <w:color w:val="auto"/>
        </w:rPr>
        <w:t>The Company is also estimating that its operating expenses, which include E, R &amp; D and S, G &amp; A, are expected to be between $295 and $305 million for calendar year 2024, due in part to continued investments that support growth and launch of new business as well as development of new products, which are primarily staffing related. The Company continues to invest heavily in technology directed at funding the development of its current product portfolio and creating iterations of those products that help keep its products new and attractive to our customers, as well as new products.</w:t>
      </w:r>
    </w:p>
    <w:p>
      <w:pPr>
        <w:spacing w:after="0" w:line="63" w:lineRule="exact"/>
        <w:rPr>
          <w:sz w:val="20"/>
          <w:szCs w:val="20"/>
          <w:color w:val="auto"/>
        </w:rPr>
      </w:pPr>
    </w:p>
    <w:p>
      <w:pPr>
        <w:ind w:left="320" w:right="280"/>
        <w:spacing w:after="0" w:line="381" w:lineRule="auto"/>
        <w:rPr>
          <w:sz w:val="20"/>
          <w:szCs w:val="20"/>
          <w:color w:val="auto"/>
        </w:rPr>
      </w:pPr>
      <w:r>
        <w:rPr>
          <w:rFonts w:ascii="Times New Roman" w:cs="Times New Roman" w:eastAsia="Times New Roman" w:hAnsi="Times New Roman"/>
          <w:sz w:val="18"/>
          <w:szCs w:val="18"/>
          <w:color w:val="auto"/>
        </w:rPr>
        <w:t>The Company is a technology leader in the automotive industry, with a focus on developing uniquely designed solutions that are proprietary. The Company continues to make investments intended to maintain a competitive advantage in its current markets, as well as to use its core competencies to develop products that are applicable in other markets.</w:t>
      </w:r>
    </w:p>
    <w:p>
      <w:pPr>
        <w:spacing w:after="0" w:line="34" w:lineRule="exact"/>
        <w:rPr>
          <w:sz w:val="20"/>
          <w:szCs w:val="20"/>
          <w:color w:val="auto"/>
        </w:rPr>
      </w:pPr>
    </w:p>
    <w:p>
      <w:pPr>
        <w:ind w:left="320"/>
        <w:spacing w:after="0" w:line="362" w:lineRule="auto"/>
        <w:rPr>
          <w:sz w:val="20"/>
          <w:szCs w:val="20"/>
          <w:color w:val="auto"/>
        </w:rPr>
      </w:pPr>
      <w:r>
        <w:rPr>
          <w:rFonts w:ascii="Times New Roman" w:cs="Times New Roman" w:eastAsia="Times New Roman" w:hAnsi="Times New Roman"/>
          <w:sz w:val="18"/>
          <w:szCs w:val="18"/>
          <w:color w:val="auto"/>
        </w:rPr>
        <w:t>Based on current light vehicle production forecasts, and the resultant forecast our automatic-dimming mirrors and electronics, the Company currently anticipates that 2024 capital expenditures will be between $225 and $250 million, a majority of which will be related to production equipment purchases. Capital expenditures for calendar year 2024 are currently anticipated to be financed from current cash and cash equivalents on hand and cash flows from operating activities.</w:t>
      </w:r>
    </w:p>
    <w:p>
      <w:pPr>
        <w:spacing w:after="0" w:line="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is also estimating that depreciation and amortization expense for calendar year 2024 will be between $95 and $105 million.</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is further estimating that its tax rate will be between 16% and 18% for calendar year 2024 based on the current statutory rates.</w:t>
      </w:r>
    </w:p>
    <w:p>
      <w:pPr>
        <w:spacing w:after="0" w:line="253" w:lineRule="exact"/>
        <w:rPr>
          <w:sz w:val="20"/>
          <w:szCs w:val="20"/>
          <w:color w:val="auto"/>
        </w:rPr>
      </w:pPr>
    </w:p>
    <w:p>
      <w:pPr>
        <w:ind w:left="320" w:right="20"/>
        <w:spacing w:after="0" w:line="362" w:lineRule="auto"/>
        <w:rPr>
          <w:sz w:val="20"/>
          <w:szCs w:val="20"/>
          <w:color w:val="auto"/>
        </w:rPr>
      </w:pPr>
      <w:r>
        <w:rPr>
          <w:rFonts w:ascii="Times New Roman" w:cs="Times New Roman" w:eastAsia="Times New Roman" w:hAnsi="Times New Roman"/>
          <w:sz w:val="18"/>
          <w:szCs w:val="18"/>
          <w:color w:val="auto"/>
        </w:rPr>
        <w:t>In accordance with its previously announced share repurchase plan and capital allocation strategy, the Company intends to continue to repurchase additional shares of its common stock in 2024 and into the future depending on a number of factors, including: market, economic, and industry conditions; the market price of the Company’s common stock; anti-dilutive effect on earnings; available cash; and other factors that the Company deems appropriate.</w:t>
      </w:r>
    </w:p>
    <w:p>
      <w:pPr>
        <w:spacing w:after="0" w:line="52" w:lineRule="exact"/>
        <w:rPr>
          <w:sz w:val="20"/>
          <w:szCs w:val="20"/>
          <w:color w:val="auto"/>
        </w:rPr>
      </w:pPr>
    </w:p>
    <w:p>
      <w:pPr>
        <w:ind w:left="320" w:right="320"/>
        <w:spacing w:after="0" w:line="334" w:lineRule="auto"/>
        <w:rPr>
          <w:sz w:val="20"/>
          <w:szCs w:val="20"/>
          <w:color w:val="auto"/>
        </w:rPr>
      </w:pPr>
      <w:r>
        <w:rPr>
          <w:rFonts w:ascii="Times New Roman" w:cs="Times New Roman" w:eastAsia="Times New Roman" w:hAnsi="Times New Roman"/>
          <w:sz w:val="18"/>
          <w:szCs w:val="18"/>
          <w:color w:val="auto"/>
        </w:rPr>
        <w:t>The Company is also providing top line revenue guidance for calendar year 2025, taking into account anticipated increases in light vehicle production in 2025 compared to 2024. S&amp;P Global Mobility forecast (as of mid-January 2024) for light vehicle production for calendar year 2025 are approximately 16.2 million units for North America, 17.5 million units for Europe, 11.8 million units for Japan and Korea, and</w:t>
      </w:r>
    </w:p>
    <w:p>
      <w:pPr>
        <w:spacing w:after="0" w:line="2" w:lineRule="exact"/>
        <w:rPr>
          <w:sz w:val="20"/>
          <w:szCs w:val="20"/>
          <w:color w:val="auto"/>
        </w:rPr>
      </w:pPr>
    </w:p>
    <w:p>
      <w:pPr>
        <w:jc w:val="both"/>
        <w:ind w:left="320" w:right="280"/>
        <w:spacing w:after="0" w:line="367" w:lineRule="auto"/>
        <w:rPr>
          <w:sz w:val="20"/>
          <w:szCs w:val="20"/>
          <w:color w:val="auto"/>
        </w:rPr>
      </w:pPr>
      <w:r>
        <w:rPr>
          <w:rFonts w:ascii="Times New Roman" w:cs="Times New Roman" w:eastAsia="Times New Roman" w:hAnsi="Times New Roman"/>
          <w:sz w:val="18"/>
          <w:szCs w:val="18"/>
          <w:color w:val="auto"/>
        </w:rPr>
        <w:t>30.1 million units for China. Based on these forecasts, as well as the Company’s estimates for aerospace, medical, and fire protection sales for calendar year 2025, the Company is estimating that revenue for calendar year 2025 will be between $2.65 and $2.75 billion. As noted above, continuing uncertainties make forecasting difficult.</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Market Risk Disclosure</w:t>
      </w:r>
    </w:p>
    <w:p>
      <w:pPr>
        <w:spacing w:after="0" w:line="191" w:lineRule="exact"/>
        <w:rPr>
          <w:sz w:val="20"/>
          <w:szCs w:val="20"/>
          <w:color w:val="auto"/>
        </w:rPr>
      </w:pPr>
    </w:p>
    <w:p>
      <w:pPr>
        <w:ind w:left="320" w:right="220"/>
        <w:spacing w:after="0" w:line="362" w:lineRule="auto"/>
        <w:rPr>
          <w:sz w:val="20"/>
          <w:szCs w:val="20"/>
          <w:color w:val="auto"/>
        </w:rPr>
      </w:pPr>
      <w:r>
        <w:rPr>
          <w:rFonts w:ascii="Times New Roman" w:cs="Times New Roman" w:eastAsia="Times New Roman" w:hAnsi="Times New Roman"/>
          <w:sz w:val="18"/>
          <w:szCs w:val="18"/>
          <w:color w:val="auto"/>
        </w:rPr>
        <w:t>The Company is subject to market risk exposures of varying correlations and volatilities, including foreign exchange rate risk, and interest rate risk. Fluctuating interest rates and securities prices could negatively impact the Company’s financial performance due to realized losses on the sale of fixed income investments and/or realized losses due to an impairment adjustment on investment securities. The Company does not currently believe such risks are necessarily material.</w:t>
      </w:r>
    </w:p>
    <w:p>
      <w:pPr>
        <w:spacing w:after="0" w:line="52" w:lineRule="exact"/>
        <w:rPr>
          <w:sz w:val="20"/>
          <w:szCs w:val="20"/>
          <w:color w:val="auto"/>
        </w:rPr>
      </w:pPr>
    </w:p>
    <w:p>
      <w:pPr>
        <w:ind w:left="320" w:right="280"/>
        <w:spacing w:after="0" w:line="363" w:lineRule="auto"/>
        <w:rPr>
          <w:sz w:val="20"/>
          <w:szCs w:val="20"/>
          <w:color w:val="auto"/>
        </w:rPr>
      </w:pPr>
      <w:r>
        <w:rPr>
          <w:rFonts w:ascii="Times New Roman" w:cs="Times New Roman" w:eastAsia="Times New Roman" w:hAnsi="Times New Roman"/>
          <w:sz w:val="18"/>
          <w:szCs w:val="18"/>
          <w:color w:val="auto"/>
        </w:rPr>
        <w:t>The Company has some assets, liabilities and operations outside the United States, including multi-currency accounts, which currently are not significant overall to the Company as a whole. Because the Company sells its automotive mirrors throughout the world and automobile manufacturing is highly dependent on general economic conditions, it could be significantly affected by weak economic conditions in foreign markets that could reduce demand for its products.</w:t>
      </w:r>
    </w:p>
    <w:p>
      <w:pPr>
        <w:sectPr>
          <w:pgSz w:w="12240" w:h="15840" w:orient="portrait"/>
          <w:cols w:equalWidth="0" w:num="1">
            <w:col w:w="10760"/>
          </w:cols>
          <w:pgMar w:left="580" w:top="85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46</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2" w:right="900" w:bottom="0" w:gutter="0" w:footer="0" w:header="0"/>
          <w:type w:val="continuous"/>
        </w:sectPr>
      </w:pPr>
    </w:p>
    <w:bookmarkStart w:id="46" w:name="page47"/>
    <w:bookmarkEnd w:id="46"/>
    <w:p>
      <w:pPr>
        <w:ind w:right="560"/>
        <w:spacing w:after="0" w:line="362" w:lineRule="auto"/>
        <w:rPr>
          <w:sz w:val="20"/>
          <w:szCs w:val="20"/>
          <w:color w:val="auto"/>
        </w:rPr>
      </w:pPr>
      <w:r>
        <w:rPr>
          <w:rFonts w:ascii="Times New Roman" w:cs="Times New Roman" w:eastAsia="Times New Roman" w:hAnsi="Times New Roman"/>
          <w:sz w:val="18"/>
          <w:szCs w:val="18"/>
          <w:color w:val="auto"/>
        </w:rPr>
        <w:t>Most of the Company’s non-U.S. sales are invoiced and paid in U.S. dollars. During calendar year 2023, approximately 8% of the Company’s net sales were invoiced and paid in foreign currencies (compared to 7% for calendar year 2022 and 8% for calendar year 2021). The Company currently expects that approximately 8-9% of the Company’s net sales in calendar year 2024 will be invoiced and paid in foreign currencies. The Company does not currently engage in hedging activities of foreign currencies.</w:t>
      </w:r>
    </w:p>
    <w:p>
      <w:pPr>
        <w:spacing w:after="0" w:line="52" w:lineRule="exact"/>
        <w:rPr>
          <w:sz w:val="20"/>
          <w:szCs w:val="20"/>
          <w:color w:val="auto"/>
        </w:rPr>
      </w:pPr>
    </w:p>
    <w:p>
      <w:pPr>
        <w:jc w:val="both"/>
        <w:ind w:right="560"/>
        <w:spacing w:after="0" w:line="437" w:lineRule="auto"/>
        <w:rPr>
          <w:sz w:val="20"/>
          <w:szCs w:val="20"/>
          <w:color w:val="auto"/>
        </w:rPr>
      </w:pPr>
      <w:r>
        <w:rPr>
          <w:rFonts w:ascii="Times New Roman" w:cs="Times New Roman" w:eastAsia="Times New Roman" w:hAnsi="Times New Roman"/>
          <w:sz w:val="18"/>
          <w:szCs w:val="18"/>
          <w:color w:val="auto"/>
        </w:rPr>
        <w:t>The Company does not have any significant off-balance sheet arrangements or commitments that have not been recorded in its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Significant Accounting Policies and Critical Accounting Estimates</w:t>
      </w:r>
    </w:p>
    <w:p>
      <w:pPr>
        <w:spacing w:after="0" w:line="191" w:lineRule="exact"/>
        <w:rPr>
          <w:sz w:val="20"/>
          <w:szCs w:val="20"/>
          <w:color w:val="auto"/>
        </w:rPr>
      </w:pPr>
    </w:p>
    <w:p>
      <w:pPr>
        <w:ind w:right="460"/>
        <w:spacing w:after="0" w:line="362"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which have been prepared in accordance with accounting principles generally accepted in the United States, requires management to make estimates, assumptions and apply judgments that affect its financial position and results of operations. On an ongoing basis, management evaluates these estimates and assumptions. Management also continually reviews its accounting policies and financial information disclosures.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significant accounting policies are described in Note 1 of the Consolidated Financial Statements.</w:t>
      </w:r>
    </w:p>
    <w:p>
      <w:pPr>
        <w:spacing w:after="0" w:line="253" w:lineRule="exact"/>
        <w:rPr>
          <w:sz w:val="20"/>
          <w:szCs w:val="20"/>
          <w:color w:val="auto"/>
        </w:rPr>
      </w:pPr>
    </w:p>
    <w:p>
      <w:pPr>
        <w:ind w:right="380"/>
        <w:spacing w:after="0" w:line="347" w:lineRule="auto"/>
        <w:rPr>
          <w:sz w:val="20"/>
          <w:szCs w:val="20"/>
          <w:color w:val="auto"/>
        </w:rPr>
      </w:pPr>
      <w:r>
        <w:rPr>
          <w:rFonts w:ascii="Times New Roman" w:cs="Times New Roman" w:eastAsia="Times New Roman" w:hAnsi="Times New Roman"/>
          <w:sz w:val="18"/>
          <w:szCs w:val="18"/>
          <w:color w:val="auto"/>
        </w:rPr>
        <w:t>Certain of our accounting policies require management to make estimates and assumptions that affect the reported amounts of assets and liabilities as of the date of the Consolidated Financial statements and the reported amounts of revenues and expenses during the reporting period. These estimates and assumptions are based on our historical experience, the terms of existing contracts, our evaluation of trends in the industry, information provided by our customers and suppliers and information available from other outside sources, as appropriate. However, these estimates and assumptions are inherently subject to a degree of uncertainty. As a result, actual results in these areas may differ significantly from our estimates, as is the case in any application of generally accepted accounting principles.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an accounting estimate to be critical if:</w:t>
      </w:r>
    </w:p>
    <w:p>
      <w:pPr>
        <w:spacing w:after="0" w:line="2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It requires management to make assumptions about matters that were uncertain at the time of the estimate, and</w:t>
      </w:r>
    </w:p>
    <w:p>
      <w:pPr>
        <w:spacing w:after="0" w:line="163" w:lineRule="exact"/>
        <w:rPr>
          <w:sz w:val="20"/>
          <w:szCs w:val="20"/>
          <w:color w:val="auto"/>
        </w:rPr>
      </w:pPr>
    </w:p>
    <w:p>
      <w:pPr>
        <w:ind w:left="440" w:right="460"/>
        <w:spacing w:after="0" w:line="434" w:lineRule="auto"/>
        <w:rPr>
          <w:sz w:val="20"/>
          <w:szCs w:val="20"/>
          <w:color w:val="auto"/>
        </w:rPr>
      </w:pPr>
      <w:r>
        <w:rPr>
          <w:rFonts w:ascii="Times New Roman" w:cs="Times New Roman" w:eastAsia="Times New Roman" w:hAnsi="Times New Roman"/>
          <w:sz w:val="18"/>
          <w:szCs w:val="18"/>
          <w:color w:val="auto"/>
        </w:rPr>
        <w:t>Changes in the estimate or different estimates that could have been selected would have had a material impact on our financial condition or results of operations.</w:t>
      </w:r>
    </w:p>
    <w:p>
      <w:pPr>
        <w:spacing w:after="0" w:line="1" w:lineRule="exact"/>
        <w:rPr>
          <w:sz w:val="20"/>
          <w:szCs w:val="20"/>
          <w:color w:val="auto"/>
        </w:rPr>
      </w:pPr>
    </w:p>
    <w:p>
      <w:pPr>
        <w:ind w:right="340"/>
        <w:spacing w:after="0" w:line="343" w:lineRule="auto"/>
        <w:rPr>
          <w:sz w:val="20"/>
          <w:szCs w:val="20"/>
          <w:color w:val="auto"/>
        </w:rPr>
      </w:pPr>
      <w:r>
        <w:rPr>
          <w:rFonts w:ascii="Arial" w:cs="Arial" w:eastAsia="Arial" w:hAnsi="Arial"/>
          <w:sz w:val="17"/>
          <w:szCs w:val="17"/>
          <w:b w:val="1"/>
          <w:bCs w:val="1"/>
          <w:color w:val="F4494E"/>
        </w:rPr>
        <w:t xml:space="preserve">REVENUE RECOGNITION. </w:t>
      </w:r>
      <w:r>
        <w:rPr>
          <w:rFonts w:ascii="Times New Roman" w:cs="Times New Roman" w:eastAsia="Times New Roman" w:hAnsi="Times New Roman"/>
          <w:sz w:val="18"/>
          <w:szCs w:val="18"/>
          <w:color w:val="000000"/>
        </w:rPr>
        <w:t>The Company recognizes revenue in accordance with Accounting Standards Codification (ASC) 606, Revenue</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from Contracts with Customers. Accordingly, revenue is recognized in an amount that reflects the consideration to which the Company expects to be entitled in 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in the ordinary course of business. Typically, such purchase orders provide the annual terms, including pricing, related to a particular vehicle model. Purchase orders generally do not specify quantities. The Company recognizes revenue based on the pricing terms included in such annual purchase orders.</w:t>
      </w:r>
    </w:p>
    <w:p>
      <w:pPr>
        <w:spacing w:after="0" w:line="70" w:lineRule="exact"/>
        <w:rPr>
          <w:sz w:val="20"/>
          <w:szCs w:val="20"/>
          <w:color w:val="auto"/>
        </w:rPr>
      </w:pPr>
    </w:p>
    <w:p>
      <w:pPr>
        <w:ind w:right="500"/>
        <w:spacing w:after="0" w:line="339" w:lineRule="auto"/>
        <w:rPr>
          <w:sz w:val="20"/>
          <w:szCs w:val="20"/>
          <w:color w:val="auto"/>
        </w:rPr>
      </w:pPr>
      <w:r>
        <w:rPr>
          <w:rFonts w:ascii="Times New Roman" w:cs="Times New Roman" w:eastAsia="Times New Roman" w:hAnsi="Times New Roman"/>
          <w:sz w:val="18"/>
          <w:szCs w:val="18"/>
          <w:color w:val="auto"/>
        </w:rPr>
        <w:t>As part of certain agreements, entered into in the ordinary course of business, the Company is asked to provide customers with annual price reductions. Such amounts are estimated and accrued as a reduction of revenue as products are shipped to those customers.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our pricing arrangements with customers based on the related content, the cost of our products and other commercial factors. Such pricing accruals are adjusted as they are settled with our customers.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Item 13 of Part III with respect to “Certain Transactions”, which is incorporated herein.</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47</w:t>
      </w:r>
    </w:p>
    <w:p>
      <w:pPr>
        <w:sectPr>
          <w:pgSz w:w="12240" w:h="15840" w:orient="portrait"/>
          <w:cols w:equalWidth="0" w:num="1">
            <w:col w:w="10760"/>
          </w:cols>
          <w:pgMar w:left="900" w:top="852" w:right="580" w:bottom="0" w:gutter="0" w:footer="0" w:header="0"/>
          <w:type w:val="continuous"/>
        </w:sectPr>
      </w:pPr>
    </w:p>
    <w:bookmarkStart w:id="47" w:name="page48"/>
    <w:bookmarkEnd w:id="47"/>
    <w:p>
      <w:pPr>
        <w:ind w:left="320"/>
        <w:spacing w:after="0"/>
        <w:rPr>
          <w:sz w:val="20"/>
          <w:szCs w:val="20"/>
          <w:color w:val="auto"/>
        </w:rPr>
      </w:pPr>
      <w:r>
        <w:rPr>
          <w:rFonts w:ascii="Arial" w:cs="Arial" w:eastAsia="Arial" w:hAnsi="Arial"/>
          <w:sz w:val="32"/>
          <w:szCs w:val="32"/>
          <w:color w:val="808080"/>
        </w:rPr>
        <w:t xml:space="preserve">Item 7A. </w:t>
      </w:r>
      <w:r>
        <w:rPr>
          <w:rFonts w:ascii="Arial" w:cs="Arial" w:eastAsia="Arial" w:hAnsi="Arial"/>
          <w:sz w:val="32"/>
          <w:szCs w:val="32"/>
          <w:color w:val="000000"/>
        </w:rPr>
        <w:t>Quantitative and Qualitative Disclosures About Market Risk.</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“Market Risk Disclosure” in Management’s Discussion and Analysis of Financial Condition and Results of Operations. See Item 7, Part II.</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32"/>
          <w:szCs w:val="32"/>
          <w:color w:val="808080"/>
        </w:rPr>
        <w:t xml:space="preserve">Item 8. </w:t>
      </w:r>
      <w:r>
        <w:rPr>
          <w:rFonts w:ascii="Arial" w:cs="Arial" w:eastAsia="Arial" w:hAnsi="Arial"/>
          <w:sz w:val="32"/>
          <w:szCs w:val="32"/>
          <w:color w:val="000000"/>
        </w:rPr>
        <w:t>Financial Statements and Supplementary Data.</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financial statements and reports of independent registered public accounting firm are filed with this report following the signature page:</w:t>
      </w:r>
    </w:p>
    <w:p>
      <w:pPr>
        <w:spacing w:after="0" w:line="389"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Index to Consolidated Financial Statements</w:t>
      </w:r>
    </w:p>
    <w:p>
      <w:pPr>
        <w:spacing w:after="0" w:line="329"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45"/>
        </w:trPr>
        <w:tc>
          <w:tcPr>
            <w:tcW w:w="90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ID:42)</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40"/>
        </w:trPr>
        <w:tc>
          <w:tcPr>
            <w:tcW w:w="90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40"/>
        </w:trPr>
        <w:tc>
          <w:tcPr>
            <w:tcW w:w="90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2023 and 2022</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40"/>
        </w:trPr>
        <w:tc>
          <w:tcPr>
            <w:tcW w:w="90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2023, 2022, and 2021</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40"/>
        </w:trPr>
        <w:tc>
          <w:tcPr>
            <w:tcW w:w="90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2023, 2022, and 2021</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40"/>
        </w:trPr>
        <w:tc>
          <w:tcPr>
            <w:tcW w:w="90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2023, 2022, and 2021</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40"/>
        </w:trPr>
        <w:tc>
          <w:tcPr>
            <w:tcW w:w="90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Consolidated Statements of Shareholders’ Investment for the years ended December 31, 2023, 2022, and 2021</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40"/>
        </w:trPr>
        <w:tc>
          <w:tcPr>
            <w:tcW w:w="90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293" w:lineRule="exact"/>
        <w:rPr>
          <w:sz w:val="20"/>
          <w:szCs w:val="20"/>
          <w:color w:val="auto"/>
        </w:rPr>
      </w:pPr>
    </w:p>
    <w:p>
      <w:pPr>
        <w:ind w:left="320" w:right="1960"/>
        <w:spacing w:after="0" w:line="237" w:lineRule="auto"/>
        <w:rPr>
          <w:sz w:val="20"/>
          <w:szCs w:val="20"/>
          <w:color w:val="auto"/>
        </w:rPr>
      </w:pPr>
      <w:r>
        <w:rPr>
          <w:rFonts w:ascii="Arial" w:cs="Arial" w:eastAsia="Arial" w:hAnsi="Arial"/>
          <w:sz w:val="32"/>
          <w:szCs w:val="32"/>
          <w:color w:val="808080"/>
        </w:rPr>
        <w:t xml:space="preserve">Item 9. </w:t>
      </w:r>
      <w:r>
        <w:rPr>
          <w:rFonts w:ascii="Arial" w:cs="Arial" w:eastAsia="Arial" w:hAnsi="Arial"/>
          <w:sz w:val="32"/>
          <w:szCs w:val="32"/>
          <w:color w:val="000000"/>
        </w:rPr>
        <w:t>Changes in and Disagreements with Accountants on Accounting and</w:t>
      </w:r>
      <w:r>
        <w:rPr>
          <w:rFonts w:ascii="Arial" w:cs="Arial" w:eastAsia="Arial" w:hAnsi="Arial"/>
          <w:sz w:val="32"/>
          <w:szCs w:val="32"/>
          <w:color w:val="808080"/>
        </w:rPr>
        <w:t xml:space="preserve"> </w:t>
      </w:r>
      <w:r>
        <w:rPr>
          <w:rFonts w:ascii="Arial" w:cs="Arial" w:eastAsia="Arial" w:hAnsi="Arial"/>
          <w:sz w:val="32"/>
          <w:szCs w:val="32"/>
          <w:color w:val="000000"/>
        </w:rPr>
        <w:t>Financial Disclosure.</w:t>
      </w:r>
    </w:p>
    <w:p>
      <w:pPr>
        <w:spacing w:after="0" w:line="128" w:lineRule="exact"/>
        <w:rPr>
          <w:sz w:val="20"/>
          <w:szCs w:val="20"/>
          <w:color w:val="auto"/>
        </w:rPr>
      </w:pPr>
    </w:p>
    <w:p>
      <w:pPr>
        <w:ind w:left="320" w:right="380"/>
        <w:spacing w:after="0" w:line="439" w:lineRule="auto"/>
        <w:rPr>
          <w:sz w:val="20"/>
          <w:szCs w:val="20"/>
          <w:color w:val="auto"/>
        </w:rPr>
      </w:pPr>
      <w:r>
        <w:rPr>
          <w:rFonts w:ascii="Times New Roman" w:cs="Times New Roman" w:eastAsia="Times New Roman" w:hAnsi="Times New Roman"/>
          <w:sz w:val="18"/>
          <w:szCs w:val="18"/>
          <w:color w:val="auto"/>
        </w:rPr>
        <w:t>As defined in Item 304 of Regulation S-K, there have been no changes in, or disagreements with, accountants during the 24-month period ended December 31, 2023.</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32"/>
          <w:szCs w:val="32"/>
          <w:color w:val="808080"/>
        </w:rPr>
        <w:t xml:space="preserve">Item 9A. </w:t>
      </w:r>
      <w:r>
        <w:rPr>
          <w:rFonts w:ascii="Arial" w:cs="Arial" w:eastAsia="Arial" w:hAnsi="Arial"/>
          <w:sz w:val="32"/>
          <w:szCs w:val="32"/>
          <w:color w:val="000000"/>
        </w:rPr>
        <w:t>Controls and Procedures.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Disclosure Controls and Procedures</w:t>
      </w:r>
    </w:p>
    <w:p>
      <w:pPr>
        <w:spacing w:after="0" w:line="191" w:lineRule="exact"/>
        <w:rPr>
          <w:sz w:val="20"/>
          <w:szCs w:val="20"/>
          <w:color w:val="auto"/>
        </w:rPr>
      </w:pPr>
    </w:p>
    <w:p>
      <w:pPr>
        <w:ind w:left="320" w:right="60"/>
        <w:spacing w:after="0" w:line="362" w:lineRule="auto"/>
        <w:rPr>
          <w:sz w:val="20"/>
          <w:szCs w:val="20"/>
          <w:color w:val="auto"/>
        </w:rPr>
      </w:pPr>
      <w:r>
        <w:rPr>
          <w:rFonts w:ascii="Times New Roman" w:cs="Times New Roman" w:eastAsia="Times New Roman" w:hAnsi="Times New Roman"/>
          <w:sz w:val="18"/>
          <w:szCs w:val="18"/>
          <w:color w:val="auto"/>
        </w:rPr>
        <w:t>Under the supervision of and with the participation of the Company’s management, the Company’s principal executive officer and principal financial officer have evaluated the effectiveness of the design and operation of the Company’s disclosure controls and procedures ([as defined in Exchange Act Rules 13a – 15(e) and 15d – 15(e)]) as of December 31, 2023, and have concluded that the Company’s disclosure controls and procedures are adequate and effective.</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Management’s Report on Internal Control Over Financial Reporting</w:t>
      </w:r>
    </w:p>
    <w:p>
      <w:pPr>
        <w:spacing w:after="0" w:line="191" w:lineRule="exact"/>
        <w:rPr>
          <w:sz w:val="20"/>
          <w:szCs w:val="20"/>
          <w:color w:val="auto"/>
        </w:rPr>
      </w:pPr>
    </w:p>
    <w:p>
      <w:pPr>
        <w:ind w:left="320" w:right="40"/>
        <w:spacing w:after="0" w:line="34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 – 15(f) and 15d – 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Control-Integrated Framework issued by the Committee of Sponsoring Organizations of the Treadway Commission (2013 Framework)(the COSO criteria). Based on this assessment, management asserts that the Company has maintained effective internal control over financial reporting as of December 31, 2023.</w:t>
      </w:r>
    </w:p>
    <w:p>
      <w:pPr>
        <w:sectPr>
          <w:pgSz w:w="12240" w:h="15840" w:orient="portrait"/>
          <w:cols w:equalWidth="0" w:num="1">
            <w:col w:w="10740"/>
          </w:cols>
          <w:pgMar w:left="580" w:top="83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48</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40"/>
          </w:cols>
          <w:pgMar w:left="580" w:top="836" w:right="920" w:bottom="0" w:gutter="0" w:footer="0" w:header="0"/>
          <w:type w:val="continuous"/>
        </w:sectPr>
      </w:pPr>
    </w:p>
    <w:bookmarkStart w:id="48" w:name="page49"/>
    <w:bookmarkEnd w:id="48"/>
    <w:p>
      <w:pPr>
        <w:ind w:right="360"/>
        <w:spacing w:after="0" w:line="38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34" w:lineRule="exact"/>
        <w:rPr>
          <w:sz w:val="20"/>
          <w:szCs w:val="20"/>
          <w:color w:val="auto"/>
        </w:rPr>
      </w:pPr>
    </w:p>
    <w:p>
      <w:pPr>
        <w:ind w:right="320"/>
        <w:spacing w:after="0" w:line="429"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2023, has been audited by Ernst &amp; Young LLP, an independent registered public accounting firm, as stated in their report which is included in Part IV of this Form 10K.</w:t>
      </w:r>
    </w:p>
    <w:p>
      <w:pPr>
        <w:ind w:right="620"/>
        <w:spacing w:after="0" w:line="363" w:lineRule="auto"/>
        <w:rPr>
          <w:sz w:val="20"/>
          <w:szCs w:val="20"/>
          <w:color w:val="auto"/>
        </w:rPr>
      </w:pPr>
      <w:r>
        <w:rPr>
          <w:rFonts w:ascii="Times New Roman" w:cs="Times New Roman" w:eastAsia="Times New Roman" w:hAnsi="Times New Roman"/>
          <w:sz w:val="18"/>
          <w:szCs w:val="18"/>
          <w:color w:val="auto"/>
        </w:rPr>
        <w:t>During the period covered by this annual report, there have been no changes in the Company’s internal controls over financial reporting that have materially affected or are reasonably likely to materially affect the Company’s internal controls over financial reporting. In addition, there have been no significant changes in the Company’s internal controls or in other factors that could significantly affect internal controls subsequent to December 31, 2023.</w:t>
      </w:r>
    </w:p>
    <w:p>
      <w:pPr>
        <w:spacing w:after="0" w:line="208" w:lineRule="exact"/>
        <w:rPr>
          <w:sz w:val="20"/>
          <w:szCs w:val="20"/>
          <w:color w:val="auto"/>
        </w:rPr>
      </w:pPr>
    </w:p>
    <w:p>
      <w:pPr>
        <w:spacing w:after="0"/>
        <w:rPr>
          <w:sz w:val="20"/>
          <w:szCs w:val="20"/>
          <w:color w:val="auto"/>
        </w:rPr>
      </w:pPr>
      <w:r>
        <w:rPr>
          <w:rFonts w:ascii="Arial" w:cs="Arial" w:eastAsia="Arial" w:hAnsi="Arial"/>
          <w:sz w:val="32"/>
          <w:szCs w:val="32"/>
          <w:color w:val="808080"/>
        </w:rPr>
        <w:t xml:space="preserve">Item 9B. </w:t>
      </w:r>
      <w:r>
        <w:rPr>
          <w:rFonts w:ascii="Arial" w:cs="Arial" w:eastAsia="Arial" w:hAnsi="Arial"/>
          <w:sz w:val="32"/>
          <w:szCs w:val="32"/>
          <w:color w:val="000000"/>
        </w:rPr>
        <w:t>Other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46" w:lineRule="exact"/>
        <w:rPr>
          <w:sz w:val="20"/>
          <w:szCs w:val="20"/>
          <w:color w:val="auto"/>
        </w:rPr>
      </w:pPr>
    </w:p>
    <w:p>
      <w:pPr>
        <w:spacing w:after="0"/>
        <w:rPr>
          <w:sz w:val="20"/>
          <w:szCs w:val="20"/>
          <w:color w:val="auto"/>
        </w:rPr>
      </w:pPr>
      <w:r>
        <w:rPr>
          <w:rFonts w:ascii="Arial" w:cs="Arial" w:eastAsia="Arial" w:hAnsi="Arial"/>
          <w:sz w:val="30"/>
          <w:szCs w:val="30"/>
          <w:color w:val="808080"/>
        </w:rPr>
        <w:t xml:space="preserve">Item 9C. </w:t>
      </w:r>
      <w:r>
        <w:rPr>
          <w:rFonts w:ascii="Arial" w:cs="Arial" w:eastAsia="Arial" w:hAnsi="Arial"/>
          <w:sz w:val="30"/>
          <w:szCs w:val="30"/>
          <w:color w:val="000000"/>
        </w:rPr>
        <w:t>Disclosure Regarding Foreign Jurisdictions that Prevent Inspections.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49</w:t>
      </w:r>
    </w:p>
    <w:p>
      <w:pPr>
        <w:sectPr>
          <w:pgSz w:w="12240" w:h="15840" w:orient="portrait"/>
          <w:cols w:equalWidth="0" w:num="1">
            <w:col w:w="10760"/>
          </w:cols>
          <w:pgMar w:left="900" w:top="852" w:right="580" w:bottom="0" w:gutter="0" w:footer="0" w:header="0"/>
          <w:type w:val="continuous"/>
        </w:sectPr>
      </w:pPr>
    </w:p>
    <w:bookmarkStart w:id="49" w:name="page50"/>
    <w:bookmarkEnd w:id="49"/>
    <w:p>
      <w:pPr>
        <w:spacing w:after="0" w:line="18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571500</wp:posOffset>
                </wp:positionV>
                <wp:extent cx="384175" cy="96456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4175" cy="964565"/>
                        </a:xfrm>
                        <a:prstGeom prst="rect">
                          <a:avLst/>
                        </a:prstGeom>
                        <a:solidFill>
                          <a:srgbClr val="404040"/>
                        </a:solidFill>
                      </wps:spPr>
                      <wps:bodyPr/>
                    </wps:wsp>
                  </a:graphicData>
                </a:graphic>
              </wp:anchor>
            </w:drawing>
          </mc:Choice>
          <mc:Fallback>
            <w:pict>
              <v:rect id="Shape 66" o:spid="_x0000_s1091" style="position:absolute;margin-left:0pt;margin-top:45pt;width:30.25pt;height:75.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404040" stroked="f">
                <w10:wrap anchorx="page" anchory="page"/>
              </v:rect>
            </w:pict>
          </mc:Fallback>
        </mc:AlternateContent>
      </w:r>
    </w:p>
    <w:tbl>
      <w:tblPr>
        <w:tblLayout w:type="fixed"/>
        <w:tblInd w:w="0" w:type="dxa"/>
        <w:tblCellMar>
          <w:top w:w="0" w:type="dxa"/>
          <w:left w:w="0" w:type="dxa"/>
          <w:bottom w:w="0" w:type="dxa"/>
          <w:right w:w="0" w:type="dxa"/>
        </w:tblCellMar>
      </w:tblPr>
      <w:tr>
        <w:trPr>
          <w:trHeight w:val="1280"/>
        </w:trPr>
        <w:tc>
          <w:tcPr>
            <w:tcW w:w="230" w:type="dxa"/>
            <w:vAlign w:val="bottom"/>
            <w:textDirection w:val="btLr"/>
          </w:tcPr>
          <w:p>
            <w:pPr>
              <w:spacing w:after="0"/>
              <w:rPr>
                <w:sz w:val="20"/>
                <w:szCs w:val="20"/>
                <w:color w:val="auto"/>
              </w:rPr>
            </w:pPr>
            <w:r>
              <w:rPr>
                <w:rFonts w:ascii="Arial" w:cs="Arial" w:eastAsia="Arial" w:hAnsi="Arial"/>
                <w:sz w:val="20"/>
                <w:szCs w:val="20"/>
                <w:color w:val="FFFFFF"/>
              </w:rPr>
              <w:t>10-K PART III</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color w:val="808080"/>
        </w:rPr>
        <w:t xml:space="preserve">Item 10. </w:t>
      </w:r>
      <w:r>
        <w:rPr>
          <w:rFonts w:ascii="Arial" w:cs="Arial" w:eastAsia="Arial" w:hAnsi="Arial"/>
          <w:sz w:val="32"/>
          <w:szCs w:val="32"/>
          <w:color w:val="000000"/>
        </w:rPr>
        <w:t>Directors, Executive Officers and Corporate Governance.</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Information about Our Executive Oﬃcers</w:t>
      </w:r>
    </w:p>
    <w:p>
      <w:pPr>
        <w:spacing w:after="0" w:line="191" w:lineRule="exact"/>
        <w:rPr>
          <w:sz w:val="20"/>
          <w:szCs w:val="20"/>
          <w:color w:val="auto"/>
        </w:rPr>
      </w:pPr>
    </w:p>
    <w:p>
      <w:pPr>
        <w:ind w:right="20"/>
        <w:spacing w:after="0" w:line="439" w:lineRule="auto"/>
        <w:rPr>
          <w:sz w:val="20"/>
          <w:szCs w:val="20"/>
          <w:color w:val="auto"/>
        </w:rPr>
      </w:pPr>
      <w:r>
        <w:rPr>
          <w:rFonts w:ascii="Times New Roman" w:cs="Times New Roman" w:eastAsia="Times New Roman" w:hAnsi="Times New Roman"/>
          <w:sz w:val="18"/>
          <w:szCs w:val="18"/>
          <w:color w:val="auto"/>
        </w:rPr>
        <w:t>The following table lists the names, ages, and positions of all of the Company’s executive officers at the time of this report. Officers are generally elected at the meeting of the Board following the annual meeting of shareholders.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Age</w:t>
            </w:r>
          </w:p>
        </w:tc>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Current Position Held Since</w:t>
            </w:r>
          </w:p>
        </w:tc>
      </w:tr>
      <w:tr>
        <w:trPr>
          <w:trHeight w:val="345"/>
        </w:trPr>
        <w:tc>
          <w:tcPr>
            <w:tcW w:w="1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Steve Downing</w:t>
            </w:r>
          </w:p>
        </w:tc>
        <w:tc>
          <w:tcPr>
            <w:tcW w:w="640" w:type="dxa"/>
            <w:vAlign w:val="bottom"/>
            <w:tcBorders>
              <w:bottom w:val="single" w:sz="8" w:color="808080"/>
            </w:tcBorders>
          </w:tcPr>
          <w:p>
            <w:pPr>
              <w:ind w:left="160"/>
              <w:spacing w:after="0"/>
              <w:rPr>
                <w:sz w:val="20"/>
                <w:szCs w:val="20"/>
                <w:color w:val="auto"/>
              </w:rPr>
            </w:pPr>
            <w:r>
              <w:rPr>
                <w:rFonts w:ascii="Times New Roman" w:cs="Times New Roman" w:eastAsia="Times New Roman" w:hAnsi="Times New Roman"/>
                <w:sz w:val="18"/>
                <w:szCs w:val="18"/>
                <w:color w:val="auto"/>
              </w:rPr>
              <w:t>46</w:t>
            </w:r>
          </w:p>
        </w:tc>
        <w:tc>
          <w:tcPr>
            <w:tcW w:w="54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Jan-18</w:t>
            </w:r>
          </w:p>
        </w:tc>
      </w:tr>
      <w:tr>
        <w:trPr>
          <w:trHeight w:val="340"/>
        </w:trPr>
        <w:tc>
          <w:tcPr>
            <w:tcW w:w="1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Neil Boehm</w:t>
            </w:r>
          </w:p>
        </w:tc>
        <w:tc>
          <w:tcPr>
            <w:tcW w:w="640" w:type="dxa"/>
            <w:vAlign w:val="bottom"/>
            <w:tcBorders>
              <w:bottom w:val="single" w:sz="8" w:color="808080"/>
            </w:tcBorders>
          </w:tcPr>
          <w:p>
            <w:pPr>
              <w:ind w:left="160"/>
              <w:spacing w:after="0"/>
              <w:rPr>
                <w:sz w:val="20"/>
                <w:szCs w:val="20"/>
                <w:color w:val="auto"/>
              </w:rPr>
            </w:pPr>
            <w:r>
              <w:rPr>
                <w:rFonts w:ascii="Times New Roman" w:cs="Times New Roman" w:eastAsia="Times New Roman" w:hAnsi="Times New Roman"/>
                <w:sz w:val="18"/>
                <w:szCs w:val="18"/>
                <w:color w:val="auto"/>
              </w:rPr>
              <w:t>52</w:t>
            </w:r>
          </w:p>
        </w:tc>
        <w:tc>
          <w:tcPr>
            <w:tcW w:w="54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Chief Technology Officer and Vice President, Engineering</w:t>
            </w:r>
          </w:p>
        </w:tc>
        <w:tc>
          <w:tcPr>
            <w:tcW w:w="2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Feb-18</w:t>
            </w:r>
          </w:p>
        </w:tc>
      </w:tr>
      <w:tr>
        <w:trPr>
          <w:trHeight w:val="340"/>
        </w:trPr>
        <w:tc>
          <w:tcPr>
            <w:tcW w:w="1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Kevin Nash</w:t>
            </w:r>
          </w:p>
        </w:tc>
        <w:tc>
          <w:tcPr>
            <w:tcW w:w="640" w:type="dxa"/>
            <w:vAlign w:val="bottom"/>
            <w:tcBorders>
              <w:bottom w:val="single" w:sz="8" w:color="808080"/>
            </w:tcBorders>
          </w:tcPr>
          <w:p>
            <w:pPr>
              <w:ind w:left="160"/>
              <w:spacing w:after="0"/>
              <w:rPr>
                <w:sz w:val="20"/>
                <w:szCs w:val="20"/>
                <w:color w:val="auto"/>
              </w:rPr>
            </w:pPr>
            <w:r>
              <w:rPr>
                <w:rFonts w:ascii="Times New Roman" w:cs="Times New Roman" w:eastAsia="Times New Roman" w:hAnsi="Times New Roman"/>
                <w:sz w:val="18"/>
                <w:szCs w:val="18"/>
                <w:color w:val="auto"/>
              </w:rPr>
              <w:t>49</w:t>
            </w:r>
          </w:p>
        </w:tc>
        <w:tc>
          <w:tcPr>
            <w:tcW w:w="54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Vice President, Finance, Chief Financial Officer and Treasurer</w:t>
            </w:r>
          </w:p>
        </w:tc>
        <w:tc>
          <w:tcPr>
            <w:tcW w:w="2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Feb-18</w:t>
            </w:r>
          </w:p>
        </w:tc>
      </w:tr>
      <w:tr>
        <w:trPr>
          <w:trHeight w:val="340"/>
        </w:trPr>
        <w:tc>
          <w:tcPr>
            <w:tcW w:w="14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Matthew Chiodo</w:t>
            </w:r>
          </w:p>
        </w:tc>
        <w:tc>
          <w:tcPr>
            <w:tcW w:w="640" w:type="dxa"/>
            <w:vAlign w:val="bottom"/>
            <w:tcBorders>
              <w:bottom w:val="single" w:sz="8" w:color="808080"/>
            </w:tcBorders>
          </w:tcPr>
          <w:p>
            <w:pPr>
              <w:ind w:left="160"/>
              <w:spacing w:after="0"/>
              <w:rPr>
                <w:sz w:val="20"/>
                <w:szCs w:val="20"/>
                <w:color w:val="auto"/>
              </w:rPr>
            </w:pPr>
            <w:r>
              <w:rPr>
                <w:rFonts w:ascii="Times New Roman" w:cs="Times New Roman" w:eastAsia="Times New Roman" w:hAnsi="Times New Roman"/>
                <w:sz w:val="18"/>
                <w:szCs w:val="18"/>
                <w:color w:val="auto"/>
              </w:rPr>
              <w:t>59</w:t>
            </w:r>
          </w:p>
        </w:tc>
        <w:tc>
          <w:tcPr>
            <w:tcW w:w="54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Chief Sales Officer and Senior Vice President, Sales</w:t>
            </w:r>
          </w:p>
        </w:tc>
        <w:tc>
          <w:tcPr>
            <w:tcW w:w="29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Jan-22</w:t>
            </w:r>
          </w:p>
        </w:tc>
      </w:tr>
      <w:tr>
        <w:trPr>
          <w:trHeight w:val="36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Scott Ryan</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43</w:t>
            </w:r>
          </w:p>
        </w:tc>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Vice President, General Counsel and Corporate Secretary</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Aug-18</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the officers listed in the preceding table.</w:t>
      </w:r>
    </w:p>
    <w:p>
      <w:pPr>
        <w:spacing w:after="0" w:line="251" w:lineRule="exact"/>
        <w:rPr>
          <w:sz w:val="20"/>
          <w:szCs w:val="20"/>
          <w:color w:val="auto"/>
        </w:rPr>
      </w:pPr>
    </w:p>
    <w:p>
      <w:pPr>
        <w:ind w:right="100"/>
        <w:spacing w:after="0" w:line="352" w:lineRule="auto"/>
        <w:rPr>
          <w:sz w:val="20"/>
          <w:szCs w:val="20"/>
          <w:color w:val="auto"/>
        </w:rPr>
      </w:pPr>
      <w:r>
        <w:rPr>
          <w:rFonts w:ascii="Arial" w:cs="Arial" w:eastAsia="Arial" w:hAnsi="Arial"/>
          <w:sz w:val="17"/>
          <w:szCs w:val="17"/>
          <w:b w:val="1"/>
          <w:bCs w:val="1"/>
          <w:color w:val="F4494E"/>
        </w:rPr>
        <w:t xml:space="preserve">STEVE DOWNING </w:t>
      </w:r>
      <w:r>
        <w:rPr>
          <w:rFonts w:ascii="Times New Roman" w:cs="Times New Roman" w:eastAsia="Times New Roman" w:hAnsi="Times New Roman"/>
          <w:sz w:val="18"/>
          <w:szCs w:val="18"/>
          <w:color w:val="000000"/>
        </w:rPr>
        <w:t>was elected Chief Executive Officer effective as of January 1, 2018. Mr. Downing has been employed by the Company since</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2002. Prior to being elected Chief Executive Officer, he served as President and Chief Operating Officer from August 2017 to December 2017, as Senior Vice President and Chief Financial Officer from June 2015 to August 2017, and as Vice President of Finance and Chief Financial Officer from May 2013 to June 2015. He served in a variety of roles before that time. Certain terms of Mr. Downing’s employment arrangement are contained herein in Part III, Item 11 to this Form 10-K.</w:t>
      </w:r>
    </w:p>
    <w:p>
      <w:pPr>
        <w:spacing w:after="0" w:line="60" w:lineRule="exact"/>
        <w:rPr>
          <w:sz w:val="20"/>
          <w:szCs w:val="20"/>
          <w:color w:val="auto"/>
        </w:rPr>
      </w:pPr>
    </w:p>
    <w:p>
      <w:pPr>
        <w:ind w:right="240"/>
        <w:spacing w:after="0" w:line="362" w:lineRule="auto"/>
        <w:rPr>
          <w:sz w:val="20"/>
          <w:szCs w:val="20"/>
          <w:color w:val="auto"/>
        </w:rPr>
      </w:pPr>
      <w:r>
        <w:rPr>
          <w:rFonts w:ascii="Arial" w:cs="Arial" w:eastAsia="Arial" w:hAnsi="Arial"/>
          <w:sz w:val="17"/>
          <w:szCs w:val="17"/>
          <w:b w:val="1"/>
          <w:bCs w:val="1"/>
          <w:color w:val="F4494E"/>
        </w:rPr>
        <w:t xml:space="preserve">NEIL BOEHM </w:t>
      </w:r>
      <w:r>
        <w:rPr>
          <w:rFonts w:ascii="Times New Roman" w:cs="Times New Roman" w:eastAsia="Times New Roman" w:hAnsi="Times New Roman"/>
          <w:sz w:val="18"/>
          <w:szCs w:val="18"/>
          <w:color w:val="000000"/>
        </w:rPr>
        <w:t>was appointed as the Company’s Vice President, Engineering and Chief Technology Officer as of February 15, 2018 and was</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also appointed an executive officer. Mr. Boehm has been employed by the Company since 2001. Prior to his current position, he served as the Company’s Vice President of Engineering, beginning in 2015 and before that served as Senior Director of Engineering. Certain terms of Mr. Boehm’s employment arrangement are contained herein in Part III, Item 11 to this Form 10-K.</w:t>
      </w:r>
    </w:p>
    <w:p>
      <w:pPr>
        <w:spacing w:after="0" w:line="49" w:lineRule="exact"/>
        <w:rPr>
          <w:sz w:val="20"/>
          <w:szCs w:val="20"/>
          <w:color w:val="auto"/>
        </w:rPr>
      </w:pPr>
    </w:p>
    <w:p>
      <w:pPr>
        <w:ind w:right="120"/>
        <w:spacing w:after="0" w:line="352" w:lineRule="auto"/>
        <w:rPr>
          <w:sz w:val="20"/>
          <w:szCs w:val="20"/>
          <w:color w:val="auto"/>
        </w:rPr>
      </w:pPr>
      <w:r>
        <w:rPr>
          <w:rFonts w:ascii="Arial" w:cs="Arial" w:eastAsia="Arial" w:hAnsi="Arial"/>
          <w:sz w:val="17"/>
          <w:szCs w:val="17"/>
          <w:b w:val="1"/>
          <w:bCs w:val="1"/>
          <w:color w:val="F4494E"/>
        </w:rPr>
        <w:t xml:space="preserve">KEVIN NASH </w:t>
      </w:r>
      <w:r>
        <w:rPr>
          <w:rFonts w:ascii="Times New Roman" w:cs="Times New Roman" w:eastAsia="Times New Roman" w:hAnsi="Times New Roman"/>
          <w:sz w:val="18"/>
          <w:szCs w:val="18"/>
          <w:color w:val="000000"/>
        </w:rPr>
        <w:t>was appointed as the Company’s Vice President, Finance, Chief Financial Officer, and Treasurer, effective as of February 15,</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2018. He is also the Company’s Chief Accounting Officer. Mr. Nash has been employed by the Company since 1999. Prior to his current position, he served as the Company’s Vice President of Accounting and Chief Accounting Officer, beginning in 2014 and before that served as Director of Accounting and Chief Accounting Officer. Certain terms of Mr. Nash’s employment arrangement are contained herein in Part III, Item 11 to this Form 10-K.</w:t>
      </w:r>
    </w:p>
    <w:p>
      <w:pPr>
        <w:spacing w:after="0" w:line="60" w:lineRule="exact"/>
        <w:rPr>
          <w:sz w:val="20"/>
          <w:szCs w:val="20"/>
          <w:color w:val="auto"/>
        </w:rPr>
      </w:pPr>
    </w:p>
    <w:p>
      <w:pPr>
        <w:ind w:right="280"/>
        <w:spacing w:after="0" w:line="362" w:lineRule="auto"/>
        <w:rPr>
          <w:sz w:val="20"/>
          <w:szCs w:val="20"/>
          <w:color w:val="auto"/>
        </w:rPr>
      </w:pPr>
      <w:r>
        <w:rPr>
          <w:rFonts w:ascii="Arial" w:cs="Arial" w:eastAsia="Arial" w:hAnsi="Arial"/>
          <w:sz w:val="17"/>
          <w:szCs w:val="17"/>
          <w:b w:val="1"/>
          <w:bCs w:val="1"/>
          <w:color w:val="F4494E"/>
        </w:rPr>
        <w:t xml:space="preserve">MATTHEW CHIODO’S </w:t>
      </w:r>
      <w:r>
        <w:rPr>
          <w:rFonts w:ascii="Times New Roman" w:cs="Times New Roman" w:eastAsia="Times New Roman" w:hAnsi="Times New Roman"/>
          <w:sz w:val="18"/>
          <w:szCs w:val="18"/>
          <w:color w:val="000000"/>
        </w:rPr>
        <w:t>title changed to Chief Sales Officer and Senior Vice President of Sales on January 17, 2022, though he was already</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and continues to be a named executive officer. Mr. Chiodo has been employed by the Company since 2001. Prior to his current title, his title was the Company’s Vice President of Sales, beginning in 2017 and before that served as Director of Sales for several years. Certain terms of Mr. Chiodo’s employment arrangement are contained herein in Part III, Item 11 to this Form 10-K.</w:t>
      </w:r>
    </w:p>
    <w:p>
      <w:pPr>
        <w:spacing w:after="0" w:line="49" w:lineRule="exact"/>
        <w:rPr>
          <w:sz w:val="20"/>
          <w:szCs w:val="20"/>
          <w:color w:val="auto"/>
        </w:rPr>
      </w:pPr>
    </w:p>
    <w:p>
      <w:pPr>
        <w:ind w:right="280"/>
        <w:spacing w:after="0" w:line="362" w:lineRule="auto"/>
        <w:rPr>
          <w:sz w:val="20"/>
          <w:szCs w:val="20"/>
          <w:color w:val="auto"/>
        </w:rPr>
      </w:pPr>
      <w:r>
        <w:rPr>
          <w:rFonts w:ascii="Arial" w:cs="Arial" w:eastAsia="Arial" w:hAnsi="Arial"/>
          <w:sz w:val="17"/>
          <w:szCs w:val="17"/>
          <w:b w:val="1"/>
          <w:bCs w:val="1"/>
          <w:color w:val="F4494E"/>
        </w:rPr>
        <w:t xml:space="preserve">SCOTT RYAN </w:t>
      </w:r>
      <w:r>
        <w:rPr>
          <w:rFonts w:ascii="Times New Roman" w:cs="Times New Roman" w:eastAsia="Times New Roman" w:hAnsi="Times New Roman"/>
          <w:sz w:val="18"/>
          <w:szCs w:val="18"/>
          <w:color w:val="000000"/>
        </w:rPr>
        <w:t>was appointed as the Company’s Vice President, General Counsel and Corporate Secretary on August 16, 2018. Mr. Ryan has</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been employed by the Company since 2010. Prior to his current position, he served as Assistant General Counsel and Corporate Secretary from June 2015 to August 2018. Prior to that he served as Patent Counsel from November 2013 to June 2015. Certain terms of Mr. Ryan’s employment arrangement are contained herein in Part III, Item 11 to this Form 10-K.</w:t>
      </w:r>
    </w:p>
    <w:p>
      <w:pPr>
        <w:spacing w:after="0" w:line="51" w:lineRule="exact"/>
        <w:rPr>
          <w:sz w:val="20"/>
          <w:szCs w:val="20"/>
          <w:color w:val="auto"/>
        </w:rPr>
      </w:pPr>
    </w:p>
    <w:p>
      <w:pPr>
        <w:ind w:right="200"/>
        <w:spacing w:after="0" w:line="340" w:lineRule="auto"/>
        <w:rPr>
          <w:sz w:val="20"/>
          <w:szCs w:val="20"/>
          <w:color w:val="auto"/>
        </w:rPr>
      </w:pPr>
      <w:r>
        <w:rPr>
          <w:rFonts w:ascii="Times New Roman" w:cs="Times New Roman" w:eastAsia="Times New Roman" w:hAnsi="Times New Roman"/>
          <w:sz w:val="18"/>
          <w:szCs w:val="18"/>
          <w:color w:val="auto"/>
        </w:rPr>
        <w:t>Information relating to directors appearing under the caption “Election of Directors” in the definitive Proxy Statement for 2024 Annual Meeting of Shareholders and filed with the Commission within 120 days after the Company’s fiscal year end, December 31, 2023 (the “Proxy Statement”), is hereby incorporated herein by reference. No changes were made to the procedures by which shareholders may recommend nominees for the Board. Any information concerning compliance with Section 16(a) of the Securities and Exchange Act of 1934 that may appear under the caption “Delinquent Section 16 Reports” in the definitive Proxy Statement is hereby incorporated herein by reference. Information relating to the Company’s Audit Committee and concerning whether at least one member of the Audit Committee is an “audit committee financial expert” as that term is defined under Item 407(d)(5) of Regulation S-K appearing under the caption “Corporate Governance – Audit Committee” in the definitive Proxy Statement is hereby incorporated herein by reference.</w:t>
      </w:r>
    </w:p>
    <w:p>
      <w:pPr>
        <w:spacing w:after="0" w:line="200" w:lineRule="exact"/>
        <w:rPr>
          <w:sz w:val="20"/>
          <w:szCs w:val="20"/>
          <w:color w:val="auto"/>
        </w:rPr>
      </w:pPr>
    </w:p>
    <w:p>
      <w:pPr>
        <w:sectPr>
          <w:pgSz w:w="12240" w:h="15840" w:orient="portrait"/>
          <w:cols w:equalWidth="0" w:num="2">
            <w:col w:w="230" w:space="428"/>
            <w:col w:w="10440"/>
          </w:cols>
          <w:pgMar w:left="242" w:top="836" w:right="900" w:bottom="0" w:gutter="0" w:footer="0" w:header="0"/>
        </w:sectPr>
      </w:pPr>
    </w:p>
    <w:p>
      <w:pPr>
        <w:spacing w:after="0" w:line="86" w:lineRule="exact"/>
        <w:rPr>
          <w:sz w:val="20"/>
          <w:szCs w:val="20"/>
          <w:color w:val="auto"/>
        </w:rPr>
      </w:pPr>
    </w:p>
    <w:p>
      <w:pPr>
        <w:ind w:left="338"/>
        <w:spacing w:after="0"/>
        <w:tabs>
          <w:tab w:leader="none" w:pos="737" w:val="left"/>
        </w:tabs>
        <w:rPr>
          <w:sz w:val="20"/>
          <w:szCs w:val="20"/>
          <w:color w:val="auto"/>
        </w:rPr>
      </w:pPr>
      <w:r>
        <w:rPr>
          <w:rFonts w:ascii="Arial" w:cs="Arial" w:eastAsia="Arial" w:hAnsi="Arial"/>
          <w:sz w:val="24"/>
          <w:szCs w:val="24"/>
          <w:b w:val="1"/>
          <w:bCs w:val="1"/>
          <w:color w:val="auto"/>
        </w:rPr>
        <w:t>50</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1098"/>
          </w:cols>
          <w:pgMar w:left="242" w:top="836" w:right="900" w:bottom="0" w:gutter="0" w:footer="0" w:header="0"/>
          <w:type w:val="continuous"/>
        </w:sectPr>
      </w:pPr>
    </w:p>
    <w:bookmarkStart w:id="50" w:name="page51"/>
    <w:bookmarkEnd w:id="50"/>
    <w:p>
      <w:pPr>
        <w:ind w:right="420"/>
        <w:spacing w:after="0" w:line="347" w:lineRule="auto"/>
        <w:rPr>
          <w:sz w:val="20"/>
          <w:szCs w:val="20"/>
          <w:color w:val="auto"/>
        </w:rPr>
      </w:pPr>
      <w:r>
        <w:rPr>
          <w:rFonts w:ascii="Times New Roman" w:cs="Times New Roman" w:eastAsia="Times New Roman" w:hAnsi="Times New Roman"/>
          <w:sz w:val="18"/>
          <w:szCs w:val="18"/>
          <w:color w:val="auto"/>
        </w:rPr>
        <w:t>The Company has adopted a Code of Ethics for Certain Senior Officers that applies to its principal executive officer, principal financial officer, and principal accounting officer. A copy of the Code of Ethics for Certain Senior Officers is available without charge, upon written request, from the Corporate Secretary of the Company, 600 N. Centennial Street, Zeeland, Michigan 49464 and on the Company’s website. The Company intends to satisfy the disclosure requirement under Item 5.05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808080"/>
        </w:rPr>
        <w:t xml:space="preserve">Item 11. </w:t>
      </w:r>
      <w:r>
        <w:rPr>
          <w:rFonts w:ascii="Arial" w:cs="Arial" w:eastAsia="Arial" w:hAnsi="Arial"/>
          <w:sz w:val="32"/>
          <w:szCs w:val="32"/>
          <w:color w:val="000000"/>
        </w:rPr>
        <w:t>Executive Compensation.</w:t>
      </w:r>
    </w:p>
    <w:p>
      <w:pPr>
        <w:spacing w:after="0" w:line="126" w:lineRule="exact"/>
        <w:rPr>
          <w:sz w:val="20"/>
          <w:szCs w:val="20"/>
          <w:color w:val="auto"/>
        </w:rPr>
      </w:pPr>
    </w:p>
    <w:p>
      <w:pPr>
        <w:ind w:right="640"/>
        <w:spacing w:after="0" w:line="362" w:lineRule="auto"/>
        <w:rPr>
          <w:sz w:val="20"/>
          <w:szCs w:val="20"/>
          <w:color w:val="auto"/>
        </w:rPr>
      </w:pPr>
      <w:r>
        <w:rPr>
          <w:rFonts w:ascii="Times New Roman" w:cs="Times New Roman" w:eastAsia="Times New Roman" w:hAnsi="Times New Roman"/>
          <w:sz w:val="18"/>
          <w:szCs w:val="18"/>
          <w:color w:val="auto"/>
        </w:rPr>
        <w:t>The information contained under the caption “Compensation Committee Report,” “Compensation Discussion and Analysis,” “Executive Compensation,” “Director Compensation,” and “Compensation Committee Interlocks and Insider Participation” contained in the definitive Proxy Statement is hereby incorporated herein by reference. The “Compensation Committee Report” shall not be deemed to be soliciting material or to be filed with the commission.</w:t>
      </w:r>
    </w:p>
    <w:p>
      <w:pPr>
        <w:spacing w:after="0" w:line="52" w:lineRule="exact"/>
        <w:rPr>
          <w:sz w:val="20"/>
          <w:szCs w:val="20"/>
          <w:color w:val="auto"/>
        </w:rPr>
      </w:pPr>
    </w:p>
    <w:p>
      <w:pPr>
        <w:ind w:right="340"/>
        <w:spacing w:after="0" w:line="429" w:lineRule="auto"/>
        <w:rPr>
          <w:sz w:val="20"/>
          <w:szCs w:val="20"/>
          <w:color w:val="auto"/>
        </w:rPr>
      </w:pPr>
      <w:r>
        <w:rPr>
          <w:rFonts w:ascii="Times New Roman" w:cs="Times New Roman" w:eastAsia="Times New Roman" w:hAnsi="Times New Roman"/>
          <w:sz w:val="18"/>
          <w:szCs w:val="18"/>
          <w:color w:val="auto"/>
        </w:rPr>
        <w:t>As previously disclosed, the Compensation Committee has a goal that base salaries for officers, including named executive officers, are at or near the market median for base salaries when compared to the Company’s established peer group.</w:t>
      </w:r>
    </w:p>
    <w:p>
      <w:pPr>
        <w:ind w:right="320"/>
        <w:spacing w:after="0" w:line="338" w:lineRule="auto"/>
        <w:rPr>
          <w:sz w:val="20"/>
          <w:szCs w:val="20"/>
          <w:color w:val="auto"/>
        </w:rPr>
      </w:pPr>
      <w:r>
        <w:rPr>
          <w:rFonts w:ascii="Times New Roman" w:cs="Times New Roman" w:eastAsia="Times New Roman" w:hAnsi="Times New Roman"/>
          <w:sz w:val="18"/>
          <w:szCs w:val="18"/>
          <w:color w:val="auto"/>
        </w:rPr>
        <w:t>In light of that, the Compensation Committee has periodically reviewed base salaries for officers, including where officers rank compared to the Company’s established peer group. It was determined by the Compensation Committee that certain officer base salaries trail the announced goal of base salaries at market median. As such, in light of the positive financial outlook for the Company the ever-increasing competition for talent, the need to attract and retain management to fulfill the Company’s strategic goals, desire for base salaries to approach market median, and the high level individual performances of officers, the Compensation Committee recommended to the Board and the Board approved certain changes in base salaries for 2024, though such changes did not include the Company’s President and CEO. Mr. Downing requested no increase to his base salary in 2024. In light of Mr. Downing’s continued excellent performance, and base salary, the Board approved increases to Mr. Downing’s annual and long term incentives, as disclosed herein. The Board, on February 15, 2024, approved the following base salaries for the CEO and other named executive officers for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0" w:type="dxa"/>
            <w:vAlign w:val="bottom"/>
          </w:tcPr>
          <w:p>
            <w:pPr>
              <w:spacing w:after="0"/>
              <w:rPr>
                <w:sz w:val="24"/>
                <w:szCs w:val="24"/>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 Base Salary</w:t>
            </w:r>
          </w:p>
        </w:tc>
        <w:tc>
          <w:tcPr>
            <w:tcW w:w="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 Base Salary</w:t>
            </w:r>
          </w:p>
        </w:tc>
      </w:tr>
      <w:tr>
        <w:trPr>
          <w:trHeight w:val="345"/>
        </w:trPr>
        <w:tc>
          <w:tcPr>
            <w:tcW w:w="16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Steve Downing</w:t>
            </w:r>
          </w:p>
        </w:tc>
        <w:tc>
          <w:tcPr>
            <w:tcW w:w="428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President and CEO</w:t>
            </w:r>
          </w:p>
        </w:tc>
        <w:tc>
          <w:tcPr>
            <w:tcW w:w="100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850,000</w:t>
            </w:r>
          </w:p>
        </w:tc>
        <w:tc>
          <w:tcPr>
            <w:tcW w:w="46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850,000</w:t>
            </w:r>
          </w:p>
        </w:tc>
      </w:tr>
      <w:tr>
        <w:trPr>
          <w:trHeight w:val="340"/>
        </w:trPr>
        <w:tc>
          <w:tcPr>
            <w:tcW w:w="16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Neil Boehm</w:t>
            </w:r>
          </w:p>
        </w:tc>
        <w:tc>
          <w:tcPr>
            <w:tcW w:w="428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VP, Engineering and CTO</w:t>
            </w:r>
          </w:p>
        </w:tc>
        <w:tc>
          <w:tcPr>
            <w:tcW w:w="100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575,000</w:t>
            </w:r>
          </w:p>
        </w:tc>
        <w:tc>
          <w:tcPr>
            <w:tcW w:w="46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515,000</w:t>
            </w:r>
          </w:p>
        </w:tc>
      </w:tr>
      <w:tr>
        <w:trPr>
          <w:trHeight w:val="340"/>
        </w:trPr>
        <w:tc>
          <w:tcPr>
            <w:tcW w:w="16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Kevin Nash</w:t>
            </w:r>
          </w:p>
        </w:tc>
        <w:tc>
          <w:tcPr>
            <w:tcW w:w="428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VP, Finance, CFO and Treasurer</w:t>
            </w:r>
          </w:p>
        </w:tc>
        <w:tc>
          <w:tcPr>
            <w:tcW w:w="100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555,000</w:t>
            </w:r>
          </w:p>
        </w:tc>
        <w:tc>
          <w:tcPr>
            <w:tcW w:w="46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515,000</w:t>
            </w:r>
          </w:p>
        </w:tc>
      </w:tr>
      <w:tr>
        <w:trPr>
          <w:trHeight w:val="340"/>
        </w:trPr>
        <w:tc>
          <w:tcPr>
            <w:tcW w:w="16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Matt Chiodo</w:t>
            </w:r>
          </w:p>
        </w:tc>
        <w:tc>
          <w:tcPr>
            <w:tcW w:w="428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8"/>
                <w:szCs w:val="18"/>
                <w:color w:val="auto"/>
              </w:rPr>
              <w:t>Senior VP, Sales and CSO</w:t>
            </w:r>
          </w:p>
        </w:tc>
        <w:tc>
          <w:tcPr>
            <w:tcW w:w="100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480,000</w:t>
            </w:r>
          </w:p>
        </w:tc>
        <w:tc>
          <w:tcPr>
            <w:tcW w:w="46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455,000</w:t>
            </w:r>
          </w:p>
        </w:tc>
      </w:tr>
      <w:tr>
        <w:trPr>
          <w:trHeight w:val="35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Scott Ryan</w:t>
            </w:r>
          </w:p>
        </w:tc>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VP, General Counsel and Corporate Secretary</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440,000</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415,000</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Amended and Restated Annual Incentive Performance-Based Bonus Plan</w:t>
      </w:r>
    </w:p>
    <w:p>
      <w:pPr>
        <w:spacing w:after="0" w:line="191" w:lineRule="exact"/>
        <w:rPr>
          <w:sz w:val="20"/>
          <w:szCs w:val="20"/>
          <w:color w:val="auto"/>
        </w:rPr>
      </w:pPr>
    </w:p>
    <w:p>
      <w:pPr>
        <w:ind w:right="320"/>
        <w:spacing w:after="0" w:line="353" w:lineRule="auto"/>
        <w:rPr>
          <w:sz w:val="20"/>
          <w:szCs w:val="20"/>
          <w:color w:val="auto"/>
        </w:rPr>
      </w:pPr>
      <w:r>
        <w:rPr>
          <w:rFonts w:ascii="Times New Roman" w:cs="Times New Roman" w:eastAsia="Times New Roman" w:hAnsi="Times New Roman"/>
          <w:sz w:val="18"/>
          <w:szCs w:val="18"/>
          <w:color w:val="auto"/>
        </w:rPr>
        <w:t>The Board previously approved the Amended and Restated Annual Incentive Performance-Based Bonus Plan (the “Annual Plan”) to further emphasize performance-based compensation. In lieu of participating in the profit-sharing bonus paid to all employees, the Annual Plan provides potential cash-based bonuses for officers based on the achievement of three key performance metrics: Revenue (33.33% weighting); Operating Income (33.33% weighting); and Earnings per Diluted Share (33.33% weighting). The Annual Plan covers certain officers, including named executive officers.</w:t>
      </w:r>
    </w:p>
    <w:p>
      <w:pPr>
        <w:spacing w:after="0" w:line="58" w:lineRule="exact"/>
        <w:rPr>
          <w:sz w:val="20"/>
          <w:szCs w:val="20"/>
          <w:color w:val="auto"/>
        </w:rPr>
      </w:pPr>
    </w:p>
    <w:p>
      <w:pPr>
        <w:ind w:right="360"/>
        <w:spacing w:after="0" w:line="363" w:lineRule="auto"/>
        <w:rPr>
          <w:sz w:val="20"/>
          <w:szCs w:val="20"/>
          <w:color w:val="auto"/>
        </w:rPr>
      </w:pPr>
      <w:r>
        <w:rPr>
          <w:rFonts w:ascii="Times New Roman" w:cs="Times New Roman" w:eastAsia="Times New Roman" w:hAnsi="Times New Roman"/>
          <w:sz w:val="18"/>
          <w:szCs w:val="18"/>
          <w:color w:val="auto"/>
        </w:rPr>
        <w:t>At the beginning of each year, the Compensation Committee reviews and approves a cash bonus target under the Annual Plan for each officer, as a percentage of base salary for the year. Under the Annual Plan in 2024, the CEO may earn up to 220% of base salary. The non-CEO named executive officers may earn up to 0% to 150% of their respective base salaries. All performance-related targets under the Annual Plan are set by, and achievement of targets are approved by, the Compensation Committee and/or the Board of Directors.</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51</w:t>
      </w:r>
    </w:p>
    <w:p>
      <w:pPr>
        <w:sectPr>
          <w:pgSz w:w="12240" w:h="15840" w:orient="portrait"/>
          <w:cols w:equalWidth="0" w:num="1">
            <w:col w:w="10760"/>
          </w:cols>
          <w:pgMar w:left="900" w:top="852" w:right="580" w:bottom="0" w:gutter="0" w:footer="0" w:header="0"/>
          <w:type w:val="continuous"/>
        </w:sectPr>
      </w:pPr>
    </w:p>
    <w:bookmarkStart w:id="51" w:name="page52"/>
    <w:bookmarkEnd w:id="51"/>
    <w:p>
      <w:pPr>
        <w:ind w:left="320" w:right="220"/>
        <w:spacing w:after="0" w:line="437" w:lineRule="auto"/>
        <w:rPr>
          <w:sz w:val="20"/>
          <w:szCs w:val="20"/>
          <w:color w:val="auto"/>
        </w:rPr>
      </w:pPr>
      <w:r>
        <w:rPr>
          <w:rFonts w:ascii="Times New Roman" w:cs="Times New Roman" w:eastAsia="Times New Roman" w:hAnsi="Times New Roman"/>
          <w:sz w:val="18"/>
          <w:szCs w:val="18"/>
          <w:color w:val="auto"/>
        </w:rPr>
        <w:t>For our executive officers, the 2024 Annual Plan payout opportunities as a percentage of base salary applicable to each performance metric are shown in the table below:</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33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Annual Plan Threshold</w:t>
            </w:r>
          </w:p>
        </w:tc>
        <w:tc>
          <w:tcPr>
            <w:tcW w:w="24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Annual Plan Target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Annual Plan Maximum</w:t>
            </w:r>
          </w:p>
        </w:tc>
      </w:tr>
      <w:tr>
        <w:trPr>
          <w:trHeight w:val="345"/>
        </w:trPr>
        <w:tc>
          <w:tcPr>
            <w:tcW w:w="2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Steve Downing</w:t>
            </w:r>
          </w:p>
        </w:tc>
        <w:tc>
          <w:tcPr>
            <w:tcW w:w="3380" w:type="dxa"/>
            <w:vAlign w:val="bottom"/>
            <w:tcBorders>
              <w:bottom w:val="single" w:sz="8" w:color="808080"/>
            </w:tcBorders>
          </w:tcPr>
          <w:p>
            <w:pPr>
              <w:jc w:val="right"/>
              <w:ind w:right="450"/>
              <w:spacing w:after="0"/>
              <w:rPr>
                <w:sz w:val="20"/>
                <w:szCs w:val="20"/>
                <w:color w:val="auto"/>
              </w:rPr>
            </w:pPr>
            <w:r>
              <w:rPr>
                <w:rFonts w:ascii="Times New Roman" w:cs="Times New Roman" w:eastAsia="Times New Roman" w:hAnsi="Times New Roman"/>
                <w:sz w:val="18"/>
                <w:szCs w:val="18"/>
                <w:color w:val="auto"/>
              </w:rPr>
              <w:t>55.0%</w:t>
            </w:r>
          </w:p>
        </w:tc>
        <w:tc>
          <w:tcPr>
            <w:tcW w:w="2480" w:type="dxa"/>
            <w:vAlign w:val="bottom"/>
            <w:tcBorders>
              <w:bottom w:val="single" w:sz="8" w:color="808080"/>
            </w:tcBorders>
          </w:tcPr>
          <w:p>
            <w:pPr>
              <w:jc w:val="right"/>
              <w:ind w:right="330"/>
              <w:spacing w:after="0"/>
              <w:rPr>
                <w:sz w:val="20"/>
                <w:szCs w:val="20"/>
                <w:color w:val="auto"/>
              </w:rPr>
            </w:pPr>
            <w:r>
              <w:rPr>
                <w:rFonts w:ascii="Times New Roman" w:cs="Times New Roman" w:eastAsia="Times New Roman" w:hAnsi="Times New Roman"/>
                <w:sz w:val="18"/>
                <w:szCs w:val="18"/>
                <w:color w:val="auto"/>
              </w:rPr>
              <w:t>110.0%</w:t>
            </w:r>
          </w:p>
        </w:tc>
        <w:tc>
          <w:tcPr>
            <w:tcW w:w="2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340"/>
        </w:trPr>
        <w:tc>
          <w:tcPr>
            <w:tcW w:w="2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Neil Boehm</w:t>
            </w:r>
          </w:p>
        </w:tc>
        <w:tc>
          <w:tcPr>
            <w:tcW w:w="3380" w:type="dxa"/>
            <w:vAlign w:val="bottom"/>
            <w:tcBorders>
              <w:bottom w:val="single" w:sz="8" w:color="808080"/>
            </w:tcBorders>
          </w:tcPr>
          <w:p>
            <w:pPr>
              <w:jc w:val="right"/>
              <w:ind w:right="450"/>
              <w:spacing w:after="0"/>
              <w:rPr>
                <w:sz w:val="20"/>
                <w:szCs w:val="20"/>
                <w:color w:val="auto"/>
              </w:rPr>
            </w:pPr>
            <w:r>
              <w:rPr>
                <w:rFonts w:ascii="Times New Roman" w:cs="Times New Roman" w:eastAsia="Times New Roman" w:hAnsi="Times New Roman"/>
                <w:sz w:val="18"/>
                <w:szCs w:val="18"/>
                <w:color w:val="auto"/>
              </w:rPr>
              <w:t>37.5%</w:t>
            </w:r>
          </w:p>
        </w:tc>
        <w:tc>
          <w:tcPr>
            <w:tcW w:w="2480" w:type="dxa"/>
            <w:vAlign w:val="bottom"/>
            <w:tcBorders>
              <w:bottom w:val="single" w:sz="8" w:color="808080"/>
            </w:tcBorders>
          </w:tcPr>
          <w:p>
            <w:pPr>
              <w:jc w:val="right"/>
              <w:ind w:right="330"/>
              <w:spacing w:after="0"/>
              <w:rPr>
                <w:sz w:val="20"/>
                <w:szCs w:val="20"/>
                <w:color w:val="auto"/>
              </w:rPr>
            </w:pPr>
            <w:r>
              <w:rPr>
                <w:rFonts w:ascii="Times New Roman" w:cs="Times New Roman" w:eastAsia="Times New Roman" w:hAnsi="Times New Roman"/>
                <w:sz w:val="18"/>
                <w:szCs w:val="18"/>
                <w:color w:val="auto"/>
              </w:rPr>
              <w:t>75.0%</w:t>
            </w:r>
          </w:p>
        </w:tc>
        <w:tc>
          <w:tcPr>
            <w:tcW w:w="2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340"/>
        </w:trPr>
        <w:tc>
          <w:tcPr>
            <w:tcW w:w="2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Kevin Nash</w:t>
            </w:r>
          </w:p>
        </w:tc>
        <w:tc>
          <w:tcPr>
            <w:tcW w:w="3380" w:type="dxa"/>
            <w:vAlign w:val="bottom"/>
            <w:tcBorders>
              <w:bottom w:val="single" w:sz="8" w:color="808080"/>
            </w:tcBorders>
          </w:tcPr>
          <w:p>
            <w:pPr>
              <w:jc w:val="right"/>
              <w:ind w:right="450"/>
              <w:spacing w:after="0"/>
              <w:rPr>
                <w:sz w:val="20"/>
                <w:szCs w:val="20"/>
                <w:color w:val="auto"/>
              </w:rPr>
            </w:pPr>
            <w:r>
              <w:rPr>
                <w:rFonts w:ascii="Times New Roman" w:cs="Times New Roman" w:eastAsia="Times New Roman" w:hAnsi="Times New Roman"/>
                <w:sz w:val="18"/>
                <w:szCs w:val="18"/>
                <w:color w:val="auto"/>
              </w:rPr>
              <w:t>37.5%</w:t>
            </w:r>
          </w:p>
        </w:tc>
        <w:tc>
          <w:tcPr>
            <w:tcW w:w="2480" w:type="dxa"/>
            <w:vAlign w:val="bottom"/>
            <w:tcBorders>
              <w:bottom w:val="single" w:sz="8" w:color="808080"/>
            </w:tcBorders>
          </w:tcPr>
          <w:p>
            <w:pPr>
              <w:jc w:val="right"/>
              <w:ind w:right="330"/>
              <w:spacing w:after="0"/>
              <w:rPr>
                <w:sz w:val="20"/>
                <w:szCs w:val="20"/>
                <w:color w:val="auto"/>
              </w:rPr>
            </w:pPr>
            <w:r>
              <w:rPr>
                <w:rFonts w:ascii="Times New Roman" w:cs="Times New Roman" w:eastAsia="Times New Roman" w:hAnsi="Times New Roman"/>
                <w:sz w:val="18"/>
                <w:szCs w:val="18"/>
                <w:color w:val="auto"/>
              </w:rPr>
              <w:t>75.0%</w:t>
            </w:r>
          </w:p>
        </w:tc>
        <w:tc>
          <w:tcPr>
            <w:tcW w:w="2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340"/>
        </w:trPr>
        <w:tc>
          <w:tcPr>
            <w:tcW w:w="2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Matt Chiodo</w:t>
            </w:r>
          </w:p>
        </w:tc>
        <w:tc>
          <w:tcPr>
            <w:tcW w:w="3380" w:type="dxa"/>
            <w:vAlign w:val="bottom"/>
            <w:tcBorders>
              <w:bottom w:val="single" w:sz="8" w:color="808080"/>
            </w:tcBorders>
          </w:tcPr>
          <w:p>
            <w:pPr>
              <w:jc w:val="right"/>
              <w:ind w:right="450"/>
              <w:spacing w:after="0"/>
              <w:rPr>
                <w:sz w:val="20"/>
                <w:szCs w:val="20"/>
                <w:color w:val="auto"/>
              </w:rPr>
            </w:pPr>
            <w:r>
              <w:rPr>
                <w:rFonts w:ascii="Times New Roman" w:cs="Times New Roman" w:eastAsia="Times New Roman" w:hAnsi="Times New Roman"/>
                <w:sz w:val="18"/>
                <w:szCs w:val="18"/>
                <w:color w:val="auto"/>
              </w:rPr>
              <w:t>37.5%</w:t>
            </w:r>
          </w:p>
        </w:tc>
        <w:tc>
          <w:tcPr>
            <w:tcW w:w="2480" w:type="dxa"/>
            <w:vAlign w:val="bottom"/>
            <w:tcBorders>
              <w:bottom w:val="single" w:sz="8" w:color="808080"/>
            </w:tcBorders>
          </w:tcPr>
          <w:p>
            <w:pPr>
              <w:jc w:val="right"/>
              <w:ind w:right="330"/>
              <w:spacing w:after="0"/>
              <w:rPr>
                <w:sz w:val="20"/>
                <w:szCs w:val="20"/>
                <w:color w:val="auto"/>
              </w:rPr>
            </w:pPr>
            <w:r>
              <w:rPr>
                <w:rFonts w:ascii="Times New Roman" w:cs="Times New Roman" w:eastAsia="Times New Roman" w:hAnsi="Times New Roman"/>
                <w:sz w:val="18"/>
                <w:szCs w:val="18"/>
                <w:color w:val="auto"/>
              </w:rPr>
              <w:t>75.0%</w:t>
            </w:r>
          </w:p>
        </w:tc>
        <w:tc>
          <w:tcPr>
            <w:tcW w:w="2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35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Scott Ryan</w:t>
            </w:r>
          </w:p>
        </w:tc>
        <w:tc>
          <w:tcPr>
            <w:tcW w:w="33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37.5%</w:t>
            </w:r>
          </w:p>
        </w:tc>
        <w:tc>
          <w:tcPr>
            <w:tcW w:w="24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75.0%</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bl>
    <w:p>
      <w:pPr>
        <w:spacing w:after="0" w:line="187" w:lineRule="exact"/>
        <w:rPr>
          <w:sz w:val="20"/>
          <w:szCs w:val="20"/>
          <w:color w:val="auto"/>
        </w:rPr>
      </w:pPr>
    </w:p>
    <w:p>
      <w:pPr>
        <w:ind w:left="320" w:right="240"/>
        <w:spacing w:after="0" w:line="336" w:lineRule="auto"/>
        <w:rPr>
          <w:sz w:val="20"/>
          <w:szCs w:val="20"/>
          <w:color w:val="auto"/>
        </w:rPr>
      </w:pPr>
      <w:r>
        <w:rPr>
          <w:rFonts w:ascii="Times New Roman" w:cs="Times New Roman" w:eastAsia="Times New Roman" w:hAnsi="Times New Roman"/>
          <w:sz w:val="18"/>
          <w:szCs w:val="18"/>
          <w:color w:val="auto"/>
        </w:rPr>
        <w:t>For 2024, Mr. Downing’s Annual Plan target opportunity increased from 100% to 110% in part due to their being no increase to his base salary, despite that base salary being below market median among the Company’s defined peer group. In lieu of a base salary increase, the Compensation Committee recommended to the Board, and the Board approved an increase to Mr. Downing’s Annual Plan target opportunity in 2024. Mr. Downing’s target opportunity remains within the market median for short-term incentives for executives with similar job responsibilities. No other changes were made to the Annual Plan target opportunities for executive officers in 2024, as it is believed those threshold, target, and maximum opportunity levels remain appropriate. The foregoing payout opportunities are multiplied by the weighting factor of a particular performance metric to determine the amounts of cash bonuses payable to officers based on actual performance compared to the threshold, target, or maximum for a performance metric. When actual performance is compared to the established threshold, target, or maximum, as applicable, for any performance metric, linear interpolation is used to determine any pro rata portion of the performance bonus. The Compensation Committee and/or the Board also have discretion to increase (or decrease) such performance-based bonuses using their judgment, provided that bonuses are not in any event to exceed 250% of the applicable base salary.</w:t>
      </w:r>
    </w:p>
    <w:p>
      <w:pPr>
        <w:spacing w:after="0" w:line="73" w:lineRule="exact"/>
        <w:rPr>
          <w:sz w:val="20"/>
          <w:szCs w:val="20"/>
          <w:color w:val="auto"/>
        </w:rPr>
      </w:pPr>
    </w:p>
    <w:p>
      <w:pPr>
        <w:ind w:left="320" w:right="620"/>
        <w:spacing w:after="0" w:line="381" w:lineRule="auto"/>
        <w:rPr>
          <w:sz w:val="20"/>
          <w:szCs w:val="20"/>
          <w:color w:val="auto"/>
        </w:rPr>
      </w:pPr>
      <w:r>
        <w:rPr>
          <w:rFonts w:ascii="Times New Roman" w:cs="Times New Roman" w:eastAsia="Times New Roman" w:hAnsi="Times New Roman"/>
          <w:sz w:val="18"/>
          <w:szCs w:val="18"/>
          <w:color w:val="auto"/>
        </w:rPr>
        <w:t>Since its inception in 2019, the Annual Plan uses the same three key performance metrics and weighting: Revenue (weighted 33.33%), Operating Income (weighted 33.33%) and Earnings per Diluted Share (33.33%) because such metrics are not only appropriate measures of performance, but also align with the Company’s overall business strategy.</w:t>
      </w:r>
    </w:p>
    <w:p>
      <w:pPr>
        <w:spacing w:after="0" w:line="34" w:lineRule="exact"/>
        <w:rPr>
          <w:sz w:val="20"/>
          <w:szCs w:val="20"/>
          <w:color w:val="auto"/>
        </w:rPr>
      </w:pPr>
    </w:p>
    <w:p>
      <w:pPr>
        <w:ind w:left="320" w:right="40"/>
        <w:spacing w:after="0" w:line="347" w:lineRule="auto"/>
        <w:rPr>
          <w:sz w:val="20"/>
          <w:szCs w:val="20"/>
          <w:color w:val="auto"/>
        </w:rPr>
      </w:pPr>
      <w:r>
        <w:rPr>
          <w:rFonts w:ascii="Times New Roman" w:cs="Times New Roman" w:eastAsia="Times New Roman" w:hAnsi="Times New Roman"/>
          <w:sz w:val="18"/>
          <w:szCs w:val="18"/>
          <w:color w:val="auto"/>
        </w:rPr>
        <w:t>In determining whether annual cash bonuses are paid under the Annual Plan, actual performance for the year is measured against specified target levels for each performance metric. Generally, the target for the three performance metrics reflects a level of performance, which at the time set would be anticipated to be challenging but achievable. The threshold level is set to be reflective of performance at which the Compensation Committee believed a portion of the award opportunity should be earned. The maximum level was set well above the target, requiring significant achievements and reflecting performance at which the Compensation Committee believed an additional 100% of the target award was warranted.</w:t>
      </w:r>
    </w:p>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2023, target performance and actual results for the performance metrics are as follows:</w:t>
      </w:r>
    </w:p>
    <w:p>
      <w:pPr>
        <w:spacing w:after="0" w:line="299"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52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58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52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Actual Performance*</w:t>
            </w:r>
          </w:p>
        </w:tc>
      </w:tr>
      <w:tr>
        <w:trPr>
          <w:trHeight w:val="343"/>
        </w:trPr>
        <w:tc>
          <w:tcPr>
            <w:tcW w:w="23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33.33%</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1,511,180</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2,014,906</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2,518,633</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2,299,215</w:t>
            </w:r>
          </w:p>
        </w:tc>
      </w:tr>
      <w:tr>
        <w:trPr>
          <w:trHeight w:val="340"/>
        </w:trPr>
        <w:tc>
          <w:tcPr>
            <w:tcW w:w="23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33.33%</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287,104</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382,805</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478,506</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495,731</w:t>
            </w:r>
          </w:p>
        </w:tc>
      </w:tr>
      <w:tr>
        <w:trPr>
          <w:trHeight w:val="36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33.33%</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bl>
    <w:p>
      <w:pPr>
        <w:spacing w:after="0" w:line="127" w:lineRule="exact"/>
        <w:rPr>
          <w:sz w:val="20"/>
          <w:szCs w:val="20"/>
          <w:color w:val="auto"/>
        </w:rPr>
      </w:pPr>
    </w:p>
    <w:p>
      <w:pPr>
        <w:ind w:left="320"/>
        <w:spacing w:after="0"/>
        <w:tabs>
          <w:tab w:leader="none" w:pos="480" w:val="left"/>
        </w:tabs>
        <w:rPr>
          <w:sz w:val="20"/>
          <w:szCs w:val="20"/>
          <w:color w:val="auto"/>
        </w:rPr>
      </w:pPr>
      <w:r>
        <w:rPr>
          <w:rFonts w:ascii="Times New Roman" w:cs="Times New Roman" w:eastAsia="Times New Roman" w:hAnsi="Times New Roman"/>
          <w:sz w:val="14"/>
          <w:szCs w:val="14"/>
          <w:color w:val="808080"/>
        </w:rPr>
        <w:t>*</w:t>
        <w:tab/>
        <w:t>Amounts in thousands (000) except for per share amounts.</w:t>
      </w:r>
    </w:p>
    <w:p>
      <w:pPr>
        <w:sectPr>
          <w:pgSz w:w="12240" w:h="15840" w:orient="portrait"/>
          <w:cols w:equalWidth="0" w:num="1">
            <w:col w:w="10760"/>
          </w:cols>
          <w:pgMar w:left="580" w:top="85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52</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2" w:right="900" w:bottom="0" w:gutter="0" w:footer="0" w:header="0"/>
          <w:type w:val="continuous"/>
        </w:sectPr>
      </w:pPr>
    </w:p>
    <w:bookmarkStart w:id="52" w:name="page53"/>
    <w:bookmarkEnd w:id="52"/>
    <w:p>
      <w:pPr>
        <w:ind w:right="620"/>
        <w:spacing w:after="0" w:line="437" w:lineRule="auto"/>
        <w:rPr>
          <w:sz w:val="20"/>
          <w:szCs w:val="20"/>
          <w:color w:val="auto"/>
        </w:rPr>
      </w:pPr>
      <w:r>
        <w:rPr>
          <w:rFonts w:ascii="Times New Roman" w:cs="Times New Roman" w:eastAsia="Times New Roman" w:hAnsi="Times New Roman"/>
          <w:sz w:val="18"/>
          <w:szCs w:val="18"/>
          <w:color w:val="auto"/>
        </w:rPr>
        <w:t>Based on actual Revenue, Operating Income, and Earnings per Diluted Share results compared to the targets and performance of the named executive officers, the payments for 2023 under the Annual Plan are shown in the table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1320" w:type="dxa"/>
            <w:vAlign w:val="bottom"/>
          </w:tcPr>
          <w:p>
            <w:pPr>
              <w:spacing w:after="0"/>
              <w:rPr>
                <w:sz w:val="24"/>
                <w:szCs w:val="24"/>
                <w:color w:val="auto"/>
              </w:rPr>
            </w:pPr>
          </w:p>
        </w:tc>
        <w:tc>
          <w:tcPr>
            <w:tcW w:w="3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 Annual Plan Performance Bonus</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 Annual Plan Discretionary Bonus</w:t>
            </w:r>
          </w:p>
        </w:tc>
      </w:tr>
      <w:tr>
        <w:trPr>
          <w:trHeight w:val="345"/>
        </w:trPr>
        <w:tc>
          <w:tcPr>
            <w:tcW w:w="23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Steve Downing</w:t>
            </w:r>
          </w:p>
        </w:tc>
        <w:tc>
          <w:tcPr>
            <w:tcW w:w="132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808080"/>
            </w:tcBorders>
          </w:tcPr>
          <w:p>
            <w:pPr>
              <w:jc w:val="right"/>
              <w:ind w:right="270"/>
              <w:spacing w:after="0"/>
              <w:rPr>
                <w:sz w:val="20"/>
                <w:szCs w:val="20"/>
                <w:color w:val="auto"/>
              </w:rPr>
            </w:pPr>
            <w:r>
              <w:rPr>
                <w:rFonts w:ascii="Times New Roman" w:cs="Times New Roman" w:eastAsia="Times New Roman" w:hAnsi="Times New Roman"/>
                <w:sz w:val="18"/>
                <w:szCs w:val="18"/>
                <w:color w:val="auto"/>
              </w:rPr>
              <w:t>1,576,495</w:t>
            </w:r>
          </w:p>
        </w:tc>
        <w:tc>
          <w:tcPr>
            <w:tcW w:w="3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40"/>
        </w:trPr>
        <w:tc>
          <w:tcPr>
            <w:tcW w:w="23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Neil Boehm</w:t>
            </w:r>
          </w:p>
        </w:tc>
        <w:tc>
          <w:tcPr>
            <w:tcW w:w="132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808080"/>
            </w:tcBorders>
          </w:tcPr>
          <w:p>
            <w:pPr>
              <w:jc w:val="right"/>
              <w:ind w:right="270"/>
              <w:spacing w:after="0"/>
              <w:rPr>
                <w:sz w:val="20"/>
                <w:szCs w:val="20"/>
                <w:color w:val="auto"/>
              </w:rPr>
            </w:pPr>
            <w:r>
              <w:rPr>
                <w:rFonts w:ascii="Times New Roman" w:cs="Times New Roman" w:eastAsia="Times New Roman" w:hAnsi="Times New Roman"/>
                <w:sz w:val="18"/>
                <w:szCs w:val="18"/>
                <w:color w:val="auto"/>
              </w:rPr>
              <w:t>716,378</w:t>
            </w:r>
          </w:p>
        </w:tc>
        <w:tc>
          <w:tcPr>
            <w:tcW w:w="3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40"/>
        </w:trPr>
        <w:tc>
          <w:tcPr>
            <w:tcW w:w="23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Kevin Nash</w:t>
            </w:r>
          </w:p>
        </w:tc>
        <w:tc>
          <w:tcPr>
            <w:tcW w:w="132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808080"/>
            </w:tcBorders>
          </w:tcPr>
          <w:p>
            <w:pPr>
              <w:jc w:val="right"/>
              <w:ind w:right="270"/>
              <w:spacing w:after="0"/>
              <w:rPr>
                <w:sz w:val="20"/>
                <w:szCs w:val="20"/>
                <w:color w:val="auto"/>
              </w:rPr>
            </w:pPr>
            <w:r>
              <w:rPr>
                <w:rFonts w:ascii="Times New Roman" w:cs="Times New Roman" w:eastAsia="Times New Roman" w:hAnsi="Times New Roman"/>
                <w:sz w:val="18"/>
                <w:szCs w:val="18"/>
                <w:color w:val="auto"/>
              </w:rPr>
              <w:t>716,378</w:t>
            </w:r>
          </w:p>
        </w:tc>
        <w:tc>
          <w:tcPr>
            <w:tcW w:w="3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40"/>
        </w:trPr>
        <w:tc>
          <w:tcPr>
            <w:tcW w:w="23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Matt Chiodo</w:t>
            </w:r>
          </w:p>
        </w:tc>
        <w:tc>
          <w:tcPr>
            <w:tcW w:w="132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Borders>
              <w:bottom w:val="single" w:sz="8" w:color="808080"/>
            </w:tcBorders>
          </w:tcPr>
          <w:p>
            <w:pPr>
              <w:jc w:val="right"/>
              <w:ind w:right="270"/>
              <w:spacing w:after="0"/>
              <w:rPr>
                <w:sz w:val="20"/>
                <w:szCs w:val="20"/>
                <w:color w:val="auto"/>
              </w:rPr>
            </w:pPr>
            <w:r>
              <w:rPr>
                <w:rFonts w:ascii="Times New Roman" w:cs="Times New Roman" w:eastAsia="Times New Roman" w:hAnsi="Times New Roman"/>
                <w:sz w:val="18"/>
                <w:szCs w:val="18"/>
                <w:color w:val="auto"/>
              </w:rPr>
              <w:t>632,916</w:t>
            </w:r>
          </w:p>
        </w:tc>
        <w:tc>
          <w:tcPr>
            <w:tcW w:w="3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5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Scott Ryan</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577,275</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87" w:lineRule="exact"/>
        <w:rPr>
          <w:sz w:val="20"/>
          <w:szCs w:val="20"/>
          <w:color w:val="auto"/>
        </w:rPr>
      </w:pPr>
    </w:p>
    <w:p>
      <w:pPr>
        <w:ind w:right="420"/>
        <w:spacing w:after="0" w:line="340" w:lineRule="auto"/>
        <w:rPr>
          <w:sz w:val="20"/>
          <w:szCs w:val="20"/>
          <w:color w:val="auto"/>
        </w:rPr>
      </w:pPr>
      <w:r>
        <w:rPr>
          <w:rFonts w:ascii="Times New Roman" w:cs="Times New Roman" w:eastAsia="Times New Roman" w:hAnsi="Times New Roman"/>
          <w:sz w:val="18"/>
          <w:szCs w:val="18"/>
          <w:color w:val="auto"/>
        </w:rPr>
        <w:t>These Annual Plan results appropriately reflect management’s work in terms of a 13% revenue outperformance versus the Company’s primary underlying markets, execution of the previously announced gross margin recovery plan, and ongoing business development efforts. For 2024, the Compensation Committee has established targets for Revenue, Operating Income, and Earnings per Diluted Share for the Annual Plan performance metrics as it has done in the past, and has made a minor change in 2024, to be consistent with periods prior to 2022. During 2022 and 2023, the Compensation Committee and Board widened the range of threshold and maximum performance under the Annual Plan to ±25% to account for increased volatility in potential financial performance, as a result of the ongoing supply chain crisis. In 2024, the Company is again using ± 20% of target in 2024 for determining thresholds and maximums under the Annual Plan due to a reduction in overall end market volatility.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2019 Omnibus Incentive Plan and Long-Term Incentive Program</w:t>
      </w:r>
    </w:p>
    <w:p>
      <w:pPr>
        <w:spacing w:after="0" w:line="191" w:lineRule="exact"/>
        <w:rPr>
          <w:sz w:val="20"/>
          <w:szCs w:val="20"/>
          <w:color w:val="auto"/>
        </w:rPr>
      </w:pPr>
    </w:p>
    <w:p>
      <w:pPr>
        <w:ind w:right="500"/>
        <w:spacing w:after="0" w:line="362" w:lineRule="auto"/>
        <w:rPr>
          <w:sz w:val="20"/>
          <w:szCs w:val="20"/>
          <w:color w:val="auto"/>
        </w:rPr>
      </w:pPr>
      <w:r>
        <w:rPr>
          <w:rFonts w:ascii="Times New Roman" w:cs="Times New Roman" w:eastAsia="Times New Roman" w:hAnsi="Times New Roman"/>
          <w:sz w:val="18"/>
          <w:szCs w:val="18"/>
          <w:color w:val="auto"/>
        </w:rPr>
        <w:t>The Company’s 2019 Omnibus Incentive Plan (“OIP”) has been approved by shareholders. Pursuant to the 2019 OIP, the Company implemented the Long-Term Incentive Plan (the “Long-Term Plan”). The Long-Term Plan provides officers, including our named executive officers, with incentive awards that serve an important role by balancing other applicable short-term goals with longer term shareholder value creation, while minimizing risk-taking behaviors that could negatively affect long-term results.</w:t>
      </w:r>
    </w:p>
    <w:p>
      <w:pPr>
        <w:spacing w:after="0" w:line="52" w:lineRule="exact"/>
        <w:rPr>
          <w:sz w:val="20"/>
          <w:szCs w:val="20"/>
          <w:color w:val="auto"/>
        </w:rPr>
      </w:pPr>
    </w:p>
    <w:p>
      <w:pPr>
        <w:ind w:right="440"/>
        <w:spacing w:after="0" w:line="343" w:lineRule="auto"/>
        <w:rPr>
          <w:sz w:val="20"/>
          <w:szCs w:val="20"/>
          <w:color w:val="auto"/>
        </w:rPr>
      </w:pPr>
      <w:r>
        <w:rPr>
          <w:rFonts w:ascii="Times New Roman" w:cs="Times New Roman" w:eastAsia="Times New Roman" w:hAnsi="Times New Roman"/>
          <w:sz w:val="18"/>
          <w:szCs w:val="18"/>
          <w:color w:val="auto"/>
        </w:rPr>
        <w:t>The Long-Term Plan uses three-year performance periods and selected performance objectives to determine equity incentive awards so as to balance short-term goals under the Annual Plan, with performance objectives associated with longer-term shareholder value creation under the Long-Term Plan. Under the Long-Term Plan, the Board and/or the Compensation Committee determines the amount of the long-term incentive awards. Each officer’s award opportunity is based on a target dollar value (determined toward the very beginning of the performance period) as a percentage of base salary assigned to his or her position based on market comparisons for similar positions, using both a peer group and general industry market data. The following target opportunities apply for the 2024-2026 performance period under the Long-Term Incentive Plan: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2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7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Long-Term Plan Target Opportunity Percentage of Base Salary for 2024-2026</w:t>
            </w:r>
          </w:p>
        </w:tc>
      </w:tr>
      <w:tr>
        <w:trPr>
          <w:trHeight w:val="340"/>
        </w:trPr>
        <w:tc>
          <w:tcPr>
            <w:tcW w:w="2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Steve Downing</w:t>
            </w:r>
          </w:p>
        </w:tc>
        <w:tc>
          <w:tcPr>
            <w:tcW w:w="7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340"/>
        </w:trPr>
        <w:tc>
          <w:tcPr>
            <w:tcW w:w="2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Neil Boehm</w:t>
            </w:r>
          </w:p>
        </w:tc>
        <w:tc>
          <w:tcPr>
            <w:tcW w:w="7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340"/>
        </w:trPr>
        <w:tc>
          <w:tcPr>
            <w:tcW w:w="2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Kevin Nash</w:t>
            </w:r>
          </w:p>
        </w:tc>
        <w:tc>
          <w:tcPr>
            <w:tcW w:w="7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340"/>
        </w:trPr>
        <w:tc>
          <w:tcPr>
            <w:tcW w:w="2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Matt Chiodo</w:t>
            </w:r>
          </w:p>
        </w:tc>
        <w:tc>
          <w:tcPr>
            <w:tcW w:w="7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340"/>
        </w:trPr>
        <w:tc>
          <w:tcPr>
            <w:tcW w:w="2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Scott Ryan</w:t>
            </w:r>
          </w:p>
        </w:tc>
        <w:tc>
          <w:tcPr>
            <w:tcW w:w="7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bl>
    <w:p>
      <w:pPr>
        <w:spacing w:after="0" w:line="200" w:lineRule="exact"/>
        <w:rPr>
          <w:sz w:val="20"/>
          <w:szCs w:val="20"/>
          <w:color w:val="auto"/>
        </w:rPr>
      </w:pPr>
    </w:p>
    <w:p>
      <w:pPr>
        <w:ind w:right="440"/>
        <w:spacing w:after="0" w:line="343" w:lineRule="auto"/>
        <w:rPr>
          <w:sz w:val="20"/>
          <w:szCs w:val="20"/>
          <w:color w:val="auto"/>
        </w:rPr>
      </w:pPr>
      <w:r>
        <w:rPr>
          <w:rFonts w:ascii="Times New Roman" w:cs="Times New Roman" w:eastAsia="Times New Roman" w:hAnsi="Times New Roman"/>
          <w:sz w:val="18"/>
          <w:szCs w:val="18"/>
          <w:color w:val="auto"/>
        </w:rPr>
        <w:t>These Long-Term Plan Target Opportunity Percentages of Base Salary for 2024 - 2026 for Mr. Downing and Mr. Boehm have changed from those applicable for 2023 - 2025. Mr. Downing’s target opportunity increased from 365% to 385% due in part to there being no increase in his base salary, despite a base salary that is below market median among the Company’s defined peer group. The Compensation Committee recommended, and the Board approved, this increase to Mr. Downing’s Long-Term Plan target opportunity in 2024 as set forth. Mr. Boehm’s target opportunity increased from 155% to 185%, as a result of Mr. Boehm’s increase in overall job responsibilities. The Compensation Committee also recommended, and the Board approved, this increase to Mr. Boehm’s Long-Term Plan target opportunity in 2024. All Long-Term Plan target opportunities remain within the market median for long-term incentives for the officers’ respective job responsibilities.</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61"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53</w:t>
      </w:r>
    </w:p>
    <w:p>
      <w:pPr>
        <w:sectPr>
          <w:pgSz w:w="12240" w:h="15840" w:orient="portrait"/>
          <w:cols w:equalWidth="0" w:num="1">
            <w:col w:w="10760"/>
          </w:cols>
          <w:pgMar w:left="900" w:top="852" w:right="580" w:bottom="0" w:gutter="0" w:footer="0" w:header="0"/>
          <w:type w:val="continuous"/>
        </w:sectPr>
      </w:pPr>
    </w:p>
    <w:bookmarkStart w:id="53" w:name="page54"/>
    <w:bookmarkEnd w:id="53"/>
    <w:p>
      <w:pPr>
        <w:ind w:left="320" w:right="40"/>
        <w:spacing w:after="0" w:line="381" w:lineRule="auto"/>
        <w:rPr>
          <w:sz w:val="20"/>
          <w:szCs w:val="20"/>
          <w:color w:val="auto"/>
        </w:rPr>
      </w:pPr>
      <w:r>
        <w:rPr>
          <w:rFonts w:ascii="Times New Roman" w:cs="Times New Roman" w:eastAsia="Times New Roman" w:hAnsi="Times New Roman"/>
          <w:sz w:val="18"/>
          <w:szCs w:val="18"/>
          <w:color w:val="auto"/>
        </w:rPr>
        <w:t>Achievement at threshold performance yields 50% of the target award and achievement of the maximum performance yields another 100% of the target award. Actual performance is compared to the established threshold, target, or maximum, as applicable, for an applicable performance objective, and linear interpolation is used to determine any pro rata portion of such award.</w:t>
      </w:r>
    </w:p>
    <w:p>
      <w:pPr>
        <w:spacing w:after="0" w:line="34" w:lineRule="exact"/>
        <w:rPr>
          <w:sz w:val="20"/>
          <w:szCs w:val="20"/>
          <w:color w:val="auto"/>
        </w:rPr>
      </w:pPr>
    </w:p>
    <w:p>
      <w:pPr>
        <w:ind w:left="320" w:right="100"/>
        <w:spacing w:after="0" w:line="363" w:lineRule="auto"/>
        <w:rPr>
          <w:sz w:val="20"/>
          <w:szCs w:val="20"/>
          <w:color w:val="auto"/>
        </w:rPr>
      </w:pPr>
      <w:r>
        <w:rPr>
          <w:rFonts w:ascii="Times New Roman" w:cs="Times New Roman" w:eastAsia="Times New Roman" w:hAnsi="Times New Roman"/>
          <w:sz w:val="18"/>
          <w:szCs w:val="18"/>
          <w:color w:val="auto"/>
        </w:rPr>
        <w:t>Seventy percent (70%) of the total value of the target long-term incentive opportunity is delivered through performance share awards (“PSAs”) and the other thirty percent (30%) through restricted stock (“RS”). Both PSAs and RS are forms of performance-based incentive compensation because PSAs involve performance objectives that provide direct alignment with shareholder interests and the value of RS fluctuates based on stock price performance.</w:t>
      </w:r>
    </w:p>
    <w:p>
      <w:pPr>
        <w:spacing w:after="0" w:line="48" w:lineRule="exact"/>
        <w:rPr>
          <w:sz w:val="20"/>
          <w:szCs w:val="20"/>
          <w:color w:val="auto"/>
        </w:rPr>
      </w:pPr>
    </w:p>
    <w:p>
      <w:pPr>
        <w:ind w:left="320" w:right="340"/>
        <w:spacing w:after="0" w:line="381" w:lineRule="auto"/>
        <w:rPr>
          <w:sz w:val="20"/>
          <w:szCs w:val="20"/>
          <w:color w:val="auto"/>
        </w:rPr>
      </w:pPr>
      <w:r>
        <w:rPr>
          <w:rFonts w:ascii="Times New Roman" w:cs="Times New Roman" w:eastAsia="Times New Roman" w:hAnsi="Times New Roman"/>
          <w:sz w:val="18"/>
          <w:szCs w:val="18"/>
          <w:color w:val="auto"/>
        </w:rPr>
        <w:t>In addition to requiring achievement of performance objectives in respect of PSAs, PSAs and RS require the executive officers to remain employed with the Company for three years from the grant date (unless the executive officer attains retirement age, departs for good reason, dies, or becomes disabled or a change in control occurs whereby an award may be paid or partially paid).</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Performance Shares for 2024-2026 Performance Period</w:t>
      </w:r>
    </w:p>
    <w:p>
      <w:pPr>
        <w:spacing w:after="0" w:line="191" w:lineRule="exact"/>
        <w:rPr>
          <w:sz w:val="20"/>
          <w:szCs w:val="20"/>
          <w:color w:val="auto"/>
        </w:rPr>
      </w:pPr>
    </w:p>
    <w:p>
      <w:pPr>
        <w:ind w:left="320" w:right="100"/>
        <w:spacing w:after="0" w:line="366" w:lineRule="auto"/>
        <w:rPr>
          <w:sz w:val="20"/>
          <w:szCs w:val="20"/>
          <w:color w:val="auto"/>
        </w:rPr>
      </w:pPr>
      <w:r>
        <w:rPr>
          <w:rFonts w:ascii="Times New Roman" w:cs="Times New Roman" w:eastAsia="Times New Roman" w:hAnsi="Times New Roman"/>
          <w:sz w:val="17"/>
          <w:szCs w:val="17"/>
          <w:color w:val="auto"/>
        </w:rPr>
        <w:t>The Long-Term Plan is designed to provide PSAs for officers, including our named executive officers. PSAs are tied to the achievement of two performance objectives, each weighted equally: earnings before interest, taxes, depreciation and amortization (EBITDA) and return on invested capital (ROIC), in each case adjusted and calculated as determined by the Compensation Committee. Each performance objective is based on a three-year performance period (2024-2026) with a performance range that can result in PSAs of 50% of target for achieving threshold and 200% of the target opportunity for achieving maximum. The targets for EBITDA and ROIC for 2024-2026 were established by the Compensation Committee as it has done in the past. For the 2024-2026 performance period, ± 20% of target is being used for determining thresholds and maximums, which is consistent with performance periods that began in 2021 and prior, for similar reasons as noted with respect to the Annual Plan.</w:t>
      </w:r>
    </w:p>
    <w:p>
      <w:pPr>
        <w:spacing w:after="0" w:line="54" w:lineRule="exact"/>
        <w:rPr>
          <w:sz w:val="20"/>
          <w:szCs w:val="20"/>
          <w:color w:val="auto"/>
        </w:rPr>
      </w:pPr>
    </w:p>
    <w:p>
      <w:pPr>
        <w:ind w:left="320" w:right="40"/>
        <w:spacing w:after="0" w:line="352" w:lineRule="auto"/>
        <w:rPr>
          <w:sz w:val="20"/>
          <w:szCs w:val="20"/>
          <w:color w:val="auto"/>
        </w:rPr>
      </w:pPr>
      <w:r>
        <w:rPr>
          <w:rFonts w:ascii="Times New Roman" w:cs="Times New Roman" w:eastAsia="Times New Roman" w:hAnsi="Times New Roman"/>
          <w:sz w:val="18"/>
          <w:szCs w:val="18"/>
          <w:color w:val="auto"/>
        </w:rPr>
        <w:t>EBITDA drives the ability to commit resources to continued growth, but is also a measure of ability to provide shareholder return. It also drives profitable sales growth and optimizes the Company’s cost structure. ROIC ensures management uses the Company’s capital in an effective manner that drives shareholder value. Since the value of PSAs is tied to the Company’s actual performance in financial objectives, it aligns the officers’ interests with those of shareholders. The target opportunities of PSAs awarded in 2024 for the named executive officers are shown in the table below:</w:t>
      </w:r>
    </w:p>
    <w:p>
      <w:pPr>
        <w:spacing w:after="0" w:line="110"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6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PSAs Awarded in 2024 (Target) for 2024–2026</w:t>
            </w:r>
          </w:p>
        </w:tc>
      </w:tr>
      <w:tr>
        <w:trPr>
          <w:trHeight w:val="345"/>
        </w:trPr>
        <w:tc>
          <w:tcPr>
            <w:tcW w:w="37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Steve Downing</w:t>
            </w:r>
          </w:p>
        </w:tc>
        <w:tc>
          <w:tcPr>
            <w:tcW w:w="6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68,016</w:t>
            </w:r>
          </w:p>
        </w:tc>
      </w:tr>
      <w:tr>
        <w:trPr>
          <w:trHeight w:val="340"/>
        </w:trPr>
        <w:tc>
          <w:tcPr>
            <w:tcW w:w="37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Neil Boehm</w:t>
            </w:r>
          </w:p>
        </w:tc>
        <w:tc>
          <w:tcPr>
            <w:tcW w:w="6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22,109</w:t>
            </w:r>
          </w:p>
        </w:tc>
      </w:tr>
      <w:tr>
        <w:trPr>
          <w:trHeight w:val="340"/>
        </w:trPr>
        <w:tc>
          <w:tcPr>
            <w:tcW w:w="37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Kevin Nash</w:t>
            </w:r>
          </w:p>
        </w:tc>
        <w:tc>
          <w:tcPr>
            <w:tcW w:w="6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21,340</w:t>
            </w:r>
          </w:p>
        </w:tc>
      </w:tr>
      <w:tr>
        <w:trPr>
          <w:trHeight w:val="340"/>
        </w:trPr>
        <w:tc>
          <w:tcPr>
            <w:tcW w:w="37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Matt Chiodo</w:t>
            </w:r>
          </w:p>
        </w:tc>
        <w:tc>
          <w:tcPr>
            <w:tcW w:w="6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15,464</w:t>
            </w:r>
          </w:p>
        </w:tc>
      </w:tr>
      <w:tr>
        <w:trPr>
          <w:trHeight w:val="36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Scott Ryan</w:t>
            </w:r>
          </w:p>
        </w:tc>
        <w:tc>
          <w:tcPr>
            <w:tcW w:w="6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14,175</w:t>
            </w:r>
          </w:p>
        </w:tc>
      </w:tr>
    </w:tbl>
    <w:p>
      <w:pPr>
        <w:spacing w:after="0" w:line="309"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Restricted Stock Awards for 2024-2026 Performance Period</w:t>
      </w:r>
    </w:p>
    <w:p>
      <w:pPr>
        <w:spacing w:after="0" w:line="173" w:lineRule="exact"/>
        <w:rPr>
          <w:sz w:val="20"/>
          <w:szCs w:val="20"/>
          <w:color w:val="auto"/>
        </w:rPr>
      </w:pPr>
    </w:p>
    <w:p>
      <w:pPr>
        <w:ind w:left="320" w:right="20"/>
        <w:spacing w:after="0" w:line="362" w:lineRule="auto"/>
        <w:rPr>
          <w:sz w:val="20"/>
          <w:szCs w:val="20"/>
          <w:color w:val="auto"/>
        </w:rPr>
      </w:pPr>
      <w:r>
        <w:rPr>
          <w:rFonts w:ascii="Times New Roman" w:cs="Times New Roman" w:eastAsia="Times New Roman" w:hAnsi="Times New Roman"/>
          <w:sz w:val="18"/>
          <w:szCs w:val="18"/>
          <w:color w:val="auto"/>
        </w:rPr>
        <w:t>The other 30% of the total value of the long-term incentive opportunity consists of RS awards. RS incentivizes and rewards executives for improving long-term stock value and serves as a retention tool. Under the Long-Term Plan, RS will generally be granted in February to officers, including our named executive officers, and cliff vest on the third anniversary of the grant. The RS awarded in 2024, based on the target opportunities, for the named executive officers are shown in the table below:</w:t>
      </w:r>
    </w:p>
    <w:p>
      <w:pPr>
        <w:spacing w:after="0" w:line="97" w:lineRule="exact"/>
        <w:rPr>
          <w:sz w:val="20"/>
          <w:szCs w:val="20"/>
          <w:color w:val="auto"/>
        </w:rPr>
      </w:pPr>
    </w:p>
    <w:tbl>
      <w:tblPr>
        <w:tblLayout w:type="fixed"/>
        <w:tblInd w:w="320" w:type="dxa"/>
        <w:tblCellMar>
          <w:top w:w="0" w:type="dxa"/>
          <w:left w:w="0" w:type="dxa"/>
          <w:bottom w:w="0" w:type="dxa"/>
          <w:right w:w="0" w:type="dxa"/>
        </w:tblCellMar>
      </w:tblPr>
      <w:tr>
        <w:trPr>
          <w:trHeight w:val="290"/>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6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RS Awarded in 2024 for 2024-2026</w:t>
            </w:r>
          </w:p>
        </w:tc>
      </w:tr>
      <w:tr>
        <w:trPr>
          <w:trHeight w:val="340"/>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Steve Downing</w:t>
            </w:r>
          </w:p>
        </w:tc>
        <w:tc>
          <w:tcPr>
            <w:tcW w:w="6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29,150</w:t>
            </w:r>
          </w:p>
        </w:tc>
      </w:tr>
      <w:tr>
        <w:trPr>
          <w:trHeight w:val="340"/>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Neil Boehm</w:t>
            </w:r>
          </w:p>
        </w:tc>
        <w:tc>
          <w:tcPr>
            <w:tcW w:w="6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9,476</w:t>
            </w:r>
          </w:p>
        </w:tc>
      </w:tr>
      <w:tr>
        <w:trPr>
          <w:trHeight w:val="340"/>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Kevin Nash</w:t>
            </w:r>
          </w:p>
        </w:tc>
        <w:tc>
          <w:tcPr>
            <w:tcW w:w="6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9,146</w:t>
            </w:r>
          </w:p>
        </w:tc>
      </w:tr>
      <w:tr>
        <w:trPr>
          <w:trHeight w:val="340"/>
        </w:trPr>
        <w:tc>
          <w:tcPr>
            <w:tcW w:w="41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Matt Chiodo</w:t>
            </w:r>
          </w:p>
        </w:tc>
        <w:tc>
          <w:tcPr>
            <w:tcW w:w="6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6,628</w:t>
            </w:r>
          </w:p>
        </w:tc>
      </w:tr>
      <w:tr>
        <w:trPr>
          <w:trHeight w:val="36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Scott Ryan</w:t>
            </w:r>
          </w:p>
        </w:tc>
        <w:tc>
          <w:tcPr>
            <w:tcW w:w="6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r>
    </w:tbl>
    <w:p>
      <w:pPr>
        <w:spacing w:after="0" w:line="200" w:lineRule="exact"/>
        <w:rPr>
          <w:sz w:val="20"/>
          <w:szCs w:val="20"/>
          <w:color w:val="auto"/>
        </w:rPr>
      </w:pPr>
    </w:p>
    <w:p>
      <w:pPr>
        <w:sectPr>
          <w:pgSz w:w="12240" w:h="15840" w:orient="portrait"/>
          <w:cols w:equalWidth="0" w:num="1">
            <w:col w:w="10760"/>
          </w:cols>
          <w:pgMar w:left="580" w:top="852" w:right="900" w:bottom="0" w:gutter="0" w:footer="0" w:header="0"/>
        </w:sectPr>
      </w:pPr>
    </w:p>
    <w:p>
      <w:pPr>
        <w:spacing w:after="0" w:line="105"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54</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2" w:right="900" w:bottom="0" w:gutter="0" w:footer="0" w:header="0"/>
          <w:type w:val="continuous"/>
        </w:sectPr>
      </w:pPr>
    </w:p>
    <w:bookmarkStart w:id="54" w:name="page55"/>
    <w:bookmarkEnd w:id="54"/>
    <w:p>
      <w:pPr>
        <w:spacing w:after="0"/>
        <w:rPr>
          <w:sz w:val="20"/>
          <w:szCs w:val="20"/>
          <w:color w:val="auto"/>
        </w:rPr>
      </w:pPr>
      <w:r>
        <w:rPr>
          <w:rFonts w:ascii="Arial" w:cs="Arial" w:eastAsia="Arial" w:hAnsi="Arial"/>
          <w:sz w:val="22"/>
          <w:szCs w:val="22"/>
          <w:b w:val="1"/>
          <w:bCs w:val="1"/>
          <w:color w:val="4CA5CD"/>
        </w:rPr>
        <w:t>2021-2023 Long-Term Plan Performance (three-year performance period ending December 31, 2023)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marked the end of the three-year performance period for PSA and RS Long-Term Plan awards made in February 2021.</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Performance Share Awards</w:t>
      </w:r>
    </w:p>
    <w:p>
      <w:pPr>
        <w:spacing w:after="0" w:line="173" w:lineRule="exact"/>
        <w:rPr>
          <w:sz w:val="20"/>
          <w:szCs w:val="20"/>
          <w:color w:val="auto"/>
        </w:rPr>
      </w:pPr>
    </w:p>
    <w:p>
      <w:pPr>
        <w:ind w:right="340"/>
        <w:spacing w:after="0" w:line="347" w:lineRule="auto"/>
        <w:rPr>
          <w:sz w:val="20"/>
          <w:szCs w:val="20"/>
          <w:color w:val="auto"/>
        </w:rPr>
      </w:pPr>
      <w:r>
        <w:rPr>
          <w:rFonts w:ascii="Times New Roman" w:cs="Times New Roman" w:eastAsia="Times New Roman" w:hAnsi="Times New Roman"/>
          <w:sz w:val="18"/>
          <w:szCs w:val="18"/>
          <w:color w:val="auto"/>
        </w:rPr>
        <w:t>The performance metrics, targets and performance payout ranges for these awards were set and approved by the Compensation Committee and the Board in February 2021. Consistent with the Long-Term Plan, incentive could be earned by the officers based on performance associated with two equally weighted metrics, EBITDA and ROIC, in each case adjusted as determined by the Compensation Committee, both measured cumulatively over the three-year performance period. The target levels of achievement for the EBITDA and the ROIC were established to align with financial goals set at the beginning of the three-year performance period for the years 2021 through 2023. The table below summarizes the results of the 2021-2023 performance period relative to target and the achievement level of the 2021-2023 PSAs:.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2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34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2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8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178"/>
        </w:trPr>
        <w:tc>
          <w:tcPr>
            <w:tcW w:w="18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Performance*</w:t>
            </w: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 Target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18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EBITDA</w:t>
            </w:r>
          </w:p>
        </w:tc>
        <w:tc>
          <w:tcPr>
            <w:tcW w:w="9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1,620,110</w:t>
            </w:r>
          </w:p>
        </w:tc>
        <w:tc>
          <w:tcPr>
            <w:tcW w:w="34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2,025,137</w:t>
            </w:r>
          </w:p>
        </w:tc>
        <w:tc>
          <w:tcPr>
            <w:tcW w:w="28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2,430,164</w:t>
            </w:r>
          </w:p>
        </w:tc>
        <w:tc>
          <w:tcPr>
            <w:tcW w:w="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808080"/>
            </w:tcBorders>
          </w:tcPr>
          <w:p>
            <w:pPr>
              <w:jc w:val="right"/>
              <w:ind w:right="70"/>
              <w:spacing w:after="0"/>
              <w:rPr>
                <w:sz w:val="20"/>
                <w:szCs w:val="20"/>
                <w:color w:val="auto"/>
              </w:rPr>
            </w:pPr>
            <w:r>
              <w:rPr>
                <w:rFonts w:ascii="Times New Roman" w:cs="Times New Roman" w:eastAsia="Times New Roman" w:hAnsi="Times New Roman"/>
                <w:sz w:val="18"/>
                <w:szCs w:val="18"/>
                <w:color w:val="auto"/>
              </w:rPr>
              <w:t>1,535,931</w:t>
            </w:r>
          </w:p>
        </w:tc>
        <w:tc>
          <w:tcPr>
            <w:tcW w:w="12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35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ROIC</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8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37.12%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180" w:right="540" w:hanging="178"/>
        <w:spacing w:after="0" w:line="377" w:lineRule="auto"/>
        <w:tabs>
          <w:tab w:leader="none" w:pos="180" w:val="left"/>
        </w:tabs>
        <w:numPr>
          <w:ilvl w:val="0"/>
          <w:numId w:val="11"/>
        </w:numPr>
        <w:rPr>
          <w:rFonts w:ascii="Times New Roman" w:cs="Times New Roman" w:eastAsia="Times New Roman" w:hAnsi="Times New Roman"/>
          <w:sz w:val="14"/>
          <w:szCs w:val="14"/>
          <w:color w:val="808080"/>
        </w:rPr>
      </w:pPr>
      <w:r>
        <w:rPr>
          <w:rFonts w:ascii="Times New Roman" w:cs="Times New Roman" w:eastAsia="Times New Roman" w:hAnsi="Times New Roman"/>
          <w:sz w:val="14"/>
          <w:szCs w:val="14"/>
          <w:color w:val="808080"/>
        </w:rPr>
        <w:t>Amounts in thousands (000) except percentages. Threshold, Target, and Maximum for EBITDA and ROIC were adjusted to address the estimated impact of tariffs and the Actual Performance was similarly adjusted with respect to the actual impact of tariffs.</w:t>
      </w:r>
    </w:p>
    <w:p>
      <w:pPr>
        <w:spacing w:after="0" w:line="92" w:lineRule="exact"/>
        <w:rPr>
          <w:sz w:val="20"/>
          <w:szCs w:val="20"/>
          <w:color w:val="auto"/>
        </w:rPr>
      </w:pPr>
    </w:p>
    <w:p>
      <w:pPr>
        <w:jc w:val="both"/>
        <w:ind w:right="880"/>
        <w:spacing w:after="0" w:line="381" w:lineRule="auto"/>
        <w:rPr>
          <w:sz w:val="20"/>
          <w:szCs w:val="20"/>
          <w:color w:val="auto"/>
        </w:rPr>
      </w:pPr>
      <w:r>
        <w:rPr>
          <w:rFonts w:ascii="Times New Roman" w:cs="Times New Roman" w:eastAsia="Times New Roman" w:hAnsi="Times New Roman"/>
          <w:sz w:val="18"/>
          <w:szCs w:val="18"/>
          <w:color w:val="auto"/>
        </w:rPr>
        <w:t>The PSAs awarded in February 2021, based on target opportunity, along with the actual payout of PSAs to the executive officers, for the 2021-2023 performance period are reflected in the table below and include additional shares awarded for dividend equivalents assuming reinvestment of dividends.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492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Number of PSAs Awarded in 2021</w:t>
            </w:r>
          </w:p>
        </w:tc>
        <w:tc>
          <w:tcPr>
            <w:tcW w:w="2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2021-2023 PSAs Payout</w:t>
            </w:r>
          </w:p>
        </w:tc>
        <w:tc>
          <w:tcPr>
            <w:tcW w:w="0" w:type="dxa"/>
            <w:vAlign w:val="bottom"/>
          </w:tcPr>
          <w:p>
            <w:pPr>
              <w:spacing w:after="0"/>
              <w:rPr>
                <w:sz w:val="1"/>
                <w:szCs w:val="1"/>
                <w:color w:val="auto"/>
              </w:rPr>
            </w:pPr>
          </w:p>
        </w:tc>
      </w:tr>
      <w:tr>
        <w:trPr>
          <w:trHeight w:val="302"/>
        </w:trPr>
        <w:tc>
          <w:tcPr>
            <w:tcW w:w="2860" w:type="dxa"/>
            <w:vAlign w:val="bottom"/>
            <w:vMerge w:val="continue"/>
          </w:tcPr>
          <w:p>
            <w:pPr>
              <w:spacing w:after="0"/>
              <w:rPr>
                <w:sz w:val="24"/>
                <w:szCs w:val="24"/>
                <w:color w:val="auto"/>
              </w:rPr>
            </w:pPr>
          </w:p>
        </w:tc>
        <w:tc>
          <w:tcPr>
            <w:tcW w:w="492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(Target) for 2021-2023</w:t>
            </w:r>
          </w:p>
        </w:tc>
        <w:tc>
          <w:tcPr>
            <w:tcW w:w="2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8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Steve Downing</w:t>
            </w:r>
          </w:p>
        </w:tc>
        <w:tc>
          <w:tcPr>
            <w:tcW w:w="4920" w:type="dxa"/>
            <w:vAlign w:val="bottom"/>
            <w:tcBorders>
              <w:bottom w:val="single" w:sz="8" w:color="808080"/>
            </w:tcBorders>
          </w:tcPr>
          <w:p>
            <w:pPr>
              <w:jc w:val="right"/>
              <w:ind w:right="750"/>
              <w:spacing w:after="0"/>
              <w:rPr>
                <w:sz w:val="20"/>
                <w:szCs w:val="20"/>
                <w:color w:val="auto"/>
              </w:rPr>
            </w:pPr>
            <w:r>
              <w:rPr>
                <w:rFonts w:ascii="Times New Roman" w:cs="Times New Roman" w:eastAsia="Times New Roman" w:hAnsi="Times New Roman"/>
                <w:sz w:val="18"/>
                <w:szCs w:val="18"/>
                <w:color w:val="auto"/>
              </w:rPr>
              <w:t>42,762</w:t>
            </w:r>
          </w:p>
        </w:tc>
        <w:tc>
          <w:tcPr>
            <w:tcW w:w="2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25,203</w:t>
            </w:r>
          </w:p>
        </w:tc>
        <w:tc>
          <w:tcPr>
            <w:tcW w:w="0" w:type="dxa"/>
            <w:vAlign w:val="bottom"/>
          </w:tcPr>
          <w:p>
            <w:pPr>
              <w:spacing w:after="0"/>
              <w:rPr>
                <w:sz w:val="1"/>
                <w:szCs w:val="1"/>
                <w:color w:val="auto"/>
              </w:rPr>
            </w:pPr>
          </w:p>
        </w:tc>
      </w:tr>
      <w:tr>
        <w:trPr>
          <w:trHeight w:val="340"/>
        </w:trPr>
        <w:tc>
          <w:tcPr>
            <w:tcW w:w="28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Neil Boehm</w:t>
            </w:r>
          </w:p>
        </w:tc>
        <w:tc>
          <w:tcPr>
            <w:tcW w:w="4920" w:type="dxa"/>
            <w:vAlign w:val="bottom"/>
            <w:tcBorders>
              <w:bottom w:val="single" w:sz="8" w:color="808080"/>
            </w:tcBorders>
          </w:tcPr>
          <w:p>
            <w:pPr>
              <w:jc w:val="right"/>
              <w:ind w:right="750"/>
              <w:spacing w:after="0"/>
              <w:rPr>
                <w:sz w:val="20"/>
                <w:szCs w:val="20"/>
                <w:color w:val="auto"/>
              </w:rPr>
            </w:pPr>
            <w:r>
              <w:rPr>
                <w:rFonts w:ascii="Times New Roman" w:cs="Times New Roman" w:eastAsia="Times New Roman" w:hAnsi="Times New Roman"/>
                <w:sz w:val="18"/>
                <w:szCs w:val="18"/>
                <w:color w:val="auto"/>
              </w:rPr>
              <w:t>14,081</w:t>
            </w:r>
          </w:p>
        </w:tc>
        <w:tc>
          <w:tcPr>
            <w:tcW w:w="2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0" w:type="dxa"/>
            <w:vAlign w:val="bottom"/>
          </w:tcPr>
          <w:p>
            <w:pPr>
              <w:spacing w:after="0"/>
              <w:rPr>
                <w:sz w:val="1"/>
                <w:szCs w:val="1"/>
                <w:color w:val="auto"/>
              </w:rPr>
            </w:pPr>
          </w:p>
        </w:tc>
      </w:tr>
      <w:tr>
        <w:trPr>
          <w:trHeight w:val="340"/>
        </w:trPr>
        <w:tc>
          <w:tcPr>
            <w:tcW w:w="28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Kevin Nash</w:t>
            </w:r>
          </w:p>
        </w:tc>
        <w:tc>
          <w:tcPr>
            <w:tcW w:w="4920" w:type="dxa"/>
            <w:vAlign w:val="bottom"/>
            <w:tcBorders>
              <w:bottom w:val="single" w:sz="8" w:color="808080"/>
            </w:tcBorders>
          </w:tcPr>
          <w:p>
            <w:pPr>
              <w:jc w:val="right"/>
              <w:ind w:right="750"/>
              <w:spacing w:after="0"/>
              <w:rPr>
                <w:sz w:val="20"/>
                <w:szCs w:val="20"/>
                <w:color w:val="auto"/>
              </w:rPr>
            </w:pPr>
            <w:r>
              <w:rPr>
                <w:rFonts w:ascii="Times New Roman" w:cs="Times New Roman" w:eastAsia="Times New Roman" w:hAnsi="Times New Roman"/>
                <w:sz w:val="18"/>
                <w:szCs w:val="18"/>
                <w:color w:val="auto"/>
              </w:rPr>
              <w:t>12,916</w:t>
            </w:r>
          </w:p>
        </w:tc>
        <w:tc>
          <w:tcPr>
            <w:tcW w:w="2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0" w:type="dxa"/>
            <w:vAlign w:val="bottom"/>
          </w:tcPr>
          <w:p>
            <w:pPr>
              <w:spacing w:after="0"/>
              <w:rPr>
                <w:sz w:val="1"/>
                <w:szCs w:val="1"/>
                <w:color w:val="auto"/>
              </w:rPr>
            </w:pPr>
          </w:p>
        </w:tc>
      </w:tr>
      <w:tr>
        <w:trPr>
          <w:trHeight w:val="340"/>
        </w:trPr>
        <w:tc>
          <w:tcPr>
            <w:tcW w:w="28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Matt Chiodo</w:t>
            </w:r>
          </w:p>
        </w:tc>
        <w:tc>
          <w:tcPr>
            <w:tcW w:w="4920" w:type="dxa"/>
            <w:vAlign w:val="bottom"/>
            <w:tcBorders>
              <w:bottom w:val="single" w:sz="8" w:color="808080"/>
            </w:tcBorders>
          </w:tcPr>
          <w:p>
            <w:pPr>
              <w:jc w:val="right"/>
              <w:ind w:right="750"/>
              <w:spacing w:after="0"/>
              <w:rPr>
                <w:sz w:val="20"/>
                <w:szCs w:val="20"/>
                <w:color w:val="auto"/>
              </w:rPr>
            </w:pPr>
            <w:r>
              <w:rPr>
                <w:rFonts w:ascii="Times New Roman" w:cs="Times New Roman" w:eastAsia="Times New Roman" w:hAnsi="Times New Roman"/>
                <w:sz w:val="18"/>
                <w:szCs w:val="18"/>
                <w:color w:val="auto"/>
              </w:rPr>
              <w:t>11,394</w:t>
            </w:r>
          </w:p>
        </w:tc>
        <w:tc>
          <w:tcPr>
            <w:tcW w:w="2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0" w:type="dxa"/>
            <w:vAlign w:val="bottom"/>
          </w:tcPr>
          <w:p>
            <w:pPr>
              <w:spacing w:after="0"/>
              <w:rPr>
                <w:sz w:val="1"/>
                <w:szCs w:val="1"/>
                <w:color w:val="auto"/>
              </w:rPr>
            </w:pPr>
          </w:p>
        </w:tc>
      </w:tr>
      <w:tr>
        <w:trPr>
          <w:trHeight w:val="36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Scott Ryan</w:t>
            </w:r>
          </w:p>
        </w:tc>
        <w:tc>
          <w:tcPr>
            <w:tcW w:w="4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10,091</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Restricted Stock</w:t>
      </w:r>
    </w:p>
    <w:p>
      <w:pPr>
        <w:spacing w:after="0" w:line="173" w:lineRule="exact"/>
        <w:rPr>
          <w:sz w:val="20"/>
          <w:szCs w:val="20"/>
          <w:color w:val="auto"/>
        </w:rPr>
      </w:pPr>
    </w:p>
    <w:p>
      <w:pPr>
        <w:ind w:right="640"/>
        <w:spacing w:after="0" w:line="435" w:lineRule="auto"/>
        <w:rPr>
          <w:sz w:val="20"/>
          <w:szCs w:val="20"/>
          <w:color w:val="auto"/>
        </w:rPr>
      </w:pPr>
      <w:r>
        <w:rPr>
          <w:rFonts w:ascii="Times New Roman" w:cs="Times New Roman" w:eastAsia="Times New Roman" w:hAnsi="Times New Roman"/>
          <w:sz w:val="18"/>
          <w:szCs w:val="18"/>
          <w:color w:val="auto"/>
        </w:rPr>
        <w:t>The RS awarded in February 2021, based on target opportunities, along with the actual payment of RS to executive officers, awarded for the 2021-2023 period are reflected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46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Number of RS Awarded in 2020</w:t>
            </w:r>
          </w:p>
        </w:tc>
        <w:tc>
          <w:tcPr>
            <w:tcW w:w="2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2021-2023 RS Payout/Vesting</w:t>
            </w:r>
          </w:p>
        </w:tc>
        <w:tc>
          <w:tcPr>
            <w:tcW w:w="0" w:type="dxa"/>
            <w:vAlign w:val="bottom"/>
          </w:tcPr>
          <w:p>
            <w:pPr>
              <w:spacing w:after="0"/>
              <w:rPr>
                <w:sz w:val="1"/>
                <w:szCs w:val="1"/>
                <w:color w:val="auto"/>
              </w:rPr>
            </w:pPr>
          </w:p>
        </w:tc>
      </w:tr>
      <w:tr>
        <w:trPr>
          <w:trHeight w:val="304"/>
        </w:trPr>
        <w:tc>
          <w:tcPr>
            <w:tcW w:w="2940" w:type="dxa"/>
            <w:vAlign w:val="bottom"/>
            <w:vMerge w:val="continue"/>
          </w:tcPr>
          <w:p>
            <w:pPr>
              <w:spacing w:after="0"/>
              <w:rPr>
                <w:sz w:val="24"/>
                <w:szCs w:val="24"/>
                <w:color w:val="auto"/>
              </w:rPr>
            </w:pPr>
          </w:p>
        </w:tc>
        <w:tc>
          <w:tcPr>
            <w:tcW w:w="46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(Target) for 2021-2023</w:t>
            </w:r>
          </w:p>
        </w:tc>
        <w:tc>
          <w:tcPr>
            <w:tcW w:w="2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Steve Downing</w:t>
            </w:r>
          </w:p>
        </w:tc>
        <w:tc>
          <w:tcPr>
            <w:tcW w:w="4620" w:type="dxa"/>
            <w:vAlign w:val="bottom"/>
            <w:tcBorders>
              <w:bottom w:val="single" w:sz="8" w:color="808080"/>
            </w:tcBorders>
          </w:tcPr>
          <w:p>
            <w:pPr>
              <w:jc w:val="right"/>
              <w:ind w:right="530"/>
              <w:spacing w:after="0"/>
              <w:rPr>
                <w:sz w:val="20"/>
                <w:szCs w:val="20"/>
                <w:color w:val="auto"/>
              </w:rPr>
            </w:pPr>
            <w:r>
              <w:rPr>
                <w:rFonts w:ascii="Times New Roman" w:cs="Times New Roman" w:eastAsia="Times New Roman" w:hAnsi="Times New Roman"/>
                <w:sz w:val="18"/>
                <w:szCs w:val="18"/>
                <w:color w:val="auto"/>
              </w:rPr>
              <w:t>18,327</w:t>
            </w:r>
          </w:p>
        </w:tc>
        <w:tc>
          <w:tcPr>
            <w:tcW w:w="28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18,327</w:t>
            </w:r>
          </w:p>
        </w:tc>
        <w:tc>
          <w:tcPr>
            <w:tcW w:w="0" w:type="dxa"/>
            <w:vAlign w:val="bottom"/>
          </w:tcPr>
          <w:p>
            <w:pPr>
              <w:spacing w:after="0"/>
              <w:rPr>
                <w:sz w:val="1"/>
                <w:szCs w:val="1"/>
                <w:color w:val="auto"/>
              </w:rPr>
            </w:pPr>
          </w:p>
        </w:tc>
      </w:tr>
      <w:tr>
        <w:trPr>
          <w:trHeight w:val="340"/>
        </w:trPr>
        <w:tc>
          <w:tcPr>
            <w:tcW w:w="2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Neil Boehm</w:t>
            </w:r>
          </w:p>
        </w:tc>
        <w:tc>
          <w:tcPr>
            <w:tcW w:w="4620" w:type="dxa"/>
            <w:vAlign w:val="bottom"/>
            <w:tcBorders>
              <w:bottom w:val="single" w:sz="8" w:color="808080"/>
            </w:tcBorders>
          </w:tcPr>
          <w:p>
            <w:pPr>
              <w:jc w:val="right"/>
              <w:ind w:right="530"/>
              <w:spacing w:after="0"/>
              <w:rPr>
                <w:sz w:val="20"/>
                <w:szCs w:val="20"/>
                <w:color w:val="auto"/>
              </w:rPr>
            </w:pPr>
            <w:r>
              <w:rPr>
                <w:rFonts w:ascii="Times New Roman" w:cs="Times New Roman" w:eastAsia="Times New Roman" w:hAnsi="Times New Roman"/>
                <w:sz w:val="18"/>
                <w:szCs w:val="18"/>
                <w:color w:val="auto"/>
              </w:rPr>
              <w:t>6,456</w:t>
            </w:r>
          </w:p>
        </w:tc>
        <w:tc>
          <w:tcPr>
            <w:tcW w:w="28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0" w:type="dxa"/>
            <w:vAlign w:val="bottom"/>
          </w:tcPr>
          <w:p>
            <w:pPr>
              <w:spacing w:after="0"/>
              <w:rPr>
                <w:sz w:val="1"/>
                <w:szCs w:val="1"/>
                <w:color w:val="auto"/>
              </w:rPr>
            </w:pPr>
          </w:p>
        </w:tc>
      </w:tr>
      <w:tr>
        <w:trPr>
          <w:trHeight w:val="340"/>
        </w:trPr>
        <w:tc>
          <w:tcPr>
            <w:tcW w:w="2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Kevin Nash</w:t>
            </w:r>
          </w:p>
        </w:tc>
        <w:tc>
          <w:tcPr>
            <w:tcW w:w="4620" w:type="dxa"/>
            <w:vAlign w:val="bottom"/>
            <w:tcBorders>
              <w:bottom w:val="single" w:sz="8" w:color="808080"/>
            </w:tcBorders>
          </w:tcPr>
          <w:p>
            <w:pPr>
              <w:jc w:val="right"/>
              <w:ind w:right="530"/>
              <w:spacing w:after="0"/>
              <w:rPr>
                <w:sz w:val="20"/>
                <w:szCs w:val="20"/>
                <w:color w:val="auto"/>
              </w:rPr>
            </w:pPr>
            <w:r>
              <w:rPr>
                <w:rFonts w:ascii="Times New Roman" w:cs="Times New Roman" w:eastAsia="Times New Roman" w:hAnsi="Times New Roman"/>
                <w:sz w:val="18"/>
                <w:szCs w:val="18"/>
                <w:color w:val="auto"/>
              </w:rPr>
              <w:t>6,345</w:t>
            </w:r>
          </w:p>
        </w:tc>
        <w:tc>
          <w:tcPr>
            <w:tcW w:w="28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0" w:type="dxa"/>
            <w:vAlign w:val="bottom"/>
          </w:tcPr>
          <w:p>
            <w:pPr>
              <w:spacing w:after="0"/>
              <w:rPr>
                <w:sz w:val="1"/>
                <w:szCs w:val="1"/>
                <w:color w:val="auto"/>
              </w:rPr>
            </w:pPr>
          </w:p>
        </w:tc>
      </w:tr>
      <w:tr>
        <w:trPr>
          <w:trHeight w:val="340"/>
        </w:trPr>
        <w:tc>
          <w:tcPr>
            <w:tcW w:w="294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Matt Chiodo</w:t>
            </w:r>
          </w:p>
        </w:tc>
        <w:tc>
          <w:tcPr>
            <w:tcW w:w="4620" w:type="dxa"/>
            <w:vAlign w:val="bottom"/>
            <w:tcBorders>
              <w:bottom w:val="single" w:sz="8" w:color="808080"/>
            </w:tcBorders>
          </w:tcPr>
          <w:p>
            <w:pPr>
              <w:jc w:val="right"/>
              <w:ind w:right="530"/>
              <w:spacing w:after="0"/>
              <w:rPr>
                <w:sz w:val="20"/>
                <w:szCs w:val="20"/>
                <w:color w:val="auto"/>
              </w:rPr>
            </w:pPr>
            <w:r>
              <w:rPr>
                <w:rFonts w:ascii="Times New Roman" w:cs="Times New Roman" w:eastAsia="Times New Roman" w:hAnsi="Times New Roman"/>
                <w:sz w:val="18"/>
                <w:szCs w:val="18"/>
                <w:color w:val="auto"/>
              </w:rPr>
              <w:t>6,027</w:t>
            </w:r>
          </w:p>
        </w:tc>
        <w:tc>
          <w:tcPr>
            <w:tcW w:w="28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0" w:type="dxa"/>
            <w:vAlign w:val="bottom"/>
          </w:tcPr>
          <w:p>
            <w:pPr>
              <w:spacing w:after="0"/>
              <w:rPr>
                <w:sz w:val="1"/>
                <w:szCs w:val="1"/>
                <w:color w:val="auto"/>
              </w:rPr>
            </w:pPr>
          </w:p>
        </w:tc>
      </w:tr>
      <w:tr>
        <w:trPr>
          <w:trHeight w:val="35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Scott Ryan</w:t>
            </w:r>
          </w:p>
        </w:tc>
        <w:tc>
          <w:tcPr>
            <w:tcW w:w="4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5,552</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760"/>
        <w:spacing w:after="0" w:line="429" w:lineRule="auto"/>
        <w:rPr>
          <w:sz w:val="20"/>
          <w:szCs w:val="20"/>
          <w:color w:val="auto"/>
        </w:rPr>
      </w:pPr>
      <w:r>
        <w:rPr>
          <w:rFonts w:ascii="Times New Roman" w:cs="Times New Roman" w:eastAsia="Times New Roman" w:hAnsi="Times New Roman"/>
          <w:sz w:val="18"/>
          <w:szCs w:val="18"/>
          <w:color w:val="auto"/>
        </w:rPr>
        <w:t>Since each executive officer awarded restricted stock in 2021 remained employed by the Company for three years from the grant date, each restricted stock awarded vested with such executive officers.</w:t>
      </w:r>
    </w:p>
    <w:p>
      <w:pPr>
        <w:ind w:right="920"/>
        <w:spacing w:after="0" w:line="439" w:lineRule="auto"/>
        <w:rPr>
          <w:sz w:val="20"/>
          <w:szCs w:val="20"/>
          <w:color w:val="auto"/>
        </w:rPr>
      </w:pPr>
      <w:r>
        <w:rPr>
          <w:rFonts w:ascii="Times New Roman" w:cs="Times New Roman" w:eastAsia="Times New Roman" w:hAnsi="Times New Roman"/>
          <w:sz w:val="18"/>
          <w:szCs w:val="18"/>
          <w:color w:val="auto"/>
        </w:rPr>
        <w:t>The Board also approved an increase in the annual retainer paid to all directors who are not an employee of the Company in the amount of $10,000 (going from $80,000 to $90,000), though all other Board compensation remained the same.</w:t>
      </w:r>
    </w:p>
    <w:p>
      <w:pPr>
        <w:sectPr>
          <w:pgSz w:w="12240" w:h="15840" w:orient="portrait"/>
          <w:cols w:equalWidth="0" w:num="1">
            <w:col w:w="10760"/>
          </w:cols>
          <w:pgMar w:left="900" w:top="830" w:right="580" w:bottom="0" w:gutter="0" w:footer="0" w:header="0"/>
        </w:sectPr>
      </w:pPr>
    </w:p>
    <w:p>
      <w:pPr>
        <w:spacing w:after="0" w:line="355"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55</w:t>
      </w:r>
    </w:p>
    <w:p>
      <w:pPr>
        <w:sectPr>
          <w:pgSz w:w="12240" w:h="15840" w:orient="portrait"/>
          <w:cols w:equalWidth="0" w:num="1">
            <w:col w:w="10760"/>
          </w:cols>
          <w:pgMar w:left="900" w:top="830" w:right="580" w:bottom="0" w:gutter="0" w:footer="0" w:header="0"/>
          <w:type w:val="continuous"/>
        </w:sectPr>
      </w:pPr>
    </w:p>
    <w:bookmarkStart w:id="55" w:name="page56"/>
    <w:bookmarkEnd w:id="55"/>
    <w:p>
      <w:pPr>
        <w:ind w:left="320" w:right="600"/>
        <w:spacing w:after="0" w:line="237" w:lineRule="auto"/>
        <w:rPr>
          <w:sz w:val="20"/>
          <w:szCs w:val="20"/>
          <w:color w:val="auto"/>
        </w:rPr>
      </w:pPr>
      <w:r>
        <w:rPr>
          <w:rFonts w:ascii="Arial" w:cs="Arial" w:eastAsia="Arial" w:hAnsi="Arial"/>
          <w:sz w:val="32"/>
          <w:szCs w:val="32"/>
          <w:color w:val="808080"/>
        </w:rPr>
        <w:t xml:space="preserve">Item 12. </w:t>
      </w:r>
      <w:r>
        <w:rPr>
          <w:rFonts w:ascii="Arial" w:cs="Arial" w:eastAsia="Arial" w:hAnsi="Arial"/>
          <w:sz w:val="32"/>
          <w:szCs w:val="32"/>
          <w:color w:val="000000"/>
        </w:rPr>
        <w:t>Security Ownership of Certain Beneficial Owners and Management and Related</w:t>
      </w:r>
      <w:r>
        <w:rPr>
          <w:rFonts w:ascii="Arial" w:cs="Arial" w:eastAsia="Arial" w:hAnsi="Arial"/>
          <w:sz w:val="32"/>
          <w:szCs w:val="32"/>
          <w:color w:val="808080"/>
        </w:rPr>
        <w:t xml:space="preserve"> </w:t>
      </w:r>
      <w:r>
        <w:rPr>
          <w:rFonts w:ascii="Arial" w:cs="Arial" w:eastAsia="Arial" w:hAnsi="Arial"/>
          <w:sz w:val="32"/>
          <w:szCs w:val="32"/>
          <w:color w:val="000000"/>
        </w:rPr>
        <w:t>Stockholder Matters.</w:t>
      </w:r>
    </w:p>
    <w:p>
      <w:pPr>
        <w:spacing w:after="0" w:line="128" w:lineRule="exact"/>
        <w:rPr>
          <w:sz w:val="20"/>
          <w:szCs w:val="20"/>
          <w:color w:val="auto"/>
        </w:rPr>
      </w:pPr>
    </w:p>
    <w:p>
      <w:pPr>
        <w:jc w:val="both"/>
        <w:ind w:left="320"/>
        <w:spacing w:after="0" w:line="381" w:lineRule="auto"/>
        <w:rPr>
          <w:sz w:val="20"/>
          <w:szCs w:val="20"/>
          <w:color w:val="auto"/>
        </w:rPr>
      </w:pPr>
      <w:r>
        <w:rPr>
          <w:rFonts w:ascii="Times New Roman" w:cs="Times New Roman" w:eastAsia="Times New Roman" w:hAnsi="Times New Roman"/>
          <w:sz w:val="18"/>
          <w:szCs w:val="18"/>
          <w:color w:val="auto"/>
        </w:rPr>
        <w:t>The information contained under the captions “Common Stock Ownership of Management,” “Common Stock Ownership of Certain Beneficial Owners,” and “Equity Compensation Plan Information” contained in the definitive Proxy Statement is hereby incorporated herein by reference. There are no arrangements known to the registrant, the operation of which may at a subsequent date result in a change in control.</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27"/>
          <w:szCs w:val="27"/>
          <w:color w:val="808080"/>
        </w:rPr>
        <w:t xml:space="preserve">Item 13. </w:t>
      </w:r>
      <w:r>
        <w:rPr>
          <w:rFonts w:ascii="Arial" w:cs="Arial" w:eastAsia="Arial" w:hAnsi="Arial"/>
          <w:sz w:val="27"/>
          <w:szCs w:val="27"/>
          <w:color w:val="000000"/>
        </w:rPr>
        <w:t>Certain Relationships and Related Transactions, and Director Independence.</w:t>
      </w:r>
    </w:p>
    <w:p>
      <w:pPr>
        <w:spacing w:after="0" w:line="160" w:lineRule="exact"/>
        <w:rPr>
          <w:sz w:val="20"/>
          <w:szCs w:val="20"/>
          <w:color w:val="auto"/>
        </w:rPr>
      </w:pPr>
    </w:p>
    <w:p>
      <w:pPr>
        <w:ind w:left="320" w:right="120"/>
        <w:spacing w:after="0" w:line="381" w:lineRule="auto"/>
        <w:rPr>
          <w:sz w:val="20"/>
          <w:szCs w:val="20"/>
          <w:color w:val="auto"/>
        </w:rPr>
      </w:pPr>
      <w:r>
        <w:rPr>
          <w:rFonts w:ascii="Times New Roman" w:cs="Times New Roman" w:eastAsia="Times New Roman" w:hAnsi="Times New Roman"/>
          <w:sz w:val="18"/>
          <w:szCs w:val="18"/>
          <w:color w:val="auto"/>
        </w:rPr>
        <w:t>The information contained under the caption “Certain Transactions” contained in the definitive Proxy Statement is hereby incorporated herein by reference. The information contained under the caption “Election of Directors” contained in the definitive Proxy Statement is hereby incorporated herein by reference.</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32"/>
          <w:szCs w:val="32"/>
          <w:color w:val="808080"/>
        </w:rPr>
        <w:t xml:space="preserve">Item 14. </w:t>
      </w:r>
      <w:r>
        <w:rPr>
          <w:rFonts w:ascii="Arial" w:cs="Arial" w:eastAsia="Arial" w:hAnsi="Arial"/>
          <w:sz w:val="32"/>
          <w:szCs w:val="32"/>
          <w:color w:val="000000"/>
        </w:rPr>
        <w:t>Principal Accounting Fee and Services.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principal accounting fees and services set forth under the caption “Ratification of Appointment of Independent Auditors</w:t>
      </w:r>
    </w:p>
    <w:p>
      <w:pPr>
        <w:spacing w:after="0" w:line="97" w:lineRule="exact"/>
        <w:rPr>
          <w:sz w:val="20"/>
          <w:szCs w:val="20"/>
          <w:color w:val="auto"/>
        </w:rPr>
      </w:pPr>
    </w:p>
    <w:p>
      <w:pPr>
        <w:ind w:left="320" w:right="40"/>
        <w:spacing w:after="0" w:line="353" w:lineRule="auto"/>
        <w:rPr>
          <w:sz w:val="20"/>
          <w:szCs w:val="20"/>
          <w:color w:val="auto"/>
        </w:rPr>
      </w:pPr>
      <w:r>
        <w:rPr>
          <w:rFonts w:ascii="Times New Roman" w:cs="Times New Roman" w:eastAsia="Times New Roman" w:hAnsi="Times New Roman"/>
          <w:sz w:val="18"/>
          <w:szCs w:val="18"/>
          <w:color w:val="auto"/>
        </w:rPr>
        <w:t>– Principal Accounting Fees and Services” in the definitive Proxy Statement is hereby incorporated herein by reference. Information concerning the policy adopted by the Audit Committee regarding the pre-approval of audit and non-audit services provided by the Company’s independent auditors set forth under the caption “Corporate Governance – Audit Committee” in the definitive Proxy Statement is hereby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7390765</wp:posOffset>
            </wp:positionH>
            <wp:positionV relativeFrom="paragraph">
              <wp:posOffset>664845</wp:posOffset>
            </wp:positionV>
            <wp:extent cx="12700" cy="36537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5">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7244715</wp:posOffset>
            </wp:positionH>
            <wp:positionV relativeFrom="paragraph">
              <wp:posOffset>557530</wp:posOffset>
            </wp:positionV>
            <wp:extent cx="12700" cy="36537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6">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377825</wp:posOffset>
            </wp:positionV>
            <wp:extent cx="12700" cy="36537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7">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6952615</wp:posOffset>
            </wp:positionH>
            <wp:positionV relativeFrom="paragraph">
              <wp:posOffset>333375</wp:posOffset>
            </wp:positionV>
            <wp:extent cx="12700" cy="36537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8">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6806565</wp:posOffset>
            </wp:positionH>
            <wp:positionV relativeFrom="paragraph">
              <wp:posOffset>1292225</wp:posOffset>
            </wp:positionV>
            <wp:extent cx="12700" cy="36537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9">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6660515</wp:posOffset>
            </wp:positionH>
            <wp:positionV relativeFrom="paragraph">
              <wp:posOffset>1722755</wp:posOffset>
            </wp:positionV>
            <wp:extent cx="12700" cy="36537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0">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815975</wp:posOffset>
            </wp:positionV>
            <wp:extent cx="12700" cy="36537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1">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1509395</wp:posOffset>
            </wp:positionV>
            <wp:extent cx="12700" cy="36537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2">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1334135</wp:posOffset>
            </wp:positionV>
            <wp:extent cx="12700" cy="36537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3">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6076315</wp:posOffset>
            </wp:positionH>
            <wp:positionV relativeFrom="paragraph">
              <wp:posOffset>943610</wp:posOffset>
            </wp:positionV>
            <wp:extent cx="12700" cy="36537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4">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700405</wp:posOffset>
            </wp:positionV>
            <wp:extent cx="12700" cy="36537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5">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228600</wp:posOffset>
            </wp:positionV>
            <wp:extent cx="12700" cy="36537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6">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2357120</wp:posOffset>
            </wp:positionV>
            <wp:extent cx="12700" cy="35204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7">
                      <a:extLst>
                        <a:ext uri="{28A0092B-C50C-407E-A947-70E740481C1C}"/>
                      </a:extLst>
                    </a:blip>
                    <a:srcRect/>
                    <a:stretch>
                      <a:fillRect/>
                    </a:stretch>
                  </pic:blipFill>
                  <pic:spPr bwMode="auto">
                    <a:xfrm>
                      <a:off x="0" y="0"/>
                      <a:ext cx="12700" cy="3520440"/>
                    </a:xfrm>
                    <a:prstGeom prst="rect">
                      <a:avLst/>
                    </a:prstGeom>
                    <a:noFill/>
                  </pic:spPr>
                </pic:pic>
              </a:graphicData>
            </a:graphic>
          </wp:anchor>
        </w:drawing>
        <w:drawing>
          <wp:anchor simplePos="0" relativeHeight="251657728" behindDoc="1" locked="0" layoutInCell="0" allowOverlap="1">
            <wp:simplePos x="0" y="0"/>
            <wp:positionH relativeFrom="column">
              <wp:posOffset>5492115</wp:posOffset>
            </wp:positionH>
            <wp:positionV relativeFrom="paragraph">
              <wp:posOffset>819785</wp:posOffset>
            </wp:positionV>
            <wp:extent cx="12700" cy="36537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8">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1972945</wp:posOffset>
            </wp:positionV>
            <wp:extent cx="12700" cy="36537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9">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975995</wp:posOffset>
            </wp:positionV>
            <wp:extent cx="12700" cy="36537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0">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1778000</wp:posOffset>
            </wp:positionV>
            <wp:extent cx="12700" cy="36537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1">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1390650</wp:posOffset>
            </wp:positionV>
            <wp:extent cx="12700" cy="36537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2">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4761865</wp:posOffset>
            </wp:positionH>
            <wp:positionV relativeFrom="paragraph">
              <wp:posOffset>345440</wp:posOffset>
            </wp:positionV>
            <wp:extent cx="12700" cy="36537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3">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521335</wp:posOffset>
            </wp:positionV>
            <wp:extent cx="12700" cy="36537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4">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1240790</wp:posOffset>
            </wp:positionV>
            <wp:extent cx="12700" cy="36537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5">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283210</wp:posOffset>
            </wp:positionV>
            <wp:extent cx="12700" cy="36537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6">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631825</wp:posOffset>
            </wp:positionV>
            <wp:extent cx="12700" cy="36537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7">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812165</wp:posOffset>
            </wp:positionV>
            <wp:extent cx="12700" cy="36537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8">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1497330</wp:posOffset>
            </wp:positionV>
            <wp:extent cx="12700" cy="36537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9">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3739515</wp:posOffset>
            </wp:positionH>
            <wp:positionV relativeFrom="paragraph">
              <wp:posOffset>895985</wp:posOffset>
            </wp:positionV>
            <wp:extent cx="12700" cy="36537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0">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3593465</wp:posOffset>
            </wp:positionH>
            <wp:positionV relativeFrom="paragraph">
              <wp:posOffset>1755775</wp:posOffset>
            </wp:positionV>
            <wp:extent cx="12700" cy="36537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1">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1488440</wp:posOffset>
            </wp:positionV>
            <wp:extent cx="12700" cy="36537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2">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1854835</wp:posOffset>
            </wp:positionV>
            <wp:extent cx="12700" cy="36537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3">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3155315</wp:posOffset>
            </wp:positionH>
            <wp:positionV relativeFrom="paragraph">
              <wp:posOffset>1377950</wp:posOffset>
            </wp:positionV>
            <wp:extent cx="12700" cy="36537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4">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3009265</wp:posOffset>
            </wp:positionH>
            <wp:positionV relativeFrom="paragraph">
              <wp:posOffset>1559560</wp:posOffset>
            </wp:positionV>
            <wp:extent cx="12700" cy="36537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5">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2258695</wp:posOffset>
            </wp:positionV>
            <wp:extent cx="12700" cy="36182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6">
                      <a:extLst>
                        <a:ext uri="{28A0092B-C50C-407E-A947-70E740481C1C}"/>
                      </a:extLst>
                    </a:blip>
                    <a:srcRect/>
                    <a:stretch>
                      <a:fillRect/>
                    </a:stretch>
                  </pic:blipFill>
                  <pic:spPr bwMode="auto">
                    <a:xfrm>
                      <a:off x="0" y="0"/>
                      <a:ext cx="12700" cy="3618230"/>
                    </a:xfrm>
                    <a:prstGeom prst="rect">
                      <a:avLst/>
                    </a:prstGeom>
                    <a:noFill/>
                  </pic:spPr>
                </pic:pic>
              </a:graphicData>
            </a:graphic>
          </wp:anchor>
        </w:drawing>
        <w:drawing>
          <wp:anchor simplePos="0" relativeHeight="251657728" behindDoc="1" locked="0" layoutInCell="0" allowOverlap="1">
            <wp:simplePos x="0" y="0"/>
            <wp:positionH relativeFrom="column">
              <wp:posOffset>2717165</wp:posOffset>
            </wp:positionH>
            <wp:positionV relativeFrom="paragraph">
              <wp:posOffset>2384425</wp:posOffset>
            </wp:positionV>
            <wp:extent cx="12700" cy="34931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7">
                      <a:extLst>
                        <a:ext uri="{28A0092B-C50C-407E-A947-70E740481C1C}"/>
                      </a:extLst>
                    </a:blip>
                    <a:srcRect/>
                    <a:stretch>
                      <a:fillRect/>
                    </a:stretch>
                  </pic:blipFill>
                  <pic:spPr bwMode="auto">
                    <a:xfrm>
                      <a:off x="0" y="0"/>
                      <a:ext cx="12700" cy="3493135"/>
                    </a:xfrm>
                    <a:prstGeom prst="rect">
                      <a:avLst/>
                    </a:prstGeom>
                    <a:noFill/>
                  </pic:spPr>
                </pic:pic>
              </a:graphicData>
            </a:graphic>
          </wp:anchor>
        </w:drawing>
        <w:drawing>
          <wp:anchor simplePos="0" relativeHeight="251657728" behindDoc="1" locked="0" layoutInCell="0" allowOverlap="1">
            <wp:simplePos x="0" y="0"/>
            <wp:positionH relativeFrom="column">
              <wp:posOffset>2571115</wp:posOffset>
            </wp:positionH>
            <wp:positionV relativeFrom="paragraph">
              <wp:posOffset>1442085</wp:posOffset>
            </wp:positionV>
            <wp:extent cx="12700" cy="36537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8">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2425065</wp:posOffset>
            </wp:positionH>
            <wp:positionV relativeFrom="paragraph">
              <wp:posOffset>2608580</wp:posOffset>
            </wp:positionV>
            <wp:extent cx="12700" cy="32683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9">
                      <a:extLst>
                        <a:ext uri="{28A0092B-C50C-407E-A947-70E740481C1C}"/>
                      </a:extLst>
                    </a:blip>
                    <a:srcRect/>
                    <a:stretch>
                      <a:fillRect/>
                    </a:stretch>
                  </pic:blipFill>
                  <pic:spPr bwMode="auto">
                    <a:xfrm>
                      <a:off x="0" y="0"/>
                      <a:ext cx="12700" cy="3268345"/>
                    </a:xfrm>
                    <a:prstGeom prst="rect">
                      <a:avLst/>
                    </a:prstGeom>
                    <a:noFill/>
                  </pic:spPr>
                </pic:pic>
              </a:graphicData>
            </a:graphic>
          </wp:anchor>
        </w:drawing>
        <w:drawing>
          <wp:anchor simplePos="0" relativeHeight="251657728" behindDoc="1" locked="0" layoutInCell="0" allowOverlap="1">
            <wp:simplePos x="0" y="0"/>
            <wp:positionH relativeFrom="column">
              <wp:posOffset>2279015</wp:posOffset>
            </wp:positionH>
            <wp:positionV relativeFrom="paragraph">
              <wp:posOffset>2961640</wp:posOffset>
            </wp:positionV>
            <wp:extent cx="12700" cy="29159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0">
                      <a:extLst>
                        <a:ext uri="{28A0092B-C50C-407E-A947-70E740481C1C}"/>
                      </a:extLst>
                    </a:blip>
                    <a:srcRect/>
                    <a:stretch>
                      <a:fillRect/>
                    </a:stretch>
                  </pic:blipFill>
                  <pic:spPr bwMode="auto">
                    <a:xfrm>
                      <a:off x="0" y="0"/>
                      <a:ext cx="12700" cy="2915920"/>
                    </a:xfrm>
                    <a:prstGeom prst="rect">
                      <a:avLst/>
                    </a:prstGeom>
                    <a:noFill/>
                  </pic:spPr>
                </pic:pic>
              </a:graphicData>
            </a:graphic>
          </wp:anchor>
        </w:drawing>
        <w:drawing>
          <wp:anchor simplePos="0" relativeHeight="251657728" behindDoc="1" locked="0" layoutInCell="0" allowOverlap="1">
            <wp:simplePos x="0" y="0"/>
            <wp:positionH relativeFrom="column">
              <wp:posOffset>2132965</wp:posOffset>
            </wp:positionH>
            <wp:positionV relativeFrom="paragraph">
              <wp:posOffset>1546225</wp:posOffset>
            </wp:positionV>
            <wp:extent cx="12700" cy="36537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1">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881380</wp:posOffset>
            </wp:positionV>
            <wp:extent cx="12700" cy="36537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2">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1840865</wp:posOffset>
            </wp:positionH>
            <wp:positionV relativeFrom="paragraph">
              <wp:posOffset>871855</wp:posOffset>
            </wp:positionV>
            <wp:extent cx="12700" cy="36537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3">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1401445</wp:posOffset>
            </wp:positionV>
            <wp:extent cx="12700" cy="36537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4">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734060</wp:posOffset>
            </wp:positionV>
            <wp:extent cx="12700" cy="36537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5">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1667510</wp:posOffset>
            </wp:positionV>
            <wp:extent cx="12700" cy="36537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6">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1532890</wp:posOffset>
            </wp:positionV>
            <wp:extent cx="12700" cy="36537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7">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1764665</wp:posOffset>
            </wp:positionV>
            <wp:extent cx="12700" cy="36537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8">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2324735</wp:posOffset>
            </wp:positionV>
            <wp:extent cx="12700" cy="35521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9">
                      <a:extLst>
                        <a:ext uri="{28A0092B-C50C-407E-A947-70E740481C1C}"/>
                      </a:extLst>
                    </a:blip>
                    <a:srcRect/>
                    <a:stretch>
                      <a:fillRect/>
                    </a:stretch>
                  </pic:blipFill>
                  <pic:spPr bwMode="auto">
                    <a:xfrm>
                      <a:off x="0" y="0"/>
                      <a:ext cx="12700" cy="3552190"/>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1503045</wp:posOffset>
            </wp:positionV>
            <wp:extent cx="12700" cy="36537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0">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1417955</wp:posOffset>
            </wp:positionV>
            <wp:extent cx="12700" cy="36537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1">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1867535</wp:posOffset>
            </wp:positionV>
            <wp:extent cx="12700" cy="36537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2">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1600835</wp:posOffset>
            </wp:positionV>
            <wp:extent cx="12700" cy="36537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3">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234315</wp:posOffset>
            </wp:positionH>
            <wp:positionV relativeFrom="paragraph">
              <wp:posOffset>2938780</wp:posOffset>
            </wp:positionV>
            <wp:extent cx="12700" cy="29387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4">
                      <a:extLst>
                        <a:ext uri="{28A0092B-C50C-407E-A947-70E740481C1C}"/>
                      </a:extLst>
                    </a:blip>
                    <a:srcRect/>
                    <a:stretch>
                      <a:fillRect/>
                    </a:stretch>
                  </pic:blipFill>
                  <pic:spPr bwMode="auto">
                    <a:xfrm>
                      <a:off x="0" y="0"/>
                      <a:ext cx="12700" cy="2938780"/>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2713990</wp:posOffset>
            </wp:positionV>
            <wp:extent cx="12700" cy="31635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5">
                      <a:extLst>
                        <a:ext uri="{28A0092B-C50C-407E-A947-70E740481C1C}"/>
                      </a:extLst>
                    </a:blip>
                    <a:srcRect/>
                    <a:stretch>
                      <a:fillRect/>
                    </a:stretch>
                  </pic:blipFill>
                  <pic:spPr bwMode="auto">
                    <a:xfrm>
                      <a:off x="0" y="0"/>
                      <a:ext cx="12700" cy="3163570"/>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2943860</wp:posOffset>
            </wp:positionV>
            <wp:extent cx="12700" cy="2933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6">
                      <a:extLst>
                        <a:ext uri="{28A0092B-C50C-407E-A947-70E740481C1C}"/>
                      </a:extLst>
                    </a:blip>
                    <a:srcRect/>
                    <a:stretch>
                      <a:fillRect/>
                    </a:stretch>
                  </pic:blipFill>
                  <pic:spPr bwMode="auto">
                    <a:xfrm>
                      <a:off x="0" y="0"/>
                      <a:ext cx="12700" cy="2933700"/>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2350770</wp:posOffset>
            </wp:positionV>
            <wp:extent cx="12700" cy="35261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7">
                      <a:extLst>
                        <a:ext uri="{28A0092B-C50C-407E-A947-70E740481C1C}"/>
                      </a:extLst>
                    </a:blip>
                    <a:srcRect/>
                    <a:stretch>
                      <a:fillRect/>
                    </a:stretch>
                  </pic:blipFill>
                  <pic:spPr bwMode="auto">
                    <a:xfrm>
                      <a:off x="0" y="0"/>
                      <a:ext cx="12700" cy="3526155"/>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2524125</wp:posOffset>
            </wp:positionV>
            <wp:extent cx="12700" cy="3352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8">
                      <a:extLst>
                        <a:ext uri="{28A0092B-C50C-407E-A947-70E740481C1C}"/>
                      </a:extLst>
                    </a:blip>
                    <a:srcRect/>
                    <a:stretch>
                      <a:fillRect/>
                    </a:stretch>
                  </pic:blipFill>
                  <pic:spPr bwMode="auto">
                    <a:xfrm>
                      <a:off x="0" y="0"/>
                      <a:ext cx="12700" cy="3352800"/>
                    </a:xfrm>
                    <a:prstGeom prst="rect">
                      <a:avLst/>
                    </a:prstGeom>
                    <a:noFill/>
                  </pic:spPr>
                </pic:pic>
              </a:graphicData>
            </a:graphic>
          </wp:anchor>
        </w:drawing>
      </w:r>
    </w:p>
    <w:p>
      <w:pPr>
        <w:sectPr>
          <w:pgSz w:w="12240" w:h="15840" w:orient="portrait"/>
          <w:cols w:equalWidth="0" w:num="1">
            <w:col w:w="10760"/>
          </w:cols>
          <w:pgMar w:left="580" w:top="85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56</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9" w:right="900" w:bottom="0" w:gutter="0" w:footer="0" w:header="0"/>
          <w:type w:val="continuous"/>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132715</wp:posOffset>
            </wp:positionH>
            <wp:positionV relativeFrom="page">
              <wp:posOffset>1828800</wp:posOffset>
            </wp:positionV>
            <wp:extent cx="7607300" cy="67163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9">
                      <a:extLst>
                        <a:ext uri="{28A0092B-C50C-407E-A947-70E740481C1C}"/>
                      </a:extLst>
                    </a:blip>
                    <a:srcRect/>
                    <a:stretch>
                      <a:fillRect/>
                    </a:stretch>
                  </pic:blipFill>
                  <pic:spPr bwMode="auto">
                    <a:xfrm>
                      <a:off x="0" y="0"/>
                      <a:ext cx="7607300" cy="671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920"/>
        <w:spacing w:after="0"/>
        <w:rPr>
          <w:sz w:val="20"/>
          <w:szCs w:val="20"/>
          <w:color w:val="auto"/>
        </w:rPr>
      </w:pPr>
      <w:r>
        <w:rPr>
          <w:rFonts w:ascii="Arial" w:cs="Arial" w:eastAsia="Arial" w:hAnsi="Arial"/>
          <w:sz w:val="20"/>
          <w:szCs w:val="20"/>
          <w:color w:val="FFFFFF"/>
        </w:rPr>
        <w:t>this page Intentionally left mostly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133985</wp:posOffset>
            </wp:positionV>
            <wp:extent cx="6350" cy="3079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0">
                      <a:extLst>
                        <a:ext uri="{28A0092B-C50C-407E-A947-70E740481C1C}"/>
                      </a:extLst>
                    </a:blip>
                    <a:srcRect/>
                    <a:stretch>
                      <a:fillRect/>
                    </a:stretch>
                  </pic:blipFill>
                  <pic:spPr bwMode="auto">
                    <a:xfrm>
                      <a:off x="0" y="0"/>
                      <a:ext cx="6350" cy="307975"/>
                    </a:xfrm>
                    <a:prstGeom prst="rect">
                      <a:avLst/>
                    </a:prstGeom>
                    <a:noFill/>
                  </pic:spPr>
                </pic:pic>
              </a:graphicData>
            </a:graphic>
          </wp:anchor>
        </w:drawing>
        <w:drawing>
          <wp:anchor simplePos="0" relativeHeight="251657728" behindDoc="1" locked="0" layoutInCell="0" allowOverlap="1">
            <wp:simplePos x="0" y="0"/>
            <wp:positionH relativeFrom="column">
              <wp:posOffset>4476115</wp:posOffset>
            </wp:positionH>
            <wp:positionV relativeFrom="paragraph">
              <wp:posOffset>133985</wp:posOffset>
            </wp:positionV>
            <wp:extent cx="12700" cy="19805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1">
                      <a:extLst>
                        <a:ext uri="{28A0092B-C50C-407E-A947-70E740481C1C}"/>
                      </a:extLst>
                    </a:blip>
                    <a:srcRect/>
                    <a:stretch>
                      <a:fillRect/>
                    </a:stretch>
                  </pic:blipFill>
                  <pic:spPr bwMode="auto">
                    <a:xfrm>
                      <a:off x="0" y="0"/>
                      <a:ext cx="12700" cy="1980565"/>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133985</wp:posOffset>
            </wp:positionV>
            <wp:extent cx="12700" cy="21126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2">
                      <a:extLst>
                        <a:ext uri="{28A0092B-C50C-407E-A947-70E740481C1C}"/>
                      </a:extLst>
                    </a:blip>
                    <a:srcRect/>
                    <a:stretch>
                      <a:fillRect/>
                    </a:stretch>
                  </pic:blipFill>
                  <pic:spPr bwMode="auto">
                    <a:xfrm>
                      <a:off x="0" y="0"/>
                      <a:ext cx="12700" cy="211264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133985</wp:posOffset>
            </wp:positionV>
            <wp:extent cx="12700" cy="24072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3">
                      <a:extLst>
                        <a:ext uri="{28A0092B-C50C-407E-A947-70E740481C1C}"/>
                      </a:extLst>
                    </a:blip>
                    <a:srcRect/>
                    <a:stretch>
                      <a:fillRect/>
                    </a:stretch>
                  </pic:blipFill>
                  <pic:spPr bwMode="auto">
                    <a:xfrm>
                      <a:off x="0" y="0"/>
                      <a:ext cx="12700" cy="240728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133985</wp:posOffset>
            </wp:positionV>
            <wp:extent cx="12700" cy="26498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4">
                      <a:extLst>
                        <a:ext uri="{28A0092B-C50C-407E-A947-70E740481C1C}"/>
                      </a:extLst>
                    </a:blip>
                    <a:srcRect/>
                    <a:stretch>
                      <a:fillRect/>
                    </a:stretch>
                  </pic:blipFill>
                  <pic:spPr bwMode="auto">
                    <a:xfrm>
                      <a:off x="0" y="0"/>
                      <a:ext cx="12700" cy="2649855"/>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133985</wp:posOffset>
            </wp:positionV>
            <wp:extent cx="12700" cy="20796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5">
                      <a:extLst>
                        <a:ext uri="{28A0092B-C50C-407E-A947-70E740481C1C}"/>
                      </a:extLst>
                    </a:blip>
                    <a:srcRect/>
                    <a:stretch>
                      <a:fillRect/>
                    </a:stretch>
                  </pic:blipFill>
                  <pic:spPr bwMode="auto">
                    <a:xfrm>
                      <a:off x="0" y="0"/>
                      <a:ext cx="12700" cy="2079625"/>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133985</wp:posOffset>
            </wp:positionV>
            <wp:extent cx="12700" cy="2355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6">
                      <a:extLst>
                        <a:ext uri="{28A0092B-C50C-407E-A947-70E740481C1C}"/>
                      </a:extLst>
                    </a:blip>
                    <a:srcRect/>
                    <a:stretch>
                      <a:fillRect/>
                    </a:stretch>
                  </pic:blipFill>
                  <pic:spPr bwMode="auto">
                    <a:xfrm>
                      <a:off x="0" y="0"/>
                      <a:ext cx="12700" cy="2355850"/>
                    </a:xfrm>
                    <a:prstGeom prst="rect">
                      <a:avLst/>
                    </a:prstGeom>
                    <a:noFill/>
                  </pic:spPr>
                </pic:pic>
              </a:graphicData>
            </a:graphic>
          </wp:anchor>
        </w:drawing>
        <w:drawing>
          <wp:anchor simplePos="0" relativeHeight="251657728" behindDoc="1" locked="0" layoutInCell="0" allowOverlap="1">
            <wp:simplePos x="0" y="0"/>
            <wp:positionH relativeFrom="column">
              <wp:posOffset>3599815</wp:posOffset>
            </wp:positionH>
            <wp:positionV relativeFrom="paragraph">
              <wp:posOffset>133985</wp:posOffset>
            </wp:positionV>
            <wp:extent cx="12700" cy="23895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7">
                      <a:extLst>
                        <a:ext uri="{28A0092B-C50C-407E-A947-70E740481C1C}"/>
                      </a:extLst>
                    </a:blip>
                    <a:srcRect/>
                    <a:stretch>
                      <a:fillRect/>
                    </a:stretch>
                  </pic:blipFill>
                  <pic:spPr bwMode="auto">
                    <a:xfrm>
                      <a:off x="0" y="0"/>
                      <a:ext cx="12700" cy="2389505"/>
                    </a:xfrm>
                    <a:prstGeom prst="rect">
                      <a:avLst/>
                    </a:prstGeom>
                    <a:noFill/>
                  </pic:spPr>
                </pic:pic>
              </a:graphicData>
            </a:graphic>
          </wp:anchor>
        </w:drawing>
        <w:drawing>
          <wp:anchor simplePos="0" relativeHeight="251657728" behindDoc="1" locked="0" layoutInCell="0" allowOverlap="1">
            <wp:simplePos x="0" y="0"/>
            <wp:positionH relativeFrom="column">
              <wp:posOffset>3453765</wp:posOffset>
            </wp:positionH>
            <wp:positionV relativeFrom="paragraph">
              <wp:posOffset>133985</wp:posOffset>
            </wp:positionV>
            <wp:extent cx="12700" cy="21323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8">
                      <a:extLst>
                        <a:ext uri="{28A0092B-C50C-407E-A947-70E740481C1C}"/>
                      </a:extLst>
                    </a:blip>
                    <a:srcRect/>
                    <a:stretch>
                      <a:fillRect/>
                    </a:stretch>
                  </pic:blipFill>
                  <pic:spPr bwMode="auto">
                    <a:xfrm>
                      <a:off x="0" y="0"/>
                      <a:ext cx="12700" cy="2132330"/>
                    </a:xfrm>
                    <a:prstGeom prst="rect">
                      <a:avLst/>
                    </a:prstGeom>
                    <a:noFill/>
                  </pic:spPr>
                </pic:pic>
              </a:graphicData>
            </a:graphic>
          </wp:anchor>
        </w:drawing>
        <w:drawing>
          <wp:anchor simplePos="0" relativeHeight="251657728" behindDoc="1" locked="0" layoutInCell="0" allowOverlap="1">
            <wp:simplePos x="0" y="0"/>
            <wp:positionH relativeFrom="column">
              <wp:posOffset>3307715</wp:posOffset>
            </wp:positionH>
            <wp:positionV relativeFrom="paragraph">
              <wp:posOffset>133985</wp:posOffset>
            </wp:positionV>
            <wp:extent cx="12700" cy="21228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19">
                      <a:extLst>
                        <a:ext uri="{28A0092B-C50C-407E-A947-70E740481C1C}"/>
                      </a:extLst>
                    </a:blip>
                    <a:srcRect/>
                    <a:stretch>
                      <a:fillRect/>
                    </a:stretch>
                  </pic:blipFill>
                  <pic:spPr bwMode="auto">
                    <a:xfrm>
                      <a:off x="0" y="0"/>
                      <a:ext cx="12700" cy="2122805"/>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133985</wp:posOffset>
            </wp:positionV>
            <wp:extent cx="12700" cy="25882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0">
                      <a:extLst>
                        <a:ext uri="{28A0092B-C50C-407E-A947-70E740481C1C}"/>
                      </a:extLst>
                    </a:blip>
                    <a:srcRect/>
                    <a:stretch>
                      <a:fillRect/>
                    </a:stretch>
                  </pic:blipFill>
                  <pic:spPr bwMode="auto">
                    <a:xfrm>
                      <a:off x="0" y="0"/>
                      <a:ext cx="12700" cy="2588260"/>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133985</wp:posOffset>
            </wp:positionV>
            <wp:extent cx="12700" cy="17145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1">
                      <a:extLst>
                        <a:ext uri="{28A0092B-C50C-407E-A947-70E740481C1C}"/>
                      </a:extLst>
                    </a:blip>
                    <a:srcRect/>
                    <a:stretch>
                      <a:fillRect/>
                    </a:stretch>
                  </pic:blipFill>
                  <pic:spPr bwMode="auto">
                    <a:xfrm>
                      <a:off x="0" y="0"/>
                      <a:ext cx="12700" cy="171450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133985</wp:posOffset>
            </wp:positionV>
            <wp:extent cx="12700" cy="141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2">
                      <a:extLst>
                        <a:ext uri="{28A0092B-C50C-407E-A947-70E740481C1C}"/>
                      </a:extLst>
                    </a:blip>
                    <a:srcRect/>
                    <a:stretch>
                      <a:fillRect/>
                    </a:stretch>
                  </pic:blipFill>
                  <pic:spPr bwMode="auto">
                    <a:xfrm>
                      <a:off x="0" y="0"/>
                      <a:ext cx="12700" cy="141605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133985</wp:posOffset>
            </wp:positionV>
            <wp:extent cx="12700" cy="17786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3">
                      <a:extLst>
                        <a:ext uri="{28A0092B-C50C-407E-A947-70E740481C1C}"/>
                      </a:extLst>
                    </a:blip>
                    <a:srcRect/>
                    <a:stretch>
                      <a:fillRect/>
                    </a:stretch>
                  </pic:blipFill>
                  <pic:spPr bwMode="auto">
                    <a:xfrm>
                      <a:off x="0" y="0"/>
                      <a:ext cx="12700" cy="177863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133985</wp:posOffset>
            </wp:positionV>
            <wp:extent cx="12700" cy="2440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4">
                      <a:extLst>
                        <a:ext uri="{28A0092B-C50C-407E-A947-70E740481C1C}"/>
                      </a:extLst>
                    </a:blip>
                    <a:srcRect/>
                    <a:stretch>
                      <a:fillRect/>
                    </a:stretch>
                  </pic:blipFill>
                  <pic:spPr bwMode="auto">
                    <a:xfrm>
                      <a:off x="0" y="0"/>
                      <a:ext cx="12700" cy="2440940"/>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133985</wp:posOffset>
            </wp:positionV>
            <wp:extent cx="12700" cy="23152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25">
                      <a:extLst>
                        <a:ext uri="{28A0092B-C50C-407E-A947-70E740481C1C}"/>
                      </a:extLst>
                    </a:blip>
                    <a:srcRect/>
                    <a:stretch>
                      <a:fillRect/>
                    </a:stretch>
                  </pic:blipFill>
                  <pic:spPr bwMode="auto">
                    <a:xfrm>
                      <a:off x="0" y="0"/>
                      <a:ext cx="12700" cy="231521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133985</wp:posOffset>
            </wp:positionV>
            <wp:extent cx="12700" cy="27730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6">
                      <a:extLst>
                        <a:ext uri="{28A0092B-C50C-407E-A947-70E740481C1C}"/>
                      </a:extLst>
                    </a:blip>
                    <a:srcRect/>
                    <a:stretch>
                      <a:fillRect/>
                    </a:stretch>
                  </pic:blipFill>
                  <pic:spPr bwMode="auto">
                    <a:xfrm>
                      <a:off x="0" y="0"/>
                      <a:ext cx="12700" cy="277304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133985</wp:posOffset>
            </wp:positionV>
            <wp:extent cx="12700" cy="25539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27">
                      <a:extLst>
                        <a:ext uri="{28A0092B-C50C-407E-A947-70E740481C1C}"/>
                      </a:extLst>
                    </a:blip>
                    <a:srcRect/>
                    <a:stretch>
                      <a:fillRect/>
                    </a:stretch>
                  </pic:blipFill>
                  <pic:spPr bwMode="auto">
                    <a:xfrm>
                      <a:off x="0" y="0"/>
                      <a:ext cx="12700" cy="255397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133985</wp:posOffset>
            </wp:positionV>
            <wp:extent cx="12700" cy="2307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28">
                      <a:extLst>
                        <a:ext uri="{28A0092B-C50C-407E-A947-70E740481C1C}"/>
                      </a:extLst>
                    </a:blip>
                    <a:srcRect/>
                    <a:stretch>
                      <a:fillRect/>
                    </a:stretch>
                  </pic:blipFill>
                  <pic:spPr bwMode="auto">
                    <a:xfrm>
                      <a:off x="0" y="0"/>
                      <a:ext cx="12700" cy="2307590"/>
                    </a:xfrm>
                    <a:prstGeom prst="rect">
                      <a:avLst/>
                    </a:prstGeom>
                    <a:noFill/>
                  </pic:spPr>
                </pic:pic>
              </a:graphicData>
            </a:graphic>
          </wp:anchor>
        </w:drawing>
        <w:drawing>
          <wp:anchor simplePos="0" relativeHeight="251657728" behindDoc="1" locked="0" layoutInCell="0" allowOverlap="1">
            <wp:simplePos x="0" y="0"/>
            <wp:positionH relativeFrom="column">
              <wp:posOffset>1847215</wp:posOffset>
            </wp:positionH>
            <wp:positionV relativeFrom="paragraph">
              <wp:posOffset>133985</wp:posOffset>
            </wp:positionV>
            <wp:extent cx="12700" cy="12166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29">
                      <a:extLst>
                        <a:ext uri="{28A0092B-C50C-407E-A947-70E740481C1C}"/>
                      </a:extLst>
                    </a:blip>
                    <a:srcRect/>
                    <a:stretch>
                      <a:fillRect/>
                    </a:stretch>
                  </pic:blipFill>
                  <pic:spPr bwMode="auto">
                    <a:xfrm>
                      <a:off x="0" y="0"/>
                      <a:ext cx="12700" cy="121666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133985</wp:posOffset>
            </wp:positionV>
            <wp:extent cx="12700" cy="16287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0">
                      <a:extLst>
                        <a:ext uri="{28A0092B-C50C-407E-A947-70E740481C1C}"/>
                      </a:extLst>
                    </a:blip>
                    <a:srcRect/>
                    <a:stretch>
                      <a:fillRect/>
                    </a:stretch>
                  </pic:blipFill>
                  <pic:spPr bwMode="auto">
                    <a:xfrm>
                      <a:off x="0" y="0"/>
                      <a:ext cx="12700" cy="162877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746125</wp:posOffset>
            </wp:positionV>
            <wp:extent cx="6350" cy="16560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1">
                      <a:extLst>
                        <a:ext uri="{28A0092B-C50C-407E-A947-70E740481C1C}"/>
                      </a:extLst>
                    </a:blip>
                    <a:srcRect/>
                    <a:stretch>
                      <a:fillRect/>
                    </a:stretch>
                  </pic:blipFill>
                  <pic:spPr bwMode="auto">
                    <a:xfrm>
                      <a:off x="0" y="0"/>
                      <a:ext cx="6350" cy="1656080"/>
                    </a:xfrm>
                    <a:prstGeom prst="rect">
                      <a:avLst/>
                    </a:prstGeom>
                    <a:noFill/>
                  </pic:spPr>
                </pic:pic>
              </a:graphicData>
            </a:graphic>
          </wp:anchor>
        </w:drawing>
      </w:r>
    </w:p>
    <w:p>
      <w:pPr>
        <w:sectPr>
          <w:pgSz w:w="12240" w:h="15840" w:orient="portrait"/>
          <w:cols w:equalWidth="0" w:num="1">
            <w:col w:w="10220"/>
          </w:cols>
          <w:pgMar w:left="1440" w:top="144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500"/>
        <w:spacing w:after="0"/>
        <w:tabs>
          <w:tab w:leader="none" w:pos="1006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57</w:t>
      </w:r>
    </w:p>
    <w:p>
      <w:pPr>
        <w:sectPr>
          <w:pgSz w:w="12240" w:h="15840" w:orient="portrait"/>
          <w:cols w:equalWidth="0" w:num="1">
            <w:col w:w="10220"/>
          </w:cols>
          <w:pgMar w:left="1440" w:top="1440" w:right="580" w:bottom="0" w:gutter="0" w:footer="0" w:header="0"/>
          <w:type w:val="continuous"/>
        </w:sectPr>
      </w:pPr>
    </w:p>
    <w:bookmarkStart w:id="57" w:name="page58"/>
    <w:bookmarkEnd w:id="57"/>
    <w:p>
      <w:pPr>
        <w:ind w:left="320"/>
        <w:spacing w:after="0"/>
        <w:rPr>
          <w:sz w:val="20"/>
          <w:szCs w:val="20"/>
          <w:color w:val="auto"/>
        </w:rPr>
      </w:pPr>
      <w:r>
        <w:rPr>
          <w:rFonts w:ascii="Arial" w:cs="Arial" w:eastAsia="Arial" w:hAnsi="Arial"/>
          <w:sz w:val="32"/>
          <w:szCs w:val="32"/>
          <w:color w:val="auto"/>
        </w:rPr>
        <w:t>Report of Independent Registered Public Accounting Firm</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To the Shareholders and the Board of Directors of Gentex Corporation</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Opinion on the Financial Statements</w:t>
      </w:r>
    </w:p>
    <w:p>
      <w:pPr>
        <w:spacing w:after="0" w:line="98" w:lineRule="exact"/>
        <w:rPr>
          <w:sz w:val="20"/>
          <w:szCs w:val="20"/>
          <w:color w:val="auto"/>
        </w:rPr>
      </w:pPr>
    </w:p>
    <w:p>
      <w:pPr>
        <w:ind w:left="320" w:right="140"/>
        <w:spacing w:after="0" w:line="346"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Gentex Corporation and subsidiaries (the Company) as of December 31, 2023 and 2022, the related consolidated statements of income, comprehensive income, shareholders’ investment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7" w:lineRule="exact"/>
        <w:rPr>
          <w:sz w:val="20"/>
          <w:szCs w:val="20"/>
          <w:color w:val="auto"/>
        </w:rPr>
      </w:pPr>
    </w:p>
    <w:p>
      <w:pPr>
        <w:ind w:left="320" w:right="200"/>
        <w:spacing w:after="0" w:line="332"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22, 2024 expressed an unqualified opinion thereon.</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Basis for Opinion</w:t>
      </w:r>
    </w:p>
    <w:p>
      <w:pPr>
        <w:spacing w:after="0" w:line="98" w:lineRule="exact"/>
        <w:rPr>
          <w:sz w:val="20"/>
          <w:szCs w:val="20"/>
          <w:color w:val="auto"/>
        </w:rPr>
      </w:pPr>
    </w:p>
    <w:p>
      <w:pPr>
        <w:ind w:left="320" w:right="40"/>
        <w:spacing w:after="0" w:line="371"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ind w:left="320" w:right="140"/>
        <w:spacing w:after="0" w:line="317"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Critical Audit Matter</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to be communicated to the audit committee and that: (1) relates to accounts or disclosures that are material to the financial statements and (2) involved</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especially challenging, subjective or complex judgments. The communication of the critical audit matter does not alter in any way our opinion on</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consolidated financial statements, taken as a whole, and we are not, by communicating the critical audit matter below, providing a separate opinion</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the critical audit matter or on the accounts or disclosures to which it relates.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Revenue - Estimate of Variable Consideration</w:t>
      </w:r>
    </w:p>
    <w:p>
      <w:pPr>
        <w:spacing w:after="0" w:line="84" w:lineRule="exact"/>
        <w:rPr>
          <w:sz w:val="20"/>
          <w:szCs w:val="20"/>
          <w:color w:val="auto"/>
        </w:rPr>
      </w:pPr>
    </w:p>
    <w:p>
      <w:pPr>
        <w:ind w:left="320"/>
        <w:spacing w:after="0" w:line="353" w:lineRule="auto"/>
        <w:rPr>
          <w:sz w:val="20"/>
          <w:szCs w:val="20"/>
          <w:color w:val="auto"/>
        </w:rPr>
      </w:pPr>
      <w:r>
        <w:rPr>
          <w:rFonts w:ascii="Arial" w:cs="Arial" w:eastAsia="Arial" w:hAnsi="Arial"/>
          <w:sz w:val="17"/>
          <w:szCs w:val="17"/>
          <w:b w:val="1"/>
          <w:bCs w:val="1"/>
          <w:color w:val="F4494E"/>
        </w:rPr>
        <w:t xml:space="preserve">DESCRIPTION OF THE MATTER </w:t>
      </w:r>
      <w:r>
        <w:rPr>
          <w:rFonts w:ascii="Times New Roman" w:cs="Times New Roman" w:eastAsia="Times New Roman" w:hAnsi="Times New Roman"/>
          <w:sz w:val="17"/>
          <w:szCs w:val="17"/>
          <w:color w:val="000000"/>
        </w:rPr>
        <w:t>As discussed in Notes 1 and 11 to the Company’s consolidated financial statements, the Company occasionally enters into</w:t>
      </w:r>
      <w:r>
        <w:rPr>
          <w:rFonts w:ascii="Arial" w:cs="Arial" w:eastAsia="Arial" w:hAnsi="Arial"/>
          <w:sz w:val="17"/>
          <w:szCs w:val="17"/>
          <w:b w:val="1"/>
          <w:bCs w:val="1"/>
          <w:color w:val="F4494E"/>
        </w:rPr>
        <w:t xml:space="preserve"> </w:t>
      </w:r>
      <w:r>
        <w:rPr>
          <w:rFonts w:ascii="Times New Roman" w:cs="Times New Roman" w:eastAsia="Times New Roman" w:hAnsi="Times New Roman"/>
          <w:sz w:val="17"/>
          <w:szCs w:val="17"/>
          <w:color w:val="000000"/>
        </w:rPr>
        <w:t>sales contracts with its customers that provide for annual price reductions over the production life of a particular part. Prices may also be adjusted on an ongoing basis to reflect changes in product content, product cost and other commercial factors.</w:t>
      </w:r>
    </w:p>
    <w:p>
      <w:pPr>
        <w:spacing w:after="0" w:line="2" w:lineRule="exact"/>
        <w:rPr>
          <w:sz w:val="20"/>
          <w:szCs w:val="20"/>
          <w:color w:val="auto"/>
        </w:rPr>
      </w:pPr>
    </w:p>
    <w:p>
      <w:pPr>
        <w:ind w:left="320" w:right="40"/>
        <w:spacing w:after="0" w:line="343" w:lineRule="auto"/>
        <w:rPr>
          <w:sz w:val="20"/>
          <w:szCs w:val="20"/>
          <w:color w:val="auto"/>
        </w:rPr>
      </w:pPr>
      <w:r>
        <w:rPr>
          <w:rFonts w:ascii="Times New Roman" w:cs="Times New Roman" w:eastAsia="Times New Roman" w:hAnsi="Times New Roman"/>
          <w:sz w:val="17"/>
          <w:szCs w:val="17"/>
          <w:color w:val="auto"/>
        </w:rPr>
        <w:t>Auditing the accounting for and the completeness of the amount of revenue that the Company expects to be entitled to in exchange for its products (for arrangements containing annual price reductions) is judgmental due to the unique facts and circumstances involved with each revenue arrangement, as well as on-going commercial negotiations with customers.</w:t>
      </w:r>
    </w:p>
    <w:p>
      <w:pPr>
        <w:spacing w:after="0" w:line="2" w:lineRule="exact"/>
        <w:rPr>
          <w:sz w:val="20"/>
          <w:szCs w:val="20"/>
          <w:color w:val="auto"/>
        </w:rPr>
      </w:pPr>
    </w:p>
    <w:p>
      <w:pPr>
        <w:ind w:left="320" w:right="60"/>
        <w:spacing w:after="0" w:line="375" w:lineRule="auto"/>
        <w:rPr>
          <w:sz w:val="20"/>
          <w:szCs w:val="20"/>
          <w:color w:val="auto"/>
        </w:rPr>
      </w:pPr>
      <w:r>
        <w:rPr>
          <w:rFonts w:ascii="Arial" w:cs="Arial" w:eastAsia="Arial" w:hAnsi="Arial"/>
          <w:sz w:val="16"/>
          <w:szCs w:val="16"/>
          <w:b w:val="1"/>
          <w:bCs w:val="1"/>
          <w:color w:val="F4494E"/>
        </w:rPr>
        <w:t xml:space="preserve">HOW WE ADDRESSED THE MATTER IN OUR AUDIT </w:t>
      </w:r>
      <w:r>
        <w:rPr>
          <w:rFonts w:ascii="Times New Roman" w:cs="Times New Roman" w:eastAsia="Times New Roman" w:hAnsi="Times New Roman"/>
          <w:sz w:val="16"/>
          <w:szCs w:val="16"/>
          <w:color w:val="000000"/>
        </w:rPr>
        <w:t>We obtained an understanding, evaluated the design and tested the operating effectiveness of controls</w:t>
      </w:r>
      <w:r>
        <w:rPr>
          <w:rFonts w:ascii="Arial" w:cs="Arial" w:eastAsia="Arial" w:hAnsi="Arial"/>
          <w:sz w:val="16"/>
          <w:szCs w:val="16"/>
          <w:b w:val="1"/>
          <w:bCs w:val="1"/>
          <w:color w:val="F4494E"/>
        </w:rPr>
        <w:t xml:space="preserve"> </w:t>
      </w:r>
      <w:r>
        <w:rPr>
          <w:rFonts w:ascii="Times New Roman" w:cs="Times New Roman" w:eastAsia="Times New Roman" w:hAnsi="Times New Roman"/>
          <w:sz w:val="16"/>
          <w:szCs w:val="16"/>
          <w:color w:val="000000"/>
        </w:rPr>
        <w:t>over annual price reductions. This included testing controls over the Company’s process to identify and evaluate customer contracts that contain matters that impact revenue recognition, as well as testing controls relating to the completeness and measurement of revenue related to those sales contracts.</w:t>
      </w:r>
    </w:p>
    <w:p>
      <w:pPr>
        <w:spacing w:after="0" w:line="2" w:lineRule="exact"/>
        <w:rPr>
          <w:sz w:val="20"/>
          <w:szCs w:val="20"/>
          <w:color w:val="auto"/>
        </w:rPr>
      </w:pPr>
    </w:p>
    <w:p>
      <w:pPr>
        <w:jc w:val="both"/>
        <w:ind w:left="320" w:right="60"/>
        <w:spacing w:after="0" w:line="380" w:lineRule="auto"/>
        <w:rPr>
          <w:sz w:val="20"/>
          <w:szCs w:val="20"/>
          <w:color w:val="auto"/>
        </w:rPr>
      </w:pPr>
      <w:r>
        <w:rPr>
          <w:rFonts w:ascii="Times New Roman" w:cs="Times New Roman" w:eastAsia="Times New Roman" w:hAnsi="Times New Roman"/>
          <w:sz w:val="16"/>
          <w:szCs w:val="16"/>
          <w:color w:val="auto"/>
        </w:rPr>
        <w:t>Our audit procedures included, among others, testing the completeness and valuation of the Company’s price reductions, including interviews of executive and commercial management personnel responsible for negotiations with customers, inspecting communications between the Company and its customers related to the price reductions, and testing manual price reduction entries recorded using lower materiality thresholds for our testing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-43815</wp:posOffset>
            </wp:positionV>
            <wp:extent cx="1755775" cy="5092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32">
                      <a:extLst>
                        <a:ext uri="{28A0092B-C50C-407E-A947-70E740481C1C}"/>
                      </a:extLst>
                    </a:blip>
                    <a:srcRect/>
                    <a:stretch>
                      <a:fillRect/>
                    </a:stretch>
                  </pic:blipFill>
                  <pic:spPr bwMode="auto">
                    <a:xfrm>
                      <a:off x="0" y="0"/>
                      <a:ext cx="175577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have served as the Company’s auditor since 1999.</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Grand Rapids, Michigan</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February 22, 2024</w:t>
      </w:r>
    </w:p>
    <w:p>
      <w:pPr>
        <w:sectPr>
          <w:pgSz w:w="12240" w:h="15840" w:orient="portrait"/>
          <w:cols w:equalWidth="0" w:num="1">
            <w:col w:w="10660"/>
          </w:cols>
          <w:pgMar w:left="580" w:top="83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58</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660"/>
          </w:cols>
          <w:pgMar w:left="580" w:top="836" w:right="1000" w:bottom="0" w:gutter="0" w:footer="0" w:header="0"/>
          <w:type w:val="continuous"/>
        </w:sectPr>
      </w:pPr>
    </w:p>
    <w:bookmarkStart w:id="58" w:name="page59"/>
    <w:bookmarkEnd w:id="58"/>
    <w:p>
      <w:pPr>
        <w:spacing w:after="0"/>
        <w:rPr>
          <w:sz w:val="20"/>
          <w:szCs w:val="20"/>
          <w:color w:val="auto"/>
        </w:rPr>
      </w:pPr>
      <w:r>
        <w:rPr>
          <w:rFonts w:ascii="Arial" w:cs="Arial" w:eastAsia="Arial" w:hAnsi="Arial"/>
          <w:sz w:val="32"/>
          <w:szCs w:val="32"/>
          <w:color w:val="auto"/>
        </w:rPr>
        <w:t>Report of Independent Registered Public Accounting Firm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Gentex Corporation</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Opinion on Internal Control Over Financial Reporting</w:t>
      </w:r>
    </w:p>
    <w:p>
      <w:pPr>
        <w:spacing w:after="0" w:line="98" w:lineRule="exact"/>
        <w:rPr>
          <w:sz w:val="20"/>
          <w:szCs w:val="20"/>
          <w:color w:val="auto"/>
        </w:rPr>
      </w:pPr>
    </w:p>
    <w:p>
      <w:pPr>
        <w:ind w:right="320"/>
        <w:spacing w:after="0" w:line="332" w:lineRule="auto"/>
        <w:rPr>
          <w:sz w:val="20"/>
          <w:szCs w:val="20"/>
          <w:color w:val="auto"/>
        </w:rPr>
      </w:pPr>
      <w:r>
        <w:rPr>
          <w:rFonts w:ascii="Times New Roman" w:cs="Times New Roman" w:eastAsia="Times New Roman" w:hAnsi="Times New Roman"/>
          <w:sz w:val="17"/>
          <w:szCs w:val="17"/>
          <w:color w:val="auto"/>
        </w:rPr>
        <w:t>We have audited Gentex Corporation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Gentex Corporation and subsidiaries (the Company) maintained, in all material respects, effective internal control over financial reporting as of December 31, 2023, based on the COSO criteria.</w:t>
      </w:r>
    </w:p>
    <w:p>
      <w:pPr>
        <w:spacing w:after="0" w:line="12" w:lineRule="exact"/>
        <w:rPr>
          <w:sz w:val="20"/>
          <w:szCs w:val="20"/>
          <w:color w:val="auto"/>
        </w:rPr>
      </w:pPr>
    </w:p>
    <w:p>
      <w:pPr>
        <w:ind w:right="680"/>
        <w:spacing w:after="0" w:line="332"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2023 and 2022, the related consolidated statements of income, comprehensive income, shareholders’ investment and cash flows for each of the three years in the period ended December 31, 2023, and the related notes and our report dated February 22, 2024 expressed an unqualified opinion thereon.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Basis for Opinion</w:t>
      </w:r>
    </w:p>
    <w:p>
      <w:pPr>
        <w:spacing w:after="0" w:line="98" w:lineRule="exact"/>
        <w:rPr>
          <w:sz w:val="20"/>
          <w:szCs w:val="20"/>
          <w:color w:val="auto"/>
        </w:rPr>
      </w:pPr>
    </w:p>
    <w:p>
      <w:pPr>
        <w:ind w:right="420"/>
        <w:spacing w:after="0" w:line="322"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 w:lineRule="exact"/>
        <w:rPr>
          <w:sz w:val="20"/>
          <w:szCs w:val="20"/>
          <w:color w:val="auto"/>
        </w:rPr>
      </w:pPr>
    </w:p>
    <w:p>
      <w:pPr>
        <w:ind w:right="320"/>
        <w:spacing w:after="0" w:line="322"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Definition and Limitations of Internal Control Over Financial Reporting</w:t>
      </w:r>
    </w:p>
    <w:p>
      <w:pPr>
        <w:spacing w:after="0" w:line="98" w:lineRule="exact"/>
        <w:rPr>
          <w:sz w:val="20"/>
          <w:szCs w:val="20"/>
          <w:color w:val="auto"/>
        </w:rPr>
      </w:pPr>
    </w:p>
    <w:p>
      <w:pPr>
        <w:ind w:right="380"/>
        <w:spacing w:after="0" w:line="31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3" w:lineRule="exact"/>
        <w:rPr>
          <w:sz w:val="20"/>
          <w:szCs w:val="20"/>
          <w:color w:val="auto"/>
        </w:rPr>
      </w:pPr>
    </w:p>
    <w:p>
      <w:pPr>
        <w:ind w:right="420"/>
        <w:spacing w:after="0" w:line="35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755775" cy="5092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33">
                      <a:extLst>
                        <a:ext uri="{28A0092B-C50C-407E-A947-70E740481C1C}"/>
                      </a:extLst>
                    </a:blip>
                    <a:srcRect/>
                    <a:stretch>
                      <a:fillRect/>
                    </a:stretch>
                  </pic:blipFill>
                  <pic:spPr bwMode="auto">
                    <a:xfrm>
                      <a:off x="0" y="0"/>
                      <a:ext cx="175577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Grand Rapids, Michigan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2024</w:t>
      </w:r>
    </w:p>
    <w:p>
      <w:pPr>
        <w:sectPr>
          <w:pgSz w:w="12240" w:h="15840" w:orient="portrait"/>
          <w:cols w:equalWidth="0" w:num="1">
            <w:col w:w="10760"/>
          </w:cols>
          <w:pgMar w:left="900" w:top="83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59</w:t>
      </w:r>
    </w:p>
    <w:p>
      <w:pPr>
        <w:sectPr>
          <w:pgSz w:w="12240" w:h="15840" w:orient="portrait"/>
          <w:cols w:equalWidth="0" w:num="1">
            <w:col w:w="10760"/>
          </w:cols>
          <w:pgMar w:left="900" w:top="836" w:right="580" w:bottom="0" w:gutter="0" w:footer="0" w:header="0"/>
          <w:type w:val="continuous"/>
        </w:sectPr>
      </w:pPr>
    </w:p>
    <w:bookmarkStart w:id="59" w:name="page60"/>
    <w:bookmarkEnd w:id="59"/>
    <w:p>
      <w:pPr>
        <w:ind w:left="320"/>
        <w:spacing w:after="0"/>
        <w:rPr>
          <w:sz w:val="20"/>
          <w:szCs w:val="20"/>
          <w:color w:val="auto"/>
        </w:rPr>
      </w:pPr>
      <w:r>
        <w:rPr>
          <w:rFonts w:ascii="Arial" w:cs="Arial" w:eastAsia="Arial" w:hAnsi="Arial"/>
          <w:sz w:val="17"/>
          <w:szCs w:val="17"/>
          <w:b w:val="1"/>
          <w:bCs w:val="1"/>
          <w:color w:val="F4494E"/>
        </w:rPr>
        <w:t>GENTEX CORPORATION AND SUBSIDIARIES CONSOLIDATED BALANCE SHEETS AS OF DECEMBER 31, 2023 AND 2022</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808080"/>
        </w:rPr>
        <w:t>The accompanying notes are an integral part of these consolidated financial statements.</w:t>
      </w: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295"/>
        </w:trPr>
        <w:tc>
          <w:tcPr>
            <w:tcW w:w="478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4CA5CD"/>
              </w:rPr>
              <w:t>ASSETS</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3"/>
        </w:trPr>
        <w:tc>
          <w:tcPr>
            <w:tcW w:w="4780" w:type="dxa"/>
            <w:vAlign w:val="bottom"/>
          </w:tcPr>
          <w:p>
            <w:pPr>
              <w:spacing w:after="0"/>
              <w:rPr>
                <w:sz w:val="20"/>
                <w:szCs w:val="20"/>
                <w:color w:val="auto"/>
              </w:rPr>
            </w:pPr>
            <w:r>
              <w:rPr>
                <w:rFonts w:ascii="Arial" w:cs="Arial" w:eastAsia="Arial" w:hAnsi="Arial"/>
                <w:sz w:val="17"/>
                <w:szCs w:val="17"/>
                <w:b w:val="1"/>
                <w:bCs w:val="1"/>
                <w:color w:val="808080"/>
              </w:rPr>
              <w:t>CURRENT ASSETS:</w:t>
            </w:r>
          </w:p>
        </w:tc>
        <w:tc>
          <w:tcPr>
            <w:tcW w:w="1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67"/>
        </w:trPr>
        <w:tc>
          <w:tcPr>
            <w:tcW w:w="4780" w:type="dxa"/>
            <w:vAlign w:val="bottom"/>
            <w:tcBorders>
              <w:bottom w:val="single" w:sz="8" w:color="808080"/>
            </w:tcBorders>
          </w:tcPr>
          <w:p>
            <w:pPr>
              <w:spacing w:after="0"/>
              <w:rPr>
                <w:sz w:val="5"/>
                <w:szCs w:val="5"/>
                <w:color w:val="auto"/>
              </w:rPr>
            </w:pPr>
          </w:p>
        </w:tc>
        <w:tc>
          <w:tcPr>
            <w:tcW w:w="18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54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40" w:type="dxa"/>
            <w:vAlign w:val="bottom"/>
            <w:tcBorders>
              <w:bottom w:val="single" w:sz="8" w:color="808080"/>
            </w:tcBorders>
          </w:tcPr>
          <w:p>
            <w:pPr>
              <w:spacing w:after="0"/>
              <w:rPr>
                <w:sz w:val="5"/>
                <w:szCs w:val="5"/>
                <w:color w:val="auto"/>
              </w:rPr>
            </w:pPr>
          </w:p>
        </w:tc>
      </w:tr>
      <w:tr>
        <w:trPr>
          <w:trHeight w:val="340"/>
        </w:trPr>
        <w:tc>
          <w:tcPr>
            <w:tcW w:w="47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40" w:type="dxa"/>
            <w:vAlign w:val="bottom"/>
            <w:tcBorders>
              <w:bottom w:val="single" w:sz="8" w:color="808080"/>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226,435,019</w:t>
            </w:r>
          </w:p>
        </w:tc>
        <w:tc>
          <w:tcPr>
            <w:tcW w:w="440" w:type="dxa"/>
            <w:vAlign w:val="bottom"/>
            <w:tcBorders>
              <w:bottom w:val="single" w:sz="8" w:color="808080"/>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214,754,638</w:t>
            </w:r>
          </w:p>
        </w:tc>
      </w:tr>
      <w:tr>
        <w:trPr>
          <w:trHeight w:val="340"/>
        </w:trPr>
        <w:tc>
          <w:tcPr>
            <w:tcW w:w="47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4,000,000</w:t>
            </w:r>
          </w:p>
        </w:tc>
      </w:tr>
      <w:tr>
        <w:trPr>
          <w:trHeight w:val="340"/>
        </w:trPr>
        <w:tc>
          <w:tcPr>
            <w:tcW w:w="47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90"/>
              <w:spacing w:after="0"/>
              <w:rPr>
                <w:sz w:val="20"/>
                <w:szCs w:val="20"/>
                <w:color w:val="auto"/>
              </w:rPr>
            </w:pPr>
            <w:r>
              <w:rPr>
                <w:rFonts w:ascii="Times New Roman" w:cs="Times New Roman" w:eastAsia="Times New Roman" w:hAnsi="Times New Roman"/>
                <w:sz w:val="18"/>
                <w:szCs w:val="18"/>
                <w:color w:val="auto"/>
              </w:rPr>
              <w:t>14,356,476</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23,007,385</w:t>
            </w:r>
          </w:p>
        </w:tc>
      </w:tr>
      <w:tr>
        <w:trPr>
          <w:trHeight w:val="340"/>
        </w:trPr>
        <w:tc>
          <w:tcPr>
            <w:tcW w:w="47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321,809,868</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276,493,752</w:t>
            </w:r>
          </w:p>
        </w:tc>
      </w:tr>
      <w:tr>
        <w:trPr>
          <w:trHeight w:val="340"/>
        </w:trPr>
        <w:tc>
          <w:tcPr>
            <w:tcW w:w="47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402,473,028</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404,360,270</w:t>
            </w:r>
          </w:p>
        </w:tc>
      </w:tr>
      <w:tr>
        <w:trPr>
          <w:trHeight w:val="355"/>
        </w:trPr>
        <w:tc>
          <w:tcPr>
            <w:tcW w:w="47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4CA5CD"/>
            </w:tcBorders>
          </w:tcPr>
          <w:p>
            <w:pPr>
              <w:spacing w:after="0"/>
              <w:rPr>
                <w:sz w:val="24"/>
                <w:szCs w:val="24"/>
                <w:color w:val="auto"/>
              </w:rPr>
            </w:pPr>
          </w:p>
        </w:tc>
        <w:tc>
          <w:tcPr>
            <w:tcW w:w="1540" w:type="dxa"/>
            <w:vAlign w:val="bottom"/>
            <w:tcBorders>
              <w:bottom w:val="single" w:sz="8" w:color="4CA5CD"/>
            </w:tcBorders>
          </w:tcPr>
          <w:p>
            <w:pPr>
              <w:jc w:val="right"/>
              <w:ind w:right="190"/>
              <w:spacing w:after="0"/>
              <w:rPr>
                <w:sz w:val="20"/>
                <w:szCs w:val="20"/>
                <w:color w:val="auto"/>
              </w:rPr>
            </w:pPr>
            <w:r>
              <w:rPr>
                <w:rFonts w:ascii="Times New Roman" w:cs="Times New Roman" w:eastAsia="Times New Roman" w:hAnsi="Times New Roman"/>
                <w:sz w:val="18"/>
                <w:szCs w:val="18"/>
                <w:color w:val="auto"/>
              </w:rPr>
              <w:t>32,663,762</w:t>
            </w:r>
          </w:p>
        </w:tc>
        <w:tc>
          <w:tcPr>
            <w:tcW w:w="440" w:type="dxa"/>
            <w:vAlign w:val="bottom"/>
            <w:tcBorders>
              <w:bottom w:val="single" w:sz="8" w:color="4CA5CD"/>
            </w:tcBorders>
          </w:tcPr>
          <w:p>
            <w:pPr>
              <w:spacing w:after="0"/>
              <w:rPr>
                <w:sz w:val="24"/>
                <w:szCs w:val="24"/>
                <w:color w:val="auto"/>
              </w:rPr>
            </w:pP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26,036,331</w:t>
            </w:r>
          </w:p>
        </w:tc>
      </w:tr>
      <w:tr>
        <w:trPr>
          <w:trHeight w:val="325"/>
        </w:trPr>
        <w:tc>
          <w:tcPr>
            <w:tcW w:w="4780" w:type="dxa"/>
            <w:vAlign w:val="bottom"/>
            <w:tcBorders>
              <w:bottom w:val="single" w:sz="8" w:color="808080"/>
            </w:tcBorders>
          </w:tcPr>
          <w:p>
            <w:pPr>
              <w:ind w:left="900"/>
              <w:spacing w:after="0"/>
              <w:rPr>
                <w:sz w:val="20"/>
                <w:szCs w:val="20"/>
                <w:color w:val="auto"/>
              </w:rPr>
            </w:pPr>
            <w:r>
              <w:rPr>
                <w:rFonts w:ascii="Times New Roman" w:cs="Times New Roman" w:eastAsia="Times New Roman" w:hAnsi="Times New Roman"/>
                <w:sz w:val="18"/>
                <w:szCs w:val="18"/>
                <w:color w:val="auto"/>
              </w:rPr>
              <w:t>Total current assets</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997,738,153</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948,652,376</w:t>
            </w:r>
          </w:p>
        </w:tc>
      </w:tr>
      <w:tr>
        <w:trPr>
          <w:trHeight w:val="273"/>
        </w:trPr>
        <w:tc>
          <w:tcPr>
            <w:tcW w:w="4780" w:type="dxa"/>
            <w:vAlign w:val="bottom"/>
          </w:tcPr>
          <w:p>
            <w:pPr>
              <w:spacing w:after="0"/>
              <w:rPr>
                <w:sz w:val="20"/>
                <w:szCs w:val="20"/>
                <w:color w:val="auto"/>
              </w:rPr>
            </w:pPr>
            <w:r>
              <w:rPr>
                <w:rFonts w:ascii="Arial" w:cs="Arial" w:eastAsia="Arial" w:hAnsi="Arial"/>
                <w:sz w:val="17"/>
                <w:szCs w:val="17"/>
                <w:b w:val="1"/>
                <w:bCs w:val="1"/>
                <w:color w:val="808080"/>
              </w:rPr>
              <w:t>PLANT AND EQUIPMENT:</w:t>
            </w:r>
          </w:p>
        </w:tc>
        <w:tc>
          <w:tcPr>
            <w:tcW w:w="1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67"/>
        </w:trPr>
        <w:tc>
          <w:tcPr>
            <w:tcW w:w="4780" w:type="dxa"/>
            <w:vAlign w:val="bottom"/>
            <w:tcBorders>
              <w:bottom w:val="single" w:sz="8" w:color="808080"/>
            </w:tcBorders>
          </w:tcPr>
          <w:p>
            <w:pPr>
              <w:spacing w:after="0"/>
              <w:rPr>
                <w:sz w:val="5"/>
                <w:szCs w:val="5"/>
                <w:color w:val="auto"/>
              </w:rPr>
            </w:pPr>
          </w:p>
        </w:tc>
        <w:tc>
          <w:tcPr>
            <w:tcW w:w="18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54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40" w:type="dxa"/>
            <w:vAlign w:val="bottom"/>
            <w:tcBorders>
              <w:bottom w:val="single" w:sz="8" w:color="808080"/>
            </w:tcBorders>
          </w:tcPr>
          <w:p>
            <w:pPr>
              <w:spacing w:after="0"/>
              <w:rPr>
                <w:sz w:val="5"/>
                <w:szCs w:val="5"/>
                <w:color w:val="auto"/>
              </w:rPr>
            </w:pPr>
          </w:p>
        </w:tc>
      </w:tr>
      <w:tr>
        <w:trPr>
          <w:trHeight w:val="340"/>
        </w:trPr>
        <w:tc>
          <w:tcPr>
            <w:tcW w:w="47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Land, buildings and improvements</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472,112,320</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376,934,354</w:t>
            </w:r>
          </w:p>
        </w:tc>
      </w:tr>
      <w:tr>
        <w:trPr>
          <w:trHeight w:val="340"/>
        </w:trPr>
        <w:tc>
          <w:tcPr>
            <w:tcW w:w="47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1,011,930,699</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935,848,288</w:t>
            </w:r>
          </w:p>
        </w:tc>
      </w:tr>
      <w:tr>
        <w:trPr>
          <w:trHeight w:val="340"/>
        </w:trPr>
        <w:tc>
          <w:tcPr>
            <w:tcW w:w="47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Construction-in-process</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158,327,247</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165,574,867</w:t>
            </w:r>
          </w:p>
        </w:tc>
      </w:tr>
      <w:tr>
        <w:trPr>
          <w:trHeight w:val="340"/>
        </w:trPr>
        <w:tc>
          <w:tcPr>
            <w:tcW w:w="4780" w:type="dxa"/>
            <w:vAlign w:val="bottom"/>
            <w:tcBorders>
              <w:bottom w:val="single" w:sz="8" w:color="808080"/>
            </w:tcBorders>
          </w:tcPr>
          <w:p>
            <w:pPr>
              <w:ind w:left="900"/>
              <w:spacing w:after="0"/>
              <w:rPr>
                <w:sz w:val="20"/>
                <w:szCs w:val="20"/>
                <w:color w:val="auto"/>
              </w:rPr>
            </w:pPr>
            <w:r>
              <w:rPr>
                <w:rFonts w:ascii="Times New Roman" w:cs="Times New Roman" w:eastAsia="Times New Roman" w:hAnsi="Times New Roman"/>
                <w:sz w:val="18"/>
                <w:szCs w:val="18"/>
                <w:color w:val="auto"/>
              </w:rPr>
              <w:t>Total Plant and Equipment</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1,642,370,266</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1,478,357,509</w:t>
            </w:r>
          </w:p>
        </w:tc>
      </w:tr>
      <w:tr>
        <w:trPr>
          <w:trHeight w:val="355"/>
        </w:trPr>
        <w:tc>
          <w:tcPr>
            <w:tcW w:w="47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4CA5CD"/>
            </w:tcBorders>
          </w:tcPr>
          <w:p>
            <w:pPr>
              <w:spacing w:after="0"/>
              <w:rPr>
                <w:sz w:val="24"/>
                <w:szCs w:val="24"/>
                <w:color w:val="auto"/>
              </w:rPr>
            </w:pPr>
          </w:p>
        </w:tc>
        <w:tc>
          <w:tcPr>
            <w:tcW w:w="154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(989,492,594)</w:t>
            </w:r>
          </w:p>
        </w:tc>
        <w:tc>
          <w:tcPr>
            <w:tcW w:w="440" w:type="dxa"/>
            <w:vAlign w:val="bottom"/>
            <w:tcBorders>
              <w:bottom w:val="single" w:sz="8" w:color="4CA5CD"/>
            </w:tcBorders>
          </w:tcPr>
          <w:p>
            <w:pPr>
              <w:spacing w:after="0"/>
              <w:rPr>
                <w:sz w:val="24"/>
                <w:szCs w:val="24"/>
                <w:color w:val="auto"/>
              </w:rPr>
            </w:pP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(928,324,473)</w:t>
            </w:r>
          </w:p>
        </w:tc>
      </w:tr>
      <w:tr>
        <w:trPr>
          <w:trHeight w:val="325"/>
        </w:trPr>
        <w:tc>
          <w:tcPr>
            <w:tcW w:w="4780" w:type="dxa"/>
            <w:vAlign w:val="bottom"/>
            <w:tcBorders>
              <w:bottom w:val="single" w:sz="8" w:color="808080"/>
            </w:tcBorders>
          </w:tcPr>
          <w:p>
            <w:pPr>
              <w:ind w:left="900"/>
              <w:spacing w:after="0"/>
              <w:rPr>
                <w:sz w:val="20"/>
                <w:szCs w:val="20"/>
                <w:color w:val="auto"/>
              </w:rPr>
            </w:pPr>
            <w:r>
              <w:rPr>
                <w:rFonts w:ascii="Times New Roman" w:cs="Times New Roman" w:eastAsia="Times New Roman" w:hAnsi="Times New Roman"/>
                <w:sz w:val="18"/>
                <w:szCs w:val="18"/>
                <w:color w:val="auto"/>
              </w:rPr>
              <w:t>Net Plant and Equipment</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652,877,672</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550,033,036</w:t>
            </w:r>
          </w:p>
        </w:tc>
      </w:tr>
      <w:tr>
        <w:trPr>
          <w:trHeight w:val="273"/>
        </w:trPr>
        <w:tc>
          <w:tcPr>
            <w:tcW w:w="4780" w:type="dxa"/>
            <w:vAlign w:val="bottom"/>
          </w:tcPr>
          <w:p>
            <w:pPr>
              <w:spacing w:after="0"/>
              <w:rPr>
                <w:sz w:val="20"/>
                <w:szCs w:val="20"/>
                <w:color w:val="auto"/>
              </w:rPr>
            </w:pPr>
            <w:r>
              <w:rPr>
                <w:rFonts w:ascii="Arial" w:cs="Arial" w:eastAsia="Arial" w:hAnsi="Arial"/>
                <w:sz w:val="17"/>
                <w:szCs w:val="17"/>
                <w:b w:val="1"/>
                <w:bCs w:val="1"/>
                <w:color w:val="808080"/>
              </w:rPr>
              <w:t>OTHER ASSETS:</w:t>
            </w:r>
          </w:p>
        </w:tc>
        <w:tc>
          <w:tcPr>
            <w:tcW w:w="1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67"/>
        </w:trPr>
        <w:tc>
          <w:tcPr>
            <w:tcW w:w="4780" w:type="dxa"/>
            <w:vAlign w:val="bottom"/>
            <w:tcBorders>
              <w:bottom w:val="single" w:sz="8" w:color="808080"/>
            </w:tcBorders>
          </w:tcPr>
          <w:p>
            <w:pPr>
              <w:spacing w:after="0"/>
              <w:rPr>
                <w:sz w:val="5"/>
                <w:szCs w:val="5"/>
                <w:color w:val="auto"/>
              </w:rPr>
            </w:pPr>
          </w:p>
        </w:tc>
        <w:tc>
          <w:tcPr>
            <w:tcW w:w="18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54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40" w:type="dxa"/>
            <w:vAlign w:val="bottom"/>
            <w:tcBorders>
              <w:bottom w:val="single" w:sz="8" w:color="808080"/>
            </w:tcBorders>
          </w:tcPr>
          <w:p>
            <w:pPr>
              <w:spacing w:after="0"/>
              <w:rPr>
                <w:sz w:val="5"/>
                <w:szCs w:val="5"/>
                <w:color w:val="auto"/>
              </w:rPr>
            </w:pPr>
          </w:p>
        </w:tc>
      </w:tr>
      <w:tr>
        <w:trPr>
          <w:trHeight w:val="340"/>
        </w:trPr>
        <w:tc>
          <w:tcPr>
            <w:tcW w:w="47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340,105,631</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313,807,494</w:t>
            </w:r>
          </w:p>
        </w:tc>
      </w:tr>
      <w:tr>
        <w:trPr>
          <w:trHeight w:val="340"/>
        </w:trPr>
        <w:tc>
          <w:tcPr>
            <w:tcW w:w="47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Long-term investments</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299,080,876</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202,331,983</w:t>
            </w:r>
          </w:p>
        </w:tc>
      </w:tr>
      <w:tr>
        <w:trPr>
          <w:trHeight w:val="340"/>
        </w:trPr>
        <w:tc>
          <w:tcPr>
            <w:tcW w:w="47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214,005,910</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219,360,910</w:t>
            </w:r>
          </w:p>
        </w:tc>
      </w:tr>
      <w:tr>
        <w:trPr>
          <w:trHeight w:val="340"/>
        </w:trPr>
        <w:tc>
          <w:tcPr>
            <w:tcW w:w="47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Deferred tax asset</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90"/>
              <w:spacing w:after="0"/>
              <w:rPr>
                <w:sz w:val="20"/>
                <w:szCs w:val="20"/>
                <w:color w:val="auto"/>
              </w:rPr>
            </w:pPr>
            <w:r>
              <w:rPr>
                <w:rFonts w:ascii="Times New Roman" w:cs="Times New Roman" w:eastAsia="Times New Roman" w:hAnsi="Times New Roman"/>
                <w:sz w:val="18"/>
                <w:szCs w:val="18"/>
                <w:color w:val="auto"/>
              </w:rPr>
              <w:t>41,113,759</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25,528,700</w:t>
            </w:r>
          </w:p>
        </w:tc>
      </w:tr>
      <w:tr>
        <w:trPr>
          <w:trHeight w:val="355"/>
        </w:trPr>
        <w:tc>
          <w:tcPr>
            <w:tcW w:w="47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Patents and other assets, net</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4CA5CD"/>
            </w:tcBorders>
          </w:tcPr>
          <w:p>
            <w:pPr>
              <w:spacing w:after="0"/>
              <w:rPr>
                <w:sz w:val="24"/>
                <w:szCs w:val="24"/>
                <w:color w:val="auto"/>
              </w:rPr>
            </w:pPr>
          </w:p>
        </w:tc>
        <w:tc>
          <w:tcPr>
            <w:tcW w:w="1540" w:type="dxa"/>
            <w:vAlign w:val="bottom"/>
            <w:tcBorders>
              <w:bottom w:val="single" w:sz="8" w:color="4CA5CD"/>
            </w:tcBorders>
          </w:tcPr>
          <w:p>
            <w:pPr>
              <w:jc w:val="right"/>
              <w:ind w:right="190"/>
              <w:spacing w:after="0"/>
              <w:rPr>
                <w:sz w:val="20"/>
                <w:szCs w:val="20"/>
                <w:color w:val="auto"/>
              </w:rPr>
            </w:pPr>
            <w:r>
              <w:rPr>
                <w:rFonts w:ascii="Times New Roman" w:cs="Times New Roman" w:eastAsia="Times New Roman" w:hAnsi="Times New Roman"/>
                <w:sz w:val="18"/>
                <w:szCs w:val="18"/>
                <w:color w:val="auto"/>
              </w:rPr>
              <w:t>66,515,551</w:t>
            </w:r>
          </w:p>
        </w:tc>
        <w:tc>
          <w:tcPr>
            <w:tcW w:w="440" w:type="dxa"/>
            <w:vAlign w:val="bottom"/>
            <w:tcBorders>
              <w:bottom w:val="single" w:sz="8" w:color="4CA5CD"/>
            </w:tcBorders>
          </w:tcPr>
          <w:p>
            <w:pPr>
              <w:spacing w:after="0"/>
              <w:rPr>
                <w:sz w:val="24"/>
                <w:szCs w:val="24"/>
                <w:color w:val="auto"/>
              </w:rPr>
            </w:pP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67,515,425</w:t>
            </w:r>
          </w:p>
        </w:tc>
      </w:tr>
      <w:tr>
        <w:trPr>
          <w:trHeight w:val="320"/>
        </w:trPr>
        <w:tc>
          <w:tcPr>
            <w:tcW w:w="4780" w:type="dxa"/>
            <w:vAlign w:val="bottom"/>
            <w:tcBorders>
              <w:bottom w:val="single" w:sz="8" w:color="808080"/>
            </w:tcBorders>
          </w:tcPr>
          <w:p>
            <w:pPr>
              <w:ind w:left="900"/>
              <w:spacing w:after="0"/>
              <w:rPr>
                <w:sz w:val="20"/>
                <w:szCs w:val="20"/>
                <w:color w:val="auto"/>
              </w:rPr>
            </w:pPr>
            <w:r>
              <w:rPr>
                <w:rFonts w:ascii="Times New Roman" w:cs="Times New Roman" w:eastAsia="Times New Roman" w:hAnsi="Times New Roman"/>
                <w:sz w:val="18"/>
                <w:szCs w:val="18"/>
                <w:color w:val="auto"/>
              </w:rPr>
              <w:t>Total Other Assets</w:t>
            </w:r>
          </w:p>
        </w:tc>
        <w:tc>
          <w:tcPr>
            <w:tcW w:w="1880" w:type="dxa"/>
            <w:vAlign w:val="bottom"/>
            <w:tcBorders>
              <w:bottom w:val="single" w:sz="8" w:color="808080"/>
            </w:tcBorders>
          </w:tcPr>
          <w:p>
            <w:pPr>
              <w:spacing w:after="0"/>
              <w:rPr>
                <w:sz w:val="24"/>
                <w:szCs w:val="24"/>
                <w:color w:val="auto"/>
              </w:rPr>
            </w:pPr>
          </w:p>
        </w:tc>
        <w:tc>
          <w:tcPr>
            <w:tcW w:w="360" w:type="dxa"/>
            <w:vAlign w:val="bottom"/>
            <w:tcBorders>
              <w:bottom w:val="single" w:sz="8" w:color="4CA5CD"/>
            </w:tcBorders>
          </w:tcPr>
          <w:p>
            <w:pPr>
              <w:spacing w:after="0"/>
              <w:rPr>
                <w:sz w:val="24"/>
                <w:szCs w:val="24"/>
                <w:color w:val="auto"/>
              </w:rPr>
            </w:pPr>
          </w:p>
        </w:tc>
        <w:tc>
          <w:tcPr>
            <w:tcW w:w="154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960,821,727</w:t>
            </w:r>
          </w:p>
        </w:tc>
        <w:tc>
          <w:tcPr>
            <w:tcW w:w="440" w:type="dxa"/>
            <w:vAlign w:val="bottom"/>
            <w:tcBorders>
              <w:bottom w:val="single" w:sz="8" w:color="4CA5CD"/>
            </w:tcBorders>
          </w:tcPr>
          <w:p>
            <w:pPr>
              <w:spacing w:after="0"/>
              <w:rPr>
                <w:sz w:val="24"/>
                <w:szCs w:val="24"/>
                <w:color w:val="auto"/>
              </w:rPr>
            </w:pP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828,544,512</w:t>
            </w:r>
          </w:p>
        </w:tc>
      </w:tr>
      <w:tr>
        <w:trPr>
          <w:trHeight w:val="350"/>
        </w:trPr>
        <w:tc>
          <w:tcPr>
            <w:tcW w:w="4780" w:type="dxa"/>
            <w:vAlign w:val="bottom"/>
          </w:tcPr>
          <w:p>
            <w:pPr>
              <w:spacing w:after="0"/>
              <w:rPr>
                <w:sz w:val="20"/>
                <w:szCs w:val="20"/>
                <w:color w:val="auto"/>
              </w:rPr>
            </w:pPr>
            <w:r>
              <w:rPr>
                <w:rFonts w:ascii="Arial" w:cs="Arial" w:eastAsia="Arial" w:hAnsi="Arial"/>
                <w:sz w:val="17"/>
                <w:szCs w:val="17"/>
                <w:b w:val="1"/>
                <w:bCs w:val="1"/>
                <w:color w:val="808080"/>
              </w:rPr>
              <w:t>TOTAL ASSETS</w:t>
            </w:r>
          </w:p>
        </w:tc>
        <w:tc>
          <w:tcPr>
            <w:tcW w:w="1880" w:type="dxa"/>
            <w:vAlign w:val="bottom"/>
          </w:tcPr>
          <w:p>
            <w:pPr>
              <w:spacing w:after="0"/>
              <w:rPr>
                <w:sz w:val="24"/>
                <w:szCs w:val="24"/>
                <w:color w:val="auto"/>
              </w:rPr>
            </w:pPr>
          </w:p>
        </w:tc>
        <w:tc>
          <w:tcPr>
            <w:tcW w:w="360" w:type="dxa"/>
            <w:vAlign w:val="bottom"/>
            <w:tcBorders>
              <w:bottom w:val="single" w:sz="8" w:color="4CA5CD"/>
            </w:tcBorders>
          </w:tcPr>
          <w:p>
            <w:pPr>
              <w:spacing w:after="0"/>
              <w:rPr>
                <w:sz w:val="24"/>
                <w:szCs w:val="24"/>
                <w:color w:val="auto"/>
              </w:rPr>
            </w:pPr>
          </w:p>
        </w:tc>
        <w:tc>
          <w:tcPr>
            <w:tcW w:w="154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$ 2,611,437,552</w:t>
            </w:r>
          </w:p>
        </w:tc>
        <w:tc>
          <w:tcPr>
            <w:tcW w:w="440" w:type="dxa"/>
            <w:vAlign w:val="bottom"/>
            <w:tcBorders>
              <w:bottom w:val="single" w:sz="8" w:color="4CA5CD"/>
            </w:tcBorders>
          </w:tcPr>
          <w:p>
            <w:pPr>
              <w:spacing w:after="0"/>
              <w:rPr>
                <w:sz w:val="24"/>
                <w:szCs w:val="24"/>
                <w:color w:val="auto"/>
              </w:rPr>
            </w:pP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$ 2,327,229,924</w:t>
            </w:r>
          </w:p>
        </w:tc>
      </w:tr>
    </w:tbl>
    <w:p>
      <w:pPr>
        <w:spacing w:after="0" w:line="200" w:lineRule="exact"/>
        <w:rPr>
          <w:sz w:val="20"/>
          <w:szCs w:val="20"/>
          <w:color w:val="auto"/>
        </w:rPr>
      </w:pPr>
    </w:p>
    <w:p>
      <w:pPr>
        <w:sectPr>
          <w:pgSz w:w="12240" w:h="15840" w:orient="portrait"/>
          <w:cols w:equalWidth="0" w:num="1">
            <w:col w:w="10760"/>
          </w:cols>
          <w:pgMar w:left="580" w:top="84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60</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46" w:right="900" w:bottom="0" w:gutter="0" w:footer="0" w:header="0"/>
          <w:type w:val="continuous"/>
        </w:sectPr>
      </w:pPr>
    </w:p>
    <w:bookmarkStart w:id="60" w:name="page61"/>
    <w:bookmarkEnd w:id="60"/>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662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4CA5CD"/>
              </w:rPr>
              <w:t>LIABILITIES AND SHAREHOLDERS’ INVESTMENT</w:t>
            </w:r>
          </w:p>
        </w:tc>
        <w:tc>
          <w:tcPr>
            <w:tcW w:w="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3"/>
        </w:trPr>
        <w:tc>
          <w:tcPr>
            <w:tcW w:w="6620" w:type="dxa"/>
            <w:vAlign w:val="bottom"/>
          </w:tcPr>
          <w:p>
            <w:pPr>
              <w:spacing w:after="0"/>
              <w:rPr>
                <w:sz w:val="20"/>
                <w:szCs w:val="20"/>
                <w:color w:val="auto"/>
              </w:rPr>
            </w:pPr>
            <w:r>
              <w:rPr>
                <w:rFonts w:ascii="Arial" w:cs="Arial" w:eastAsia="Arial" w:hAnsi="Arial"/>
                <w:sz w:val="17"/>
                <w:szCs w:val="17"/>
                <w:b w:val="1"/>
                <w:bCs w:val="1"/>
                <w:color w:val="808080"/>
              </w:rPr>
              <w:t>CURRENT LIABILITIES:</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66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54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662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Borders>
              <w:bottom w:val="single" w:sz="8" w:color="808080"/>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184,398,820</w:t>
            </w:r>
          </w:p>
        </w:tc>
        <w:tc>
          <w:tcPr>
            <w:tcW w:w="440" w:type="dxa"/>
            <w:vAlign w:val="bottom"/>
            <w:tcBorders>
              <w:bottom w:val="single" w:sz="8" w:color="808080"/>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151,740,046</w:t>
            </w:r>
          </w:p>
        </w:tc>
        <w:tc>
          <w:tcPr>
            <w:tcW w:w="0" w:type="dxa"/>
            <w:vAlign w:val="bottom"/>
          </w:tcPr>
          <w:p>
            <w:pPr>
              <w:spacing w:after="0"/>
              <w:rPr>
                <w:sz w:val="1"/>
                <w:szCs w:val="1"/>
                <w:color w:val="auto"/>
              </w:rPr>
            </w:pPr>
          </w:p>
        </w:tc>
      </w:tr>
      <w:tr>
        <w:trPr>
          <w:trHeight w:val="340"/>
        </w:trPr>
        <w:tc>
          <w:tcPr>
            <w:tcW w:w="662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2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Salaries, wages and vacation</w:t>
            </w:r>
          </w:p>
        </w:tc>
        <w:tc>
          <w:tcPr>
            <w:tcW w:w="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22,725,631</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17,517,580</w:t>
            </w:r>
          </w:p>
        </w:tc>
        <w:tc>
          <w:tcPr>
            <w:tcW w:w="0" w:type="dxa"/>
            <w:vAlign w:val="bottom"/>
          </w:tcPr>
          <w:p>
            <w:pPr>
              <w:spacing w:after="0"/>
              <w:rPr>
                <w:sz w:val="1"/>
                <w:szCs w:val="1"/>
                <w:color w:val="auto"/>
              </w:rPr>
            </w:pPr>
          </w:p>
        </w:tc>
      </w:tr>
      <w:tr>
        <w:trPr>
          <w:trHeight w:val="340"/>
        </w:trPr>
        <w:tc>
          <w:tcPr>
            <w:tcW w:w="662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Income taxes</w:t>
            </w:r>
          </w:p>
        </w:tc>
        <w:tc>
          <w:tcPr>
            <w:tcW w:w="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693,391</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18,726,857</w:t>
            </w:r>
          </w:p>
        </w:tc>
        <w:tc>
          <w:tcPr>
            <w:tcW w:w="0" w:type="dxa"/>
            <w:vAlign w:val="bottom"/>
          </w:tcPr>
          <w:p>
            <w:pPr>
              <w:spacing w:after="0"/>
              <w:rPr>
                <w:sz w:val="1"/>
                <w:szCs w:val="1"/>
                <w:color w:val="auto"/>
              </w:rPr>
            </w:pPr>
          </w:p>
        </w:tc>
      </w:tr>
      <w:tr>
        <w:trPr>
          <w:trHeight w:val="340"/>
        </w:trPr>
        <w:tc>
          <w:tcPr>
            <w:tcW w:w="662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Royalties</w:t>
            </w:r>
          </w:p>
        </w:tc>
        <w:tc>
          <w:tcPr>
            <w:tcW w:w="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20,898,949</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19,208,411</w:t>
            </w:r>
          </w:p>
        </w:tc>
        <w:tc>
          <w:tcPr>
            <w:tcW w:w="0" w:type="dxa"/>
            <w:vAlign w:val="bottom"/>
          </w:tcPr>
          <w:p>
            <w:pPr>
              <w:spacing w:after="0"/>
              <w:rPr>
                <w:sz w:val="1"/>
                <w:szCs w:val="1"/>
                <w:color w:val="auto"/>
              </w:rPr>
            </w:pPr>
          </w:p>
        </w:tc>
      </w:tr>
      <w:tr>
        <w:trPr>
          <w:trHeight w:val="340"/>
        </w:trPr>
        <w:tc>
          <w:tcPr>
            <w:tcW w:w="662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Dividends payable</w:t>
            </w:r>
          </w:p>
        </w:tc>
        <w:tc>
          <w:tcPr>
            <w:tcW w:w="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27,774,653</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28,100,320</w:t>
            </w:r>
          </w:p>
        </w:tc>
        <w:tc>
          <w:tcPr>
            <w:tcW w:w="0" w:type="dxa"/>
            <w:vAlign w:val="bottom"/>
          </w:tcPr>
          <w:p>
            <w:pPr>
              <w:spacing w:after="0"/>
              <w:rPr>
                <w:sz w:val="1"/>
                <w:szCs w:val="1"/>
                <w:color w:val="auto"/>
              </w:rPr>
            </w:pPr>
          </w:p>
        </w:tc>
      </w:tr>
      <w:tr>
        <w:trPr>
          <w:trHeight w:val="355"/>
        </w:trPr>
        <w:tc>
          <w:tcPr>
            <w:tcW w:w="662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808080"/>
            </w:tcBorders>
          </w:tcPr>
          <w:p>
            <w:pPr>
              <w:spacing w:after="0"/>
              <w:rPr>
                <w:sz w:val="24"/>
                <w:szCs w:val="24"/>
                <w:color w:val="auto"/>
              </w:rPr>
            </w:pPr>
          </w:p>
        </w:tc>
        <w:tc>
          <w:tcPr>
            <w:tcW w:w="360" w:type="dxa"/>
            <w:vAlign w:val="bottom"/>
            <w:tcBorders>
              <w:bottom w:val="single" w:sz="8" w:color="4CA5CD"/>
            </w:tcBorders>
          </w:tcPr>
          <w:p>
            <w:pPr>
              <w:spacing w:after="0"/>
              <w:rPr>
                <w:sz w:val="24"/>
                <w:szCs w:val="24"/>
                <w:color w:val="auto"/>
              </w:rPr>
            </w:pPr>
          </w:p>
        </w:tc>
        <w:tc>
          <w:tcPr>
            <w:tcW w:w="154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15,117,532</w:t>
            </w:r>
          </w:p>
        </w:tc>
        <w:tc>
          <w:tcPr>
            <w:tcW w:w="440" w:type="dxa"/>
            <w:vAlign w:val="bottom"/>
            <w:tcBorders>
              <w:bottom w:val="single" w:sz="8" w:color="4CA5CD"/>
            </w:tcBorders>
          </w:tcPr>
          <w:p>
            <w:pPr>
              <w:spacing w:after="0"/>
              <w:rPr>
                <w:sz w:val="24"/>
                <w:szCs w:val="24"/>
                <w:color w:val="auto"/>
              </w:rPr>
            </w:pP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15,259,538</w:t>
            </w:r>
          </w:p>
        </w:tc>
        <w:tc>
          <w:tcPr>
            <w:tcW w:w="0" w:type="dxa"/>
            <w:vAlign w:val="bottom"/>
          </w:tcPr>
          <w:p>
            <w:pPr>
              <w:spacing w:after="0"/>
              <w:rPr>
                <w:sz w:val="1"/>
                <w:szCs w:val="1"/>
                <w:color w:val="auto"/>
              </w:rPr>
            </w:pPr>
          </w:p>
        </w:tc>
      </w:tr>
      <w:tr>
        <w:trPr>
          <w:trHeight w:val="325"/>
        </w:trPr>
        <w:tc>
          <w:tcPr>
            <w:tcW w:w="6620" w:type="dxa"/>
            <w:vAlign w:val="bottom"/>
            <w:tcBorders>
              <w:bottom w:val="single" w:sz="8" w:color="808080"/>
            </w:tcBorders>
          </w:tcPr>
          <w:p>
            <w:pPr>
              <w:ind w:left="9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271,608,976</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250,552,752</w:t>
            </w:r>
          </w:p>
        </w:tc>
        <w:tc>
          <w:tcPr>
            <w:tcW w:w="0" w:type="dxa"/>
            <w:vAlign w:val="bottom"/>
          </w:tcPr>
          <w:p>
            <w:pPr>
              <w:spacing w:after="0"/>
              <w:rPr>
                <w:sz w:val="1"/>
                <w:szCs w:val="1"/>
                <w:color w:val="auto"/>
              </w:rPr>
            </w:pPr>
          </w:p>
        </w:tc>
      </w:tr>
      <w:tr>
        <w:trPr>
          <w:trHeight w:val="355"/>
        </w:trPr>
        <w:tc>
          <w:tcPr>
            <w:tcW w:w="662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OTHER NON-CURRENT LIABILITIES</w:t>
            </w:r>
          </w:p>
        </w:tc>
        <w:tc>
          <w:tcPr>
            <w:tcW w:w="40" w:type="dxa"/>
            <w:vAlign w:val="bottom"/>
            <w:tcBorders>
              <w:bottom w:val="single" w:sz="8" w:color="808080"/>
            </w:tcBorders>
          </w:tcPr>
          <w:p>
            <w:pPr>
              <w:spacing w:after="0"/>
              <w:rPr>
                <w:sz w:val="24"/>
                <w:szCs w:val="24"/>
                <w:color w:val="auto"/>
              </w:rPr>
            </w:pPr>
          </w:p>
        </w:tc>
        <w:tc>
          <w:tcPr>
            <w:tcW w:w="360" w:type="dxa"/>
            <w:vAlign w:val="bottom"/>
            <w:tcBorders>
              <w:bottom w:val="single" w:sz="8" w:color="4CA5CD"/>
            </w:tcBorders>
          </w:tcPr>
          <w:p>
            <w:pPr>
              <w:spacing w:after="0"/>
              <w:rPr>
                <w:sz w:val="24"/>
                <w:szCs w:val="24"/>
                <w:color w:val="auto"/>
              </w:rPr>
            </w:pPr>
          </w:p>
        </w:tc>
        <w:tc>
          <w:tcPr>
            <w:tcW w:w="154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27,311,507</w:t>
            </w:r>
          </w:p>
        </w:tc>
        <w:tc>
          <w:tcPr>
            <w:tcW w:w="440" w:type="dxa"/>
            <w:vAlign w:val="bottom"/>
            <w:tcBorders>
              <w:bottom w:val="single" w:sz="8" w:color="4CA5CD"/>
            </w:tcBorders>
          </w:tcPr>
          <w:p>
            <w:pPr>
              <w:spacing w:after="0"/>
              <w:rPr>
                <w:sz w:val="24"/>
                <w:szCs w:val="24"/>
                <w:color w:val="auto"/>
              </w:rPr>
            </w:pP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10,884,351</w:t>
            </w:r>
          </w:p>
        </w:tc>
        <w:tc>
          <w:tcPr>
            <w:tcW w:w="0" w:type="dxa"/>
            <w:vAlign w:val="bottom"/>
          </w:tcPr>
          <w:p>
            <w:pPr>
              <w:spacing w:after="0"/>
              <w:rPr>
                <w:sz w:val="1"/>
                <w:szCs w:val="1"/>
                <w:color w:val="auto"/>
              </w:rPr>
            </w:pPr>
          </w:p>
        </w:tc>
      </w:tr>
      <w:tr>
        <w:trPr>
          <w:trHeight w:val="325"/>
        </w:trPr>
        <w:tc>
          <w:tcPr>
            <w:tcW w:w="662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TOTAL LIABILITIES</w:t>
            </w:r>
          </w:p>
        </w:tc>
        <w:tc>
          <w:tcPr>
            <w:tcW w:w="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298,920,483</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261,437,103</w:t>
            </w:r>
          </w:p>
        </w:tc>
        <w:tc>
          <w:tcPr>
            <w:tcW w:w="0" w:type="dxa"/>
            <w:vAlign w:val="bottom"/>
          </w:tcPr>
          <w:p>
            <w:pPr>
              <w:spacing w:after="0"/>
              <w:rPr>
                <w:sz w:val="1"/>
                <w:szCs w:val="1"/>
                <w:color w:val="auto"/>
              </w:rPr>
            </w:pPr>
          </w:p>
        </w:tc>
      </w:tr>
      <w:tr>
        <w:trPr>
          <w:trHeight w:val="273"/>
        </w:trPr>
        <w:tc>
          <w:tcPr>
            <w:tcW w:w="6620" w:type="dxa"/>
            <w:vAlign w:val="bottom"/>
          </w:tcPr>
          <w:p>
            <w:pPr>
              <w:spacing w:after="0"/>
              <w:rPr>
                <w:sz w:val="20"/>
                <w:szCs w:val="20"/>
                <w:color w:val="auto"/>
              </w:rPr>
            </w:pPr>
            <w:r>
              <w:rPr>
                <w:rFonts w:ascii="Arial" w:cs="Arial" w:eastAsia="Arial" w:hAnsi="Arial"/>
                <w:sz w:val="17"/>
                <w:szCs w:val="17"/>
                <w:b w:val="1"/>
                <w:bCs w:val="1"/>
                <w:color w:val="808080"/>
              </w:rPr>
              <w:t>SHAREHOLDERS’ INVESTMENT:</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66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54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par value 0.06 per share; 400,000,000 shares authorized; 231,455,443</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13,887,326</w:t>
            </w:r>
          </w:p>
        </w:tc>
        <w:tc>
          <w:tcPr>
            <w:tcW w:w="440" w:type="dxa"/>
            <w:vAlign w:val="bottom"/>
          </w:tcPr>
          <w:p>
            <w:pPr>
              <w:spacing w:after="0"/>
              <w:rPr>
                <w:sz w:val="22"/>
                <w:szCs w:val="2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14,050,160</w:t>
            </w:r>
          </w:p>
        </w:tc>
        <w:tc>
          <w:tcPr>
            <w:tcW w:w="0" w:type="dxa"/>
            <w:vAlign w:val="bottom"/>
          </w:tcPr>
          <w:p>
            <w:pPr>
              <w:spacing w:after="0"/>
              <w:rPr>
                <w:sz w:val="1"/>
                <w:szCs w:val="1"/>
                <w:color w:val="auto"/>
              </w:rPr>
            </w:pPr>
          </w:p>
        </w:tc>
      </w:tr>
      <w:tr>
        <w:trPr>
          <w:trHeight w:val="180"/>
        </w:trPr>
        <w:tc>
          <w:tcPr>
            <w:tcW w:w="6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and 234,169,335 shares issued and outstanding in 2023 and 2022 respectively.</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6620" w:type="dxa"/>
            <w:vAlign w:val="bottom"/>
            <w:tcBorders>
              <w:bottom w:val="single" w:sz="8" w:color="808080"/>
            </w:tcBorders>
            <w:vMerge w:val="continue"/>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54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662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968,245,875</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917,499,323</w:t>
            </w:r>
          </w:p>
        </w:tc>
        <w:tc>
          <w:tcPr>
            <w:tcW w:w="0" w:type="dxa"/>
            <w:vAlign w:val="bottom"/>
          </w:tcPr>
          <w:p>
            <w:pPr>
              <w:spacing w:after="0"/>
              <w:rPr>
                <w:sz w:val="1"/>
                <w:szCs w:val="1"/>
                <w:color w:val="auto"/>
              </w:rPr>
            </w:pPr>
          </w:p>
        </w:tc>
      </w:tr>
      <w:tr>
        <w:trPr>
          <w:trHeight w:val="340"/>
        </w:trPr>
        <w:tc>
          <w:tcPr>
            <w:tcW w:w="662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1,336,940,990</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1,148,386,272</w:t>
            </w:r>
          </w:p>
        </w:tc>
        <w:tc>
          <w:tcPr>
            <w:tcW w:w="0" w:type="dxa"/>
            <w:vAlign w:val="bottom"/>
          </w:tcPr>
          <w:p>
            <w:pPr>
              <w:spacing w:after="0"/>
              <w:rPr>
                <w:sz w:val="1"/>
                <w:szCs w:val="1"/>
                <w:color w:val="auto"/>
              </w:rPr>
            </w:pPr>
          </w:p>
        </w:tc>
      </w:tr>
      <w:tr>
        <w:trPr>
          <w:trHeight w:val="340"/>
        </w:trPr>
        <w:tc>
          <w:tcPr>
            <w:tcW w:w="662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20" w:type="dxa"/>
            <w:vAlign w:val="bottom"/>
            <w:tcBorders>
              <w:bottom w:val="single" w:sz="8" w:color="808080"/>
            </w:tcBorders>
          </w:tcPr>
          <w:p>
            <w:pPr>
              <w:ind w:left="900"/>
              <w:spacing w:after="0"/>
              <w:rPr>
                <w:sz w:val="20"/>
                <w:szCs w:val="20"/>
                <w:color w:val="auto"/>
              </w:rPr>
            </w:pPr>
            <w:r>
              <w:rPr>
                <w:rFonts w:ascii="Times New Roman" w:cs="Times New Roman" w:eastAsia="Times New Roman" w:hAnsi="Times New Roman"/>
                <w:sz w:val="18"/>
                <w:szCs w:val="18"/>
                <w:color w:val="auto"/>
              </w:rPr>
              <w:t>Unrealized loss on investments, net</w:t>
            </w:r>
          </w:p>
        </w:tc>
        <w:tc>
          <w:tcPr>
            <w:tcW w:w="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(2,022,403)</w:t>
            </w:r>
          </w:p>
        </w:tc>
        <w:tc>
          <w:tcPr>
            <w:tcW w:w="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(10,110,695)</w:t>
            </w:r>
          </w:p>
        </w:tc>
        <w:tc>
          <w:tcPr>
            <w:tcW w:w="0" w:type="dxa"/>
            <w:vAlign w:val="bottom"/>
          </w:tcPr>
          <w:p>
            <w:pPr>
              <w:spacing w:after="0"/>
              <w:rPr>
                <w:sz w:val="1"/>
                <w:szCs w:val="1"/>
                <w:color w:val="auto"/>
              </w:rPr>
            </w:pPr>
          </w:p>
        </w:tc>
      </w:tr>
      <w:tr>
        <w:trPr>
          <w:trHeight w:val="355"/>
        </w:trPr>
        <w:tc>
          <w:tcPr>
            <w:tcW w:w="6620" w:type="dxa"/>
            <w:vAlign w:val="bottom"/>
            <w:tcBorders>
              <w:bottom w:val="single" w:sz="8" w:color="808080"/>
            </w:tcBorders>
          </w:tcPr>
          <w:p>
            <w:pPr>
              <w:ind w:left="90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40" w:type="dxa"/>
            <w:vAlign w:val="bottom"/>
            <w:tcBorders>
              <w:bottom w:val="single" w:sz="8" w:color="808080"/>
            </w:tcBorders>
          </w:tcPr>
          <w:p>
            <w:pPr>
              <w:spacing w:after="0"/>
              <w:rPr>
                <w:sz w:val="24"/>
                <w:szCs w:val="24"/>
                <w:color w:val="auto"/>
              </w:rPr>
            </w:pPr>
          </w:p>
        </w:tc>
        <w:tc>
          <w:tcPr>
            <w:tcW w:w="360" w:type="dxa"/>
            <w:vAlign w:val="bottom"/>
            <w:tcBorders>
              <w:bottom w:val="single" w:sz="8" w:color="4CA5CD"/>
            </w:tcBorders>
          </w:tcPr>
          <w:p>
            <w:pPr>
              <w:spacing w:after="0"/>
              <w:rPr>
                <w:sz w:val="24"/>
                <w:szCs w:val="24"/>
                <w:color w:val="auto"/>
              </w:rPr>
            </w:pPr>
          </w:p>
        </w:tc>
        <w:tc>
          <w:tcPr>
            <w:tcW w:w="154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(4,534,719)</w:t>
            </w:r>
          </w:p>
        </w:tc>
        <w:tc>
          <w:tcPr>
            <w:tcW w:w="440" w:type="dxa"/>
            <w:vAlign w:val="bottom"/>
            <w:tcBorders>
              <w:bottom w:val="single" w:sz="8" w:color="4CA5CD"/>
            </w:tcBorders>
          </w:tcPr>
          <w:p>
            <w:pPr>
              <w:spacing w:after="0"/>
              <w:rPr>
                <w:sz w:val="24"/>
                <w:szCs w:val="24"/>
                <w:color w:val="auto"/>
              </w:rPr>
            </w:pP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(4,032,239)</w:t>
            </w:r>
          </w:p>
        </w:tc>
        <w:tc>
          <w:tcPr>
            <w:tcW w:w="0" w:type="dxa"/>
            <w:vAlign w:val="bottom"/>
          </w:tcPr>
          <w:p>
            <w:pPr>
              <w:spacing w:after="0"/>
              <w:rPr>
                <w:sz w:val="1"/>
                <w:szCs w:val="1"/>
                <w:color w:val="auto"/>
              </w:rPr>
            </w:pPr>
          </w:p>
        </w:tc>
      </w:tr>
      <w:tr>
        <w:trPr>
          <w:trHeight w:val="320"/>
        </w:trPr>
        <w:tc>
          <w:tcPr>
            <w:tcW w:w="6620" w:type="dxa"/>
            <w:vAlign w:val="bottom"/>
            <w:tcBorders>
              <w:bottom w:val="single" w:sz="8" w:color="808080"/>
            </w:tcBorders>
          </w:tcPr>
          <w:p>
            <w:pPr>
              <w:ind w:left="1440"/>
              <w:spacing w:after="0"/>
              <w:rPr>
                <w:sz w:val="20"/>
                <w:szCs w:val="20"/>
                <w:color w:val="auto"/>
              </w:rPr>
            </w:pPr>
            <w:r>
              <w:rPr>
                <w:rFonts w:ascii="Times New Roman" w:cs="Times New Roman" w:eastAsia="Times New Roman" w:hAnsi="Times New Roman"/>
                <w:sz w:val="18"/>
                <w:szCs w:val="18"/>
                <w:color w:val="auto"/>
              </w:rPr>
              <w:t>Total shareholders’ investment</w:t>
            </w:r>
          </w:p>
        </w:tc>
        <w:tc>
          <w:tcPr>
            <w:tcW w:w="40" w:type="dxa"/>
            <w:vAlign w:val="bottom"/>
            <w:tcBorders>
              <w:bottom w:val="single" w:sz="8" w:color="808080"/>
            </w:tcBorders>
          </w:tcPr>
          <w:p>
            <w:pPr>
              <w:spacing w:after="0"/>
              <w:rPr>
                <w:sz w:val="24"/>
                <w:szCs w:val="24"/>
                <w:color w:val="auto"/>
              </w:rPr>
            </w:pPr>
          </w:p>
        </w:tc>
        <w:tc>
          <w:tcPr>
            <w:tcW w:w="360" w:type="dxa"/>
            <w:vAlign w:val="bottom"/>
            <w:tcBorders>
              <w:bottom w:val="single" w:sz="8" w:color="4CA5CD"/>
            </w:tcBorders>
          </w:tcPr>
          <w:p>
            <w:pPr>
              <w:spacing w:after="0"/>
              <w:rPr>
                <w:sz w:val="24"/>
                <w:szCs w:val="24"/>
                <w:color w:val="auto"/>
              </w:rPr>
            </w:pPr>
          </w:p>
        </w:tc>
        <w:tc>
          <w:tcPr>
            <w:tcW w:w="154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2,312,517,069</w:t>
            </w:r>
          </w:p>
        </w:tc>
        <w:tc>
          <w:tcPr>
            <w:tcW w:w="440" w:type="dxa"/>
            <w:vAlign w:val="bottom"/>
            <w:tcBorders>
              <w:bottom w:val="single" w:sz="8" w:color="4CA5CD"/>
            </w:tcBorders>
          </w:tcPr>
          <w:p>
            <w:pPr>
              <w:spacing w:after="0"/>
              <w:rPr>
                <w:sz w:val="24"/>
                <w:szCs w:val="24"/>
                <w:color w:val="auto"/>
              </w:rPr>
            </w:pP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2,065,792,821</w:t>
            </w:r>
          </w:p>
        </w:tc>
        <w:tc>
          <w:tcPr>
            <w:tcW w:w="0" w:type="dxa"/>
            <w:vAlign w:val="bottom"/>
          </w:tcPr>
          <w:p>
            <w:pPr>
              <w:spacing w:after="0"/>
              <w:rPr>
                <w:sz w:val="1"/>
                <w:szCs w:val="1"/>
                <w:color w:val="auto"/>
              </w:rPr>
            </w:pPr>
          </w:p>
        </w:tc>
      </w:tr>
      <w:tr>
        <w:trPr>
          <w:trHeight w:val="330"/>
        </w:trPr>
        <w:tc>
          <w:tcPr>
            <w:tcW w:w="6620" w:type="dxa"/>
            <w:vAlign w:val="bottom"/>
          </w:tcPr>
          <w:p>
            <w:pPr>
              <w:spacing w:after="0"/>
              <w:rPr>
                <w:sz w:val="20"/>
                <w:szCs w:val="20"/>
                <w:color w:val="auto"/>
              </w:rPr>
            </w:pPr>
            <w:r>
              <w:rPr>
                <w:rFonts w:ascii="Arial" w:cs="Arial" w:eastAsia="Arial" w:hAnsi="Arial"/>
                <w:sz w:val="17"/>
                <w:szCs w:val="17"/>
                <w:b w:val="1"/>
                <w:bCs w:val="1"/>
                <w:color w:val="808080"/>
              </w:rPr>
              <w:t>TOTAL LIABILITIES AND SHAREHOLDERS’ INVESTMENT</w:t>
            </w:r>
          </w:p>
        </w:tc>
        <w:tc>
          <w:tcPr>
            <w:tcW w:w="40" w:type="dxa"/>
            <w:vAlign w:val="bottom"/>
          </w:tcPr>
          <w:p>
            <w:pPr>
              <w:spacing w:after="0"/>
              <w:rPr>
                <w:sz w:val="24"/>
                <w:szCs w:val="24"/>
                <w:color w:val="auto"/>
              </w:rPr>
            </w:pPr>
          </w:p>
        </w:tc>
        <w:tc>
          <w:tcPr>
            <w:tcW w:w="360" w:type="dxa"/>
            <w:vAlign w:val="bottom"/>
            <w:tcBorders>
              <w:bottom w:val="single" w:sz="8" w:color="4CA5CD"/>
            </w:tcBorders>
          </w:tcPr>
          <w:p>
            <w:pPr>
              <w:spacing w:after="0"/>
              <w:rPr>
                <w:sz w:val="24"/>
                <w:szCs w:val="24"/>
                <w:color w:val="auto"/>
              </w:rPr>
            </w:pPr>
          </w:p>
        </w:tc>
        <w:tc>
          <w:tcPr>
            <w:tcW w:w="154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$ 2,611,437,552</w:t>
            </w:r>
          </w:p>
        </w:tc>
        <w:tc>
          <w:tcPr>
            <w:tcW w:w="440" w:type="dxa"/>
            <w:vAlign w:val="bottom"/>
            <w:tcBorders>
              <w:bottom w:val="single" w:sz="8" w:color="4CA5CD"/>
            </w:tcBorders>
          </w:tcPr>
          <w:p>
            <w:pPr>
              <w:spacing w:after="0"/>
              <w:rPr>
                <w:sz w:val="24"/>
                <w:szCs w:val="24"/>
                <w:color w:val="auto"/>
              </w:rPr>
            </w:pP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$ 2,327,229,924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4CA5CD"/>
            </w:tcBorders>
          </w:tcPr>
          <w:p>
            <w:pPr>
              <w:spacing w:after="0" w:line="20" w:lineRule="exact"/>
              <w:rPr>
                <w:sz w:val="1"/>
                <w:szCs w:val="1"/>
                <w:color w:val="auto"/>
              </w:rPr>
            </w:pPr>
          </w:p>
        </w:tc>
        <w:tc>
          <w:tcPr>
            <w:tcW w:w="1540" w:type="dxa"/>
            <w:vAlign w:val="bottom"/>
            <w:tcBorders>
              <w:bottom w:val="single" w:sz="8" w:color="4CA5CD"/>
            </w:tcBorders>
          </w:tcPr>
          <w:p>
            <w:pPr>
              <w:spacing w:after="0" w:line="20" w:lineRule="exact"/>
              <w:rPr>
                <w:sz w:val="1"/>
                <w:szCs w:val="1"/>
                <w:color w:val="auto"/>
              </w:rPr>
            </w:pPr>
          </w:p>
        </w:tc>
        <w:tc>
          <w:tcPr>
            <w:tcW w:w="440" w:type="dxa"/>
            <w:vAlign w:val="bottom"/>
            <w:tcBorders>
              <w:bottom w:val="single" w:sz="8" w:color="4CA5CD"/>
            </w:tcBorders>
          </w:tcPr>
          <w:p>
            <w:pPr>
              <w:spacing w:after="0" w:line="20" w:lineRule="exact"/>
              <w:rPr>
                <w:sz w:val="1"/>
                <w:szCs w:val="1"/>
                <w:color w:val="auto"/>
              </w:rPr>
            </w:pPr>
          </w:p>
        </w:tc>
        <w:tc>
          <w:tcPr>
            <w:tcW w:w="1440" w:type="dxa"/>
            <w:vAlign w:val="bottom"/>
            <w:tcBorders>
              <w:bottom w:val="single" w:sz="8" w:color="4CA5C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144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61</w:t>
      </w:r>
    </w:p>
    <w:p>
      <w:pPr>
        <w:sectPr>
          <w:pgSz w:w="12240" w:h="15840" w:orient="portrait"/>
          <w:cols w:equalWidth="0" w:num="1">
            <w:col w:w="10760"/>
          </w:cols>
          <w:pgMar w:left="900" w:top="1440" w:right="580" w:bottom="0" w:gutter="0" w:footer="0" w:header="0"/>
          <w:type w:val="continuous"/>
        </w:sectPr>
      </w:pPr>
    </w:p>
    <w:bookmarkStart w:id="61" w:name="page62"/>
    <w:bookmarkEnd w:id="61"/>
    <w:p>
      <w:pPr>
        <w:ind w:left="320" w:right="3860"/>
        <w:spacing w:after="0" w:line="333" w:lineRule="auto"/>
        <w:rPr>
          <w:sz w:val="20"/>
          <w:szCs w:val="20"/>
          <w:color w:val="auto"/>
        </w:rPr>
      </w:pPr>
      <w:r>
        <w:rPr>
          <w:rFonts w:ascii="Arial" w:cs="Arial" w:eastAsia="Arial" w:hAnsi="Arial"/>
          <w:sz w:val="17"/>
          <w:szCs w:val="17"/>
          <w:b w:val="1"/>
          <w:bCs w:val="1"/>
          <w:color w:val="F4494E"/>
        </w:rPr>
        <w:t>GENTEX CORPORATION AND SUBSIDIARIES CONSOLIDATED STATEMENTS OF INCOME FOR THE YEARS ENDED DECEMBER 31, 2023, 2022 AND 2021</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808080"/>
        </w:rPr>
        <w:t>The accompanying notes are an integral part of these consolidated financial statements.</w:t>
      </w:r>
    </w:p>
    <w:p>
      <w:pPr>
        <w:spacing w:after="0" w:line="305"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4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345"/>
        </w:trPr>
        <w:tc>
          <w:tcPr>
            <w:tcW w:w="468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NET SALES</w:t>
            </w:r>
          </w:p>
        </w:tc>
        <w:tc>
          <w:tcPr>
            <w:tcW w:w="42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2,299,215,044</w:t>
            </w:r>
          </w:p>
        </w:tc>
        <w:tc>
          <w:tcPr>
            <w:tcW w:w="50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1,918,958,043</w:t>
            </w:r>
          </w:p>
        </w:tc>
        <w:tc>
          <w:tcPr>
            <w:tcW w:w="50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1,731,169,929</w:t>
            </w:r>
          </w:p>
        </w:tc>
      </w:tr>
      <w:tr>
        <w:trPr>
          <w:trHeight w:val="355"/>
        </w:trPr>
        <w:tc>
          <w:tcPr>
            <w:tcW w:w="468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COST OF GOODS SOLD</w:t>
            </w:r>
          </w:p>
        </w:tc>
        <w:tc>
          <w:tcPr>
            <w:tcW w:w="42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1,536,585,036</w:t>
            </w:r>
          </w:p>
        </w:tc>
        <w:tc>
          <w:tcPr>
            <w:tcW w:w="50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1,309,143,858</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1,111,462,082</w:t>
            </w:r>
          </w:p>
        </w:tc>
      </w:tr>
      <w:tr>
        <w:trPr>
          <w:trHeight w:val="325"/>
        </w:trPr>
        <w:tc>
          <w:tcPr>
            <w:tcW w:w="46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762,630,008</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609,814,185</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619,707,847</w:t>
            </w:r>
          </w:p>
        </w:tc>
      </w:tr>
      <w:tr>
        <w:trPr>
          <w:trHeight w:val="273"/>
        </w:trPr>
        <w:tc>
          <w:tcPr>
            <w:tcW w:w="4680" w:type="dxa"/>
            <w:vAlign w:val="bottom"/>
          </w:tcPr>
          <w:p>
            <w:pPr>
              <w:spacing w:after="0"/>
              <w:rPr>
                <w:sz w:val="20"/>
                <w:szCs w:val="20"/>
                <w:color w:val="auto"/>
              </w:rPr>
            </w:pPr>
            <w:r>
              <w:rPr>
                <w:rFonts w:ascii="Arial" w:cs="Arial" w:eastAsia="Arial" w:hAnsi="Arial"/>
                <w:sz w:val="17"/>
                <w:szCs w:val="17"/>
                <w:b w:val="1"/>
                <w:bCs w:val="1"/>
                <w:color w:val="808080"/>
              </w:rPr>
              <w:t>OPERATING EXPENSES:</w:t>
            </w:r>
          </w:p>
        </w:tc>
        <w:tc>
          <w:tcPr>
            <w:tcW w:w="4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67"/>
        </w:trPr>
        <w:tc>
          <w:tcPr>
            <w:tcW w:w="46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154,359,700</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133,308,804</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117,763,676</w:t>
            </w:r>
          </w:p>
        </w:tc>
      </w:tr>
      <w:tr>
        <w:trPr>
          <w:trHeight w:val="355"/>
        </w:trPr>
        <w:tc>
          <w:tcPr>
            <w:tcW w:w="46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112,539,255</w:t>
            </w:r>
          </w:p>
        </w:tc>
        <w:tc>
          <w:tcPr>
            <w:tcW w:w="50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106,499,255</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92,162,193</w:t>
            </w:r>
          </w:p>
        </w:tc>
      </w:tr>
      <w:tr>
        <w:trPr>
          <w:trHeight w:val="340"/>
        </w:trPr>
        <w:tc>
          <w:tcPr>
            <w:tcW w:w="4680" w:type="dxa"/>
            <w:vAlign w:val="bottom"/>
            <w:tcBorders>
              <w:bottom w:val="single" w:sz="8" w:color="808080"/>
            </w:tcBorders>
          </w:tcPr>
          <w:p>
            <w:pPr>
              <w:ind w:left="9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266,898,955</w:t>
            </w:r>
          </w:p>
        </w:tc>
        <w:tc>
          <w:tcPr>
            <w:tcW w:w="50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239,808,059</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209,925,869</w:t>
            </w:r>
          </w:p>
        </w:tc>
      </w:tr>
      <w:tr>
        <w:trPr>
          <w:trHeight w:val="325"/>
        </w:trPr>
        <w:tc>
          <w:tcPr>
            <w:tcW w:w="46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495,731,053</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370,006,126</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409,781,978</w:t>
            </w:r>
          </w:p>
        </w:tc>
      </w:tr>
      <w:tr>
        <w:trPr>
          <w:trHeight w:val="273"/>
        </w:trPr>
        <w:tc>
          <w:tcPr>
            <w:tcW w:w="4680" w:type="dxa"/>
            <w:vAlign w:val="bottom"/>
          </w:tcPr>
          <w:p>
            <w:pPr>
              <w:spacing w:after="0"/>
              <w:rPr>
                <w:sz w:val="20"/>
                <w:szCs w:val="20"/>
                <w:color w:val="auto"/>
              </w:rPr>
            </w:pPr>
            <w:r>
              <w:rPr>
                <w:rFonts w:ascii="Arial" w:cs="Arial" w:eastAsia="Arial" w:hAnsi="Arial"/>
                <w:sz w:val="17"/>
                <w:szCs w:val="17"/>
                <w:b w:val="1"/>
                <w:bCs w:val="1"/>
                <w:color w:val="808080"/>
              </w:rPr>
              <w:t>OTHER INCOME:</w:t>
            </w:r>
          </w:p>
        </w:tc>
        <w:tc>
          <w:tcPr>
            <w:tcW w:w="4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67"/>
        </w:trPr>
        <w:tc>
          <w:tcPr>
            <w:tcW w:w="46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13,498,351</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4,795,823</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3,589,798</w:t>
            </w:r>
          </w:p>
        </w:tc>
      </w:tr>
      <w:tr>
        <w:trPr>
          <w:trHeight w:val="340"/>
        </w:trPr>
        <w:tc>
          <w:tcPr>
            <w:tcW w:w="46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Other (loss) income, net</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(4,248,230)</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(5,078,873)</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2,979,960</w:t>
            </w:r>
          </w:p>
        </w:tc>
      </w:tr>
      <w:tr>
        <w:trPr>
          <w:trHeight w:val="340"/>
        </w:trPr>
        <w:tc>
          <w:tcPr>
            <w:tcW w:w="4680" w:type="dxa"/>
            <w:vAlign w:val="bottom"/>
            <w:tcBorders>
              <w:bottom w:val="single" w:sz="8" w:color="808080"/>
            </w:tcBorders>
          </w:tcPr>
          <w:p>
            <w:pPr>
              <w:ind w:left="900"/>
              <w:spacing w:after="0"/>
              <w:rPr>
                <w:sz w:val="20"/>
                <w:szCs w:val="20"/>
                <w:color w:val="auto"/>
              </w:rPr>
            </w:pPr>
            <w:r>
              <w:rPr>
                <w:rFonts w:ascii="Times New Roman" w:cs="Times New Roman" w:eastAsia="Times New Roman" w:hAnsi="Times New Roman"/>
                <w:sz w:val="18"/>
                <w:szCs w:val="18"/>
                <w:color w:val="auto"/>
              </w:rPr>
              <w:t>Total other (loss) income</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9,250,121</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(283,050)</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6,569,758</w:t>
            </w:r>
          </w:p>
        </w:tc>
      </w:tr>
      <w:tr>
        <w:trPr>
          <w:trHeight w:val="340"/>
        </w:trPr>
        <w:tc>
          <w:tcPr>
            <w:tcW w:w="46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504,981,174</w:t>
            </w: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369,723,076</w:t>
            </w: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416,351,736</w:t>
            </w:r>
          </w:p>
        </w:tc>
      </w:tr>
      <w:tr>
        <w:trPr>
          <w:trHeight w:val="332"/>
        </w:trPr>
        <w:tc>
          <w:tcPr>
            <w:tcW w:w="468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PROVISION FOR INCOME TAXES</w:t>
            </w:r>
          </w:p>
        </w:tc>
        <w:tc>
          <w:tcPr>
            <w:tcW w:w="42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76,577,902</w:t>
            </w:r>
          </w:p>
        </w:tc>
        <w:tc>
          <w:tcPr>
            <w:tcW w:w="500" w:type="dxa"/>
            <w:vAlign w:val="bottom"/>
            <w:tcBorders>
              <w:bottom w:val="single" w:sz="8" w:color="4CA5CD"/>
            </w:tcBorders>
          </w:tcPr>
          <w:p>
            <w:pPr>
              <w:spacing w:after="0"/>
              <w:rPr>
                <w:sz w:val="24"/>
                <w:szCs w:val="24"/>
                <w:color w:val="auto"/>
              </w:rPr>
            </w:pP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50,965,724</w:t>
            </w:r>
          </w:p>
        </w:tc>
        <w:tc>
          <w:tcPr>
            <w:tcW w:w="50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55,554,504</w:t>
            </w:r>
          </w:p>
        </w:tc>
      </w:tr>
      <w:tr>
        <w:trPr>
          <w:trHeight w:val="355"/>
        </w:trPr>
        <w:tc>
          <w:tcPr>
            <w:tcW w:w="468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NET INCOME</w:t>
            </w:r>
          </w:p>
        </w:tc>
        <w:tc>
          <w:tcPr>
            <w:tcW w:w="42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428,403,272</w:t>
            </w:r>
          </w:p>
        </w:tc>
        <w:tc>
          <w:tcPr>
            <w:tcW w:w="50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318,757,352</w:t>
            </w:r>
          </w:p>
        </w:tc>
        <w:tc>
          <w:tcPr>
            <w:tcW w:w="50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360,797,232</w:t>
            </w:r>
          </w:p>
        </w:tc>
      </w:tr>
      <w:tr>
        <w:trPr>
          <w:trHeight w:val="263"/>
        </w:trPr>
        <w:tc>
          <w:tcPr>
            <w:tcW w:w="4680" w:type="dxa"/>
            <w:vAlign w:val="bottom"/>
          </w:tcPr>
          <w:p>
            <w:pPr>
              <w:spacing w:after="0"/>
              <w:rPr>
                <w:sz w:val="20"/>
                <w:szCs w:val="20"/>
                <w:color w:val="auto"/>
              </w:rPr>
            </w:pPr>
            <w:r>
              <w:rPr>
                <w:rFonts w:ascii="Arial" w:cs="Arial" w:eastAsia="Arial" w:hAnsi="Arial"/>
                <w:sz w:val="17"/>
                <w:szCs w:val="17"/>
                <w:b w:val="1"/>
                <w:bCs w:val="1"/>
                <w:color w:val="808080"/>
              </w:rPr>
              <w:t>EARNINGS PER SHARE(1):</w:t>
            </w:r>
          </w:p>
        </w:tc>
        <w:tc>
          <w:tcPr>
            <w:tcW w:w="4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67"/>
        </w:trPr>
        <w:tc>
          <w:tcPr>
            <w:tcW w:w="46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380" w:type="dxa"/>
            <w:vAlign w:val="bottom"/>
            <w:tcBorders>
              <w:bottom w:val="single" w:sz="8" w:color="808080"/>
            </w:tcBorders>
          </w:tcPr>
          <w:p>
            <w:pPr>
              <w:spacing w:after="0"/>
              <w:rPr>
                <w:sz w:val="5"/>
                <w:szCs w:val="5"/>
                <w:color w:val="auto"/>
              </w:rPr>
            </w:pPr>
          </w:p>
        </w:tc>
      </w:tr>
      <w:tr>
        <w:trPr>
          <w:trHeight w:val="35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50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50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340"/>
        </w:trPr>
        <w:tc>
          <w:tcPr>
            <w:tcW w:w="46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50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500" w:type="dxa"/>
            <w:vAlign w:val="bottom"/>
            <w:tcBorders>
              <w:bottom w:val="single" w:sz="8" w:color="4CA5CD"/>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5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r>
    </w:tbl>
    <w:p>
      <w:pPr>
        <w:spacing w:after="0" w:line="19" w:lineRule="exact"/>
        <w:rPr>
          <w:sz w:val="20"/>
          <w:szCs w:val="20"/>
          <w:color w:val="auto"/>
        </w:rPr>
      </w:pPr>
    </w:p>
    <w:p>
      <w:pPr>
        <w:ind w:left="500" w:hanging="180"/>
        <w:spacing w:after="0"/>
        <w:tabs>
          <w:tab w:leader="none" w:pos="500" w:val="left"/>
        </w:tabs>
        <w:numPr>
          <w:ilvl w:val="0"/>
          <w:numId w:val="13"/>
        </w:numPr>
        <w:rPr>
          <w:rFonts w:ascii="Times New Roman" w:cs="Times New Roman" w:eastAsia="Times New Roman" w:hAnsi="Times New Roman"/>
          <w:sz w:val="16"/>
          <w:szCs w:val="16"/>
          <w:color w:val="808080"/>
          <w:vertAlign w:val="superscript"/>
        </w:rPr>
      </w:pPr>
      <w:r>
        <w:rPr>
          <w:rFonts w:ascii="Times New Roman" w:cs="Times New Roman" w:eastAsia="Times New Roman" w:hAnsi="Times New Roman"/>
          <w:sz w:val="14"/>
          <w:szCs w:val="14"/>
          <w:color w:val="808080"/>
        </w:rPr>
        <w:t>Earnings Per Share has been adjusted to exclude the portion of net income allocated to participating securities as a result of share-based payment awards</w:t>
      </w:r>
    </w:p>
    <w:p>
      <w:pPr>
        <w:spacing w:after="0" w:line="232" w:lineRule="exact"/>
        <w:rPr>
          <w:sz w:val="20"/>
          <w:szCs w:val="20"/>
          <w:color w:val="auto"/>
        </w:rPr>
      </w:pPr>
    </w:p>
    <w:p>
      <w:pPr>
        <w:ind w:left="320" w:right="2460"/>
        <w:spacing w:after="0" w:line="333" w:lineRule="auto"/>
        <w:rPr>
          <w:sz w:val="20"/>
          <w:szCs w:val="20"/>
          <w:color w:val="auto"/>
        </w:rPr>
      </w:pPr>
      <w:r>
        <w:rPr>
          <w:rFonts w:ascii="Arial" w:cs="Arial" w:eastAsia="Arial" w:hAnsi="Arial"/>
          <w:sz w:val="17"/>
          <w:szCs w:val="17"/>
          <w:b w:val="1"/>
          <w:bCs w:val="1"/>
          <w:color w:val="F4494E"/>
        </w:rPr>
        <w:t>GENTEX CORPORATION AND SUBSIDIARIES CONSOLIDATED STATEMENTS OF COMPREHENSIVE INCOME FOR THE YEARS ENDED DECEMBER 31, 2023, 2022 AND 2021</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808080"/>
        </w:rPr>
        <w:t>The accompanying notes are an integral part of these consolidated financial statements.</w:t>
      </w:r>
    </w:p>
    <w:p>
      <w:pPr>
        <w:spacing w:after="0" w:line="305"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Borders>
              <w:bottom w:val="single" w:sz="8" w:color="808080"/>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428,403,272</w:t>
            </w:r>
          </w:p>
        </w:tc>
        <w:tc>
          <w:tcPr>
            <w:tcW w:w="560" w:type="dxa"/>
            <w:vAlign w:val="bottom"/>
            <w:tcBorders>
              <w:bottom w:val="single" w:sz="8" w:color="808080"/>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318,757,352</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360,797,232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Other comprehensive (loss) income before tax:</w:t>
            </w:r>
          </w:p>
        </w:tc>
        <w:tc>
          <w:tcPr>
            <w:tcW w:w="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(502,480)</w:t>
            </w:r>
          </w:p>
        </w:tc>
        <w:tc>
          <w:tcPr>
            <w:tcW w:w="5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(4,952,828)</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151,544</w:t>
            </w: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Unrealized gains (losses) on available-for-sale securities, net</w:t>
            </w:r>
          </w:p>
        </w:tc>
        <w:tc>
          <w:tcPr>
            <w:tcW w:w="20" w:type="dxa"/>
            <w:vAlign w:val="bottom"/>
          </w:tcPr>
          <w:p>
            <w:pPr>
              <w:spacing w:after="0"/>
              <w:rPr>
                <w:sz w:val="24"/>
                <w:szCs w:val="24"/>
                <w:color w:val="auto"/>
              </w:rPr>
            </w:pPr>
          </w:p>
        </w:tc>
        <w:tc>
          <w:tcPr>
            <w:tcW w:w="48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10,238,344</w:t>
            </w:r>
          </w:p>
        </w:tc>
        <w:tc>
          <w:tcPr>
            <w:tcW w:w="56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(14,072,595)</w:t>
            </w:r>
          </w:p>
        </w:tc>
        <w:tc>
          <w:tcPr>
            <w:tcW w:w="580" w:type="dxa"/>
            <w:vAlign w:val="bottom"/>
            <w:tcBorders>
              <w:bottom w:val="single" w:sz="8" w:color="4CA5CD"/>
            </w:tcBorders>
          </w:tcPr>
          <w:p>
            <w:pPr>
              <w:spacing w:after="0"/>
              <w:rPr>
                <w:sz w:val="24"/>
                <w:szCs w:val="24"/>
                <w:color w:val="auto"/>
              </w:rPr>
            </w:pP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(6,424,496)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9,735,864</w:t>
            </w:r>
          </w:p>
        </w:tc>
        <w:tc>
          <w:tcPr>
            <w:tcW w:w="5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(19,025,423)</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(6,272,952)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(Benefit) expense for income taxes related to components</w:t>
            </w: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2,150,052</w:t>
            </w:r>
          </w:p>
        </w:tc>
        <w:tc>
          <w:tcPr>
            <w:tcW w:w="560" w:type="dxa"/>
            <w:vAlign w:val="bottom"/>
          </w:tcPr>
          <w:p>
            <w:pPr>
              <w:spacing w:after="0"/>
              <w:rPr>
                <w:sz w:val="22"/>
                <w:szCs w:val="22"/>
                <w:color w:val="auto"/>
              </w:rPr>
            </w:pPr>
          </w:p>
        </w:tc>
        <w:tc>
          <w:tcPr>
            <w:tcW w:w="14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(2,955,245)</w:t>
            </w:r>
          </w:p>
        </w:tc>
        <w:tc>
          <w:tcPr>
            <w:tcW w:w="580" w:type="dxa"/>
            <w:vAlign w:val="bottom"/>
          </w:tcPr>
          <w:p>
            <w:pPr>
              <w:spacing w:after="0"/>
              <w:rPr>
                <w:sz w:val="22"/>
                <w:szCs w:val="2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(1,349,144)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 other comprehensive (loss) income</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680" w:type="dxa"/>
            <w:vAlign w:val="bottom"/>
            <w:tcBorders>
              <w:bottom w:val="single" w:sz="8" w:color="808080"/>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4CA5CD"/>
            </w:tcBorders>
          </w:tcPr>
          <w:p>
            <w:pPr>
              <w:spacing w:after="0"/>
              <w:rPr>
                <w:sz w:val="8"/>
                <w:szCs w:val="8"/>
                <w:color w:val="auto"/>
              </w:rPr>
            </w:pPr>
          </w:p>
        </w:tc>
        <w:tc>
          <w:tcPr>
            <w:tcW w:w="1400" w:type="dxa"/>
            <w:vAlign w:val="bottom"/>
            <w:tcBorders>
              <w:bottom w:val="single" w:sz="8" w:color="4CA5CD"/>
            </w:tcBorders>
          </w:tcPr>
          <w:p>
            <w:pPr>
              <w:spacing w:after="0"/>
              <w:rPr>
                <w:sz w:val="8"/>
                <w:szCs w:val="8"/>
                <w:color w:val="auto"/>
              </w:rPr>
            </w:pPr>
          </w:p>
        </w:tc>
        <w:tc>
          <w:tcPr>
            <w:tcW w:w="560" w:type="dxa"/>
            <w:vAlign w:val="bottom"/>
            <w:tcBorders>
              <w:bottom w:val="single" w:sz="8" w:color="4CA5CD"/>
            </w:tcBorders>
          </w:tcPr>
          <w:p>
            <w:pPr>
              <w:spacing w:after="0"/>
              <w:rPr>
                <w:sz w:val="8"/>
                <w:szCs w:val="8"/>
                <w:color w:val="auto"/>
              </w:rPr>
            </w:pPr>
          </w:p>
        </w:tc>
        <w:tc>
          <w:tcPr>
            <w:tcW w:w="1420" w:type="dxa"/>
            <w:vAlign w:val="bottom"/>
            <w:tcBorders>
              <w:bottom w:val="single" w:sz="8" w:color="4CA5CD"/>
            </w:tcBorders>
          </w:tcPr>
          <w:p>
            <w:pPr>
              <w:spacing w:after="0"/>
              <w:rPr>
                <w:sz w:val="8"/>
                <w:szCs w:val="8"/>
                <w:color w:val="auto"/>
              </w:rPr>
            </w:pPr>
          </w:p>
        </w:tc>
        <w:tc>
          <w:tcPr>
            <w:tcW w:w="580" w:type="dxa"/>
            <w:vAlign w:val="bottom"/>
            <w:tcBorders>
              <w:bottom w:val="single" w:sz="8" w:color="4CA5CD"/>
            </w:tcBorders>
          </w:tcPr>
          <w:p>
            <w:pPr>
              <w:spacing w:after="0"/>
              <w:rPr>
                <w:sz w:val="8"/>
                <w:szCs w:val="8"/>
                <w:color w:val="auto"/>
              </w:rPr>
            </w:pPr>
          </w:p>
        </w:tc>
        <w:tc>
          <w:tcPr>
            <w:tcW w:w="1300" w:type="dxa"/>
            <w:vAlign w:val="bottom"/>
            <w:tcBorders>
              <w:bottom w:val="single" w:sz="8" w:color="4CA5CD"/>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 w:type="dxa"/>
            <w:vAlign w:val="bottom"/>
          </w:tcPr>
          <w:p>
            <w:pPr>
              <w:spacing w:after="0"/>
              <w:rPr>
                <w:sz w:val="24"/>
                <w:szCs w:val="24"/>
                <w:color w:val="auto"/>
              </w:rPr>
            </w:pPr>
          </w:p>
        </w:tc>
        <w:tc>
          <w:tcPr>
            <w:tcW w:w="48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7,585,812</w:t>
            </w:r>
          </w:p>
        </w:tc>
        <w:tc>
          <w:tcPr>
            <w:tcW w:w="56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(16,070,178)</w:t>
            </w:r>
          </w:p>
        </w:tc>
        <w:tc>
          <w:tcPr>
            <w:tcW w:w="580" w:type="dxa"/>
            <w:vAlign w:val="bottom"/>
            <w:tcBorders>
              <w:bottom w:val="single" w:sz="8" w:color="4CA5CD"/>
            </w:tcBorders>
          </w:tcPr>
          <w:p>
            <w:pPr>
              <w:spacing w:after="0"/>
              <w:rPr>
                <w:sz w:val="24"/>
                <w:szCs w:val="24"/>
                <w:color w:val="auto"/>
              </w:rPr>
            </w:pP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(4,923,808)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500" w:type="dxa"/>
            <w:vAlign w:val="bottom"/>
            <w:tcBorders>
              <w:bottom w:val="single" w:sz="8" w:color="4CA5CD"/>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435,989,084</w:t>
            </w:r>
          </w:p>
        </w:tc>
        <w:tc>
          <w:tcPr>
            <w:tcW w:w="560" w:type="dxa"/>
            <w:vAlign w:val="bottom"/>
            <w:tcBorders>
              <w:bottom w:val="single" w:sz="8" w:color="4CA5CD"/>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302,687,174</w:t>
            </w:r>
          </w:p>
        </w:tc>
        <w:tc>
          <w:tcPr>
            <w:tcW w:w="580" w:type="dxa"/>
            <w:vAlign w:val="bottom"/>
            <w:tcBorders>
              <w:bottom w:val="single" w:sz="8" w:color="4CA5CD"/>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355,873,424</w:t>
            </w:r>
          </w:p>
        </w:tc>
        <w:tc>
          <w:tcPr>
            <w:tcW w:w="20" w:type="dxa"/>
            <w:vAlign w:val="bottom"/>
            <w:tcBorders>
              <w:bottom w:val="single" w:sz="8" w:color="4CA5CD"/>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80"/>
          </w:cols>
          <w:pgMar w:left="580" w:top="84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62</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80"/>
          </w:cols>
          <w:pgMar w:left="580" w:top="846" w:right="880" w:bottom="0" w:gutter="0" w:footer="0" w:header="0"/>
          <w:type w:val="continuous"/>
        </w:sectPr>
      </w:pPr>
    </w:p>
    <w:bookmarkStart w:id="62" w:name="page63"/>
    <w:bookmarkEnd w:id="62"/>
    <w:p>
      <w:pPr>
        <w:ind w:right="3760"/>
        <w:spacing w:after="0" w:line="333" w:lineRule="auto"/>
        <w:rPr>
          <w:sz w:val="20"/>
          <w:szCs w:val="20"/>
          <w:color w:val="auto"/>
        </w:rPr>
      </w:pPr>
      <w:r>
        <w:rPr>
          <w:rFonts w:ascii="Arial" w:cs="Arial" w:eastAsia="Arial" w:hAnsi="Arial"/>
          <w:sz w:val="17"/>
          <w:szCs w:val="17"/>
          <w:b w:val="1"/>
          <w:bCs w:val="1"/>
          <w:color w:val="F4494E"/>
        </w:rPr>
        <w:t>GENTEX CORPORATION AND SUBSIDIARIES CONSOLIDATED STATEMENTS OF CASH FLOWS FOR THE YEARS ENDED DECEMBER 31, 2023, 2022 AND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808080"/>
        </w:rPr>
        <w:t>The accompanying notes are an integral part of these consolidated financial statements.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960" w:type="dxa"/>
            <w:vAlign w:val="bottom"/>
            <w:tcBorders>
              <w:bottom w:val="single" w:sz="8" w:color="808080"/>
            </w:tcBorders>
          </w:tcPr>
          <w:p>
            <w:pPr>
              <w:spacing w:after="0"/>
              <w:rPr>
                <w:sz w:val="22"/>
                <w:szCs w:val="22"/>
                <w:color w:val="auto"/>
              </w:rPr>
            </w:pPr>
          </w:p>
        </w:tc>
        <w:tc>
          <w:tcPr>
            <w:tcW w:w="40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7"/>
                <w:szCs w:val="17"/>
                <w:b w:val="1"/>
                <w:bCs w:val="1"/>
                <w:color w:val="808080"/>
              </w:rPr>
              <w:t>CASH FLOWS FROM OPERATING ACTIVITIES:</w:t>
            </w: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96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428,403,272</w:t>
            </w:r>
          </w:p>
        </w:tc>
        <w:tc>
          <w:tcPr>
            <w:tcW w:w="48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318,757,352</w:t>
            </w:r>
          </w:p>
        </w:tc>
        <w:tc>
          <w:tcPr>
            <w:tcW w:w="620" w:type="dxa"/>
            <w:vAlign w:val="bottom"/>
            <w:tcBorders>
              <w:bottom w:val="single" w:sz="8" w:color="808080"/>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360,797,232</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6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by operating activities:</w:t>
            </w:r>
          </w:p>
        </w:tc>
        <w:tc>
          <w:tcPr>
            <w:tcW w:w="40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93,321,192</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96,568,443</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99,112,019</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(355,544)</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(70,736)</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(488,750)</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443,373</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28,424</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230,933</w:t>
            </w:r>
          </w:p>
        </w:tc>
        <w:tc>
          <w:tcPr>
            <w:tcW w:w="0" w:type="dxa"/>
            <w:vAlign w:val="bottom"/>
          </w:tcPr>
          <w:p>
            <w:pPr>
              <w:spacing w:after="0"/>
              <w:rPr>
                <w:sz w:val="1"/>
                <w:szCs w:val="1"/>
                <w:color w:val="auto"/>
              </w:rPr>
            </w:pPr>
          </w:p>
        </w:tc>
      </w:tr>
      <w:tr>
        <w:trPr>
          <w:trHeight w:val="216"/>
        </w:trPr>
        <w:tc>
          <w:tcPr>
            <w:tcW w:w="4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Gain on sale of investments and equity method</w:t>
            </w:r>
          </w:p>
        </w:tc>
        <w:tc>
          <w:tcPr>
            <w:tcW w:w="40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(5,492,269)</w:t>
            </w:r>
          </w:p>
        </w:tc>
        <w:tc>
          <w:tcPr>
            <w:tcW w:w="48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(392,040)</w:t>
            </w:r>
          </w:p>
        </w:tc>
        <w:tc>
          <w:tcPr>
            <w:tcW w:w="62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(1,379,538)</w:t>
            </w:r>
          </w:p>
        </w:tc>
        <w:tc>
          <w:tcPr>
            <w:tcW w:w="0" w:type="dxa"/>
            <w:vAlign w:val="bottom"/>
          </w:tcPr>
          <w:p>
            <w:pPr>
              <w:spacing w:after="0"/>
              <w:rPr>
                <w:sz w:val="1"/>
                <w:szCs w:val="1"/>
                <w:color w:val="auto"/>
              </w:rPr>
            </w:pPr>
          </w:p>
        </w:tc>
      </w:tr>
      <w:tr>
        <w:trPr>
          <w:trHeight w:val="180"/>
        </w:trPr>
        <w:tc>
          <w:tcPr>
            <w:tcW w:w="49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investment income</w:t>
            </w:r>
          </w:p>
        </w:tc>
        <w:tc>
          <w:tcPr>
            <w:tcW w:w="4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960" w:type="dxa"/>
            <w:vAlign w:val="bottom"/>
            <w:tcBorders>
              <w:bottom w:val="single" w:sz="8" w:color="808080"/>
            </w:tcBorders>
            <w:vMerge w:val="continue"/>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on sale of investments and equity method</w:t>
            </w:r>
          </w:p>
        </w:tc>
        <w:tc>
          <w:tcPr>
            <w:tcW w:w="40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11,476,947</w:t>
            </w:r>
          </w:p>
        </w:tc>
        <w:tc>
          <w:tcPr>
            <w:tcW w:w="48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2,104,907</w:t>
            </w:r>
          </w:p>
        </w:tc>
        <w:tc>
          <w:tcPr>
            <w:tcW w:w="62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307,490</w:t>
            </w:r>
          </w:p>
        </w:tc>
        <w:tc>
          <w:tcPr>
            <w:tcW w:w="0" w:type="dxa"/>
            <w:vAlign w:val="bottom"/>
          </w:tcPr>
          <w:p>
            <w:pPr>
              <w:spacing w:after="0"/>
              <w:rPr>
                <w:sz w:val="1"/>
                <w:szCs w:val="1"/>
                <w:color w:val="auto"/>
              </w:rPr>
            </w:pPr>
          </w:p>
        </w:tc>
      </w:tr>
      <w:tr>
        <w:trPr>
          <w:trHeight w:val="180"/>
        </w:trPr>
        <w:tc>
          <w:tcPr>
            <w:tcW w:w="49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investment losses</w:t>
            </w:r>
          </w:p>
        </w:tc>
        <w:tc>
          <w:tcPr>
            <w:tcW w:w="4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960" w:type="dxa"/>
            <w:vAlign w:val="bottom"/>
            <w:tcBorders>
              <w:bottom w:val="single" w:sz="8" w:color="808080"/>
            </w:tcBorders>
            <w:vMerge w:val="continue"/>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(17,735,110)</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(17,777,777)</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(41,694,751)</w:t>
            </w:r>
          </w:p>
        </w:tc>
        <w:tc>
          <w:tcPr>
            <w:tcW w:w="0" w:type="dxa"/>
            <w:vAlign w:val="bottom"/>
          </w:tcPr>
          <w:p>
            <w:pPr>
              <w:spacing w:after="0"/>
              <w:rPr>
                <w:sz w:val="1"/>
                <w:szCs w:val="1"/>
                <w:color w:val="auto"/>
              </w:rPr>
            </w:pPr>
          </w:p>
        </w:tc>
      </w:tr>
      <w:tr>
        <w:trPr>
          <w:trHeight w:val="215"/>
        </w:trPr>
        <w:tc>
          <w:tcPr>
            <w:tcW w:w="49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Stock based compensation expense related to employee stock</w:t>
            </w:r>
          </w:p>
        </w:tc>
        <w:tc>
          <w:tcPr>
            <w:tcW w:w="40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39,197,422</w:t>
            </w:r>
          </w:p>
        </w:tc>
        <w:tc>
          <w:tcPr>
            <w:tcW w:w="48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30,228,606</w:t>
            </w:r>
          </w:p>
        </w:tc>
        <w:tc>
          <w:tcPr>
            <w:tcW w:w="62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27,421,645</w:t>
            </w:r>
          </w:p>
        </w:tc>
        <w:tc>
          <w:tcPr>
            <w:tcW w:w="0" w:type="dxa"/>
            <w:vAlign w:val="bottom"/>
          </w:tcPr>
          <w:p>
            <w:pPr>
              <w:spacing w:after="0"/>
              <w:rPr>
                <w:sz w:val="1"/>
                <w:szCs w:val="1"/>
                <w:color w:val="auto"/>
              </w:rPr>
            </w:pPr>
          </w:p>
        </w:tc>
      </w:tr>
      <w:tr>
        <w:trPr>
          <w:trHeight w:val="180"/>
        </w:trPr>
        <w:tc>
          <w:tcPr>
            <w:tcW w:w="49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options, employee stock purchases and restricted stock</w:t>
            </w:r>
          </w:p>
        </w:tc>
        <w:tc>
          <w:tcPr>
            <w:tcW w:w="4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4960" w:type="dxa"/>
            <w:vAlign w:val="bottom"/>
            <w:tcBorders>
              <w:bottom w:val="single" w:sz="8" w:color="808080"/>
            </w:tcBorders>
            <w:vMerge w:val="continue"/>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spacing w:after="0"/>
              <w:rPr>
                <w:sz w:val="23"/>
                <w:szCs w:val="23"/>
                <w:color w:val="auto"/>
              </w:rPr>
            </w:pP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90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(45,251,116)</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(26,698,846)</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35,135,429</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90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2,127,242</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(88,092,828)</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(89,975,599)</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9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(4,101,866)</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(28,788,331)</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(20,241,994)</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90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40,951,490</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37,423,488</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7,266,309</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900"/>
              <w:spacing w:after="0"/>
              <w:rPr>
                <w:sz w:val="20"/>
                <w:szCs w:val="20"/>
                <w:color w:val="auto"/>
              </w:rPr>
            </w:pPr>
            <w:r>
              <w:rPr>
                <w:rFonts w:ascii="Times New Roman" w:cs="Times New Roman" w:eastAsia="Times New Roman" w:hAnsi="Times New Roman"/>
                <w:sz w:val="18"/>
                <w:szCs w:val="18"/>
                <w:color w:val="auto"/>
              </w:rPr>
              <w:t>Accrued liabilities</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(5,735,441)</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14,909,867</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(14,322,863)</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537,249,592</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338,200,529</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362,167,562</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7"/>
                <w:szCs w:val="17"/>
                <w:b w:val="1"/>
                <w:bCs w:val="1"/>
                <w:color w:val="808080"/>
              </w:rPr>
              <w:t>CASH FLOWS USED FOR INVESTING ACTIVITIES:</w:t>
            </w: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96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Activity in available-for-sale securities:</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spacing w:after="0"/>
              <w:rPr>
                <w:sz w:val="23"/>
                <w:szCs w:val="23"/>
                <w:color w:val="auto"/>
              </w:rPr>
            </w:pP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900"/>
              <w:spacing w:after="0"/>
              <w:rPr>
                <w:sz w:val="20"/>
                <w:szCs w:val="20"/>
                <w:color w:val="auto"/>
              </w:rPr>
            </w:pPr>
            <w:r>
              <w:rPr>
                <w:rFonts w:ascii="Times New Roman" w:cs="Times New Roman" w:eastAsia="Times New Roman" w:hAnsi="Times New Roman"/>
                <w:sz w:val="18"/>
                <w:szCs w:val="18"/>
                <w:color w:val="auto"/>
              </w:rPr>
              <w:t>Sales proceeds</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58,847,341</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37,429,595</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56,237,427</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900"/>
              <w:spacing w:after="0"/>
              <w:rPr>
                <w:sz w:val="20"/>
                <w:szCs w:val="20"/>
                <w:color w:val="auto"/>
              </w:rPr>
            </w:pPr>
            <w:r>
              <w:rPr>
                <w:rFonts w:ascii="Times New Roman" w:cs="Times New Roman" w:eastAsia="Times New Roman" w:hAnsi="Times New Roman"/>
                <w:sz w:val="18"/>
                <w:szCs w:val="18"/>
                <w:color w:val="auto"/>
              </w:rPr>
              <w:t>Maturities and calls</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17,445,000</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27,690,000</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900"/>
              <w:spacing w:after="0"/>
              <w:rPr>
                <w:sz w:val="20"/>
                <w:szCs w:val="20"/>
                <w:color w:val="auto"/>
              </w:rPr>
            </w:pPr>
            <w:r>
              <w:rPr>
                <w:rFonts w:ascii="Times New Roman" w:cs="Times New Roman" w:eastAsia="Times New Roman" w:hAnsi="Times New Roman"/>
                <w:sz w:val="18"/>
                <w:szCs w:val="18"/>
                <w:color w:val="auto"/>
              </w:rPr>
              <w:t>Purchases</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(97,849,498)</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(18,194,193)</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(100,301,699)</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Purchase of technology investments</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(71,083,511)</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(45,743,460)</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(12,902,500)</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Plant and equipment additions</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(183,678,460)</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(146,433,123)</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(68,835,047)</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Proceeds from sale of plant and equipment</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292,723</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313,917</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2,577,855</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(18,936,539)</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(12,071,546)</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Increase in other assets</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(4,453,376)</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(3,611,244)</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(5,501,445)</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(299,416,320)</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(172,738,508)</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(113,106,955)</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7"/>
                <w:szCs w:val="17"/>
                <w:b w:val="1"/>
                <w:bCs w:val="1"/>
                <w:color w:val="808080"/>
              </w:rPr>
              <w:t>CASH FLOWS USED FOR FINANCING ACTIVITIES:</w:t>
            </w: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96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140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11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Issuance of common stock from stock plan transactions</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29,398,272</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16,602,274</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29,808,787</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(112,150,060)</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(113,091,921)</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(115,285,625)</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(147,401,103)</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(112,529,406)</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(324,643,135)</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(230,152,891)</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(209,019,053)</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(410,119,973)</w:t>
            </w:r>
          </w:p>
        </w:tc>
        <w:tc>
          <w:tcPr>
            <w:tcW w:w="0" w:type="dxa"/>
            <w:vAlign w:val="bottom"/>
          </w:tcPr>
          <w:p>
            <w:pPr>
              <w:spacing w:after="0"/>
              <w:rPr>
                <w:sz w:val="1"/>
                <w:szCs w:val="1"/>
                <w:color w:val="auto"/>
              </w:rPr>
            </w:pPr>
          </w:p>
        </w:tc>
      </w:tr>
      <w:tr>
        <w:trPr>
          <w:trHeight w:val="194"/>
        </w:trPr>
        <w:tc>
          <w:tcPr>
            <w:tcW w:w="4960" w:type="dxa"/>
            <w:vAlign w:val="bottom"/>
          </w:tcPr>
          <w:p>
            <w:pPr>
              <w:spacing w:after="0" w:line="194" w:lineRule="exact"/>
              <w:rPr>
                <w:sz w:val="20"/>
                <w:szCs w:val="20"/>
                <w:color w:val="auto"/>
              </w:rPr>
            </w:pPr>
            <w:r>
              <w:rPr>
                <w:rFonts w:ascii="Arial" w:cs="Arial" w:eastAsia="Arial" w:hAnsi="Arial"/>
                <w:sz w:val="17"/>
                <w:szCs w:val="17"/>
                <w:b w:val="1"/>
                <w:bCs w:val="1"/>
                <w:color w:val="808080"/>
                <w:w w:val="91"/>
              </w:rPr>
              <w:t>NET INCREASE (DECREASE) IN CASH, CASH EQUIVALENTS, AND</w:t>
            </w:r>
          </w:p>
        </w:tc>
        <w:tc>
          <w:tcPr>
            <w:tcW w:w="4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7,680,381</w:t>
            </w:r>
          </w:p>
        </w:tc>
        <w:tc>
          <w:tcPr>
            <w:tcW w:w="48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(43,557,032)</w:t>
            </w:r>
          </w:p>
        </w:tc>
        <w:tc>
          <w:tcPr>
            <w:tcW w:w="6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(161,059,366)</w:t>
            </w:r>
          </w:p>
        </w:tc>
        <w:tc>
          <w:tcPr>
            <w:tcW w:w="0" w:type="dxa"/>
            <w:vAlign w:val="bottom"/>
          </w:tcPr>
          <w:p>
            <w:pPr>
              <w:spacing w:after="0"/>
              <w:rPr>
                <w:sz w:val="1"/>
                <w:szCs w:val="1"/>
                <w:color w:val="auto"/>
              </w:rPr>
            </w:pPr>
          </w:p>
        </w:tc>
      </w:tr>
      <w:tr>
        <w:trPr>
          <w:trHeight w:val="231"/>
        </w:trPr>
        <w:tc>
          <w:tcPr>
            <w:tcW w:w="496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RESTRICTED CASH</w:t>
            </w:r>
          </w:p>
        </w:tc>
        <w:tc>
          <w:tcPr>
            <w:tcW w:w="40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vMerge w:val="continue"/>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vMerge w:val="continue"/>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1180" w:type="dxa"/>
            <w:vAlign w:val="bottom"/>
            <w:tcBorders>
              <w:bottom w:val="single" w:sz="8" w:color="80808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960" w:type="dxa"/>
            <w:vAlign w:val="bottom"/>
          </w:tcPr>
          <w:p>
            <w:pPr>
              <w:spacing w:after="0"/>
              <w:rPr>
                <w:sz w:val="20"/>
                <w:szCs w:val="20"/>
                <w:color w:val="auto"/>
              </w:rPr>
            </w:pPr>
            <w:r>
              <w:rPr>
                <w:rFonts w:ascii="Arial" w:cs="Arial" w:eastAsia="Arial" w:hAnsi="Arial"/>
                <w:sz w:val="17"/>
                <w:szCs w:val="17"/>
                <w:b w:val="1"/>
                <w:bCs w:val="1"/>
                <w:color w:val="808080"/>
              </w:rPr>
              <w:t>CASH, CASH EQUIVALENTS, AND RESTRICTED CASH,</w:t>
            </w:r>
          </w:p>
        </w:tc>
        <w:tc>
          <w:tcPr>
            <w:tcW w:w="40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218,754,638</w:t>
            </w:r>
          </w:p>
        </w:tc>
        <w:tc>
          <w:tcPr>
            <w:tcW w:w="48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262,311,670</w:t>
            </w:r>
          </w:p>
        </w:tc>
        <w:tc>
          <w:tcPr>
            <w:tcW w:w="62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423,371,036</w:t>
            </w:r>
          </w:p>
        </w:tc>
        <w:tc>
          <w:tcPr>
            <w:tcW w:w="0" w:type="dxa"/>
            <w:vAlign w:val="bottom"/>
          </w:tcPr>
          <w:p>
            <w:pPr>
              <w:spacing w:after="0"/>
              <w:rPr>
                <w:sz w:val="1"/>
                <w:szCs w:val="1"/>
                <w:color w:val="auto"/>
              </w:rPr>
            </w:pPr>
          </w:p>
        </w:tc>
      </w:tr>
      <w:tr>
        <w:trPr>
          <w:trHeight w:val="231"/>
        </w:trPr>
        <w:tc>
          <w:tcPr>
            <w:tcW w:w="496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BEGINNING OF YEAR</w:t>
            </w:r>
          </w:p>
        </w:tc>
        <w:tc>
          <w:tcPr>
            <w:tcW w:w="40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vMerge w:val="continue"/>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vMerge w:val="continue"/>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1180" w:type="dxa"/>
            <w:vAlign w:val="bottom"/>
            <w:tcBorders>
              <w:bottom w:val="single" w:sz="8" w:color="80808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960" w:type="dxa"/>
            <w:vAlign w:val="bottom"/>
          </w:tcPr>
          <w:p>
            <w:pPr>
              <w:spacing w:after="0"/>
              <w:rPr>
                <w:sz w:val="20"/>
                <w:szCs w:val="20"/>
                <w:color w:val="auto"/>
              </w:rPr>
            </w:pPr>
            <w:r>
              <w:rPr>
                <w:rFonts w:ascii="Arial" w:cs="Arial" w:eastAsia="Arial" w:hAnsi="Arial"/>
                <w:sz w:val="17"/>
                <w:szCs w:val="17"/>
                <w:b w:val="1"/>
                <w:bCs w:val="1"/>
                <w:color w:val="808080"/>
              </w:rPr>
              <w:t>CASH, CASH EQUIVALENTS, AND RESTRICTED CASH,</w:t>
            </w: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226,435,019</w:t>
            </w:r>
          </w:p>
        </w:tc>
        <w:tc>
          <w:tcPr>
            <w:tcW w:w="4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218,754,638</w:t>
            </w:r>
          </w:p>
        </w:tc>
        <w:tc>
          <w:tcPr>
            <w:tcW w:w="6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262,311,670</w:t>
            </w:r>
          </w:p>
        </w:tc>
        <w:tc>
          <w:tcPr>
            <w:tcW w:w="0" w:type="dxa"/>
            <w:vAlign w:val="bottom"/>
          </w:tcPr>
          <w:p>
            <w:pPr>
              <w:spacing w:after="0"/>
              <w:rPr>
                <w:sz w:val="1"/>
                <w:szCs w:val="1"/>
                <w:color w:val="auto"/>
              </w:rPr>
            </w:pPr>
          </w:p>
        </w:tc>
      </w:tr>
      <w:tr>
        <w:trPr>
          <w:trHeight w:val="231"/>
        </w:trPr>
        <w:tc>
          <w:tcPr>
            <w:tcW w:w="496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END OF YEAR</w:t>
            </w:r>
          </w:p>
        </w:tc>
        <w:tc>
          <w:tcPr>
            <w:tcW w:w="400" w:type="dxa"/>
            <w:vAlign w:val="bottom"/>
            <w:tcBorders>
              <w:bottom w:val="single" w:sz="8" w:color="808080"/>
            </w:tcBorders>
            <w:vMerge w:val="continue"/>
          </w:tcPr>
          <w:p>
            <w:pPr>
              <w:spacing w:after="0"/>
              <w:rPr>
                <w:sz w:val="20"/>
                <w:szCs w:val="20"/>
                <w:color w:val="auto"/>
              </w:rPr>
            </w:pPr>
          </w:p>
        </w:tc>
        <w:tc>
          <w:tcPr>
            <w:tcW w:w="1400" w:type="dxa"/>
            <w:vAlign w:val="bottom"/>
            <w:tcBorders>
              <w:bottom w:val="single" w:sz="8" w:color="808080"/>
            </w:tcBorders>
            <w:vMerge w:val="continue"/>
          </w:tcPr>
          <w:p>
            <w:pPr>
              <w:spacing w:after="0"/>
              <w:rPr>
                <w:sz w:val="20"/>
                <w:szCs w:val="20"/>
                <w:color w:val="auto"/>
              </w:rPr>
            </w:pPr>
          </w:p>
        </w:tc>
        <w:tc>
          <w:tcPr>
            <w:tcW w:w="480" w:type="dxa"/>
            <w:vAlign w:val="bottom"/>
            <w:tcBorders>
              <w:bottom w:val="single" w:sz="8" w:color="808080"/>
            </w:tcBorders>
            <w:vMerge w:val="continue"/>
          </w:tcPr>
          <w:p>
            <w:pPr>
              <w:spacing w:after="0"/>
              <w:rPr>
                <w:sz w:val="20"/>
                <w:szCs w:val="20"/>
                <w:color w:val="auto"/>
              </w:rPr>
            </w:pPr>
          </w:p>
        </w:tc>
        <w:tc>
          <w:tcPr>
            <w:tcW w:w="1400" w:type="dxa"/>
            <w:vAlign w:val="bottom"/>
            <w:tcBorders>
              <w:bottom w:val="single" w:sz="8" w:color="808080"/>
            </w:tcBorders>
            <w:vMerge w:val="continue"/>
          </w:tcPr>
          <w:p>
            <w:pPr>
              <w:spacing w:after="0"/>
              <w:rPr>
                <w:sz w:val="20"/>
                <w:szCs w:val="20"/>
                <w:color w:val="auto"/>
              </w:rPr>
            </w:pPr>
          </w:p>
        </w:tc>
        <w:tc>
          <w:tcPr>
            <w:tcW w:w="620" w:type="dxa"/>
            <w:vAlign w:val="bottom"/>
            <w:tcBorders>
              <w:bottom w:val="single" w:sz="8" w:color="808080"/>
            </w:tcBorders>
            <w:vMerge w:val="continue"/>
          </w:tcPr>
          <w:p>
            <w:pPr>
              <w:spacing w:after="0"/>
              <w:rPr>
                <w:sz w:val="20"/>
                <w:szCs w:val="20"/>
                <w:color w:val="auto"/>
              </w:rPr>
            </w:pPr>
          </w:p>
        </w:tc>
        <w:tc>
          <w:tcPr>
            <w:tcW w:w="1180" w:type="dxa"/>
            <w:vAlign w:val="bottom"/>
            <w:tcBorders>
              <w:bottom w:val="single" w:sz="8" w:color="80808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496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3900" w:type="dxa"/>
            <w:vAlign w:val="bottom"/>
            <w:tcBorders>
              <w:bottom w:val="single" w:sz="8" w:color="808080"/>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118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SUPPLEMENTAL CASH FLOW DATA</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68"/>
        </w:trPr>
        <w:tc>
          <w:tcPr>
            <w:tcW w:w="496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40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spacing w:after="0"/>
              <w:rPr>
                <w:sz w:val="23"/>
                <w:szCs w:val="23"/>
                <w:color w:val="auto"/>
              </w:rPr>
            </w:pPr>
          </w:p>
        </w:tc>
        <w:tc>
          <w:tcPr>
            <w:tcW w:w="480" w:type="dxa"/>
            <w:vAlign w:val="bottom"/>
            <w:tcBorders>
              <w:bottom w:val="single" w:sz="8" w:color="808080"/>
            </w:tcBorders>
          </w:tcPr>
          <w:p>
            <w:pPr>
              <w:spacing w:after="0"/>
              <w:rPr>
                <w:sz w:val="23"/>
                <w:szCs w:val="23"/>
                <w:color w:val="auto"/>
              </w:rPr>
            </w:pPr>
          </w:p>
        </w:tc>
        <w:tc>
          <w:tcPr>
            <w:tcW w:w="140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118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49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Change in Property and equipment in accounts payable</w:t>
            </w: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6,927,750</w:t>
            </w:r>
          </w:p>
        </w:tc>
        <w:tc>
          <w:tcPr>
            <w:tcW w:w="4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14,608,665</w:t>
            </w:r>
          </w:p>
        </w:tc>
        <w:tc>
          <w:tcPr>
            <w:tcW w:w="6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6,292,196</w:t>
            </w:r>
          </w:p>
        </w:tc>
        <w:tc>
          <w:tcPr>
            <w:tcW w:w="0" w:type="dxa"/>
            <w:vAlign w:val="bottom"/>
          </w:tcPr>
          <w:p>
            <w:pPr>
              <w:spacing w:after="0"/>
              <w:rPr>
                <w:sz w:val="1"/>
                <w:szCs w:val="1"/>
                <w:color w:val="auto"/>
              </w:rPr>
            </w:pPr>
          </w:p>
        </w:tc>
      </w:tr>
      <w:tr>
        <w:trPr>
          <w:trHeight w:val="180"/>
        </w:trPr>
        <w:tc>
          <w:tcPr>
            <w:tcW w:w="496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and accrued expenses and other current liabilities</w:t>
            </w:r>
          </w:p>
        </w:tc>
        <w:tc>
          <w:tcPr>
            <w:tcW w:w="4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960" w:type="dxa"/>
            <w:vAlign w:val="bottom"/>
            <w:tcBorders>
              <w:bottom w:val="single" w:sz="8" w:color="808080"/>
            </w:tcBorders>
            <w:vMerge w:val="continue"/>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846" w:right="580" w:bottom="0" w:gutter="0" w:footer="0" w:header="0"/>
        </w:sectPr>
      </w:pPr>
    </w:p>
    <w:p>
      <w:pPr>
        <w:spacing w:after="0" w:line="80"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63</w:t>
      </w:r>
    </w:p>
    <w:p>
      <w:pPr>
        <w:sectPr>
          <w:pgSz w:w="12240" w:h="15840" w:orient="portrait"/>
          <w:cols w:equalWidth="0" w:num="1">
            <w:col w:w="10760"/>
          </w:cols>
          <w:pgMar w:left="900" w:top="846" w:right="580" w:bottom="0" w:gutter="0" w:footer="0" w:header="0"/>
          <w:type w:val="continuous"/>
        </w:sectPr>
      </w:pPr>
    </w:p>
    <w:bookmarkStart w:id="63" w:name="page64"/>
    <w:bookmarkEnd w:id="63"/>
    <w:p>
      <w:pPr>
        <w:ind w:left="320" w:right="2100"/>
        <w:spacing w:after="0" w:line="333" w:lineRule="auto"/>
        <w:rPr>
          <w:sz w:val="20"/>
          <w:szCs w:val="20"/>
          <w:color w:val="auto"/>
        </w:rPr>
      </w:pPr>
      <w:r>
        <w:rPr>
          <w:rFonts w:ascii="Arial" w:cs="Arial" w:eastAsia="Arial" w:hAnsi="Arial"/>
          <w:sz w:val="17"/>
          <w:szCs w:val="17"/>
          <w:b w:val="1"/>
          <w:bCs w:val="1"/>
          <w:color w:val="F4494E"/>
        </w:rPr>
        <w:t>GENTEX CORPORATION AND SUBSIDIARIES CONSOLIDATED STATEMENTS OF SHAREHOLDERS’ INVESTMENT FOR THE YEARS ENDED DECEMBER 31, 2023, 2022 AND 2021</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808080"/>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838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 Shares</w:t>
            </w:r>
          </w:p>
        </w:tc>
        <w:tc>
          <w:tcPr>
            <w:tcW w:w="0" w:type="dxa"/>
            <w:vAlign w:val="bottom"/>
          </w:tcPr>
          <w:p>
            <w:pPr>
              <w:spacing w:after="0"/>
              <w:rPr>
                <w:sz w:val="1"/>
                <w:szCs w:val="1"/>
                <w:color w:val="auto"/>
              </w:rPr>
            </w:pPr>
          </w:p>
        </w:tc>
      </w:tr>
      <w:tr>
        <w:trPr>
          <w:trHeight w:val="319"/>
        </w:trPr>
        <w:tc>
          <w:tcPr>
            <w:tcW w:w="838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BALANCE AS OF JANUARY 1, 2021</w:t>
            </w:r>
          </w:p>
        </w:tc>
        <w:tc>
          <w:tcPr>
            <w:tcW w:w="20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243,692,869</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stock plan transactions</w:t>
            </w:r>
          </w:p>
        </w:tc>
        <w:tc>
          <w:tcPr>
            <w:tcW w:w="20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2,343,169</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0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(9,595,198)</w:t>
            </w:r>
          </w:p>
        </w:tc>
        <w:tc>
          <w:tcPr>
            <w:tcW w:w="0" w:type="dxa"/>
            <w:vAlign w:val="bottom"/>
          </w:tcPr>
          <w:p>
            <w:pPr>
              <w:spacing w:after="0"/>
              <w:rPr>
                <w:sz w:val="1"/>
                <w:szCs w:val="1"/>
                <w:color w:val="auto"/>
              </w:rPr>
            </w:pPr>
          </w:p>
        </w:tc>
      </w:tr>
      <w:tr>
        <w:trPr>
          <w:trHeight w:val="261"/>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 related to stock options, employee stock purchases, restricted stock, and</w:t>
            </w: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8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performance share awards</w:t>
            </w: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8380" w:type="dxa"/>
            <w:vAlign w:val="bottom"/>
            <w:tcBorders>
              <w:bottom w:val="single" w:sz="8" w:color="808080"/>
            </w:tcBorders>
            <w:vMerge w:val="continue"/>
          </w:tcPr>
          <w:p>
            <w:pPr>
              <w:spacing w:after="0"/>
              <w:rPr>
                <w:sz w:val="6"/>
                <w:szCs w:val="6"/>
                <w:color w:val="auto"/>
              </w:rPr>
            </w:pPr>
          </w:p>
        </w:tc>
        <w:tc>
          <w:tcPr>
            <w:tcW w:w="20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8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Dividends declared ($0.48 per share)</w:t>
            </w:r>
          </w:p>
        </w:tc>
        <w:tc>
          <w:tcPr>
            <w:tcW w:w="20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8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5"/>
        </w:trPr>
        <w:tc>
          <w:tcPr>
            <w:tcW w:w="838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BALANCE AS OF DECEMBER 31, 2021</w:t>
            </w:r>
          </w:p>
        </w:tc>
        <w:tc>
          <w:tcPr>
            <w:tcW w:w="20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236,440,840</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stock plan transactions</w:t>
            </w:r>
          </w:p>
        </w:tc>
        <w:tc>
          <w:tcPr>
            <w:tcW w:w="20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1,606,965</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Issuance of common stock related to acquisitions</w:t>
            </w:r>
          </w:p>
        </w:tc>
        <w:tc>
          <w:tcPr>
            <w:tcW w:w="20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162,433</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0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(4,040,903)</w:t>
            </w:r>
          </w:p>
        </w:tc>
        <w:tc>
          <w:tcPr>
            <w:tcW w:w="0" w:type="dxa"/>
            <w:vAlign w:val="bottom"/>
          </w:tcPr>
          <w:p>
            <w:pPr>
              <w:spacing w:after="0"/>
              <w:rPr>
                <w:sz w:val="1"/>
                <w:szCs w:val="1"/>
                <w:color w:val="auto"/>
              </w:rPr>
            </w:pPr>
          </w:p>
        </w:tc>
      </w:tr>
      <w:tr>
        <w:trPr>
          <w:trHeight w:val="261"/>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 related to stock options, employee stock purchases, restricted stock, and</w:t>
            </w: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8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performance share awards</w:t>
            </w: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8380" w:type="dxa"/>
            <w:vAlign w:val="bottom"/>
            <w:tcBorders>
              <w:bottom w:val="single" w:sz="8" w:color="808080"/>
            </w:tcBorders>
            <w:vMerge w:val="continue"/>
          </w:tcPr>
          <w:p>
            <w:pPr>
              <w:spacing w:after="0"/>
              <w:rPr>
                <w:sz w:val="6"/>
                <w:szCs w:val="6"/>
                <w:color w:val="auto"/>
              </w:rPr>
            </w:pPr>
          </w:p>
        </w:tc>
        <w:tc>
          <w:tcPr>
            <w:tcW w:w="20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8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Dividends declared ($0.48 per share)</w:t>
            </w:r>
          </w:p>
        </w:tc>
        <w:tc>
          <w:tcPr>
            <w:tcW w:w="20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8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5"/>
        </w:trPr>
        <w:tc>
          <w:tcPr>
            <w:tcW w:w="8380" w:type="dxa"/>
            <w:vAlign w:val="bottom"/>
            <w:tcBorders>
              <w:bottom w:val="single" w:sz="8" w:color="808080"/>
            </w:tcBorders>
          </w:tcPr>
          <w:p>
            <w:pPr>
              <w:spacing w:after="0"/>
              <w:rPr>
                <w:sz w:val="20"/>
                <w:szCs w:val="20"/>
                <w:color w:val="auto"/>
              </w:rPr>
            </w:pPr>
            <w:r>
              <w:rPr>
                <w:rFonts w:ascii="Arial" w:cs="Arial" w:eastAsia="Arial" w:hAnsi="Arial"/>
                <w:sz w:val="17"/>
                <w:szCs w:val="17"/>
                <w:b w:val="1"/>
                <w:bCs w:val="1"/>
                <w:color w:val="808080"/>
              </w:rPr>
              <w:t>BALANCE AS OF DECEMBER 31, 2022</w:t>
            </w:r>
          </w:p>
        </w:tc>
        <w:tc>
          <w:tcPr>
            <w:tcW w:w="20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234,169,335</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Issuance of common stock from stock plan transactions</w:t>
            </w:r>
          </w:p>
        </w:tc>
        <w:tc>
          <w:tcPr>
            <w:tcW w:w="20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2,218,094</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0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(4,931,986)</w:t>
            </w:r>
          </w:p>
        </w:tc>
        <w:tc>
          <w:tcPr>
            <w:tcW w:w="0" w:type="dxa"/>
            <w:vAlign w:val="bottom"/>
          </w:tcPr>
          <w:p>
            <w:pPr>
              <w:spacing w:after="0"/>
              <w:rPr>
                <w:sz w:val="1"/>
                <w:szCs w:val="1"/>
                <w:color w:val="auto"/>
              </w:rPr>
            </w:pPr>
          </w:p>
        </w:tc>
      </w:tr>
      <w:tr>
        <w:trPr>
          <w:trHeight w:val="261"/>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 related to stock options, employee stock purchases, restricted stock, and</w:t>
            </w: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8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performance share awards</w:t>
            </w: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8380" w:type="dxa"/>
            <w:vAlign w:val="bottom"/>
            <w:tcBorders>
              <w:bottom w:val="single" w:sz="8" w:color="808080"/>
            </w:tcBorders>
            <w:vMerge w:val="continue"/>
          </w:tcPr>
          <w:p>
            <w:pPr>
              <w:spacing w:after="0"/>
              <w:rPr>
                <w:sz w:val="6"/>
                <w:szCs w:val="6"/>
                <w:color w:val="auto"/>
              </w:rPr>
            </w:pPr>
          </w:p>
        </w:tc>
        <w:tc>
          <w:tcPr>
            <w:tcW w:w="20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8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Dividends declared ($0.48 per share)</w:t>
            </w:r>
          </w:p>
        </w:tc>
        <w:tc>
          <w:tcPr>
            <w:tcW w:w="20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8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5"/>
        </w:trPr>
        <w:tc>
          <w:tcPr>
            <w:tcW w:w="83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0"/>
        </w:trPr>
        <w:tc>
          <w:tcPr>
            <w:tcW w:w="8380" w:type="dxa"/>
            <w:vAlign w:val="bottom"/>
          </w:tcPr>
          <w:p>
            <w:pPr>
              <w:spacing w:after="0"/>
              <w:rPr>
                <w:sz w:val="20"/>
                <w:szCs w:val="20"/>
                <w:color w:val="auto"/>
              </w:rPr>
            </w:pPr>
            <w:r>
              <w:rPr>
                <w:rFonts w:ascii="Arial" w:cs="Arial" w:eastAsia="Arial" w:hAnsi="Arial"/>
                <w:sz w:val="17"/>
                <w:szCs w:val="17"/>
                <w:b w:val="1"/>
                <w:bCs w:val="1"/>
                <w:color w:val="808080"/>
              </w:rPr>
              <w:t>BALANCE AS OF DECEMBER 31, 2023</w:t>
            </w:r>
          </w:p>
        </w:tc>
        <w:tc>
          <w:tcPr>
            <w:tcW w:w="20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231,455,443</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060" w:type="dxa"/>
            <w:vAlign w:val="bottom"/>
            <w:tcBorders>
              <w:bottom w:val="single" w:sz="8" w:color="4CA5C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808080"/>
        </w:rPr>
        <w:t>The accompanying notes are an integral part of these consolidated financial statements. There may be some differences due to rounding.</w:t>
      </w:r>
    </w:p>
    <w:p>
      <w:pPr>
        <w:sectPr>
          <w:pgSz w:w="12240" w:h="15840" w:orient="portrait"/>
          <w:cols w:equalWidth="0" w:num="1">
            <w:col w:w="10760"/>
          </w:cols>
          <w:pgMar w:left="580" w:top="84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64</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46" w:right="900" w:bottom="0" w:gutter="0" w:footer="0" w:header="0"/>
          <w:type w:val="continuous"/>
        </w:sectPr>
      </w:pPr>
    </w:p>
    <w:bookmarkStart w:id="64" w:name="page65"/>
    <w:bookmarkEnd w:id="64"/>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42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320" w:type="dxa"/>
            <w:vAlign w:val="bottom"/>
          </w:tcPr>
          <w:p>
            <w:pPr>
              <w:spacing w:after="0"/>
              <w:rPr>
                <w:sz w:val="20"/>
                <w:szCs w:val="20"/>
                <w:color w:val="auto"/>
              </w:rPr>
            </w:pPr>
          </w:p>
        </w:tc>
        <w:tc>
          <w:tcPr>
            <w:tcW w:w="16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20" w:type="dxa"/>
            <w:vAlign w:val="bottom"/>
          </w:tcPr>
          <w:p>
            <w:pPr>
              <w:spacing w:after="0"/>
              <w:rPr>
                <w:sz w:val="20"/>
                <w:szCs w:val="20"/>
                <w:color w:val="auto"/>
              </w:rPr>
            </w:pP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Shareholders’</w:t>
            </w:r>
          </w:p>
        </w:tc>
        <w:tc>
          <w:tcPr>
            <w:tcW w:w="0" w:type="dxa"/>
            <w:vAlign w:val="bottom"/>
          </w:tcPr>
          <w:p>
            <w:pPr>
              <w:spacing w:after="0"/>
              <w:rPr>
                <w:sz w:val="1"/>
                <w:szCs w:val="1"/>
                <w:color w:val="auto"/>
              </w:rPr>
            </w:pPr>
          </w:p>
        </w:tc>
      </w:tr>
      <w:tr>
        <w:trPr>
          <w:trHeight w:val="302"/>
        </w:trPr>
        <w:tc>
          <w:tcPr>
            <w:tcW w:w="40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Stock Amount</w:t>
            </w:r>
          </w:p>
        </w:tc>
        <w:tc>
          <w:tcPr>
            <w:tcW w:w="42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32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0" w:type="dxa"/>
            <w:vAlign w:val="bottom"/>
          </w:tcPr>
          <w:p>
            <w:pPr>
              <w:spacing w:after="0"/>
              <w:rPr>
                <w:sz w:val="1"/>
                <w:szCs w:val="1"/>
                <w:color w:val="auto"/>
              </w:rPr>
            </w:pPr>
          </w:p>
        </w:tc>
      </w:tr>
      <w:tr>
        <w:trPr>
          <w:trHeight w:val="321"/>
        </w:trPr>
        <w:tc>
          <w:tcPr>
            <w:tcW w:w="40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14,621,572</w:t>
            </w:r>
          </w:p>
        </w:tc>
        <w:tc>
          <w:tcPr>
            <w:tcW w:w="42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852,771,508</w:t>
            </w:r>
          </w:p>
        </w:tc>
        <w:tc>
          <w:tcPr>
            <w:tcW w:w="320" w:type="dxa"/>
            <w:vAlign w:val="bottom"/>
            <w:tcBorders>
              <w:bottom w:val="single" w:sz="8" w:color="808080"/>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1,089,698,996</w:t>
            </w: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6,851,052</w:t>
            </w:r>
          </w:p>
        </w:tc>
        <w:tc>
          <w:tcPr>
            <w:tcW w:w="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1,963,943,128</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140,590</w:t>
            </w:r>
          </w:p>
        </w:tc>
        <w:tc>
          <w:tcPr>
            <w:tcW w:w="4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29,668,197</w:t>
            </w:r>
          </w:p>
        </w:tc>
        <w:tc>
          <w:tcPr>
            <w:tcW w:w="3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29,808,787</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(575,712)</w:t>
            </w:r>
          </w:p>
        </w:tc>
        <w:tc>
          <w:tcPr>
            <w:tcW w:w="4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(30,447,965)</w:t>
            </w:r>
          </w:p>
        </w:tc>
        <w:tc>
          <w:tcPr>
            <w:tcW w:w="3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(293,619,458)</w:t>
            </w:r>
          </w:p>
        </w:tc>
        <w:tc>
          <w:tcPr>
            <w:tcW w:w="2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(324,643,135)</w:t>
            </w:r>
          </w:p>
        </w:tc>
        <w:tc>
          <w:tcPr>
            <w:tcW w:w="0" w:type="dxa"/>
            <w:vAlign w:val="bottom"/>
          </w:tcPr>
          <w:p>
            <w:pPr>
              <w:spacing w:after="0"/>
              <w:rPr>
                <w:sz w:val="1"/>
                <w:szCs w:val="1"/>
                <w:color w:val="auto"/>
              </w:rPr>
            </w:pPr>
          </w:p>
        </w:tc>
      </w:tr>
      <w:tr>
        <w:trPr>
          <w:trHeight w:val="445"/>
        </w:trPr>
        <w:tc>
          <w:tcPr>
            <w:tcW w:w="40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27,421,645</w:t>
            </w:r>
          </w:p>
        </w:tc>
        <w:tc>
          <w:tcPr>
            <w:tcW w:w="320" w:type="dxa"/>
            <w:vAlign w:val="bottom"/>
          </w:tcPr>
          <w:p>
            <w:pPr>
              <w:spacing w:after="0"/>
              <w:rPr>
                <w:sz w:val="24"/>
                <w:szCs w:val="24"/>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27,421,645</w:t>
            </w:r>
          </w:p>
        </w:tc>
        <w:tc>
          <w:tcPr>
            <w:tcW w:w="0" w:type="dxa"/>
            <w:vAlign w:val="bottom"/>
          </w:tcPr>
          <w:p>
            <w:pPr>
              <w:spacing w:after="0"/>
              <w:rPr>
                <w:sz w:val="1"/>
                <w:szCs w:val="1"/>
                <w:color w:val="auto"/>
              </w:rPr>
            </w:pPr>
          </w:p>
        </w:tc>
      </w:tr>
      <w:tr>
        <w:trPr>
          <w:trHeight w:val="75"/>
        </w:trPr>
        <w:tc>
          <w:tcPr>
            <w:tcW w:w="400" w:type="dxa"/>
            <w:vAlign w:val="bottom"/>
            <w:tcBorders>
              <w:bottom w:val="single" w:sz="8" w:color="808080"/>
            </w:tcBorders>
          </w:tcPr>
          <w:p>
            <w:pPr>
              <w:spacing w:after="0"/>
              <w:rPr>
                <w:sz w:val="6"/>
                <w:szCs w:val="6"/>
                <w:color w:val="auto"/>
              </w:rPr>
            </w:pPr>
          </w:p>
        </w:tc>
        <w:tc>
          <w:tcPr>
            <w:tcW w:w="150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156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6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48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6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4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(114,415,382)</w:t>
            </w:r>
          </w:p>
        </w:tc>
        <w:tc>
          <w:tcPr>
            <w:tcW w:w="2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(114,415,382)</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360,797,232</w:t>
            </w:r>
          </w:p>
        </w:tc>
        <w:tc>
          <w:tcPr>
            <w:tcW w:w="2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360,797,232</w:t>
            </w:r>
          </w:p>
        </w:tc>
        <w:tc>
          <w:tcPr>
            <w:tcW w:w="0" w:type="dxa"/>
            <w:vAlign w:val="bottom"/>
          </w:tcPr>
          <w:p>
            <w:pPr>
              <w:spacing w:after="0"/>
              <w:rPr>
                <w:sz w:val="1"/>
                <w:szCs w:val="1"/>
                <w:color w:val="auto"/>
              </w:rPr>
            </w:pPr>
          </w:p>
        </w:tc>
      </w:tr>
      <w:tr>
        <w:trPr>
          <w:trHeight w:val="335"/>
        </w:trPr>
        <w:tc>
          <w:tcPr>
            <w:tcW w:w="400" w:type="dxa"/>
            <w:vAlign w:val="bottom"/>
            <w:tcBorders>
              <w:bottom w:val="single" w:sz="8" w:color="4CA5CD"/>
            </w:tcBorders>
          </w:tcPr>
          <w:p>
            <w:pPr>
              <w:spacing w:after="0"/>
              <w:rPr>
                <w:sz w:val="24"/>
                <w:szCs w:val="24"/>
                <w:color w:val="auto"/>
              </w:rPr>
            </w:pPr>
          </w:p>
        </w:tc>
        <w:tc>
          <w:tcPr>
            <w:tcW w:w="15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4CA5CD"/>
            </w:tcBorders>
          </w:tcPr>
          <w:p>
            <w:pPr>
              <w:spacing w:after="0"/>
              <w:rPr>
                <w:sz w:val="24"/>
                <w:szCs w:val="24"/>
                <w:color w:val="auto"/>
              </w:rPr>
            </w:pPr>
          </w:p>
        </w:tc>
        <w:tc>
          <w:tcPr>
            <w:tcW w:w="15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4CA5CD"/>
            </w:tcBorders>
          </w:tcPr>
          <w:p>
            <w:pPr>
              <w:spacing w:after="0"/>
              <w:rPr>
                <w:sz w:val="24"/>
                <w:szCs w:val="24"/>
                <w:color w:val="auto"/>
              </w:rPr>
            </w:pPr>
          </w:p>
        </w:tc>
        <w:tc>
          <w:tcPr>
            <w:tcW w:w="16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4CA5CD"/>
            </w:tcBorders>
          </w:tcPr>
          <w:p>
            <w:pPr>
              <w:spacing w:after="0"/>
              <w:rPr>
                <w:sz w:val="24"/>
                <w:szCs w:val="24"/>
                <w:color w:val="auto"/>
              </w:rPr>
            </w:pPr>
          </w:p>
        </w:tc>
        <w:tc>
          <w:tcPr>
            <w:tcW w:w="2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(4,923,808)</w:t>
            </w:r>
          </w:p>
        </w:tc>
        <w:tc>
          <w:tcPr>
            <w:tcW w:w="280" w:type="dxa"/>
            <w:vAlign w:val="bottom"/>
            <w:tcBorders>
              <w:bottom w:val="single" w:sz="8" w:color="4CA5CD"/>
            </w:tcBorders>
          </w:tcPr>
          <w:p>
            <w:pPr>
              <w:spacing w:after="0"/>
              <w:rPr>
                <w:sz w:val="24"/>
                <w:szCs w:val="24"/>
                <w:color w:val="auto"/>
              </w:rPr>
            </w:pPr>
          </w:p>
        </w:tc>
        <w:tc>
          <w:tcPr>
            <w:tcW w:w="16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(4,923,808)</w:t>
            </w:r>
          </w:p>
        </w:tc>
        <w:tc>
          <w:tcPr>
            <w:tcW w:w="0" w:type="dxa"/>
            <w:vAlign w:val="bottom"/>
          </w:tcPr>
          <w:p>
            <w:pPr>
              <w:spacing w:after="0"/>
              <w:rPr>
                <w:sz w:val="1"/>
                <w:szCs w:val="1"/>
                <w:color w:val="auto"/>
              </w:rPr>
            </w:pPr>
          </w:p>
        </w:tc>
      </w:tr>
      <w:tr>
        <w:trPr>
          <w:trHeight w:val="345"/>
        </w:trPr>
        <w:tc>
          <w:tcPr>
            <w:tcW w:w="40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14,186,450</w:t>
            </w:r>
          </w:p>
        </w:tc>
        <w:tc>
          <w:tcPr>
            <w:tcW w:w="42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879,413,385</w:t>
            </w:r>
          </w:p>
        </w:tc>
        <w:tc>
          <w:tcPr>
            <w:tcW w:w="320" w:type="dxa"/>
            <w:vAlign w:val="bottom"/>
            <w:tcBorders>
              <w:bottom w:val="single" w:sz="8" w:color="808080"/>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1,042,461,388</w:t>
            </w: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1,927,244</w:t>
            </w:r>
          </w:p>
        </w:tc>
        <w:tc>
          <w:tcPr>
            <w:tcW w:w="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1,937,988,467</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96,418</w:t>
            </w:r>
          </w:p>
        </w:tc>
        <w:tc>
          <w:tcPr>
            <w:tcW w:w="4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16,505,856</w:t>
            </w:r>
          </w:p>
        </w:tc>
        <w:tc>
          <w:tcPr>
            <w:tcW w:w="3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16,602,274</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9,746</w:t>
            </w:r>
          </w:p>
        </w:tc>
        <w:tc>
          <w:tcPr>
            <w:tcW w:w="4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4,990,266</w:t>
            </w:r>
          </w:p>
        </w:tc>
        <w:tc>
          <w:tcPr>
            <w:tcW w:w="3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5,000,012</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(242,454)</w:t>
            </w:r>
          </w:p>
        </w:tc>
        <w:tc>
          <w:tcPr>
            <w:tcW w:w="4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(13,638,790)</w:t>
            </w:r>
          </w:p>
        </w:tc>
        <w:tc>
          <w:tcPr>
            <w:tcW w:w="3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(100,013,126)</w:t>
            </w:r>
          </w:p>
        </w:tc>
        <w:tc>
          <w:tcPr>
            <w:tcW w:w="2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(113,894,370)</w:t>
            </w:r>
          </w:p>
        </w:tc>
        <w:tc>
          <w:tcPr>
            <w:tcW w:w="0" w:type="dxa"/>
            <w:vAlign w:val="bottom"/>
          </w:tcPr>
          <w:p>
            <w:pPr>
              <w:spacing w:after="0"/>
              <w:rPr>
                <w:sz w:val="1"/>
                <w:szCs w:val="1"/>
                <w:color w:val="auto"/>
              </w:rPr>
            </w:pPr>
          </w:p>
        </w:tc>
      </w:tr>
      <w:tr>
        <w:trPr>
          <w:trHeight w:val="445"/>
        </w:trPr>
        <w:tc>
          <w:tcPr>
            <w:tcW w:w="40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30,228,606</w:t>
            </w:r>
          </w:p>
        </w:tc>
        <w:tc>
          <w:tcPr>
            <w:tcW w:w="320" w:type="dxa"/>
            <w:vAlign w:val="bottom"/>
          </w:tcPr>
          <w:p>
            <w:pPr>
              <w:spacing w:after="0"/>
              <w:rPr>
                <w:sz w:val="24"/>
                <w:szCs w:val="24"/>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30,228,606</w:t>
            </w:r>
          </w:p>
        </w:tc>
        <w:tc>
          <w:tcPr>
            <w:tcW w:w="0" w:type="dxa"/>
            <w:vAlign w:val="bottom"/>
          </w:tcPr>
          <w:p>
            <w:pPr>
              <w:spacing w:after="0"/>
              <w:rPr>
                <w:sz w:val="1"/>
                <w:szCs w:val="1"/>
                <w:color w:val="auto"/>
              </w:rPr>
            </w:pPr>
          </w:p>
        </w:tc>
      </w:tr>
      <w:tr>
        <w:trPr>
          <w:trHeight w:val="75"/>
        </w:trPr>
        <w:tc>
          <w:tcPr>
            <w:tcW w:w="400" w:type="dxa"/>
            <w:vAlign w:val="bottom"/>
            <w:tcBorders>
              <w:bottom w:val="single" w:sz="8" w:color="808080"/>
            </w:tcBorders>
          </w:tcPr>
          <w:p>
            <w:pPr>
              <w:spacing w:after="0"/>
              <w:rPr>
                <w:sz w:val="6"/>
                <w:szCs w:val="6"/>
                <w:color w:val="auto"/>
              </w:rPr>
            </w:pPr>
          </w:p>
        </w:tc>
        <w:tc>
          <w:tcPr>
            <w:tcW w:w="150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156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6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48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6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4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(112,819,342)</w:t>
            </w:r>
          </w:p>
        </w:tc>
        <w:tc>
          <w:tcPr>
            <w:tcW w:w="2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(112,819,342)</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318,757,352</w:t>
            </w:r>
          </w:p>
        </w:tc>
        <w:tc>
          <w:tcPr>
            <w:tcW w:w="2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318,757,352</w:t>
            </w:r>
          </w:p>
        </w:tc>
        <w:tc>
          <w:tcPr>
            <w:tcW w:w="0" w:type="dxa"/>
            <w:vAlign w:val="bottom"/>
          </w:tcPr>
          <w:p>
            <w:pPr>
              <w:spacing w:after="0"/>
              <w:rPr>
                <w:sz w:val="1"/>
                <w:szCs w:val="1"/>
                <w:color w:val="auto"/>
              </w:rPr>
            </w:pPr>
          </w:p>
        </w:tc>
      </w:tr>
      <w:tr>
        <w:trPr>
          <w:trHeight w:val="335"/>
        </w:trPr>
        <w:tc>
          <w:tcPr>
            <w:tcW w:w="400" w:type="dxa"/>
            <w:vAlign w:val="bottom"/>
            <w:tcBorders>
              <w:bottom w:val="single" w:sz="8" w:color="4CA5CD"/>
            </w:tcBorders>
          </w:tcPr>
          <w:p>
            <w:pPr>
              <w:spacing w:after="0"/>
              <w:rPr>
                <w:sz w:val="24"/>
                <w:szCs w:val="24"/>
                <w:color w:val="auto"/>
              </w:rPr>
            </w:pPr>
          </w:p>
        </w:tc>
        <w:tc>
          <w:tcPr>
            <w:tcW w:w="15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4CA5CD"/>
            </w:tcBorders>
          </w:tcPr>
          <w:p>
            <w:pPr>
              <w:spacing w:after="0"/>
              <w:rPr>
                <w:sz w:val="24"/>
                <w:szCs w:val="24"/>
                <w:color w:val="auto"/>
              </w:rPr>
            </w:pPr>
          </w:p>
        </w:tc>
        <w:tc>
          <w:tcPr>
            <w:tcW w:w="15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4CA5CD"/>
            </w:tcBorders>
          </w:tcPr>
          <w:p>
            <w:pPr>
              <w:spacing w:after="0"/>
              <w:rPr>
                <w:sz w:val="24"/>
                <w:szCs w:val="24"/>
                <w:color w:val="auto"/>
              </w:rPr>
            </w:pPr>
          </w:p>
        </w:tc>
        <w:tc>
          <w:tcPr>
            <w:tcW w:w="16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4CA5CD"/>
            </w:tcBorders>
          </w:tcPr>
          <w:p>
            <w:pPr>
              <w:spacing w:after="0"/>
              <w:rPr>
                <w:sz w:val="24"/>
                <w:szCs w:val="24"/>
                <w:color w:val="auto"/>
              </w:rPr>
            </w:pPr>
          </w:p>
        </w:tc>
        <w:tc>
          <w:tcPr>
            <w:tcW w:w="2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(16,070,178)</w:t>
            </w:r>
          </w:p>
        </w:tc>
        <w:tc>
          <w:tcPr>
            <w:tcW w:w="280" w:type="dxa"/>
            <w:vAlign w:val="bottom"/>
            <w:tcBorders>
              <w:bottom w:val="single" w:sz="8" w:color="4CA5CD"/>
            </w:tcBorders>
          </w:tcPr>
          <w:p>
            <w:pPr>
              <w:spacing w:after="0"/>
              <w:rPr>
                <w:sz w:val="24"/>
                <w:szCs w:val="24"/>
                <w:color w:val="auto"/>
              </w:rPr>
            </w:pPr>
          </w:p>
        </w:tc>
        <w:tc>
          <w:tcPr>
            <w:tcW w:w="16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(16,070,178)</w:t>
            </w:r>
          </w:p>
        </w:tc>
        <w:tc>
          <w:tcPr>
            <w:tcW w:w="0" w:type="dxa"/>
            <w:vAlign w:val="bottom"/>
          </w:tcPr>
          <w:p>
            <w:pPr>
              <w:spacing w:after="0"/>
              <w:rPr>
                <w:sz w:val="1"/>
                <w:szCs w:val="1"/>
                <w:color w:val="auto"/>
              </w:rPr>
            </w:pPr>
          </w:p>
        </w:tc>
      </w:tr>
      <w:tr>
        <w:trPr>
          <w:trHeight w:val="345"/>
        </w:trPr>
        <w:tc>
          <w:tcPr>
            <w:tcW w:w="40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14,050,160</w:t>
            </w:r>
          </w:p>
        </w:tc>
        <w:tc>
          <w:tcPr>
            <w:tcW w:w="42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917,499,323</w:t>
            </w:r>
          </w:p>
        </w:tc>
        <w:tc>
          <w:tcPr>
            <w:tcW w:w="320" w:type="dxa"/>
            <w:vAlign w:val="bottom"/>
            <w:tcBorders>
              <w:bottom w:val="single" w:sz="8" w:color="808080"/>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1,148,386,272</w:t>
            </w: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(14,142,934)</w:t>
            </w:r>
          </w:p>
        </w:tc>
        <w:tc>
          <w:tcPr>
            <w:tcW w:w="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2,065,792,821</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133,086</w:t>
            </w:r>
          </w:p>
        </w:tc>
        <w:tc>
          <w:tcPr>
            <w:tcW w:w="4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29,265,186</w:t>
            </w:r>
          </w:p>
        </w:tc>
        <w:tc>
          <w:tcPr>
            <w:tcW w:w="3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29,398,272</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(295,920)</w:t>
            </w:r>
          </w:p>
        </w:tc>
        <w:tc>
          <w:tcPr>
            <w:tcW w:w="4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(17,716,056)</w:t>
            </w:r>
          </w:p>
        </w:tc>
        <w:tc>
          <w:tcPr>
            <w:tcW w:w="3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(128,024,161)</w:t>
            </w:r>
          </w:p>
        </w:tc>
        <w:tc>
          <w:tcPr>
            <w:tcW w:w="2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(146,036,137)</w:t>
            </w:r>
          </w:p>
        </w:tc>
        <w:tc>
          <w:tcPr>
            <w:tcW w:w="0" w:type="dxa"/>
            <w:vAlign w:val="bottom"/>
          </w:tcPr>
          <w:p>
            <w:pPr>
              <w:spacing w:after="0"/>
              <w:rPr>
                <w:sz w:val="1"/>
                <w:szCs w:val="1"/>
                <w:color w:val="auto"/>
              </w:rPr>
            </w:pPr>
          </w:p>
        </w:tc>
      </w:tr>
      <w:tr>
        <w:trPr>
          <w:trHeight w:val="445"/>
        </w:trPr>
        <w:tc>
          <w:tcPr>
            <w:tcW w:w="40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39,197,422</w:t>
            </w:r>
          </w:p>
        </w:tc>
        <w:tc>
          <w:tcPr>
            <w:tcW w:w="320" w:type="dxa"/>
            <w:vAlign w:val="bottom"/>
          </w:tcPr>
          <w:p>
            <w:pPr>
              <w:spacing w:after="0"/>
              <w:rPr>
                <w:sz w:val="24"/>
                <w:szCs w:val="24"/>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39,197,422</w:t>
            </w:r>
          </w:p>
        </w:tc>
        <w:tc>
          <w:tcPr>
            <w:tcW w:w="0" w:type="dxa"/>
            <w:vAlign w:val="bottom"/>
          </w:tcPr>
          <w:p>
            <w:pPr>
              <w:spacing w:after="0"/>
              <w:rPr>
                <w:sz w:val="1"/>
                <w:szCs w:val="1"/>
                <w:color w:val="auto"/>
              </w:rPr>
            </w:pPr>
          </w:p>
        </w:tc>
      </w:tr>
      <w:tr>
        <w:trPr>
          <w:trHeight w:val="75"/>
        </w:trPr>
        <w:tc>
          <w:tcPr>
            <w:tcW w:w="400" w:type="dxa"/>
            <w:vAlign w:val="bottom"/>
            <w:tcBorders>
              <w:bottom w:val="single" w:sz="8" w:color="808080"/>
            </w:tcBorders>
          </w:tcPr>
          <w:p>
            <w:pPr>
              <w:spacing w:after="0"/>
              <w:rPr>
                <w:sz w:val="6"/>
                <w:szCs w:val="6"/>
                <w:color w:val="auto"/>
              </w:rPr>
            </w:pPr>
          </w:p>
        </w:tc>
        <w:tc>
          <w:tcPr>
            <w:tcW w:w="150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156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6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48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6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4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(111,824,393)</w:t>
            </w:r>
          </w:p>
        </w:tc>
        <w:tc>
          <w:tcPr>
            <w:tcW w:w="2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(111,824,393)</w:t>
            </w:r>
          </w:p>
        </w:tc>
        <w:tc>
          <w:tcPr>
            <w:tcW w:w="0" w:type="dxa"/>
            <w:vAlign w:val="bottom"/>
          </w:tcPr>
          <w:p>
            <w:pPr>
              <w:spacing w:after="0"/>
              <w:rPr>
                <w:sz w:val="1"/>
                <w:szCs w:val="1"/>
                <w:color w:val="auto"/>
              </w:rPr>
            </w:pPr>
          </w:p>
        </w:tc>
      </w:tr>
      <w:tr>
        <w:trPr>
          <w:trHeight w:val="340"/>
        </w:trPr>
        <w:tc>
          <w:tcPr>
            <w:tcW w:w="4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428,403,272</w:t>
            </w:r>
          </w:p>
        </w:tc>
        <w:tc>
          <w:tcPr>
            <w:tcW w:w="2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428,403,272</w:t>
            </w:r>
          </w:p>
        </w:tc>
        <w:tc>
          <w:tcPr>
            <w:tcW w:w="0" w:type="dxa"/>
            <w:vAlign w:val="bottom"/>
          </w:tcPr>
          <w:p>
            <w:pPr>
              <w:spacing w:after="0"/>
              <w:rPr>
                <w:sz w:val="1"/>
                <w:szCs w:val="1"/>
                <w:color w:val="auto"/>
              </w:rPr>
            </w:pPr>
          </w:p>
        </w:tc>
      </w:tr>
      <w:tr>
        <w:trPr>
          <w:trHeight w:val="335"/>
        </w:trPr>
        <w:tc>
          <w:tcPr>
            <w:tcW w:w="400" w:type="dxa"/>
            <w:vAlign w:val="bottom"/>
            <w:tcBorders>
              <w:bottom w:val="single" w:sz="8" w:color="4CA5CD"/>
            </w:tcBorders>
          </w:tcPr>
          <w:p>
            <w:pPr>
              <w:spacing w:after="0"/>
              <w:rPr>
                <w:sz w:val="24"/>
                <w:szCs w:val="24"/>
                <w:color w:val="auto"/>
              </w:rPr>
            </w:pPr>
          </w:p>
        </w:tc>
        <w:tc>
          <w:tcPr>
            <w:tcW w:w="15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4CA5CD"/>
            </w:tcBorders>
          </w:tcPr>
          <w:p>
            <w:pPr>
              <w:spacing w:after="0"/>
              <w:rPr>
                <w:sz w:val="24"/>
                <w:szCs w:val="24"/>
                <w:color w:val="auto"/>
              </w:rPr>
            </w:pPr>
          </w:p>
        </w:tc>
        <w:tc>
          <w:tcPr>
            <w:tcW w:w="15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4CA5CD"/>
            </w:tcBorders>
          </w:tcPr>
          <w:p>
            <w:pPr>
              <w:spacing w:after="0"/>
              <w:rPr>
                <w:sz w:val="24"/>
                <w:szCs w:val="24"/>
                <w:color w:val="auto"/>
              </w:rPr>
            </w:pPr>
          </w:p>
        </w:tc>
        <w:tc>
          <w:tcPr>
            <w:tcW w:w="16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4CA5CD"/>
            </w:tcBorders>
          </w:tcPr>
          <w:p>
            <w:pPr>
              <w:spacing w:after="0"/>
              <w:rPr>
                <w:sz w:val="24"/>
                <w:szCs w:val="24"/>
                <w:color w:val="auto"/>
              </w:rPr>
            </w:pPr>
          </w:p>
        </w:tc>
        <w:tc>
          <w:tcPr>
            <w:tcW w:w="2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7,585,812</w:t>
            </w:r>
          </w:p>
        </w:tc>
        <w:tc>
          <w:tcPr>
            <w:tcW w:w="280" w:type="dxa"/>
            <w:vAlign w:val="bottom"/>
            <w:tcBorders>
              <w:bottom w:val="single" w:sz="8" w:color="4CA5CD"/>
            </w:tcBorders>
          </w:tcPr>
          <w:p>
            <w:pPr>
              <w:spacing w:after="0"/>
              <w:rPr>
                <w:sz w:val="24"/>
                <w:szCs w:val="24"/>
                <w:color w:val="auto"/>
              </w:rPr>
            </w:pPr>
          </w:p>
        </w:tc>
        <w:tc>
          <w:tcPr>
            <w:tcW w:w="16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7,585,812</w:t>
            </w:r>
          </w:p>
        </w:tc>
        <w:tc>
          <w:tcPr>
            <w:tcW w:w="0" w:type="dxa"/>
            <w:vAlign w:val="bottom"/>
          </w:tcPr>
          <w:p>
            <w:pPr>
              <w:spacing w:after="0"/>
              <w:rPr>
                <w:sz w:val="1"/>
                <w:szCs w:val="1"/>
                <w:color w:val="auto"/>
              </w:rPr>
            </w:pPr>
          </w:p>
        </w:tc>
      </w:tr>
      <w:tr>
        <w:trPr>
          <w:trHeight w:val="330"/>
        </w:trPr>
        <w:tc>
          <w:tcPr>
            <w:tcW w:w="400" w:type="dxa"/>
            <w:vAlign w:val="bottom"/>
            <w:tcBorders>
              <w:bottom w:val="single" w:sz="8" w:color="4CA5CD"/>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13,887,326</w:t>
            </w:r>
          </w:p>
        </w:tc>
        <w:tc>
          <w:tcPr>
            <w:tcW w:w="420" w:type="dxa"/>
            <w:vAlign w:val="bottom"/>
            <w:tcBorders>
              <w:bottom w:val="single" w:sz="8" w:color="4CA5CD"/>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968,245,875</w:t>
            </w:r>
          </w:p>
        </w:tc>
        <w:tc>
          <w:tcPr>
            <w:tcW w:w="320" w:type="dxa"/>
            <w:vAlign w:val="bottom"/>
            <w:tcBorders>
              <w:bottom w:val="single" w:sz="8" w:color="4CA5CD"/>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1,336,940,990</w:t>
            </w:r>
          </w:p>
        </w:tc>
        <w:tc>
          <w:tcPr>
            <w:tcW w:w="2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(6,557,122)</w:t>
            </w:r>
          </w:p>
        </w:tc>
        <w:tc>
          <w:tcPr>
            <w:tcW w:w="2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2,312,517,069</w:t>
            </w:r>
          </w:p>
        </w:tc>
        <w:tc>
          <w:tcPr>
            <w:tcW w:w="0" w:type="dxa"/>
            <w:vAlign w:val="bottom"/>
          </w:tcPr>
          <w:p>
            <w:pPr>
              <w:spacing w:after="0"/>
              <w:rPr>
                <w:sz w:val="1"/>
                <w:szCs w:val="1"/>
                <w:color w:val="auto"/>
              </w:rPr>
            </w:pPr>
          </w:p>
        </w:tc>
      </w:tr>
      <w:tr>
        <w:trPr>
          <w:trHeight w:val="20"/>
        </w:trPr>
        <w:tc>
          <w:tcPr>
            <w:tcW w:w="400" w:type="dxa"/>
            <w:vAlign w:val="bottom"/>
            <w:tcBorders>
              <w:bottom w:val="single" w:sz="8" w:color="4CA5CD"/>
            </w:tcBorders>
          </w:tcPr>
          <w:p>
            <w:pPr>
              <w:spacing w:after="0" w:line="20" w:lineRule="exact"/>
              <w:rPr>
                <w:sz w:val="1"/>
                <w:szCs w:val="1"/>
                <w:color w:val="auto"/>
              </w:rPr>
            </w:pPr>
          </w:p>
        </w:tc>
        <w:tc>
          <w:tcPr>
            <w:tcW w:w="1500" w:type="dxa"/>
            <w:vAlign w:val="bottom"/>
            <w:tcBorders>
              <w:bottom w:val="single" w:sz="8" w:color="4CA5CD"/>
            </w:tcBorders>
          </w:tcPr>
          <w:p>
            <w:pPr>
              <w:spacing w:after="0" w:line="20" w:lineRule="exact"/>
              <w:rPr>
                <w:sz w:val="1"/>
                <w:szCs w:val="1"/>
                <w:color w:val="auto"/>
              </w:rPr>
            </w:pPr>
          </w:p>
        </w:tc>
        <w:tc>
          <w:tcPr>
            <w:tcW w:w="420" w:type="dxa"/>
            <w:vAlign w:val="bottom"/>
            <w:tcBorders>
              <w:bottom w:val="single" w:sz="8" w:color="4CA5CD"/>
            </w:tcBorders>
          </w:tcPr>
          <w:p>
            <w:pPr>
              <w:spacing w:after="0" w:line="20" w:lineRule="exact"/>
              <w:rPr>
                <w:sz w:val="1"/>
                <w:szCs w:val="1"/>
                <w:color w:val="auto"/>
              </w:rPr>
            </w:pPr>
          </w:p>
        </w:tc>
        <w:tc>
          <w:tcPr>
            <w:tcW w:w="1560" w:type="dxa"/>
            <w:vAlign w:val="bottom"/>
            <w:tcBorders>
              <w:bottom w:val="single" w:sz="8" w:color="4CA5CD"/>
            </w:tcBorders>
          </w:tcPr>
          <w:p>
            <w:pPr>
              <w:spacing w:after="0" w:line="20" w:lineRule="exact"/>
              <w:rPr>
                <w:sz w:val="1"/>
                <w:szCs w:val="1"/>
                <w:color w:val="auto"/>
              </w:rPr>
            </w:pPr>
          </w:p>
        </w:tc>
        <w:tc>
          <w:tcPr>
            <w:tcW w:w="320" w:type="dxa"/>
            <w:vAlign w:val="bottom"/>
            <w:tcBorders>
              <w:bottom w:val="single" w:sz="8" w:color="4CA5CD"/>
            </w:tcBorders>
          </w:tcPr>
          <w:p>
            <w:pPr>
              <w:spacing w:after="0" w:line="20" w:lineRule="exact"/>
              <w:rPr>
                <w:sz w:val="1"/>
                <w:szCs w:val="1"/>
                <w:color w:val="auto"/>
              </w:rPr>
            </w:pPr>
          </w:p>
        </w:tc>
        <w:tc>
          <w:tcPr>
            <w:tcW w:w="1660" w:type="dxa"/>
            <w:vAlign w:val="bottom"/>
            <w:tcBorders>
              <w:bottom w:val="single" w:sz="8" w:color="4CA5CD"/>
            </w:tcBorders>
          </w:tcPr>
          <w:p>
            <w:pPr>
              <w:spacing w:after="0" w:line="20" w:lineRule="exact"/>
              <w:rPr>
                <w:sz w:val="1"/>
                <w:szCs w:val="1"/>
                <w:color w:val="auto"/>
              </w:rPr>
            </w:pPr>
          </w:p>
        </w:tc>
        <w:tc>
          <w:tcPr>
            <w:tcW w:w="220" w:type="dxa"/>
            <w:vAlign w:val="bottom"/>
            <w:tcBorders>
              <w:bottom w:val="single" w:sz="8" w:color="4CA5CD"/>
            </w:tcBorders>
          </w:tcPr>
          <w:p>
            <w:pPr>
              <w:spacing w:after="0" w:line="20" w:lineRule="exact"/>
              <w:rPr>
                <w:sz w:val="1"/>
                <w:szCs w:val="1"/>
                <w:color w:val="auto"/>
              </w:rPr>
            </w:pPr>
          </w:p>
        </w:tc>
        <w:tc>
          <w:tcPr>
            <w:tcW w:w="2480" w:type="dxa"/>
            <w:vAlign w:val="bottom"/>
            <w:tcBorders>
              <w:bottom w:val="single" w:sz="8" w:color="4CA5CD"/>
            </w:tcBorders>
          </w:tcPr>
          <w:p>
            <w:pPr>
              <w:spacing w:after="0" w:line="20" w:lineRule="exact"/>
              <w:rPr>
                <w:sz w:val="1"/>
                <w:szCs w:val="1"/>
                <w:color w:val="auto"/>
              </w:rPr>
            </w:pPr>
          </w:p>
        </w:tc>
        <w:tc>
          <w:tcPr>
            <w:tcW w:w="280" w:type="dxa"/>
            <w:vAlign w:val="bottom"/>
            <w:tcBorders>
              <w:bottom w:val="single" w:sz="8" w:color="4CA5CD"/>
            </w:tcBorders>
          </w:tcPr>
          <w:p>
            <w:pPr>
              <w:spacing w:after="0" w:line="20" w:lineRule="exact"/>
              <w:rPr>
                <w:sz w:val="1"/>
                <w:szCs w:val="1"/>
                <w:color w:val="auto"/>
              </w:rPr>
            </w:pPr>
          </w:p>
        </w:tc>
        <w:tc>
          <w:tcPr>
            <w:tcW w:w="1600" w:type="dxa"/>
            <w:vAlign w:val="bottom"/>
            <w:tcBorders>
              <w:bottom w:val="single" w:sz="8" w:color="4CA5C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144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65</w:t>
      </w:r>
    </w:p>
    <w:p>
      <w:pPr>
        <w:sectPr>
          <w:pgSz w:w="12240" w:h="15840" w:orient="portrait"/>
          <w:cols w:equalWidth="0" w:num="1">
            <w:col w:w="10760"/>
          </w:cols>
          <w:pgMar w:left="900" w:top="1440" w:right="580" w:bottom="0" w:gutter="0" w:footer="0" w:header="0"/>
          <w:type w:val="continuous"/>
        </w:sectPr>
      </w:pPr>
    </w:p>
    <w:bookmarkStart w:id="65" w:name="page66"/>
    <w:bookmarkEnd w:id="65"/>
    <w:p>
      <w:pPr>
        <w:ind w:left="320"/>
        <w:spacing w:after="0"/>
        <w:rPr>
          <w:sz w:val="20"/>
          <w:szCs w:val="20"/>
          <w:color w:val="auto"/>
        </w:rPr>
      </w:pPr>
      <w:r>
        <w:rPr>
          <w:rFonts w:ascii="Arial" w:cs="Arial" w:eastAsia="Arial" w:hAnsi="Arial"/>
          <w:sz w:val="18"/>
          <w:szCs w:val="18"/>
          <w:color w:val="404040"/>
        </w:rPr>
        <w:t>( 1 )  S U M M A R Y  O F  S I G N I F I C A N T  A C C O U N T I N G  A N D  R E P O R T I N G  P O L I C I E S</w:t>
      </w:r>
    </w:p>
    <w:p>
      <w:pPr>
        <w:spacing w:after="0" w:line="38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The Company</w:t>
      </w:r>
    </w:p>
    <w:p>
      <w:pPr>
        <w:spacing w:after="0" w:line="191" w:lineRule="exact"/>
        <w:rPr>
          <w:sz w:val="20"/>
          <w:szCs w:val="20"/>
          <w:color w:val="auto"/>
        </w:rPr>
      </w:pPr>
    </w:p>
    <w:p>
      <w:pPr>
        <w:ind w:left="320" w:right="160"/>
        <w:spacing w:after="0" w:line="352" w:lineRule="auto"/>
        <w:rPr>
          <w:sz w:val="20"/>
          <w:szCs w:val="20"/>
          <w:color w:val="auto"/>
        </w:rPr>
      </w:pPr>
      <w:r>
        <w:rPr>
          <w:rFonts w:ascii="Times New Roman" w:cs="Times New Roman" w:eastAsia="Times New Roman" w:hAnsi="Times New Roman"/>
          <w:sz w:val="18"/>
          <w:szCs w:val="18"/>
          <w:color w:val="auto"/>
        </w:rPr>
        <w:t>Gentex Corporation, including its wholly-owned subsidiaries (the “Company”), is a leading supplier of digital vision, connected car, dimmable glass, and fire protection technologies. The Company’s largest business segment involves designing, developing, manufacturing, marketing, and supplying automatic-dimming rearview and non-dimming mirrors and various electronic modules for the automotive industry. The Company ships its product to all of the major automotive producing regions worldwide, which it supports with numerous sales, engineering and distribution locations worldwide.</w:t>
      </w:r>
    </w:p>
    <w:p>
      <w:pPr>
        <w:spacing w:after="0" w:line="63" w:lineRule="exact"/>
        <w:rPr>
          <w:sz w:val="20"/>
          <w:szCs w:val="20"/>
          <w:color w:val="auto"/>
        </w:rPr>
      </w:pPr>
    </w:p>
    <w:p>
      <w:pPr>
        <w:ind w:left="320" w:right="220"/>
        <w:spacing w:after="0" w:line="362" w:lineRule="auto"/>
        <w:rPr>
          <w:sz w:val="20"/>
          <w:szCs w:val="20"/>
          <w:color w:val="auto"/>
        </w:rPr>
      </w:pPr>
      <w:r>
        <w:rPr>
          <w:rFonts w:ascii="Times New Roman" w:cs="Times New Roman" w:eastAsia="Times New Roman" w:hAnsi="Times New Roman"/>
          <w:sz w:val="18"/>
          <w:szCs w:val="18"/>
          <w:color w:val="auto"/>
        </w:rPr>
        <w:t>A substantial portion of the Company’s net sales and accounts receivable result from transactions with domestic and foreign automotive manufacturers and Tier 1 suppliers. The Company also designs, develops, manufactures, markets, and supplies dimmable aircraft windows for the aviation industry and commercial smoke alarms and signaling devices for the fire protection products industry. The Company does not require collateral or other security for trade accounts receivable.</w:t>
      </w:r>
    </w:p>
    <w:p>
      <w:pPr>
        <w:spacing w:after="0" w:line="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Significant accounting policies of the Company not described elsewhere are as follows:</w:t>
      </w:r>
    </w:p>
    <w:p>
      <w:pPr>
        <w:spacing w:after="0" w:line="37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Consolidation</w:t>
      </w:r>
    </w:p>
    <w:p>
      <w:pPr>
        <w:spacing w:after="0" w:line="191" w:lineRule="exact"/>
        <w:rPr>
          <w:sz w:val="20"/>
          <w:szCs w:val="20"/>
          <w:color w:val="auto"/>
        </w:rPr>
      </w:pPr>
    </w:p>
    <w:p>
      <w:pPr>
        <w:ind w:left="320" w:right="240"/>
        <w:spacing w:after="0" w:line="437"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Gentex Corporation and all of its wholly-owned subsidiaries. All intercompany accounts and transactions have been eliminated.</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Cash Equivalents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Cash equivalents consist of funds invested in bank accounts and money market funds that have daily liquidity.</w:t>
      </w:r>
    </w:p>
    <w:p>
      <w:pPr>
        <w:spacing w:after="0" w:line="37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Allowance For Doubtful Accounts</w:t>
      </w:r>
    </w:p>
    <w:p>
      <w:pPr>
        <w:spacing w:after="0" w:line="191" w:lineRule="exact"/>
        <w:rPr>
          <w:sz w:val="20"/>
          <w:szCs w:val="20"/>
          <w:color w:val="auto"/>
        </w:rPr>
      </w:pPr>
    </w:p>
    <w:p>
      <w:pPr>
        <w:ind w:left="320" w:right="120"/>
        <w:spacing w:after="0" w:line="370" w:lineRule="auto"/>
        <w:rPr>
          <w:sz w:val="20"/>
          <w:szCs w:val="20"/>
          <w:color w:val="auto"/>
        </w:rPr>
      </w:pPr>
      <w:r>
        <w:rPr>
          <w:rFonts w:ascii="Times New Roman" w:cs="Times New Roman" w:eastAsia="Times New Roman" w:hAnsi="Times New Roman"/>
          <w:sz w:val="17"/>
          <w:szCs w:val="17"/>
          <w:color w:val="auto"/>
        </w:rPr>
        <w:t>The Company reviews a monthly aging report of all accounts receivable balances starting with invoices outstanding over sixty days. In addition, the Company monitors information about its customers through a variety of sources including the media, and information obtained through ongoing interaction between Company personnel and the customer. Based on the evaluation of the above information, the Company estimates its allowances related to customer receivables on historical credit and collections experience, customers current financial condition and the specific identification of other potential problems, including the economic climate and impact the supply chain constraints has had on specific customers. Actual collections can differ, requiring adjustments to the allowances, but historically such adjustments have not been material.</w:t>
      </w:r>
    </w:p>
    <w:p>
      <w:pPr>
        <w:spacing w:after="0" w:line="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activity in the Company’s allowance for doubtful accounts:</w:t>
      </w:r>
    </w:p>
    <w:p>
      <w:pPr>
        <w:spacing w:after="0" w:line="270" w:lineRule="exact"/>
        <w:rPr>
          <w:sz w:val="20"/>
          <w:szCs w:val="20"/>
          <w:color w:val="auto"/>
        </w:rPr>
      </w:pPr>
    </w:p>
    <w:tbl>
      <w:tblPr>
        <w:tblLayout w:type="fixed"/>
        <w:tblInd w:w="340" w:type="dxa"/>
        <w:tblCellMar>
          <w:top w:w="0" w:type="dxa"/>
          <w:left w:w="0" w:type="dxa"/>
          <w:bottom w:w="0" w:type="dxa"/>
          <w:right w:w="0" w:type="dxa"/>
        </w:tblCellMar>
      </w:tblPr>
      <w:tr>
        <w:trPr>
          <w:trHeight w:val="240"/>
        </w:trPr>
        <w:tc>
          <w:tcPr>
            <w:tcW w:w="3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Additions/</w:t>
            </w:r>
          </w:p>
        </w:tc>
        <w:tc>
          <w:tcPr>
            <w:tcW w:w="20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Additions/ De-</w:t>
            </w:r>
          </w:p>
        </w:tc>
        <w:tc>
          <w:tcPr>
            <w:tcW w:w="58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Ending</w:t>
            </w:r>
          </w:p>
        </w:tc>
        <w:tc>
          <w:tcPr>
            <w:tcW w:w="0" w:type="dxa"/>
            <w:vAlign w:val="bottom"/>
          </w:tcPr>
          <w:p>
            <w:pPr>
              <w:spacing w:after="0"/>
              <w:rPr>
                <w:sz w:val="1"/>
                <w:szCs w:val="1"/>
                <w:color w:val="auto"/>
              </w:rPr>
            </w:pPr>
          </w:p>
        </w:tc>
      </w:tr>
      <w:tr>
        <w:trPr>
          <w:trHeight w:val="240"/>
        </w:trPr>
        <w:tc>
          <w:tcPr>
            <w:tcW w:w="3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0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(Reductions) to</w:t>
            </w:r>
          </w:p>
        </w:tc>
        <w:tc>
          <w:tcPr>
            <w:tcW w:w="20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ductions and Other</w:t>
            </w:r>
          </w:p>
        </w:tc>
        <w:tc>
          <w:tcPr>
            <w:tcW w:w="5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Costs and Expenses</w:t>
            </w:r>
          </w:p>
        </w:tc>
        <w:tc>
          <w:tcPr>
            <w:tcW w:w="200" w:type="dxa"/>
            <w:vAlign w:val="bottom"/>
          </w:tcPr>
          <w:p>
            <w:pPr>
              <w:spacing w:after="0"/>
              <w:rPr>
                <w:sz w:val="24"/>
                <w:szCs w:val="24"/>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5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52"/>
        </w:trPr>
        <w:tc>
          <w:tcPr>
            <w:tcW w:w="3020" w:type="dxa"/>
            <w:vAlign w:val="bottom"/>
          </w:tcPr>
          <w:p>
            <w:pPr>
              <w:spacing w:after="0"/>
              <w:rPr>
                <w:sz w:val="20"/>
                <w:szCs w:val="20"/>
                <w:color w:val="auto"/>
              </w:rPr>
            </w:pPr>
            <w:r>
              <w:rPr>
                <w:rFonts w:ascii="Arial" w:cs="Arial" w:eastAsia="Arial" w:hAnsi="Arial"/>
                <w:sz w:val="17"/>
                <w:szCs w:val="17"/>
                <w:b w:val="1"/>
                <w:bCs w:val="1"/>
                <w:color w:val="808080"/>
              </w:rPr>
              <w:t>YEAR ENDED DECEMBER 31, 2023:</w:t>
            </w:r>
          </w:p>
        </w:tc>
        <w:tc>
          <w:tcPr>
            <w:tcW w:w="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302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302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2,967,095</w:t>
            </w:r>
          </w:p>
        </w:tc>
        <w:tc>
          <w:tcPr>
            <w:tcW w:w="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(301,892)</w:t>
            </w:r>
          </w:p>
        </w:tc>
        <w:tc>
          <w:tcPr>
            <w:tcW w:w="580" w:type="dxa"/>
            <w:vAlign w:val="bottom"/>
            <w:tcBorders>
              <w:bottom w:val="single" w:sz="8" w:color="808080"/>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2,665,203</w:t>
            </w:r>
          </w:p>
        </w:tc>
        <w:tc>
          <w:tcPr>
            <w:tcW w:w="0" w:type="dxa"/>
            <w:vAlign w:val="bottom"/>
          </w:tcPr>
          <w:p>
            <w:pPr>
              <w:spacing w:after="0"/>
              <w:rPr>
                <w:sz w:val="1"/>
                <w:szCs w:val="1"/>
                <w:color w:val="auto"/>
              </w:rPr>
            </w:pPr>
          </w:p>
        </w:tc>
      </w:tr>
      <w:tr>
        <w:trPr>
          <w:trHeight w:val="273"/>
        </w:trPr>
        <w:tc>
          <w:tcPr>
            <w:tcW w:w="3020" w:type="dxa"/>
            <w:vAlign w:val="bottom"/>
          </w:tcPr>
          <w:p>
            <w:pPr>
              <w:spacing w:after="0"/>
              <w:rPr>
                <w:sz w:val="20"/>
                <w:szCs w:val="20"/>
                <w:color w:val="auto"/>
              </w:rPr>
            </w:pPr>
            <w:r>
              <w:rPr>
                <w:rFonts w:ascii="Arial" w:cs="Arial" w:eastAsia="Arial" w:hAnsi="Arial"/>
                <w:sz w:val="17"/>
                <w:szCs w:val="17"/>
                <w:b w:val="1"/>
                <w:bCs w:val="1"/>
                <w:color w:val="808080"/>
              </w:rPr>
              <w:t>YEAR ENDED DECEMBER 31, 2022:</w:t>
            </w:r>
          </w:p>
        </w:tc>
        <w:tc>
          <w:tcPr>
            <w:tcW w:w="5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302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302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3,176,205</w:t>
            </w:r>
          </w:p>
        </w:tc>
        <w:tc>
          <w:tcPr>
            <w:tcW w:w="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(209,110)</w:t>
            </w:r>
          </w:p>
        </w:tc>
        <w:tc>
          <w:tcPr>
            <w:tcW w:w="580" w:type="dxa"/>
            <w:vAlign w:val="bottom"/>
            <w:tcBorders>
              <w:bottom w:val="single" w:sz="8" w:color="808080"/>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2,967,095</w:t>
            </w:r>
          </w:p>
        </w:tc>
        <w:tc>
          <w:tcPr>
            <w:tcW w:w="0" w:type="dxa"/>
            <w:vAlign w:val="bottom"/>
          </w:tcPr>
          <w:p>
            <w:pPr>
              <w:spacing w:after="0"/>
              <w:rPr>
                <w:sz w:val="1"/>
                <w:szCs w:val="1"/>
                <w:color w:val="auto"/>
              </w:rPr>
            </w:pPr>
          </w:p>
        </w:tc>
      </w:tr>
      <w:tr>
        <w:trPr>
          <w:trHeight w:val="273"/>
        </w:trPr>
        <w:tc>
          <w:tcPr>
            <w:tcW w:w="3020" w:type="dxa"/>
            <w:vAlign w:val="bottom"/>
          </w:tcPr>
          <w:p>
            <w:pPr>
              <w:spacing w:after="0"/>
              <w:rPr>
                <w:sz w:val="20"/>
                <w:szCs w:val="20"/>
                <w:color w:val="auto"/>
              </w:rPr>
            </w:pPr>
            <w:r>
              <w:rPr>
                <w:rFonts w:ascii="Arial" w:cs="Arial" w:eastAsia="Arial" w:hAnsi="Arial"/>
                <w:sz w:val="17"/>
                <w:szCs w:val="17"/>
                <w:b w:val="1"/>
                <w:bCs w:val="1"/>
                <w:color w:val="808080"/>
              </w:rPr>
              <w:t>YEAR ENDED DECEMBER 31, 2021:</w:t>
            </w:r>
          </w:p>
        </w:tc>
        <w:tc>
          <w:tcPr>
            <w:tcW w:w="5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302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3,464,747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(288,542)</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3,176,205</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320" w:right="160"/>
        <w:spacing w:after="0" w:line="439" w:lineRule="auto"/>
        <w:rPr>
          <w:sz w:val="20"/>
          <w:szCs w:val="20"/>
          <w:color w:val="auto"/>
        </w:rPr>
      </w:pPr>
      <w:r>
        <w:rPr>
          <w:rFonts w:ascii="Times New Roman" w:cs="Times New Roman" w:eastAsia="Times New Roman" w:hAnsi="Times New Roman"/>
          <w:sz w:val="18"/>
          <w:szCs w:val="18"/>
          <w:color w:val="auto"/>
        </w:rPr>
        <w:t>The Company’s allowance for doubtful accounts primarily relates to financially distressed automotive customers. The Company continues to work with these financially distressed customers in collecting past due balances.</w:t>
      </w:r>
    </w:p>
    <w:p>
      <w:pPr>
        <w:sectPr>
          <w:pgSz w:w="12240" w:h="15840" w:orient="portrait"/>
          <w:cols w:equalWidth="0" w:num="1">
            <w:col w:w="10760"/>
          </w:cols>
          <w:pgMar w:left="580" w:top="84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66</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46" w:right="900" w:bottom="0" w:gutter="0" w:footer="0" w:header="0"/>
          <w:type w:val="continuous"/>
        </w:sectPr>
      </w:pPr>
    </w:p>
    <w:bookmarkStart w:id="66" w:name="page67"/>
    <w:bookmarkEnd w:id="66"/>
    <w:p>
      <w:pPr>
        <w:spacing w:after="0"/>
        <w:rPr>
          <w:sz w:val="20"/>
          <w:szCs w:val="20"/>
          <w:color w:val="auto"/>
        </w:rPr>
      </w:pPr>
      <w:r>
        <w:rPr>
          <w:rFonts w:ascii="Arial" w:cs="Arial" w:eastAsia="Arial" w:hAnsi="Arial"/>
          <w:sz w:val="22"/>
          <w:szCs w:val="22"/>
          <w:b w:val="1"/>
          <w:bCs w:val="1"/>
          <w:color w:val="4CA5CD"/>
        </w:rPr>
        <w:t>Investments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808080"/>
        </w:rPr>
        <w:t>AVAILABLE FOR SALE SECURITIES</w:t>
      </w:r>
    </w:p>
    <w:p>
      <w:pPr>
        <w:spacing w:after="0" w:line="176" w:lineRule="exact"/>
        <w:rPr>
          <w:sz w:val="20"/>
          <w:szCs w:val="20"/>
          <w:color w:val="auto"/>
        </w:rPr>
      </w:pPr>
    </w:p>
    <w:p>
      <w:pPr>
        <w:ind w:right="340"/>
        <w:spacing w:after="0" w:line="347" w:lineRule="auto"/>
        <w:rPr>
          <w:sz w:val="20"/>
          <w:szCs w:val="20"/>
          <w:color w:val="auto"/>
        </w:rPr>
      </w:pPr>
      <w:r>
        <w:rPr>
          <w:rFonts w:ascii="Times New Roman" w:cs="Times New Roman" w:eastAsia="Times New Roman" w:hAnsi="Times New Roman"/>
          <w:sz w:val="18"/>
          <w:szCs w:val="18"/>
          <w:color w:val="auto"/>
        </w:rPr>
        <w:t>The Company follows the provisions of ASC 820, Fair Value Measurements and Disclosures,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about a company’s use of fair-value measurements, including the effect of such measurement on earnings. The cost of securities sold is based on the specific identification method.</w:t>
      </w:r>
    </w:p>
    <w:p>
      <w:pPr>
        <w:spacing w:after="0" w:line="65" w:lineRule="exact"/>
        <w:rPr>
          <w:sz w:val="20"/>
          <w:szCs w:val="20"/>
          <w:color w:val="auto"/>
        </w:rPr>
      </w:pPr>
    </w:p>
    <w:p>
      <w:pPr>
        <w:ind w:right="380"/>
        <w:spacing w:after="0" w:line="381" w:lineRule="auto"/>
        <w:rPr>
          <w:sz w:val="20"/>
          <w:szCs w:val="20"/>
          <w:color w:val="auto"/>
        </w:rPr>
      </w:pPr>
      <w:r>
        <w:rPr>
          <w:rFonts w:ascii="Times New Roman" w:cs="Times New Roman" w:eastAsia="Times New Roman" w:hAnsi="Times New Roman"/>
          <w:sz w:val="18"/>
          <w:szCs w:val="18"/>
          <w:color w:val="auto"/>
        </w:rPr>
        <w:t>The Company determines the fair value of its government securities, asset-backed securities, corporate bonds, and certain municipal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34" w:lineRule="exact"/>
        <w:rPr>
          <w:sz w:val="20"/>
          <w:szCs w:val="20"/>
          <w:color w:val="auto"/>
        </w:rPr>
      </w:pPr>
    </w:p>
    <w:p>
      <w:pPr>
        <w:ind w:right="740"/>
        <w:spacing w:after="0" w:line="429" w:lineRule="auto"/>
        <w:rPr>
          <w:sz w:val="20"/>
          <w:szCs w:val="20"/>
          <w:color w:val="auto"/>
        </w:rPr>
      </w:pPr>
      <w:r>
        <w:rPr>
          <w:rFonts w:ascii="Times New Roman" w:cs="Times New Roman" w:eastAsia="Times New Roman" w:hAnsi="Times New Roman"/>
          <w:sz w:val="18"/>
          <w:szCs w:val="18"/>
          <w:color w:val="auto"/>
        </w:rPr>
        <w:t>The Company’s certificates of deposit are classified as available for sale, and are considered as Level 1 assets. These investments are carried at amortized cost, which approximates fair value.</w:t>
      </w:r>
    </w:p>
    <w:p>
      <w:pPr>
        <w:ind w:right="360"/>
        <w:spacing w:after="0" w:line="366" w:lineRule="auto"/>
        <w:rPr>
          <w:sz w:val="20"/>
          <w:szCs w:val="20"/>
          <w:color w:val="auto"/>
        </w:rPr>
      </w:pPr>
      <w:r>
        <w:rPr>
          <w:rFonts w:ascii="Times New Roman" w:cs="Times New Roman" w:eastAsia="Times New Roman" w:hAnsi="Times New Roman"/>
          <w:sz w:val="17"/>
          <w:szCs w:val="17"/>
          <w:color w:val="auto"/>
        </w:rPr>
        <w:t>On October 4, 2023, the Company entered into a Stock Purchase Agreement to acquire up to 3,137,500 shares of VOXX International Corporation (“VOXX”) Class A Common Stock. The Company agreed to purchase the shares in two tranches: (1) on October 6, 2023, the Company purchased 1,568,750 shares of Class A Common Stock at a price of $10 per share, and (2) on January 5, 2024, the Company purchased 1,568,750 shares of Class A Common Stock at a price of $10 per share. The VOXX shares held by the Company are publicly traded and have a readily determinable fair market value and are considered Level 1 assets. The investment is accounted for in accordance with ASC 321, Investments - Equity Securities, with changes in fair value recorded in Investment income, net in consolidated statements of income. No significant changes in fair value related to the commitment to purchase the second tranche occurred between October 4, 2023 and December 31, 2023.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808080"/>
        </w:rPr>
        <w:t>TECHNOLOGY INVESTMENTS</w:t>
      </w:r>
    </w:p>
    <w:p>
      <w:pPr>
        <w:spacing w:after="0" w:line="176" w:lineRule="exact"/>
        <w:rPr>
          <w:sz w:val="20"/>
          <w:szCs w:val="20"/>
          <w:color w:val="auto"/>
        </w:rPr>
      </w:pPr>
    </w:p>
    <w:p>
      <w:pPr>
        <w:ind w:right="420"/>
        <w:spacing w:after="0" w:line="352" w:lineRule="auto"/>
        <w:rPr>
          <w:sz w:val="20"/>
          <w:szCs w:val="20"/>
          <w:color w:val="auto"/>
        </w:rPr>
      </w:pPr>
      <w:r>
        <w:rPr>
          <w:rFonts w:ascii="Times New Roman" w:cs="Times New Roman" w:eastAsia="Times New Roman" w:hAnsi="Times New Roman"/>
          <w:sz w:val="18"/>
          <w:szCs w:val="18"/>
          <w:color w:val="auto"/>
        </w:rPr>
        <w:t>The Company also periodically makes strategic investments in the non-marketable debt or equity securities of non-consolidated third parties (“technology investments”). Such technology investments totaled approximately $128.0 million at December 31, 2023, of which $124.6 million and $3.4 million are recorded in long-term investments and short-term investments on the consolidated balance sheet, and $65.5 million as of December 31, 2022, of which $61.7 million and $3.8 million are recorded in long-term investments and short-term investments on the consolidated balance sheet.</w:t>
      </w:r>
    </w:p>
    <w:p>
      <w:pPr>
        <w:spacing w:after="0" w:line="63" w:lineRule="exact"/>
        <w:rPr>
          <w:sz w:val="20"/>
          <w:szCs w:val="20"/>
          <w:color w:val="auto"/>
        </w:rPr>
      </w:pPr>
    </w:p>
    <w:p>
      <w:pPr>
        <w:ind w:right="420"/>
        <w:spacing w:after="0" w:line="341" w:lineRule="auto"/>
        <w:rPr>
          <w:sz w:val="20"/>
          <w:szCs w:val="20"/>
          <w:color w:val="auto"/>
        </w:rPr>
      </w:pPr>
      <w:r>
        <w:rPr>
          <w:rFonts w:ascii="Times New Roman" w:cs="Times New Roman" w:eastAsia="Times New Roman" w:hAnsi="Times New Roman"/>
          <w:sz w:val="18"/>
          <w:szCs w:val="18"/>
          <w:color w:val="auto"/>
        </w:rPr>
        <w:t>Depending on the form of investment, and the degree of influence the Company has over the investee, the Company primarily accounts for the technology investments in accordance with ASC 321, Investments- Equity Securities or ASC 323 – Investments – Equity Method and Joint Venture. The Company accounts for equity securities in non-controlled affiliates through which the Company exercises significant influence but do not have control over the investee under the equity method, with the Company’s share of the earnings or losses of non-controlled affiliates recognized within Other (loss) income, net in the Company’s consolidated statement of income. All other technology investments that the Company holds are primarily accounted for under the measurement alternative of ASC 321. Under the measurement alternative, the carrying value is measured at cost, less any impairment, plus or minus changes resulting from observable price changes in orderly transactions for identical or similar investments of the same issuer.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most significant technology investments is below:</w:t>
      </w:r>
    </w:p>
    <w:p>
      <w:pPr>
        <w:spacing w:after="0" w:line="248" w:lineRule="exact"/>
        <w:rPr>
          <w:sz w:val="20"/>
          <w:szCs w:val="20"/>
          <w:color w:val="auto"/>
        </w:rPr>
      </w:pPr>
    </w:p>
    <w:p>
      <w:pPr>
        <w:ind w:right="680"/>
        <w:spacing w:after="0" w:line="378" w:lineRule="auto"/>
        <w:rPr>
          <w:sz w:val="20"/>
          <w:szCs w:val="20"/>
          <w:color w:val="auto"/>
        </w:rPr>
      </w:pPr>
      <w:r>
        <w:rPr>
          <w:rFonts w:ascii="Arial" w:cs="Arial" w:eastAsia="Arial" w:hAnsi="Arial"/>
          <w:sz w:val="16"/>
          <w:szCs w:val="16"/>
          <w:b w:val="1"/>
          <w:bCs w:val="1"/>
          <w:color w:val="F4494E"/>
        </w:rPr>
        <w:t xml:space="preserve">ADASKY - </w:t>
      </w:r>
      <w:r>
        <w:rPr>
          <w:rFonts w:ascii="Times New Roman" w:cs="Times New Roman" w:eastAsia="Times New Roman" w:hAnsi="Times New Roman"/>
          <w:sz w:val="17"/>
          <w:szCs w:val="17"/>
          <w:color w:val="000000"/>
        </w:rPr>
        <w:t>Adasky is an Israeli based leading developer and manufacturer of intelligent, high-resolution thermal sensing systems for vehicle</w:t>
      </w:r>
      <w:r>
        <w:rPr>
          <w:rFonts w:ascii="Arial" w:cs="Arial" w:eastAsia="Arial" w:hAnsi="Arial"/>
          <w:sz w:val="16"/>
          <w:szCs w:val="16"/>
          <w:b w:val="1"/>
          <w:bCs w:val="1"/>
          <w:color w:val="F4494E"/>
        </w:rPr>
        <w:t xml:space="preserve"> </w:t>
      </w:r>
      <w:r>
        <w:rPr>
          <w:rFonts w:ascii="Times New Roman" w:cs="Times New Roman" w:eastAsia="Times New Roman" w:hAnsi="Times New Roman"/>
          <w:sz w:val="17"/>
          <w:szCs w:val="17"/>
          <w:color w:val="000000"/>
        </w:rPr>
        <w:t>safety and perception applications and smart city roadway solutions. During 2023, the Company invested approximately $46.5 million in Adasky, which resulted in an approximately 27% ownership stake in Adasky. These investments included approximately $25 million related to preferred shares of Adasky accounted for using the measurement alternative and $21.5 million for common shares of Adasky accounted for using the equity method. As of December 31, 2023, the carrying value of the Company’s investments in Adasky was $45.8 million.</w:t>
      </w:r>
    </w:p>
    <w:p>
      <w:pPr>
        <w:sectPr>
          <w:pgSz w:w="12240" w:h="15840" w:orient="portrait"/>
          <w:cols w:equalWidth="0" w:num="1">
            <w:col w:w="10760"/>
          </w:cols>
          <w:pgMar w:left="900" w:top="1438"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67</w:t>
      </w:r>
    </w:p>
    <w:p>
      <w:pPr>
        <w:sectPr>
          <w:pgSz w:w="12240" w:h="15840" w:orient="portrait"/>
          <w:cols w:equalWidth="0" w:num="1">
            <w:col w:w="10760"/>
          </w:cols>
          <w:pgMar w:left="900" w:top="1438" w:right="580" w:bottom="0" w:gutter="0" w:footer="0" w:header="0"/>
          <w:type w:val="continuous"/>
        </w:sectPr>
      </w:pPr>
    </w:p>
    <w:bookmarkStart w:id="67" w:name="page68"/>
    <w:bookmarkEnd w:id="67"/>
    <w:p>
      <w:pPr>
        <w:ind w:left="320" w:right="120"/>
        <w:spacing w:after="0" w:line="388" w:lineRule="auto"/>
        <w:rPr>
          <w:sz w:val="20"/>
          <w:szCs w:val="20"/>
          <w:color w:val="auto"/>
        </w:rPr>
      </w:pPr>
      <w:r>
        <w:rPr>
          <w:rFonts w:ascii="Arial" w:cs="Arial" w:eastAsia="Arial" w:hAnsi="Arial"/>
          <w:sz w:val="16"/>
          <w:szCs w:val="16"/>
          <w:b w:val="1"/>
          <w:bCs w:val="1"/>
          <w:color w:val="F4494E"/>
        </w:rPr>
        <w:t xml:space="preserve">GREEN MARBLES - </w:t>
      </w:r>
      <w:r>
        <w:rPr>
          <w:rFonts w:ascii="Times New Roman" w:cs="Times New Roman" w:eastAsia="Times New Roman" w:hAnsi="Times New Roman"/>
          <w:sz w:val="17"/>
          <w:szCs w:val="17"/>
          <w:color w:val="000000"/>
        </w:rPr>
        <w:t>GreenMarbles is a leading provider of sustainable solutions for integration into properties. On June 3, 2022, the Company</w:t>
      </w:r>
      <w:r>
        <w:rPr>
          <w:rFonts w:ascii="Arial" w:cs="Arial" w:eastAsia="Arial" w:hAnsi="Arial"/>
          <w:sz w:val="16"/>
          <w:szCs w:val="16"/>
          <w:b w:val="1"/>
          <w:bCs w:val="1"/>
          <w:color w:val="F4494E"/>
        </w:rPr>
        <w:t xml:space="preserve"> </w:t>
      </w:r>
      <w:r>
        <w:rPr>
          <w:rFonts w:ascii="Times New Roman" w:cs="Times New Roman" w:eastAsia="Times New Roman" w:hAnsi="Times New Roman"/>
          <w:sz w:val="17"/>
          <w:szCs w:val="17"/>
          <w:color w:val="000000"/>
        </w:rPr>
        <w:t>obtained an approximate 20% equity share in GreenMarbles for $25.0 million, consisting of $20.0 million of cash investment and the issuance of $5.0 million worth of Gentex common stock. The Company accounts for its investment in GreenMarbles using the equity method. As of December 31, 2023 and 2022, the carrying value of the investment in GreenMarbles was $22.6 million and $24.4 million, respectively.</w:t>
      </w:r>
    </w:p>
    <w:p>
      <w:pPr>
        <w:spacing w:after="0" w:line="33" w:lineRule="exact"/>
        <w:rPr>
          <w:sz w:val="20"/>
          <w:szCs w:val="20"/>
          <w:color w:val="auto"/>
        </w:rPr>
      </w:pPr>
    </w:p>
    <w:p>
      <w:pPr>
        <w:ind w:left="320"/>
        <w:spacing w:after="0" w:line="352" w:lineRule="auto"/>
        <w:rPr>
          <w:sz w:val="20"/>
          <w:szCs w:val="20"/>
          <w:color w:val="auto"/>
        </w:rPr>
      </w:pPr>
      <w:r>
        <w:rPr>
          <w:rFonts w:ascii="Arial" w:cs="Arial" w:eastAsia="Arial" w:hAnsi="Arial"/>
          <w:sz w:val="17"/>
          <w:szCs w:val="17"/>
          <w:b w:val="1"/>
          <w:bCs w:val="1"/>
          <w:color w:val="F4494E"/>
        </w:rPr>
        <w:t xml:space="preserve">SIMPLENIGHT - </w:t>
      </w:r>
      <w:r>
        <w:rPr>
          <w:rFonts w:ascii="Times New Roman" w:cs="Times New Roman" w:eastAsia="Times New Roman" w:hAnsi="Times New Roman"/>
          <w:sz w:val="18"/>
          <w:szCs w:val="18"/>
          <w:color w:val="000000"/>
        </w:rPr>
        <w:t>Simplenight provides drivers and vehicle occupants with access to enhanced mobile capability for booking personalized</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entertainment and lifestyle experiences in addition to everyday purchases. During the years ended December 31, 2023 and 2022, the Company made investments of $7.5 million and $7.5 million in Simplenight, respectively, and as of December 31, 2023, the Company has an approximately 30% ownership interest in Simplenight primarily accounted for using the measurement alternative. As of December 31, 2023 and 2022, the carrying value of the Company’s investments in Simplenight was $20.9 million and $12.9 million.</w:t>
      </w:r>
    </w:p>
    <w:p>
      <w:pPr>
        <w:spacing w:after="0" w:line="60" w:lineRule="exact"/>
        <w:rPr>
          <w:sz w:val="20"/>
          <w:szCs w:val="20"/>
          <w:color w:val="auto"/>
        </w:rPr>
      </w:pPr>
    </w:p>
    <w:p>
      <w:pPr>
        <w:ind w:left="320" w:right="280"/>
        <w:spacing w:after="0" w:line="428" w:lineRule="auto"/>
        <w:rPr>
          <w:sz w:val="20"/>
          <w:szCs w:val="20"/>
          <w:color w:val="auto"/>
        </w:rPr>
      </w:pPr>
      <w:r>
        <w:rPr>
          <w:rFonts w:ascii="Arial" w:cs="Arial" w:eastAsia="Arial" w:hAnsi="Arial"/>
          <w:sz w:val="17"/>
          <w:szCs w:val="17"/>
          <w:b w:val="1"/>
          <w:bCs w:val="1"/>
          <w:color w:val="F4494E"/>
        </w:rPr>
        <w:t xml:space="preserve">SOLACE POWER - </w:t>
      </w:r>
      <w:r>
        <w:rPr>
          <w:rFonts w:ascii="Times New Roman" w:cs="Times New Roman" w:eastAsia="Times New Roman" w:hAnsi="Times New Roman"/>
          <w:sz w:val="18"/>
          <w:szCs w:val="18"/>
          <w:color w:val="000000"/>
        </w:rPr>
        <w:t>Solace Power is a Canada-based company specializing in wireless power solutions. On December 12, 2023, the Company</w:t>
      </w:r>
      <w:r>
        <w:rPr>
          <w:rFonts w:ascii="Arial" w:cs="Arial" w:eastAsia="Arial" w:hAnsi="Arial"/>
          <w:sz w:val="17"/>
          <w:szCs w:val="17"/>
          <w:b w:val="1"/>
          <w:bCs w:val="1"/>
          <w:color w:val="F4494E"/>
        </w:rPr>
        <w:t xml:space="preserve"> </w:t>
      </w:r>
      <w:r>
        <w:rPr>
          <w:rFonts w:ascii="Times New Roman" w:cs="Times New Roman" w:eastAsia="Times New Roman" w:hAnsi="Times New Roman"/>
          <w:sz w:val="18"/>
          <w:szCs w:val="18"/>
          <w:color w:val="000000"/>
        </w:rPr>
        <w:t>purchased a 13% equity interest in Solace Power, which is accounted for using the measurement alternative.</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or liabilities that have recurring fair value measurements are shown below as of December 31, 2023 and December 31, 2022:</w:t>
      </w:r>
    </w:p>
    <w:p>
      <w:pPr>
        <w:spacing w:after="0" w:line="308" w:lineRule="exact"/>
        <w:rPr>
          <w:sz w:val="20"/>
          <w:szCs w:val="20"/>
          <w:color w:val="auto"/>
        </w:rPr>
      </w:pPr>
    </w:p>
    <w:tbl>
      <w:tblPr>
        <w:tblLayout w:type="fixed"/>
        <w:tblInd w:w="320" w:type="dxa"/>
        <w:tblCellMar>
          <w:top w:w="0" w:type="dxa"/>
          <w:left w:w="0" w:type="dxa"/>
          <w:bottom w:w="0" w:type="dxa"/>
          <w:right w:w="0" w:type="dxa"/>
        </w:tblCellMar>
      </w:tblPr>
      <w:tr>
        <w:trPr>
          <w:trHeight w:val="290"/>
        </w:trPr>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 Using</w:t>
            </w:r>
          </w:p>
        </w:tc>
        <w:tc>
          <w:tcPr>
            <w:tcW w:w="0" w:type="dxa"/>
            <w:vAlign w:val="bottom"/>
          </w:tcPr>
          <w:p>
            <w:pPr>
              <w:spacing w:after="0"/>
              <w:rPr>
                <w:sz w:val="1"/>
                <w:szCs w:val="1"/>
                <w:color w:val="auto"/>
              </w:rPr>
            </w:pPr>
          </w:p>
        </w:tc>
      </w:tr>
      <w:tr>
        <w:trPr>
          <w:trHeight w:val="286"/>
        </w:trPr>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Quoted Prices in</w:t>
            </w:r>
          </w:p>
        </w:tc>
        <w:tc>
          <w:tcPr>
            <w:tcW w:w="260" w:type="dxa"/>
            <w:vAlign w:val="bottom"/>
          </w:tcPr>
          <w:p>
            <w:pPr>
              <w:spacing w:after="0"/>
              <w:rPr>
                <w:sz w:val="24"/>
                <w:szCs w:val="24"/>
                <w:color w:val="auto"/>
              </w:rPr>
            </w:pPr>
          </w:p>
        </w:tc>
        <w:tc>
          <w:tcPr>
            <w:tcW w:w="15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52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40"/>
        </w:trPr>
        <w:tc>
          <w:tcPr>
            <w:tcW w:w="3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as of</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26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3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140" w:type="dxa"/>
            <w:vAlign w:val="bottom"/>
            <w:tcBorders>
              <w:bottom w:val="single" w:sz="8" w:color="808080"/>
            </w:tcBorders>
          </w:tcPr>
          <w:p>
            <w:pPr>
              <w:spacing w:after="0"/>
              <w:rPr>
                <w:sz w:val="22"/>
                <w:szCs w:val="22"/>
                <w:color w:val="auto"/>
              </w:rPr>
            </w:pPr>
          </w:p>
        </w:tc>
        <w:tc>
          <w:tcPr>
            <w:tcW w:w="1560" w:type="dxa"/>
            <w:vAlign w:val="bottom"/>
            <w:tcBorders>
              <w:bottom w:val="single" w:sz="8" w:color="808080"/>
            </w:tcBorders>
            <w:vMerge w:val="continue"/>
          </w:tcPr>
          <w:p>
            <w:pPr>
              <w:spacing w:after="0"/>
              <w:rPr>
                <w:sz w:val="22"/>
                <w:szCs w:val="22"/>
                <w:color w:val="auto"/>
              </w:rPr>
            </w:pPr>
          </w:p>
        </w:tc>
        <w:tc>
          <w:tcPr>
            <w:tcW w:w="100" w:type="dxa"/>
            <w:vAlign w:val="bottom"/>
            <w:tcBorders>
              <w:bottom w:val="single" w:sz="8" w:color="808080"/>
            </w:tcBorders>
          </w:tcPr>
          <w:p>
            <w:pPr>
              <w:spacing w:after="0"/>
              <w:rPr>
                <w:sz w:val="22"/>
                <w:szCs w:val="22"/>
                <w:color w:val="auto"/>
              </w:rPr>
            </w:pPr>
          </w:p>
        </w:tc>
        <w:tc>
          <w:tcPr>
            <w:tcW w:w="140" w:type="dxa"/>
            <w:vAlign w:val="bottom"/>
            <w:tcBorders>
              <w:bottom w:val="single" w:sz="8" w:color="808080"/>
            </w:tcBorders>
          </w:tcPr>
          <w:p>
            <w:pPr>
              <w:spacing w:after="0"/>
              <w:rPr>
                <w:sz w:val="22"/>
                <w:szCs w:val="22"/>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260" w:type="dxa"/>
            <w:vAlign w:val="bottom"/>
            <w:tcBorders>
              <w:bottom w:val="single" w:sz="8" w:color="808080"/>
            </w:tcBorders>
          </w:tcPr>
          <w:p>
            <w:pPr>
              <w:spacing w:after="0"/>
              <w:rPr>
                <w:sz w:val="22"/>
                <w:szCs w:val="22"/>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720" w:type="dxa"/>
            <w:vAlign w:val="bottom"/>
            <w:tcBorders>
              <w:bottom w:val="single" w:sz="8" w:color="808080"/>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(Level I)</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(Level 2)</w:t>
            </w:r>
          </w:p>
        </w:tc>
        <w:tc>
          <w:tcPr>
            <w:tcW w:w="5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Cash &amp; Cash Equivalents</w:t>
            </w:r>
          </w:p>
        </w:tc>
        <w:tc>
          <w:tcPr>
            <w:tcW w:w="160" w:type="dxa"/>
            <w:vAlign w:val="bottom"/>
            <w:tcBorders>
              <w:bottom w:val="single" w:sz="8" w:color="808080"/>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226,435,019</w:t>
            </w:r>
          </w:p>
        </w:tc>
        <w:tc>
          <w:tcPr>
            <w:tcW w:w="240" w:type="dxa"/>
            <w:vAlign w:val="bottom"/>
            <w:tcBorders>
              <w:bottom w:val="single" w:sz="8" w:color="808080"/>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226,435,019</w:t>
            </w:r>
          </w:p>
        </w:tc>
        <w:tc>
          <w:tcPr>
            <w:tcW w:w="2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Certificate of Deposit</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994,013</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994,013</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1,943,886</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1,943,886</w:t>
            </w:r>
          </w:p>
        </w:tc>
        <w:tc>
          <w:tcPr>
            <w:tcW w:w="5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Government Securities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4,759,507</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4,759,507</w:t>
            </w:r>
          </w:p>
        </w:tc>
        <w:tc>
          <w:tcPr>
            <w:tcW w:w="5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1,726,658</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1,726,658</w:t>
            </w:r>
          </w:p>
        </w:tc>
        <w:tc>
          <w:tcPr>
            <w:tcW w:w="5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1,465,388</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1,465,388</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27,146,504</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27,146,504</w:t>
            </w:r>
          </w:p>
        </w:tc>
        <w:tc>
          <w:tcPr>
            <w:tcW w:w="5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Certificate of Deposit</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748,358</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748,358</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65,404,340</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65,404,340</w:t>
            </w:r>
          </w:p>
        </w:tc>
        <w:tc>
          <w:tcPr>
            <w:tcW w:w="5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Government Securities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6,227,129</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6,227,129</w:t>
            </w:r>
          </w:p>
        </w:tc>
        <w:tc>
          <w:tcPr>
            <w:tcW w:w="5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56,336,921</w:t>
            </w: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56,336,921</w:t>
            </w:r>
          </w:p>
        </w:tc>
        <w:tc>
          <w:tcPr>
            <w:tcW w:w="5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4CA5CD"/>
            </w:tcBorders>
          </w:tcPr>
          <w:p>
            <w:pPr>
              <w:spacing w:after="0"/>
              <w:rPr>
                <w:sz w:val="24"/>
                <w:szCs w:val="24"/>
                <w:color w:val="auto"/>
              </w:rPr>
            </w:pPr>
          </w:p>
        </w:tc>
        <w:tc>
          <w:tcPr>
            <w:tcW w:w="15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18,610,519</w:t>
            </w:r>
          </w:p>
        </w:tc>
        <w:tc>
          <w:tcPr>
            <w:tcW w:w="100" w:type="dxa"/>
            <w:vAlign w:val="bottom"/>
            <w:tcBorders>
              <w:bottom w:val="single" w:sz="8" w:color="4CA5CD"/>
            </w:tcBorders>
          </w:tcPr>
          <w:p>
            <w:pPr>
              <w:spacing w:after="0"/>
              <w:rPr>
                <w:sz w:val="24"/>
                <w:szCs w:val="24"/>
                <w:color w:val="auto"/>
              </w:rPr>
            </w:pPr>
          </w:p>
        </w:tc>
        <w:tc>
          <w:tcPr>
            <w:tcW w:w="140" w:type="dxa"/>
            <w:vAlign w:val="bottom"/>
            <w:tcBorders>
              <w:bottom w:val="single" w:sz="8" w:color="4CA5CD"/>
            </w:tcBorders>
          </w:tcPr>
          <w:p>
            <w:pPr>
              <w:spacing w:after="0"/>
              <w:rPr>
                <w:sz w:val="24"/>
                <w:szCs w:val="24"/>
                <w:color w:val="auto"/>
              </w:rPr>
            </w:pPr>
          </w:p>
        </w:tc>
        <w:tc>
          <w:tcPr>
            <w:tcW w:w="15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18,610,519</w:t>
            </w:r>
          </w:p>
        </w:tc>
        <w:tc>
          <w:tcPr>
            <w:tcW w:w="260" w:type="dxa"/>
            <w:vAlign w:val="bottom"/>
            <w:tcBorders>
              <w:bottom w:val="single" w:sz="8" w:color="4CA5CD"/>
            </w:tcBorders>
          </w:tcPr>
          <w:p>
            <w:pPr>
              <w:spacing w:after="0"/>
              <w:rPr>
                <w:sz w:val="24"/>
                <w:szCs w:val="24"/>
                <w:color w:val="auto"/>
              </w:rPr>
            </w:pPr>
          </w:p>
        </w:tc>
        <w:tc>
          <w:tcPr>
            <w:tcW w:w="15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4CA5CD"/>
            </w:tcBorders>
          </w:tcPr>
          <w:p>
            <w:pPr>
              <w:spacing w:after="0"/>
              <w:rPr>
                <w:sz w:val="24"/>
                <w:szCs w:val="24"/>
                <w:color w:val="auto"/>
              </w:rPr>
            </w:pPr>
          </w:p>
        </w:tc>
        <w:tc>
          <w:tcPr>
            <w:tcW w:w="12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4CA5CD"/>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411,798,242</w:t>
            </w:r>
          </w:p>
        </w:tc>
        <w:tc>
          <w:tcPr>
            <w:tcW w:w="240" w:type="dxa"/>
            <w:vAlign w:val="bottom"/>
            <w:tcBorders>
              <w:bottom w:val="single" w:sz="8" w:color="4CA5CD"/>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248,253,297</w:t>
            </w:r>
          </w:p>
        </w:tc>
        <w:tc>
          <w:tcPr>
            <w:tcW w:w="2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163,544,945</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580" w:top="85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68</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0" w:right="900" w:bottom="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90"/>
        </w:trPr>
        <w:tc>
          <w:tcPr>
            <w:tcW w:w="3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240" w:type="dxa"/>
            <w:vAlign w:val="bottom"/>
            <w:tcBorders>
              <w:bottom w:val="single" w:sz="8" w:color="808080"/>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 Using</w:t>
            </w:r>
          </w:p>
        </w:tc>
        <w:tc>
          <w:tcPr>
            <w:tcW w:w="0" w:type="dxa"/>
            <w:vAlign w:val="bottom"/>
          </w:tcPr>
          <w:p>
            <w:pPr>
              <w:spacing w:after="0"/>
              <w:rPr>
                <w:sz w:val="1"/>
                <w:szCs w:val="1"/>
                <w:color w:val="auto"/>
              </w:rPr>
            </w:pPr>
          </w:p>
        </w:tc>
      </w:tr>
      <w:tr>
        <w:trPr>
          <w:trHeight w:val="278"/>
        </w:trPr>
        <w:tc>
          <w:tcPr>
            <w:tcW w:w="3400" w:type="dxa"/>
            <w:vAlign w:val="bottom"/>
          </w:tcPr>
          <w:p>
            <w:pPr>
              <w:spacing w:after="0"/>
              <w:rPr>
                <w:sz w:val="24"/>
                <w:szCs w:val="24"/>
                <w:color w:val="auto"/>
              </w:rPr>
            </w:pPr>
          </w:p>
        </w:tc>
        <w:tc>
          <w:tcPr>
            <w:tcW w:w="1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 as of</w:t>
            </w: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Quoted Prices in</w:t>
            </w:r>
          </w:p>
        </w:tc>
        <w:tc>
          <w:tcPr>
            <w:tcW w:w="1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120"/>
        </w:trPr>
        <w:tc>
          <w:tcPr>
            <w:tcW w:w="340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8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72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40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0" w:type="dxa"/>
            <w:vAlign w:val="bottom"/>
          </w:tcPr>
          <w:p>
            <w:pPr>
              <w:spacing w:after="0"/>
              <w:rPr>
                <w:sz w:val="1"/>
                <w:szCs w:val="1"/>
                <w:color w:val="auto"/>
              </w:rPr>
            </w:pPr>
          </w:p>
        </w:tc>
      </w:tr>
      <w:tr>
        <w:trPr>
          <w:trHeight w:val="178"/>
        </w:trPr>
        <w:tc>
          <w:tcPr>
            <w:tcW w:w="3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172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340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vMerge w:val="continue"/>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December 31, 22</w:t>
            </w:r>
          </w:p>
        </w:tc>
        <w:tc>
          <w:tcPr>
            <w:tcW w:w="182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(Level I)</w:t>
            </w:r>
          </w:p>
        </w:tc>
        <w:tc>
          <w:tcPr>
            <w:tcW w:w="172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Cash &amp; Cash Equivalents</w:t>
            </w:r>
          </w:p>
        </w:tc>
        <w:tc>
          <w:tcPr>
            <w:tcW w:w="18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$214,754,638</w:t>
            </w:r>
          </w:p>
        </w:tc>
        <w:tc>
          <w:tcPr>
            <w:tcW w:w="182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$214,754,638</w:t>
            </w:r>
          </w:p>
        </w:tc>
        <w:tc>
          <w:tcPr>
            <w:tcW w:w="172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4,000,000</w:t>
            </w:r>
          </w:p>
        </w:tc>
        <w:tc>
          <w:tcPr>
            <w:tcW w:w="182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$4,000,000</w:t>
            </w:r>
          </w:p>
        </w:tc>
        <w:tc>
          <w:tcPr>
            <w:tcW w:w="172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80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Certificate of Deposit</w:t>
            </w:r>
          </w:p>
        </w:tc>
        <w:tc>
          <w:tcPr>
            <w:tcW w:w="18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1,736,163</w:t>
            </w:r>
          </w:p>
        </w:tc>
        <w:tc>
          <w:tcPr>
            <w:tcW w:w="182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$1,736,163</w:t>
            </w:r>
          </w:p>
        </w:tc>
        <w:tc>
          <w:tcPr>
            <w:tcW w:w="172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 Bonds</w:t>
            </w:r>
          </w:p>
        </w:tc>
        <w:tc>
          <w:tcPr>
            <w:tcW w:w="18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5,473,341</w:t>
            </w:r>
          </w:p>
        </w:tc>
        <w:tc>
          <w:tcPr>
            <w:tcW w:w="182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5,473,341</w:t>
            </w:r>
          </w:p>
        </w:tc>
        <w:tc>
          <w:tcPr>
            <w:tcW w:w="1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Government Securities</w:t>
            </w:r>
          </w:p>
        </w:tc>
        <w:tc>
          <w:tcPr>
            <w:tcW w:w="18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4,423,041</w:t>
            </w:r>
          </w:p>
        </w:tc>
        <w:tc>
          <w:tcPr>
            <w:tcW w:w="182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4,423,041</w:t>
            </w:r>
          </w:p>
        </w:tc>
        <w:tc>
          <w:tcPr>
            <w:tcW w:w="1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Municipal Bonds</w:t>
            </w:r>
          </w:p>
        </w:tc>
        <w:tc>
          <w:tcPr>
            <w:tcW w:w="18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5,174,773</w:t>
            </w:r>
          </w:p>
        </w:tc>
        <w:tc>
          <w:tcPr>
            <w:tcW w:w="182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5,174,773</w:t>
            </w:r>
          </w:p>
        </w:tc>
        <w:tc>
          <w:tcPr>
            <w:tcW w:w="1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2,347,602</w:t>
            </w:r>
          </w:p>
        </w:tc>
        <w:tc>
          <w:tcPr>
            <w:tcW w:w="182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1,093,602</w:t>
            </w:r>
          </w:p>
        </w:tc>
        <w:tc>
          <w:tcPr>
            <w:tcW w:w="172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1,254,000</w:t>
            </w:r>
          </w:p>
        </w:tc>
        <w:tc>
          <w:tcPr>
            <w:tcW w:w="1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80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18,829,696</w:t>
            </w:r>
          </w:p>
        </w:tc>
        <w:tc>
          <w:tcPr>
            <w:tcW w:w="182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18,829,696</w:t>
            </w:r>
          </w:p>
        </w:tc>
        <w:tc>
          <w:tcPr>
            <w:tcW w:w="1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Certificate of Deposit</w:t>
            </w:r>
          </w:p>
        </w:tc>
        <w:tc>
          <w:tcPr>
            <w:tcW w:w="18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238,925</w:t>
            </w:r>
          </w:p>
        </w:tc>
        <w:tc>
          <w:tcPr>
            <w:tcW w:w="182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238,925</w:t>
            </w:r>
          </w:p>
        </w:tc>
        <w:tc>
          <w:tcPr>
            <w:tcW w:w="172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 Bonds</w:t>
            </w:r>
          </w:p>
        </w:tc>
        <w:tc>
          <w:tcPr>
            <w:tcW w:w="18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36,310,477</w:t>
            </w:r>
          </w:p>
        </w:tc>
        <w:tc>
          <w:tcPr>
            <w:tcW w:w="182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36,310,477</w:t>
            </w:r>
          </w:p>
        </w:tc>
        <w:tc>
          <w:tcPr>
            <w:tcW w:w="1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Government Securities</w:t>
            </w:r>
          </w:p>
        </w:tc>
        <w:tc>
          <w:tcPr>
            <w:tcW w:w="18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36,532,634</w:t>
            </w:r>
          </w:p>
        </w:tc>
        <w:tc>
          <w:tcPr>
            <w:tcW w:w="1820" w:type="dxa"/>
            <w:vAlign w:val="bottom"/>
            <w:tcBorders>
              <w:bottom w:val="single" w:sz="8" w:color="808080"/>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36,532,634</w:t>
            </w:r>
          </w:p>
        </w:tc>
        <w:tc>
          <w:tcPr>
            <w:tcW w:w="1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Municipal Bonds</w:t>
            </w:r>
          </w:p>
        </w:tc>
        <w:tc>
          <w:tcPr>
            <w:tcW w:w="18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48,430,166</w:t>
            </w:r>
          </w:p>
        </w:tc>
        <w:tc>
          <w:tcPr>
            <w:tcW w:w="182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rPr>
              <w:t>48,430,166</w:t>
            </w:r>
          </w:p>
        </w:tc>
        <w:tc>
          <w:tcPr>
            <w:tcW w:w="1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340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Common Stock</w:t>
            </w:r>
          </w:p>
        </w:tc>
        <w:tc>
          <w:tcPr>
            <w:tcW w:w="1800" w:type="dxa"/>
            <w:vAlign w:val="bottom"/>
            <w:tcBorders>
              <w:bottom w:val="single" w:sz="8" w:color="4CA5CD"/>
            </w:tcBorders>
          </w:tcPr>
          <w:p>
            <w:pPr>
              <w:jc w:val="right"/>
              <w:ind w:right="90"/>
              <w:spacing w:after="0"/>
              <w:rPr>
                <w:sz w:val="20"/>
                <w:szCs w:val="20"/>
                <w:color w:val="auto"/>
              </w:rPr>
            </w:pPr>
            <w:r>
              <w:rPr>
                <w:rFonts w:ascii="Times New Roman" w:cs="Times New Roman" w:eastAsia="Times New Roman" w:hAnsi="Times New Roman"/>
                <w:sz w:val="18"/>
                <w:szCs w:val="18"/>
                <w:color w:val="auto"/>
              </w:rPr>
              <w:t>293,300</w:t>
            </w:r>
          </w:p>
        </w:tc>
        <w:tc>
          <w:tcPr>
            <w:tcW w:w="1820" w:type="dxa"/>
            <w:vAlign w:val="bottom"/>
            <w:tcBorders>
              <w:bottom w:val="single" w:sz="8" w:color="4CA5CD"/>
            </w:tcBorders>
          </w:tcPr>
          <w:p>
            <w:pPr>
              <w:jc w:val="right"/>
              <w:ind w:right="110"/>
              <w:spacing w:after="0"/>
              <w:rPr>
                <w:sz w:val="20"/>
                <w:szCs w:val="20"/>
                <w:color w:val="auto"/>
              </w:rPr>
            </w:pPr>
            <w:r>
              <w:rPr>
                <w:rFonts w:ascii="Times New Roman" w:cs="Times New Roman" w:eastAsia="Times New Roman" w:hAnsi="Times New Roman"/>
                <w:sz w:val="18"/>
                <w:szCs w:val="18"/>
                <w:color w:val="auto"/>
              </w:rPr>
              <w:t>293,300</w:t>
            </w:r>
          </w:p>
        </w:tc>
        <w:tc>
          <w:tcPr>
            <w:tcW w:w="1720" w:type="dxa"/>
            <w:vAlign w:val="bottom"/>
            <w:tcBorders>
              <w:bottom w:val="single" w:sz="8" w:color="4CA5CD"/>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4CA5CD"/>
            </w:tcBorders>
          </w:tcPr>
          <w:p>
            <w:pPr>
              <w:jc w:val="right"/>
              <w:ind w:right="90"/>
              <w:spacing w:after="0"/>
              <w:rPr>
                <w:sz w:val="20"/>
                <w:szCs w:val="20"/>
                <w:color w:val="auto"/>
              </w:rPr>
            </w:pPr>
            <w:r>
              <w:rPr>
                <w:rFonts w:ascii="Times New Roman" w:cs="Times New Roman" w:eastAsia="Times New Roman" w:hAnsi="Times New Roman"/>
                <w:sz w:val="18"/>
                <w:szCs w:val="18"/>
                <w:color w:val="auto"/>
              </w:rPr>
              <w:t>$378,544,756</w:t>
            </w:r>
          </w:p>
        </w:tc>
        <w:tc>
          <w:tcPr>
            <w:tcW w:w="1820" w:type="dxa"/>
            <w:vAlign w:val="bottom"/>
            <w:tcBorders>
              <w:bottom w:val="single" w:sz="8" w:color="4CA5CD"/>
            </w:tcBorders>
          </w:tcPr>
          <w:p>
            <w:pPr>
              <w:jc w:val="right"/>
              <w:ind w:right="110"/>
              <w:spacing w:after="0"/>
              <w:rPr>
                <w:sz w:val="20"/>
                <w:szCs w:val="20"/>
                <w:color w:val="auto"/>
              </w:rPr>
            </w:pPr>
            <w:r>
              <w:rPr>
                <w:rFonts w:ascii="Times New Roman" w:cs="Times New Roman" w:eastAsia="Times New Roman" w:hAnsi="Times New Roman"/>
                <w:sz w:val="18"/>
                <w:szCs w:val="18"/>
                <w:color w:val="auto"/>
              </w:rPr>
              <w:t>$222,116,628</w:t>
            </w:r>
          </w:p>
        </w:tc>
        <w:tc>
          <w:tcPr>
            <w:tcW w:w="1720" w:type="dxa"/>
            <w:vAlign w:val="bottom"/>
            <w:tcBorders>
              <w:bottom w:val="single" w:sz="8" w:color="4CA5CD"/>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$156,428,128</w:t>
            </w:r>
          </w:p>
        </w:tc>
        <w:tc>
          <w:tcPr>
            <w:tcW w:w="17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965"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69</w:t>
      </w:r>
    </w:p>
    <w:p>
      <w:pPr>
        <w:sectPr>
          <w:pgSz w:w="12240" w:h="15840" w:orient="portrait"/>
          <w:cols w:equalWidth="0" w:num="1">
            <w:col w:w="10760"/>
          </w:cols>
          <w:pgMar w:left="900" w:top="965" w:right="580" w:bottom="0" w:gutter="0" w:footer="0" w:header="0"/>
          <w:type w:val="continuous"/>
        </w:sectPr>
      </w:pPr>
    </w:p>
    <w:bookmarkStart w:id="69" w:name="page70"/>
    <w:bookmarkEnd w:id="69"/>
    <w:p>
      <w:pPr>
        <w:ind w:left="320"/>
        <w:spacing w:after="0"/>
        <w:rPr>
          <w:sz w:val="20"/>
          <w:szCs w:val="20"/>
          <w:color w:val="auto"/>
        </w:rPr>
      </w:pPr>
      <w:r>
        <w:rPr>
          <w:rFonts w:ascii="Times New Roman" w:cs="Times New Roman" w:eastAsia="Times New Roman" w:hAnsi="Times New Roman"/>
          <w:sz w:val="18"/>
          <w:szCs w:val="18"/>
          <w:color w:val="auto"/>
        </w:rPr>
        <w:t>The amortized cost, unrealized gains and losses, and market value of investment securities are shown as of December 31, 2023 and 2022:</w:t>
      </w:r>
    </w:p>
    <w:p>
      <w:pPr>
        <w:spacing w:after="0" w:line="299" w:lineRule="exact"/>
        <w:rPr>
          <w:sz w:val="20"/>
          <w:szCs w:val="20"/>
          <w:color w:val="auto"/>
        </w:rPr>
      </w:pPr>
    </w:p>
    <w:tbl>
      <w:tblPr>
        <w:tblLayout w:type="fixed"/>
        <w:tblInd w:w="320" w:type="dxa"/>
        <w:tblCellMar>
          <w:top w:w="0" w:type="dxa"/>
          <w:left w:w="0" w:type="dxa"/>
          <w:bottom w:w="0" w:type="dxa"/>
          <w:right w:w="0" w:type="dxa"/>
        </w:tblCellMar>
      </w:tblPr>
      <w:tr>
        <w:trPr>
          <w:trHeight w:val="290"/>
        </w:trPr>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Market Value</w:t>
            </w: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Certificate of Deposit</w:t>
            </w:r>
          </w:p>
        </w:tc>
        <w:tc>
          <w:tcPr>
            <w:tcW w:w="380" w:type="dxa"/>
            <w:vAlign w:val="bottom"/>
            <w:tcBorders>
              <w:bottom w:val="single" w:sz="8" w:color="808080"/>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40" w:type="dxa"/>
            <w:vAlign w:val="bottom"/>
            <w:tcBorders>
              <w:bottom w:val="single" w:sz="8" w:color="808080"/>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(5,987)</w:t>
            </w:r>
          </w:p>
        </w:tc>
        <w:tc>
          <w:tcPr>
            <w:tcW w:w="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994,013</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1,976,195</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(32,309)</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1,943,886</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Government Securities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4,754,495</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21,141</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(16,129)</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4,759,507</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1,749,038</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(22,380)</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1,726,658</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1,465,388</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1,465,388</w:t>
            </w: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26,923,803</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331,847</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(109,146)</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27,146,504</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Certificate of Deposit</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(1,642)</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748,358</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66,214,398</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748,471</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(1,558,529)</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65,404,340</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Government Securities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6,217,774</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(1,320)</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6,227,129</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58,261,615</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811,128</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(2,735,822)</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56,336,921</w:t>
            </w:r>
          </w:p>
        </w:tc>
      </w:tr>
      <w:tr>
        <w:trPr>
          <w:trHeight w:val="355"/>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4CA5CD"/>
            </w:tcBorders>
          </w:tcPr>
          <w:p>
            <w:pPr>
              <w:spacing w:after="0"/>
              <w:rPr>
                <w:sz w:val="24"/>
                <w:szCs w:val="24"/>
                <w:color w:val="auto"/>
              </w:rPr>
            </w:pPr>
          </w:p>
        </w:tc>
        <w:tc>
          <w:tcPr>
            <w:tcW w:w="13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17,324,886</w:t>
            </w:r>
          </w:p>
        </w:tc>
        <w:tc>
          <w:tcPr>
            <w:tcW w:w="44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1,328,446</w:t>
            </w:r>
          </w:p>
        </w:tc>
        <w:tc>
          <w:tcPr>
            <w:tcW w:w="540" w:type="dxa"/>
            <w:vAlign w:val="bottom"/>
            <w:tcBorders>
              <w:bottom w:val="single" w:sz="8" w:color="4CA5CD"/>
            </w:tcBorders>
          </w:tcPr>
          <w:p>
            <w:pPr>
              <w:spacing w:after="0"/>
              <w:rPr>
                <w:sz w:val="24"/>
                <w:szCs w:val="24"/>
                <w:color w:val="auto"/>
              </w:rPr>
            </w:pPr>
          </w:p>
        </w:tc>
        <w:tc>
          <w:tcPr>
            <w:tcW w:w="12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(42,813)</w:t>
            </w:r>
          </w:p>
        </w:tc>
        <w:tc>
          <w:tcPr>
            <w:tcW w:w="280" w:type="dxa"/>
            <w:vAlign w:val="bottom"/>
            <w:tcBorders>
              <w:bottom w:val="single" w:sz="8" w:color="4CA5CD"/>
            </w:tcBorders>
          </w:tcPr>
          <w:p>
            <w:pPr>
              <w:spacing w:after="0"/>
              <w:rPr>
                <w:sz w:val="24"/>
                <w:szCs w:val="24"/>
                <w:color w:val="auto"/>
              </w:rPr>
            </w:pP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18,610,519</w:t>
            </w:r>
          </w:p>
        </w:tc>
      </w:tr>
      <w:tr>
        <w:trPr>
          <w:trHeight w:val="3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4CA5CD"/>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186,637,592</w:t>
            </w:r>
          </w:p>
        </w:tc>
        <w:tc>
          <w:tcPr>
            <w:tcW w:w="440" w:type="dxa"/>
            <w:vAlign w:val="bottom"/>
            <w:tcBorders>
              <w:bottom w:val="single" w:sz="8" w:color="4CA5CD"/>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3,251,708</w:t>
            </w:r>
          </w:p>
        </w:tc>
        <w:tc>
          <w:tcPr>
            <w:tcW w:w="540" w:type="dxa"/>
            <w:vAlign w:val="bottom"/>
            <w:tcBorders>
              <w:bottom w:val="single" w:sz="8" w:color="4CA5CD"/>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(4,526,077)</w:t>
            </w:r>
          </w:p>
        </w:tc>
        <w:tc>
          <w:tcPr>
            <w:tcW w:w="2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185,363,223</w:t>
            </w:r>
          </w:p>
        </w:tc>
      </w:tr>
      <w:tr>
        <w:trPr>
          <w:trHeight w:val="20"/>
        </w:trPr>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4CA5CD"/>
            </w:tcBorders>
          </w:tcPr>
          <w:p>
            <w:pPr>
              <w:spacing w:after="0" w:line="20" w:lineRule="exact"/>
              <w:rPr>
                <w:sz w:val="1"/>
                <w:szCs w:val="1"/>
                <w:color w:val="auto"/>
              </w:rPr>
            </w:pPr>
          </w:p>
        </w:tc>
        <w:tc>
          <w:tcPr>
            <w:tcW w:w="1340" w:type="dxa"/>
            <w:vAlign w:val="bottom"/>
            <w:tcBorders>
              <w:bottom w:val="single" w:sz="8" w:color="4CA5CD"/>
            </w:tcBorders>
          </w:tcPr>
          <w:p>
            <w:pPr>
              <w:spacing w:after="0" w:line="20" w:lineRule="exact"/>
              <w:rPr>
                <w:sz w:val="1"/>
                <w:szCs w:val="1"/>
                <w:color w:val="auto"/>
              </w:rPr>
            </w:pPr>
          </w:p>
        </w:tc>
        <w:tc>
          <w:tcPr>
            <w:tcW w:w="440" w:type="dxa"/>
            <w:vAlign w:val="bottom"/>
            <w:tcBorders>
              <w:bottom w:val="single" w:sz="8" w:color="4CA5CD"/>
            </w:tcBorders>
          </w:tcPr>
          <w:p>
            <w:pPr>
              <w:spacing w:after="0" w:line="20" w:lineRule="exact"/>
              <w:rPr>
                <w:sz w:val="1"/>
                <w:szCs w:val="1"/>
                <w:color w:val="auto"/>
              </w:rPr>
            </w:pPr>
          </w:p>
        </w:tc>
        <w:tc>
          <w:tcPr>
            <w:tcW w:w="1360" w:type="dxa"/>
            <w:vAlign w:val="bottom"/>
            <w:tcBorders>
              <w:bottom w:val="single" w:sz="8" w:color="4CA5CD"/>
            </w:tcBorders>
          </w:tcPr>
          <w:p>
            <w:pPr>
              <w:spacing w:after="0" w:line="20" w:lineRule="exact"/>
              <w:rPr>
                <w:sz w:val="1"/>
                <w:szCs w:val="1"/>
                <w:color w:val="auto"/>
              </w:rPr>
            </w:pPr>
          </w:p>
        </w:tc>
        <w:tc>
          <w:tcPr>
            <w:tcW w:w="540" w:type="dxa"/>
            <w:vAlign w:val="bottom"/>
            <w:tcBorders>
              <w:bottom w:val="single" w:sz="8" w:color="4CA5CD"/>
            </w:tcBorders>
          </w:tcPr>
          <w:p>
            <w:pPr>
              <w:spacing w:after="0" w:line="20" w:lineRule="exact"/>
              <w:rPr>
                <w:sz w:val="1"/>
                <w:szCs w:val="1"/>
                <w:color w:val="auto"/>
              </w:rPr>
            </w:pPr>
          </w:p>
        </w:tc>
        <w:tc>
          <w:tcPr>
            <w:tcW w:w="1280" w:type="dxa"/>
            <w:vAlign w:val="bottom"/>
            <w:tcBorders>
              <w:bottom w:val="single" w:sz="8" w:color="4CA5CD"/>
            </w:tcBorders>
          </w:tcPr>
          <w:p>
            <w:pPr>
              <w:spacing w:after="0" w:line="20" w:lineRule="exact"/>
              <w:rPr>
                <w:sz w:val="1"/>
                <w:szCs w:val="1"/>
                <w:color w:val="auto"/>
              </w:rPr>
            </w:pPr>
          </w:p>
        </w:tc>
        <w:tc>
          <w:tcPr>
            <w:tcW w:w="280" w:type="dxa"/>
            <w:vAlign w:val="bottom"/>
            <w:tcBorders>
              <w:bottom w:val="single" w:sz="8" w:color="4CA5CD"/>
            </w:tcBorders>
          </w:tcPr>
          <w:p>
            <w:pPr>
              <w:spacing w:after="0" w:line="20" w:lineRule="exact"/>
              <w:rPr>
                <w:sz w:val="1"/>
                <w:szCs w:val="1"/>
                <w:color w:val="auto"/>
              </w:rPr>
            </w:pPr>
          </w:p>
        </w:tc>
        <w:tc>
          <w:tcPr>
            <w:tcW w:w="1440" w:type="dxa"/>
            <w:vAlign w:val="bottom"/>
            <w:tcBorders>
              <w:bottom w:val="single" w:sz="8" w:color="4CA5CD"/>
            </w:tcBorders>
          </w:tcPr>
          <w:p>
            <w:pPr>
              <w:spacing w:after="0" w:line="20" w:lineRule="exact"/>
              <w:rPr>
                <w:sz w:val="1"/>
                <w:szCs w:val="1"/>
                <w:color w:val="auto"/>
              </w:rPr>
            </w:pPr>
          </w:p>
        </w:tc>
      </w:tr>
    </w:tbl>
    <w:p>
      <w:pPr>
        <w:spacing w:after="0" w:line="375" w:lineRule="exact"/>
        <w:rPr>
          <w:sz w:val="20"/>
          <w:szCs w:val="20"/>
          <w:color w:val="auto"/>
        </w:rPr>
      </w:pPr>
    </w:p>
    <w:tbl>
      <w:tblPr>
        <w:tblLayout w:type="fixed"/>
        <w:tblInd w:w="320" w:type="dxa"/>
        <w:tblCellMar>
          <w:top w:w="0" w:type="dxa"/>
          <w:left w:w="0" w:type="dxa"/>
          <w:bottom w:w="0" w:type="dxa"/>
          <w:right w:w="0" w:type="dxa"/>
        </w:tblCellMar>
      </w:tblPr>
      <w:tr>
        <w:trPr>
          <w:trHeight w:val="290"/>
        </w:trPr>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4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Market Value</w:t>
            </w: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Certificate of Deposit</w:t>
            </w:r>
          </w:p>
        </w:tc>
        <w:tc>
          <w:tcPr>
            <w:tcW w:w="380" w:type="dxa"/>
            <w:vAlign w:val="bottom"/>
            <w:tcBorders>
              <w:bottom w:val="single" w:sz="8" w:color="808080"/>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1,750,256</w:t>
            </w:r>
          </w:p>
        </w:tc>
        <w:tc>
          <w:tcPr>
            <w:tcW w:w="440" w:type="dxa"/>
            <w:vAlign w:val="bottom"/>
            <w:tcBorders>
              <w:bottom w:val="single" w:sz="8" w:color="808080"/>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(14,093)</w:t>
            </w:r>
          </w:p>
        </w:tc>
        <w:tc>
          <w:tcPr>
            <w:tcW w:w="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1,736,163</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5,571,417</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(98,076)</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5,473,341</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Government Securities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4,476,613</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(53,572)</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4,423,041</w:t>
            </w:r>
          </w:p>
        </w:tc>
      </w:tr>
      <w:tr>
        <w:trPr>
          <w:trHeight w:val="345"/>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5,223,500</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(48,727)</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5,174,773</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2,347,602</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2,347,602</w:t>
            </w:r>
          </w:p>
        </w:tc>
      </w:tr>
      <w:tr>
        <w:trPr>
          <w:trHeight w:val="340"/>
        </w:trPr>
        <w:tc>
          <w:tcPr>
            <w:tcW w:w="33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19,151,229</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(321,533)</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18,829,696</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Certificate of Deposit</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(11,075)</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238,925</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40,410,206</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(4,099,729)</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36,310,477</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Government Securities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39,637,461</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(3,104,827)</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36,532,634</w:t>
            </w:r>
          </w:p>
        </w:tc>
      </w:tr>
      <w:tr>
        <w:trPr>
          <w:trHeight w:val="340"/>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Municipal Bonds</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53,476,883</w:t>
            </w:r>
          </w:p>
        </w:tc>
        <w:tc>
          <w:tcPr>
            <w:tcW w:w="4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235,713</w:t>
            </w: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(5,282,430)</w:t>
            </w:r>
          </w:p>
        </w:tc>
        <w:tc>
          <w:tcPr>
            <w:tcW w:w="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48,430,166</w:t>
            </w:r>
          </w:p>
        </w:tc>
      </w:tr>
      <w:tr>
        <w:trPr>
          <w:trHeight w:val="355"/>
        </w:trPr>
        <w:tc>
          <w:tcPr>
            <w:tcW w:w="33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4CA5CD"/>
            </w:tcBorders>
          </w:tcPr>
          <w:p>
            <w:pPr>
              <w:spacing w:after="0"/>
              <w:rPr>
                <w:sz w:val="24"/>
                <w:szCs w:val="24"/>
                <w:color w:val="auto"/>
              </w:rPr>
            </w:pPr>
          </w:p>
        </w:tc>
        <w:tc>
          <w:tcPr>
            <w:tcW w:w="13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292,638</w:t>
            </w:r>
          </w:p>
        </w:tc>
        <w:tc>
          <w:tcPr>
            <w:tcW w:w="44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540" w:type="dxa"/>
            <w:vAlign w:val="bottom"/>
            <w:tcBorders>
              <w:bottom w:val="single" w:sz="8" w:color="4CA5CD"/>
            </w:tcBorders>
          </w:tcPr>
          <w:p>
            <w:pPr>
              <w:spacing w:after="0"/>
              <w:rPr>
                <w:sz w:val="24"/>
                <w:szCs w:val="24"/>
                <w:color w:val="auto"/>
              </w:rPr>
            </w:pPr>
          </w:p>
        </w:tc>
        <w:tc>
          <w:tcPr>
            <w:tcW w:w="12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4CA5CD"/>
            </w:tcBorders>
          </w:tcPr>
          <w:p>
            <w:pPr>
              <w:spacing w:after="0"/>
              <w:rPr>
                <w:sz w:val="24"/>
                <w:szCs w:val="24"/>
                <w:color w:val="auto"/>
              </w:rPr>
            </w:pP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293,300</w:t>
            </w:r>
          </w:p>
        </w:tc>
      </w:tr>
      <w:tr>
        <w:trPr>
          <w:trHeight w:val="3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4CA5CD"/>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172,587,805</w:t>
            </w:r>
          </w:p>
        </w:tc>
        <w:tc>
          <w:tcPr>
            <w:tcW w:w="440" w:type="dxa"/>
            <w:vAlign w:val="bottom"/>
            <w:tcBorders>
              <w:bottom w:val="single" w:sz="8" w:color="4CA5CD"/>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236,375</w:t>
            </w:r>
          </w:p>
        </w:tc>
        <w:tc>
          <w:tcPr>
            <w:tcW w:w="540" w:type="dxa"/>
            <w:vAlign w:val="bottom"/>
            <w:tcBorders>
              <w:bottom w:val="single" w:sz="8" w:color="4CA5CD"/>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(13,034,062)</w:t>
            </w:r>
          </w:p>
        </w:tc>
        <w:tc>
          <w:tcPr>
            <w:tcW w:w="2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159,790,118</w:t>
            </w:r>
          </w:p>
        </w:tc>
      </w:tr>
      <w:tr>
        <w:trPr>
          <w:trHeight w:val="20"/>
        </w:trPr>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4CA5CD"/>
            </w:tcBorders>
          </w:tcPr>
          <w:p>
            <w:pPr>
              <w:spacing w:after="0" w:line="20" w:lineRule="exact"/>
              <w:rPr>
                <w:sz w:val="1"/>
                <w:szCs w:val="1"/>
                <w:color w:val="auto"/>
              </w:rPr>
            </w:pPr>
          </w:p>
        </w:tc>
        <w:tc>
          <w:tcPr>
            <w:tcW w:w="1340" w:type="dxa"/>
            <w:vAlign w:val="bottom"/>
            <w:tcBorders>
              <w:bottom w:val="single" w:sz="8" w:color="4CA5CD"/>
            </w:tcBorders>
          </w:tcPr>
          <w:p>
            <w:pPr>
              <w:spacing w:after="0" w:line="20" w:lineRule="exact"/>
              <w:rPr>
                <w:sz w:val="1"/>
                <w:szCs w:val="1"/>
                <w:color w:val="auto"/>
              </w:rPr>
            </w:pPr>
          </w:p>
        </w:tc>
        <w:tc>
          <w:tcPr>
            <w:tcW w:w="440" w:type="dxa"/>
            <w:vAlign w:val="bottom"/>
            <w:tcBorders>
              <w:bottom w:val="single" w:sz="8" w:color="4CA5CD"/>
            </w:tcBorders>
          </w:tcPr>
          <w:p>
            <w:pPr>
              <w:spacing w:after="0" w:line="20" w:lineRule="exact"/>
              <w:rPr>
                <w:sz w:val="1"/>
                <w:szCs w:val="1"/>
                <w:color w:val="auto"/>
              </w:rPr>
            </w:pPr>
          </w:p>
        </w:tc>
        <w:tc>
          <w:tcPr>
            <w:tcW w:w="1360" w:type="dxa"/>
            <w:vAlign w:val="bottom"/>
            <w:tcBorders>
              <w:bottom w:val="single" w:sz="8" w:color="4CA5CD"/>
            </w:tcBorders>
          </w:tcPr>
          <w:p>
            <w:pPr>
              <w:spacing w:after="0" w:line="20" w:lineRule="exact"/>
              <w:rPr>
                <w:sz w:val="1"/>
                <w:szCs w:val="1"/>
                <w:color w:val="auto"/>
              </w:rPr>
            </w:pPr>
          </w:p>
        </w:tc>
        <w:tc>
          <w:tcPr>
            <w:tcW w:w="540" w:type="dxa"/>
            <w:vAlign w:val="bottom"/>
            <w:tcBorders>
              <w:bottom w:val="single" w:sz="8" w:color="4CA5CD"/>
            </w:tcBorders>
          </w:tcPr>
          <w:p>
            <w:pPr>
              <w:spacing w:after="0" w:line="20" w:lineRule="exact"/>
              <w:rPr>
                <w:sz w:val="1"/>
                <w:szCs w:val="1"/>
                <w:color w:val="auto"/>
              </w:rPr>
            </w:pPr>
          </w:p>
        </w:tc>
        <w:tc>
          <w:tcPr>
            <w:tcW w:w="1280" w:type="dxa"/>
            <w:vAlign w:val="bottom"/>
            <w:tcBorders>
              <w:bottom w:val="single" w:sz="8" w:color="4CA5CD"/>
            </w:tcBorders>
          </w:tcPr>
          <w:p>
            <w:pPr>
              <w:spacing w:after="0" w:line="20" w:lineRule="exact"/>
              <w:rPr>
                <w:sz w:val="1"/>
                <w:szCs w:val="1"/>
                <w:color w:val="auto"/>
              </w:rPr>
            </w:pPr>
          </w:p>
        </w:tc>
        <w:tc>
          <w:tcPr>
            <w:tcW w:w="280" w:type="dxa"/>
            <w:vAlign w:val="bottom"/>
            <w:tcBorders>
              <w:bottom w:val="single" w:sz="8" w:color="4CA5CD"/>
            </w:tcBorders>
          </w:tcPr>
          <w:p>
            <w:pPr>
              <w:spacing w:after="0" w:line="20" w:lineRule="exact"/>
              <w:rPr>
                <w:sz w:val="1"/>
                <w:szCs w:val="1"/>
                <w:color w:val="auto"/>
              </w:rPr>
            </w:pPr>
          </w:p>
        </w:tc>
        <w:tc>
          <w:tcPr>
            <w:tcW w:w="144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580" w:top="85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70</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2" w:right="90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Unrealized losses on investments as of December 31, 2023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Aggregate Unrealized Losses</w:t>
            </w:r>
          </w:p>
        </w:tc>
        <w:tc>
          <w:tcPr>
            <w:tcW w:w="5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Aggregate Fair Value</w:t>
            </w:r>
          </w:p>
        </w:tc>
      </w:tr>
      <w:tr>
        <w:trPr>
          <w:trHeight w:val="345"/>
        </w:trPr>
        <w:tc>
          <w:tcPr>
            <w:tcW w:w="52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22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126,074</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13,449,592</w:t>
            </w:r>
          </w:p>
        </w:tc>
      </w:tr>
      <w:tr>
        <w:trPr>
          <w:trHeight w:val="355"/>
        </w:trPr>
        <w:tc>
          <w:tcPr>
            <w:tcW w:w="52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Greater than one year</w:t>
            </w:r>
          </w:p>
        </w:tc>
        <w:tc>
          <w:tcPr>
            <w:tcW w:w="220" w:type="dxa"/>
            <w:vAlign w:val="bottom"/>
            <w:tcBorders>
              <w:bottom w:val="single" w:sz="8" w:color="4CA5CD"/>
            </w:tcBorders>
          </w:tcPr>
          <w:p>
            <w:pPr>
              <w:spacing w:after="0"/>
              <w:rPr>
                <w:sz w:val="24"/>
                <w:szCs w:val="24"/>
                <w:color w:val="auto"/>
              </w:rPr>
            </w:pPr>
          </w:p>
        </w:tc>
        <w:tc>
          <w:tcPr>
            <w:tcW w:w="2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4,400,003</w:t>
            </w:r>
          </w:p>
        </w:tc>
        <w:tc>
          <w:tcPr>
            <w:tcW w:w="580" w:type="dxa"/>
            <w:vAlign w:val="bottom"/>
            <w:tcBorders>
              <w:bottom w:val="single" w:sz="8" w:color="4CA5CD"/>
            </w:tcBorders>
          </w:tcPr>
          <w:p>
            <w:pPr>
              <w:spacing w:after="0"/>
              <w:rPr>
                <w:sz w:val="24"/>
                <w:szCs w:val="24"/>
                <w:color w:val="auto"/>
              </w:rPr>
            </w:pPr>
          </w:p>
        </w:tc>
        <w:tc>
          <w:tcPr>
            <w:tcW w:w="20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76,966,258</w:t>
            </w:r>
          </w:p>
        </w:tc>
      </w:tr>
      <w:tr>
        <w:trPr>
          <w:trHeight w:val="310"/>
        </w:trPr>
        <w:tc>
          <w:tcPr>
            <w:tcW w:w="5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4CA5CD"/>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4,526,077</w:t>
            </w:r>
          </w:p>
        </w:tc>
        <w:tc>
          <w:tcPr>
            <w:tcW w:w="580" w:type="dxa"/>
            <w:vAlign w:val="bottom"/>
            <w:tcBorders>
              <w:bottom w:val="single" w:sz="8" w:color="4CA5CD"/>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90,415,850</w:t>
            </w: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4CA5CD"/>
            </w:tcBorders>
          </w:tcPr>
          <w:p>
            <w:pPr>
              <w:spacing w:after="0" w:line="20" w:lineRule="exact"/>
              <w:rPr>
                <w:sz w:val="1"/>
                <w:szCs w:val="1"/>
                <w:color w:val="auto"/>
              </w:rPr>
            </w:pPr>
          </w:p>
        </w:tc>
        <w:tc>
          <w:tcPr>
            <w:tcW w:w="2400" w:type="dxa"/>
            <w:vAlign w:val="bottom"/>
            <w:tcBorders>
              <w:bottom w:val="single" w:sz="8" w:color="4CA5CD"/>
            </w:tcBorders>
          </w:tcPr>
          <w:p>
            <w:pPr>
              <w:spacing w:after="0" w:line="20" w:lineRule="exact"/>
              <w:rPr>
                <w:sz w:val="1"/>
                <w:szCs w:val="1"/>
                <w:color w:val="auto"/>
              </w:rPr>
            </w:pPr>
          </w:p>
        </w:tc>
        <w:tc>
          <w:tcPr>
            <w:tcW w:w="580" w:type="dxa"/>
            <w:vAlign w:val="bottom"/>
            <w:tcBorders>
              <w:bottom w:val="single" w:sz="8" w:color="4CA5CD"/>
            </w:tcBorders>
          </w:tcPr>
          <w:p>
            <w:pPr>
              <w:spacing w:after="0" w:line="20" w:lineRule="exact"/>
              <w:rPr>
                <w:sz w:val="1"/>
                <w:szCs w:val="1"/>
                <w:color w:val="auto"/>
              </w:rPr>
            </w:pPr>
          </w:p>
        </w:tc>
        <w:tc>
          <w:tcPr>
            <w:tcW w:w="2020" w:type="dxa"/>
            <w:vAlign w:val="bottom"/>
            <w:tcBorders>
              <w:bottom w:val="single" w:sz="8" w:color="4CA5CD"/>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losses on investments as of December 31, 2022 are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Aggregate Unrealized Losses</w:t>
            </w:r>
          </w:p>
        </w:tc>
        <w:tc>
          <w:tcPr>
            <w:tcW w:w="5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Aggregate Fair Value</w:t>
            </w:r>
          </w:p>
        </w:tc>
      </w:tr>
      <w:tr>
        <w:trPr>
          <w:trHeight w:val="345"/>
        </w:trPr>
        <w:tc>
          <w:tcPr>
            <w:tcW w:w="52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220" w:type="dxa"/>
            <w:vAlign w:val="bottom"/>
            <w:tcBorders>
              <w:bottom w:val="single" w:sz="8" w:color="808080"/>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4,816,103</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77,701,146</w:t>
            </w:r>
          </w:p>
        </w:tc>
      </w:tr>
      <w:tr>
        <w:trPr>
          <w:trHeight w:val="355"/>
        </w:trPr>
        <w:tc>
          <w:tcPr>
            <w:tcW w:w="52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Greater than one year</w:t>
            </w:r>
          </w:p>
        </w:tc>
        <w:tc>
          <w:tcPr>
            <w:tcW w:w="220" w:type="dxa"/>
            <w:vAlign w:val="bottom"/>
            <w:tcBorders>
              <w:bottom w:val="single" w:sz="8" w:color="4CA5CD"/>
            </w:tcBorders>
          </w:tcPr>
          <w:p>
            <w:pPr>
              <w:spacing w:after="0"/>
              <w:rPr>
                <w:sz w:val="24"/>
                <w:szCs w:val="24"/>
                <w:color w:val="auto"/>
              </w:rPr>
            </w:pPr>
          </w:p>
        </w:tc>
        <w:tc>
          <w:tcPr>
            <w:tcW w:w="2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8,217,959</w:t>
            </w:r>
          </w:p>
        </w:tc>
        <w:tc>
          <w:tcPr>
            <w:tcW w:w="580" w:type="dxa"/>
            <w:vAlign w:val="bottom"/>
            <w:tcBorders>
              <w:bottom w:val="single" w:sz="8" w:color="4CA5CD"/>
            </w:tcBorders>
          </w:tcPr>
          <w:p>
            <w:pPr>
              <w:spacing w:after="0"/>
              <w:rPr>
                <w:sz w:val="24"/>
                <w:szCs w:val="24"/>
                <w:color w:val="auto"/>
              </w:rPr>
            </w:pPr>
          </w:p>
        </w:tc>
        <w:tc>
          <w:tcPr>
            <w:tcW w:w="20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76,643,586</w:t>
            </w:r>
          </w:p>
        </w:tc>
      </w:tr>
      <w:tr>
        <w:trPr>
          <w:trHeight w:val="310"/>
        </w:trPr>
        <w:tc>
          <w:tcPr>
            <w:tcW w:w="5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4CA5CD"/>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13,034,062</w:t>
            </w:r>
          </w:p>
        </w:tc>
        <w:tc>
          <w:tcPr>
            <w:tcW w:w="580" w:type="dxa"/>
            <w:vAlign w:val="bottom"/>
            <w:tcBorders>
              <w:bottom w:val="single" w:sz="8" w:color="4CA5CD"/>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154,344,732</w:t>
            </w: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4CA5CD"/>
            </w:tcBorders>
          </w:tcPr>
          <w:p>
            <w:pPr>
              <w:spacing w:after="0" w:line="20" w:lineRule="exact"/>
              <w:rPr>
                <w:sz w:val="1"/>
                <w:szCs w:val="1"/>
                <w:color w:val="auto"/>
              </w:rPr>
            </w:pPr>
          </w:p>
        </w:tc>
        <w:tc>
          <w:tcPr>
            <w:tcW w:w="2400" w:type="dxa"/>
            <w:vAlign w:val="bottom"/>
            <w:tcBorders>
              <w:bottom w:val="single" w:sz="8" w:color="4CA5CD"/>
            </w:tcBorders>
          </w:tcPr>
          <w:p>
            <w:pPr>
              <w:spacing w:after="0" w:line="20" w:lineRule="exact"/>
              <w:rPr>
                <w:sz w:val="1"/>
                <w:szCs w:val="1"/>
                <w:color w:val="auto"/>
              </w:rPr>
            </w:pPr>
          </w:p>
        </w:tc>
        <w:tc>
          <w:tcPr>
            <w:tcW w:w="580" w:type="dxa"/>
            <w:vAlign w:val="bottom"/>
            <w:tcBorders>
              <w:bottom w:val="single" w:sz="8" w:color="4CA5CD"/>
            </w:tcBorders>
          </w:tcPr>
          <w:p>
            <w:pPr>
              <w:spacing w:after="0" w:line="20" w:lineRule="exact"/>
              <w:rPr>
                <w:sz w:val="1"/>
                <w:szCs w:val="1"/>
                <w:color w:val="auto"/>
              </w:rPr>
            </w:pPr>
          </w:p>
        </w:tc>
        <w:tc>
          <w:tcPr>
            <w:tcW w:w="2020" w:type="dxa"/>
            <w:vAlign w:val="bottom"/>
            <w:tcBorders>
              <w:bottom w:val="single" w:sz="8" w:color="4CA5CD"/>
            </w:tcBorders>
          </w:tcPr>
          <w:p>
            <w:pPr>
              <w:spacing w:after="0" w:line="20" w:lineRule="exact"/>
              <w:rPr>
                <w:sz w:val="1"/>
                <w:szCs w:val="1"/>
                <w:color w:val="auto"/>
              </w:rPr>
            </w:pPr>
          </w:p>
        </w:tc>
      </w:tr>
    </w:tbl>
    <w:p>
      <w:pPr>
        <w:spacing w:after="0" w:line="380" w:lineRule="exact"/>
        <w:rPr>
          <w:sz w:val="20"/>
          <w:szCs w:val="20"/>
          <w:color w:val="auto"/>
        </w:rPr>
      </w:pPr>
    </w:p>
    <w:p>
      <w:pPr>
        <w:ind w:right="480"/>
        <w:spacing w:after="0" w:line="343" w:lineRule="auto"/>
        <w:rPr>
          <w:sz w:val="20"/>
          <w:szCs w:val="20"/>
          <w:color w:val="auto"/>
        </w:rPr>
      </w:pPr>
      <w:r>
        <w:rPr>
          <w:rFonts w:ascii="Times New Roman" w:cs="Times New Roman" w:eastAsia="Times New Roman" w:hAnsi="Times New Roman"/>
          <w:sz w:val="18"/>
          <w:szCs w:val="18"/>
          <w:color w:val="auto"/>
        </w:rPr>
        <w:t>Effective January 1, 2020, the Company adopted Accounting Standards Update (“ASU”) 2016-13, Financial Instruments - Credit Losses (Topic 326), Measurement of Credit Losses on Financial Instruments. The guidance modifies the impairment model for available-for-sale debt securities and 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years presented. The Company has the intention and current ability to hold its debt investments until the amortized cost basis has been recovered. If market, industry, and/or investee conditions deteriorate, the Company may incur future impairments. No investments were considered to be other-than-temporarily impaired in 2023 and 2022.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securities as of December 31, 2023, have contractual maturities as follows:</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6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8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9,953,308</w:t>
            </w:r>
          </w:p>
        </w:tc>
      </w:tr>
      <w:tr>
        <w:trPr>
          <w:trHeight w:val="23"/>
        </w:trPr>
        <w:tc>
          <w:tcPr>
            <w:tcW w:w="7920" w:type="dxa"/>
            <w:vAlign w:val="bottom"/>
            <w:tcBorders>
              <w:bottom w:val="single" w:sz="8" w:color="808080"/>
            </w:tcBorders>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840" w:type="dxa"/>
            <w:vAlign w:val="bottom"/>
            <w:tcBorders>
              <w:bottom w:val="single" w:sz="8" w:color="808080"/>
            </w:tcBorders>
          </w:tcPr>
          <w:p>
            <w:pPr>
              <w:spacing w:after="0" w:line="20" w:lineRule="exact"/>
              <w:rPr>
                <w:sz w:val="1"/>
                <w:szCs w:val="1"/>
                <w:color w:val="auto"/>
              </w:rPr>
            </w:pPr>
          </w:p>
        </w:tc>
        <w:tc>
          <w:tcPr>
            <w:tcW w:w="1660" w:type="dxa"/>
            <w:vAlign w:val="bottom"/>
            <w:tcBorders>
              <w:bottom w:val="single" w:sz="8" w:color="808080"/>
            </w:tcBorders>
          </w:tcPr>
          <w:p>
            <w:pPr>
              <w:spacing w:after="0" w:line="20" w:lineRule="exact"/>
              <w:rPr>
                <w:sz w:val="1"/>
                <w:szCs w:val="1"/>
                <w:color w:val="auto"/>
              </w:rPr>
            </w:pPr>
          </w:p>
        </w:tc>
      </w:tr>
      <w:tr>
        <w:trPr>
          <w:trHeight w:val="318"/>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Due between one and five years</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94,519,794</w:t>
            </w:r>
          </w:p>
        </w:tc>
      </w:tr>
      <w:tr>
        <w:trPr>
          <w:trHeight w:val="22"/>
        </w:trPr>
        <w:tc>
          <w:tcPr>
            <w:tcW w:w="7920" w:type="dxa"/>
            <w:vAlign w:val="bottom"/>
            <w:tcBorders>
              <w:bottom w:val="single" w:sz="8" w:color="808080"/>
            </w:tcBorders>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840" w:type="dxa"/>
            <w:vAlign w:val="bottom"/>
            <w:tcBorders>
              <w:bottom w:val="single" w:sz="8" w:color="808080"/>
            </w:tcBorders>
          </w:tcPr>
          <w:p>
            <w:pPr>
              <w:spacing w:after="0" w:line="20" w:lineRule="exact"/>
              <w:rPr>
                <w:sz w:val="1"/>
                <w:szCs w:val="1"/>
                <w:color w:val="auto"/>
              </w:rPr>
            </w:pPr>
          </w:p>
        </w:tc>
        <w:tc>
          <w:tcPr>
            <w:tcW w:w="1660" w:type="dxa"/>
            <w:vAlign w:val="bottom"/>
            <w:tcBorders>
              <w:bottom w:val="single" w:sz="8" w:color="808080"/>
            </w:tcBorders>
          </w:tcPr>
          <w:p>
            <w:pPr>
              <w:spacing w:after="0" w:line="20" w:lineRule="exact"/>
              <w:rPr>
                <w:sz w:val="1"/>
                <w:szCs w:val="1"/>
                <w:color w:val="auto"/>
              </w:rPr>
            </w:pPr>
          </w:p>
        </w:tc>
      </w:tr>
      <w:tr>
        <w:trPr>
          <w:trHeight w:val="335"/>
        </w:trPr>
        <w:tc>
          <w:tcPr>
            <w:tcW w:w="79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Due over five years</w:t>
            </w:r>
          </w:p>
        </w:tc>
        <w:tc>
          <w:tcPr>
            <w:tcW w:w="20" w:type="dxa"/>
            <w:vAlign w:val="bottom"/>
            <w:tcBorders>
              <w:bottom w:val="single" w:sz="8" w:color="808080"/>
            </w:tcBorders>
          </w:tcPr>
          <w:p>
            <w:pPr>
              <w:spacing w:after="0"/>
              <w:rPr>
                <w:sz w:val="24"/>
                <w:szCs w:val="24"/>
                <w:color w:val="auto"/>
              </w:rPr>
            </w:pPr>
          </w:p>
        </w:tc>
        <w:tc>
          <w:tcPr>
            <w:tcW w:w="840" w:type="dxa"/>
            <w:vAlign w:val="bottom"/>
            <w:tcBorders>
              <w:bottom w:val="single" w:sz="8" w:color="4CA5CD"/>
            </w:tcBorders>
          </w:tcPr>
          <w:p>
            <w:pPr>
              <w:spacing w:after="0"/>
              <w:rPr>
                <w:sz w:val="24"/>
                <w:szCs w:val="24"/>
                <w:color w:val="auto"/>
              </w:rPr>
            </w:pPr>
          </w:p>
        </w:tc>
        <w:tc>
          <w:tcPr>
            <w:tcW w:w="16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60,814,214</w:t>
            </w:r>
          </w:p>
        </w:tc>
      </w:tr>
      <w:tr>
        <w:trPr>
          <w:trHeight w:val="328"/>
        </w:trPr>
        <w:tc>
          <w:tcPr>
            <w:tcW w:w="7920" w:type="dxa"/>
            <w:vAlign w:val="bottom"/>
          </w:tcPr>
          <w:p>
            <w:pPr>
              <w:spacing w:after="0"/>
              <w:rPr>
                <w:sz w:val="24"/>
                <w:szCs w:val="24"/>
                <w:color w:val="auto"/>
              </w:rPr>
            </w:pPr>
          </w:p>
        </w:tc>
        <w:tc>
          <w:tcPr>
            <w:tcW w:w="860" w:type="dxa"/>
            <w:vAlign w:val="bottom"/>
            <w:tcBorders>
              <w:bottom w:val="single" w:sz="8" w:color="4CA5CD"/>
            </w:tcBorders>
            <w:gridSpan w:val="2"/>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165,287,316</w:t>
            </w: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4CA5CD"/>
            </w:tcBorders>
          </w:tcPr>
          <w:p>
            <w:pPr>
              <w:spacing w:after="0" w:line="20" w:lineRule="exact"/>
              <w:rPr>
                <w:sz w:val="1"/>
                <w:szCs w:val="1"/>
                <w:color w:val="auto"/>
              </w:rPr>
            </w:pPr>
          </w:p>
        </w:tc>
        <w:tc>
          <w:tcPr>
            <w:tcW w:w="1660" w:type="dxa"/>
            <w:vAlign w:val="bottom"/>
            <w:tcBorders>
              <w:bottom w:val="single" w:sz="8" w:color="4CA5CD"/>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Fair Value of Financial Instruments</w:t>
      </w:r>
    </w:p>
    <w:p>
      <w:pPr>
        <w:spacing w:after="0" w:line="191" w:lineRule="exact"/>
        <w:rPr>
          <w:sz w:val="20"/>
          <w:szCs w:val="20"/>
          <w:color w:val="auto"/>
        </w:rPr>
      </w:pPr>
    </w:p>
    <w:p>
      <w:pPr>
        <w:ind w:right="460"/>
        <w:spacing w:after="0" w:line="3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investments, accounts receivable, accounts payable, and short and long-term debt. The Company’s estimate of the fair values of these financial instruments approximates their carrying amounts at December 31, 2023 and 2022.</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Inventories</w:t>
      </w:r>
    </w:p>
    <w:p>
      <w:pPr>
        <w:spacing w:after="0" w:line="191" w:lineRule="exact"/>
        <w:rPr>
          <w:sz w:val="20"/>
          <w:szCs w:val="20"/>
          <w:color w:val="auto"/>
        </w:rPr>
      </w:pPr>
    </w:p>
    <w:p>
      <w:pPr>
        <w:jc w:val="both"/>
        <w:ind w:right="880"/>
        <w:spacing w:after="0" w:line="382" w:lineRule="auto"/>
        <w:rPr>
          <w:sz w:val="20"/>
          <w:szCs w:val="20"/>
          <w:color w:val="auto"/>
        </w:rPr>
      </w:pPr>
      <w:r>
        <w:rPr>
          <w:rFonts w:ascii="Times New Roman" w:cs="Times New Roman" w:eastAsia="Times New Roman" w:hAnsi="Times New Roman"/>
          <w:sz w:val="18"/>
          <w:szCs w:val="18"/>
          <w:color w:val="auto"/>
        </w:rPr>
        <w:t>Inventories include material, direct labor and manufacturing overhead and are valued at the lower of cost or net realizable value. Cost is determined on a standard cost basis that approximates the first-in, first-out (FIFO) method. Inventories consisted of the following as of December 31, 2023 and 2022:</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5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345"/>
        </w:trPr>
        <w:tc>
          <w:tcPr>
            <w:tcW w:w="52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860" w:type="dxa"/>
            <w:vAlign w:val="bottom"/>
            <w:tcBorders>
              <w:bottom w:val="single" w:sz="8" w:color="808080"/>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283,126,566</w:t>
            </w:r>
          </w:p>
        </w:tc>
        <w:tc>
          <w:tcPr>
            <w:tcW w:w="940" w:type="dxa"/>
            <w:vAlign w:val="bottom"/>
            <w:tcBorders>
              <w:bottom w:val="single" w:sz="8" w:color="808080"/>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304,184,004</w:t>
            </w:r>
          </w:p>
        </w:tc>
      </w:tr>
      <w:tr>
        <w:trPr>
          <w:trHeight w:val="340"/>
        </w:trPr>
        <w:tc>
          <w:tcPr>
            <w:tcW w:w="52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86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46,343,955</w:t>
            </w:r>
          </w:p>
        </w:tc>
        <w:tc>
          <w:tcPr>
            <w:tcW w:w="94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45,512,275</w:t>
            </w:r>
          </w:p>
        </w:tc>
      </w:tr>
      <w:tr>
        <w:trPr>
          <w:trHeight w:val="355"/>
        </w:trPr>
        <w:tc>
          <w:tcPr>
            <w:tcW w:w="522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860" w:type="dxa"/>
            <w:vAlign w:val="bottom"/>
            <w:tcBorders>
              <w:bottom w:val="single" w:sz="8" w:color="4CA5CD"/>
            </w:tcBorders>
          </w:tcPr>
          <w:p>
            <w:pPr>
              <w:spacing w:after="0"/>
              <w:rPr>
                <w:sz w:val="24"/>
                <w:szCs w:val="24"/>
                <w:color w:val="auto"/>
              </w:rPr>
            </w:pPr>
          </w:p>
        </w:tc>
        <w:tc>
          <w:tcPr>
            <w:tcW w:w="17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73,002,507</w:t>
            </w:r>
          </w:p>
        </w:tc>
        <w:tc>
          <w:tcPr>
            <w:tcW w:w="940" w:type="dxa"/>
            <w:vAlign w:val="bottom"/>
            <w:tcBorders>
              <w:bottom w:val="single" w:sz="8" w:color="4CA5CD"/>
            </w:tcBorders>
          </w:tcPr>
          <w:p>
            <w:pPr>
              <w:spacing w:after="0"/>
              <w:rPr>
                <w:sz w:val="24"/>
                <w:szCs w:val="24"/>
                <w:color w:val="auto"/>
              </w:rPr>
            </w:pPr>
          </w:p>
        </w:tc>
        <w:tc>
          <w:tcPr>
            <w:tcW w:w="16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54,663,991</w:t>
            </w:r>
          </w:p>
        </w:tc>
      </w:tr>
      <w:tr>
        <w:trPr>
          <w:trHeight w:val="3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860" w:type="dxa"/>
            <w:vAlign w:val="bottom"/>
            <w:tcBorders>
              <w:bottom w:val="single" w:sz="8" w:color="4CA5CD"/>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402,473,028</w:t>
            </w:r>
          </w:p>
        </w:tc>
        <w:tc>
          <w:tcPr>
            <w:tcW w:w="940" w:type="dxa"/>
            <w:vAlign w:val="bottom"/>
            <w:tcBorders>
              <w:bottom w:val="single" w:sz="8" w:color="4CA5CD"/>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404,360,270</w:t>
            </w:r>
          </w:p>
        </w:tc>
      </w:tr>
      <w:tr>
        <w:trPr>
          <w:trHeight w:val="20"/>
        </w:trPr>
        <w:tc>
          <w:tcPr>
            <w:tcW w:w="5220" w:type="dxa"/>
            <w:vAlign w:val="bottom"/>
          </w:tcPr>
          <w:p>
            <w:pPr>
              <w:spacing w:after="0" w:line="20" w:lineRule="exact"/>
              <w:rPr>
                <w:sz w:val="1"/>
                <w:szCs w:val="1"/>
                <w:color w:val="auto"/>
              </w:rPr>
            </w:pPr>
          </w:p>
        </w:tc>
        <w:tc>
          <w:tcPr>
            <w:tcW w:w="860" w:type="dxa"/>
            <w:vAlign w:val="bottom"/>
            <w:tcBorders>
              <w:bottom w:val="single" w:sz="8" w:color="4CA5CD"/>
            </w:tcBorders>
          </w:tcPr>
          <w:p>
            <w:pPr>
              <w:spacing w:after="0" w:line="20" w:lineRule="exact"/>
              <w:rPr>
                <w:sz w:val="1"/>
                <w:szCs w:val="1"/>
                <w:color w:val="auto"/>
              </w:rPr>
            </w:pPr>
          </w:p>
        </w:tc>
        <w:tc>
          <w:tcPr>
            <w:tcW w:w="1760" w:type="dxa"/>
            <w:vAlign w:val="bottom"/>
            <w:tcBorders>
              <w:bottom w:val="single" w:sz="8" w:color="4CA5CD"/>
            </w:tcBorders>
          </w:tcPr>
          <w:p>
            <w:pPr>
              <w:spacing w:after="0" w:line="20" w:lineRule="exact"/>
              <w:rPr>
                <w:sz w:val="1"/>
                <w:szCs w:val="1"/>
                <w:color w:val="auto"/>
              </w:rPr>
            </w:pPr>
          </w:p>
        </w:tc>
        <w:tc>
          <w:tcPr>
            <w:tcW w:w="940" w:type="dxa"/>
            <w:vAlign w:val="bottom"/>
            <w:tcBorders>
              <w:bottom w:val="single" w:sz="8" w:color="4CA5CD"/>
            </w:tcBorders>
          </w:tcPr>
          <w:p>
            <w:pPr>
              <w:spacing w:after="0" w:line="20" w:lineRule="exact"/>
              <w:rPr>
                <w:sz w:val="1"/>
                <w:szCs w:val="1"/>
                <w:color w:val="auto"/>
              </w:rPr>
            </w:pPr>
          </w:p>
        </w:tc>
        <w:tc>
          <w:tcPr>
            <w:tcW w:w="166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309"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71</w:t>
      </w:r>
    </w:p>
    <w:p>
      <w:pPr>
        <w:sectPr>
          <w:pgSz w:w="12240" w:h="15840" w:orient="portrait"/>
          <w:cols w:equalWidth="0" w:num="1">
            <w:col w:w="10760"/>
          </w:cols>
          <w:pgMar w:left="900" w:top="852" w:right="580" w:bottom="0" w:gutter="0" w:footer="0" w:header="0"/>
          <w:type w:val="continuous"/>
        </w:sectPr>
      </w:pPr>
    </w:p>
    <w:bookmarkStart w:id="71" w:name="page72"/>
    <w:bookmarkEnd w:id="71"/>
    <w:p>
      <w:pPr>
        <w:ind w:left="320" w:right="380"/>
        <w:spacing w:after="0" w:line="353" w:lineRule="auto"/>
        <w:rPr>
          <w:sz w:val="20"/>
          <w:szCs w:val="20"/>
          <w:color w:val="auto"/>
        </w:rPr>
      </w:pPr>
      <w:r>
        <w:rPr>
          <w:rFonts w:ascii="Times New Roman" w:cs="Times New Roman" w:eastAsia="Times New Roman" w:hAnsi="Times New Roman"/>
          <w:sz w:val="18"/>
          <w:szCs w:val="18"/>
          <w:color w:val="auto"/>
        </w:rPr>
        <w:t>Estimated inventory allowances for slow-moving and obsolete inventories are based on current assessments of future demands, market conditions, evaluation of longer lead times for certain electronic components and related management initiatives. If market conditions or customer requirements change and are less favorable than those projected by management, inventory allowances are adjusted accordingly. Allowances for slow-moving and obsolete inventories (which are included, net, in the above inventory values) were $10.3 million and $10.0 million at December 31, 2023 and 2022, respectively.</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Plant and Equipment</w:t>
      </w:r>
    </w:p>
    <w:p>
      <w:pPr>
        <w:spacing w:after="0" w:line="191" w:lineRule="exact"/>
        <w:rPr>
          <w:sz w:val="20"/>
          <w:szCs w:val="20"/>
          <w:color w:val="auto"/>
        </w:rPr>
      </w:pPr>
    </w:p>
    <w:p>
      <w:pPr>
        <w:ind w:left="320" w:right="520"/>
        <w:spacing w:after="0" w:line="381" w:lineRule="auto"/>
        <w:rPr>
          <w:sz w:val="20"/>
          <w:szCs w:val="20"/>
          <w:color w:val="auto"/>
        </w:rPr>
      </w:pPr>
      <w:r>
        <w:rPr>
          <w:rFonts w:ascii="Times New Roman" w:cs="Times New Roman" w:eastAsia="Times New Roman" w:hAnsi="Times New Roman"/>
          <w:sz w:val="18"/>
          <w:szCs w:val="18"/>
          <w:color w:val="auto"/>
        </w:rPr>
        <w:t>Plant and equipment is stated at cost. Depreciation and amortization are computed for financial reporting purposes using the straight-line method, with estimated useful lives of 7 to 30 years for buildings and improvements, and 3 to 10 years for machinery and equipment. Depreciation expense was approximately $73.6 million, $74.9 million and $76.8 million in 2023, 2022 and 2021, respectively.</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Impairment or Disposal of Long-Lived Assets</w:t>
      </w:r>
    </w:p>
    <w:p>
      <w:pPr>
        <w:spacing w:after="0" w:line="191" w:lineRule="exact"/>
        <w:rPr>
          <w:sz w:val="20"/>
          <w:szCs w:val="20"/>
          <w:color w:val="auto"/>
        </w:rPr>
      </w:pPr>
    </w:p>
    <w:p>
      <w:pPr>
        <w:ind w:left="320"/>
        <w:spacing w:after="0" w:line="343" w:lineRule="auto"/>
        <w:rPr>
          <w:sz w:val="20"/>
          <w:szCs w:val="20"/>
          <w:color w:val="auto"/>
        </w:rPr>
      </w:pPr>
      <w:r>
        <w:rPr>
          <w:rFonts w:ascii="Times New Roman" w:cs="Times New Roman" w:eastAsia="Times New Roman" w:hAnsi="Times New Roman"/>
          <w:sz w:val="18"/>
          <w:szCs w:val="18"/>
          <w:color w:val="auto"/>
        </w:rPr>
        <w:t>The Company reviews long-lived assets, including property, plant and equipment and other intangible assets with definite lives, for impairment whenever events or changes in circumstances indicate that the asset’s carrying amount may not be recoverable. The Company conducts its long-lived asset impairment analysis in accordance with ASC 360-10-15, Impairment or Disposal of Long-Lived Assets. ASC 360-10-15 requires the Company to group assets and liabilities at the lowest level for which identifiable cash flows are largely independent of the cash flows of other assets and liabilities and evaluate the asset group against the sum of the undiscounted future cash flows. If the undiscounted cash flows do not indicate the carrying amount of the asset is recoverable, an impairment charge is measured as the amount by which the carrying amount of the asset group exceeds its fair value based on discounted cash flow analysis or appraisals.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Patents</w:t>
      </w:r>
    </w:p>
    <w:p>
      <w:pPr>
        <w:spacing w:after="0" w:line="191" w:lineRule="exact"/>
        <w:rPr>
          <w:sz w:val="20"/>
          <w:szCs w:val="20"/>
          <w:color w:val="auto"/>
        </w:rPr>
      </w:pPr>
    </w:p>
    <w:p>
      <w:pPr>
        <w:jc w:val="both"/>
        <w:ind w:left="320" w:right="440"/>
        <w:spacing w:after="0" w:line="381" w:lineRule="auto"/>
        <w:rPr>
          <w:sz w:val="20"/>
          <w:szCs w:val="20"/>
          <w:color w:val="auto"/>
        </w:rPr>
      </w:pPr>
      <w:r>
        <w:rPr>
          <w:rFonts w:ascii="Times New Roman" w:cs="Times New Roman" w:eastAsia="Times New Roman" w:hAnsi="Times New Roman"/>
          <w:sz w:val="18"/>
          <w:szCs w:val="18"/>
          <w:color w:val="auto"/>
        </w:rPr>
        <w:t>The Company’s policy is to capitalize costs incurred to obtain patents. The cost of patents is amortized over their useful lives. The cost of patents in process is not amortized until issuance. The Company periodically obtains intellectual property rights, in the ordinary course of business, and the cost of the rights are amortized over their useful lives.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Goodwill and Intangible Assets</w:t>
      </w:r>
    </w:p>
    <w:p>
      <w:pPr>
        <w:spacing w:after="0" w:line="191" w:lineRule="exact"/>
        <w:rPr>
          <w:sz w:val="20"/>
          <w:szCs w:val="20"/>
          <w:color w:val="auto"/>
        </w:rPr>
      </w:pPr>
    </w:p>
    <w:p>
      <w:pPr>
        <w:ind w:left="320" w:right="40"/>
        <w:spacing w:after="0" w:line="335" w:lineRule="auto"/>
        <w:rPr>
          <w:sz w:val="20"/>
          <w:szCs w:val="20"/>
          <w:color w:val="auto"/>
        </w:rPr>
      </w:pPr>
      <w:r>
        <w:rPr>
          <w:rFonts w:ascii="Times New Roman" w:cs="Times New Roman" w:eastAsia="Times New Roman" w:hAnsi="Times New Roman"/>
          <w:sz w:val="18"/>
          <w:szCs w:val="18"/>
          <w:color w:val="auto"/>
        </w:rPr>
        <w:t>Goodwill reflects the cost of an acquisition in excess of the fair values assigned to identifiable net assets acquired. The Company reviews goodwill for impairment during the fourth quarter on an annual basis or more frequently if events or changes in circumstances indicate that goodwill might be impaired. The Company performs an impairment review for its Automotive and Other reporting units, which have been determined to be the Company’s reportable segments, using either a qualitative approach or quantitative approach which utilizes a fair value method that incorporates certain assumptions and judgments. The fair value of a reporting unit refers to the price that would be received to sell the unit as a whole in an orderly transaction between market participants at the measurement date. The Company performs a qualitative assessment (step 0) to determine whether it is more likely than not that a reporting unit’s fair value is less than its carrying amount. If not, no further goodwill impairment testing is performed. If so, the Company performs a step 1 test to determine the fair value of the reporting unit using an income approach to estimate the fair value of each of its reporting units and a market valuation approach to further support this analysis. If the fair value of the reporting unit is greater than its carrying amount, goodwill is not considered to be impaired. However, if the fair value of the reporting unit is less than its carrying amount, an impairment change is recorded as the excess of the reporting unit’s carrying value over its fair value.</w:t>
      </w:r>
    </w:p>
    <w:p>
      <w:pPr>
        <w:spacing w:after="0" w:line="74" w:lineRule="exact"/>
        <w:rPr>
          <w:sz w:val="20"/>
          <w:szCs w:val="20"/>
          <w:color w:val="auto"/>
        </w:rPr>
      </w:pPr>
    </w:p>
    <w:p>
      <w:pPr>
        <w:ind w:left="320" w:right="20"/>
        <w:spacing w:after="0" w:line="339" w:lineRule="auto"/>
        <w:rPr>
          <w:sz w:val="20"/>
          <w:szCs w:val="20"/>
          <w:color w:val="auto"/>
        </w:rPr>
      </w:pPr>
      <w:r>
        <w:rPr>
          <w:rFonts w:ascii="Times New Roman" w:cs="Times New Roman" w:eastAsia="Times New Roman" w:hAnsi="Times New Roman"/>
          <w:sz w:val="18"/>
          <w:szCs w:val="18"/>
          <w:color w:val="auto"/>
        </w:rPr>
        <w:t>The assumptions included in the impairment tests require judgment and changes to these inputs could impact the results of the calculations which could result in an impairment charge in future periods if the carrying amount of the reporting unit exceeds its calculated fair value. For the qualitative assessment performed, management considers factors such as macro-economic conditions, industry and market considerations, overall financial performance, and other Company-specific events, amongst other factors, in making the determination as to whether it is more likely than not that a reporting unit’s fair value is less than its carrying amount. Other than management’s internal projections of future cash flows, the primary assumptions used in the step 1 impairment test is the weighted-average cost of capital and long-term growth rates. Although the Company’s cash flow forecasts are based on assumptions that are considered reasonable by management and consistent with the plans and estimates management is using to operate the underlying business, there are significant judgments in determining the expected future cash flows attributable to a reporting unit. There have been no impairment charges recorded currently or in prior periods in which goodwill existed.</w:t>
      </w:r>
    </w:p>
    <w:p>
      <w:pPr>
        <w:sectPr>
          <w:pgSz w:w="12240" w:h="15840" w:orient="portrait"/>
          <w:cols w:equalWidth="0" w:num="1">
            <w:col w:w="10740"/>
          </w:cols>
          <w:pgMar w:left="580" w:top="852" w:right="920" w:bottom="0" w:gutter="0" w:footer="0" w:header="0"/>
        </w:sectPr>
      </w:pPr>
    </w:p>
    <w:p>
      <w:pPr>
        <w:spacing w:after="0" w:line="73"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72</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40"/>
          </w:cols>
          <w:pgMar w:left="580" w:top="852" w:right="920" w:bottom="0" w:gutter="0" w:footer="0" w:header="0"/>
          <w:type w:val="continuous"/>
        </w:sectPr>
      </w:pPr>
    </w:p>
    <w:bookmarkStart w:id="72" w:name="page73"/>
    <w:bookmarkEnd w:id="72"/>
    <w:p>
      <w:pPr>
        <w:ind w:right="480"/>
        <w:spacing w:after="0" w:line="343" w:lineRule="auto"/>
        <w:rPr>
          <w:sz w:val="20"/>
          <w:szCs w:val="20"/>
          <w:color w:val="auto"/>
        </w:rPr>
      </w:pPr>
      <w:r>
        <w:rPr>
          <w:rFonts w:ascii="Times New Roman" w:cs="Times New Roman" w:eastAsia="Times New Roman" w:hAnsi="Times New Roman"/>
          <w:sz w:val="18"/>
          <w:szCs w:val="18"/>
          <w:color w:val="auto"/>
        </w:rPr>
        <w:t>Indefinite lived intangible assets are also subject to annual impairment testing or more frequently if indicators of impairment are identified. Management’s judgment and assumptions are required in determining the underlying fair value of the indefinite lived intangible assets. While the Company believes the judgments and assumptions used in determining fair value are reasonable, different assumptions could change the estimated fair values and, therefore, impairment charges could be required, which could be material to the consolidated financial statements. The Company performs a qualitative assessment (step 0) to determine whether it is more likely than not that an intangible asset’s fair value is less than its carrying amount. If not, no further impairment testing over the indefinite lived intangible assets is performed. The indefinite lived intangible assets were not impaired as a result of the annual test prepared by management for either period presented.</w:t>
      </w:r>
    </w:p>
    <w:p>
      <w:pPr>
        <w:spacing w:after="0" w:line="70" w:lineRule="exact"/>
        <w:rPr>
          <w:sz w:val="20"/>
          <w:szCs w:val="20"/>
          <w:color w:val="auto"/>
        </w:rPr>
      </w:pPr>
    </w:p>
    <w:p>
      <w:pPr>
        <w:jc w:val="both"/>
        <w:ind w:right="520"/>
        <w:spacing w:after="0" w:line="352" w:lineRule="auto"/>
        <w:rPr>
          <w:sz w:val="20"/>
          <w:szCs w:val="20"/>
          <w:color w:val="auto"/>
        </w:rPr>
      </w:pPr>
      <w:r>
        <w:rPr>
          <w:rFonts w:ascii="Times New Roman" w:cs="Times New Roman" w:eastAsia="Times New Roman" w:hAnsi="Times New Roman"/>
          <w:sz w:val="18"/>
          <w:szCs w:val="18"/>
          <w:color w:val="auto"/>
        </w:rPr>
        <w:t>As part of recent acquisitions, the Company acquired Indefinite lived in-process research and development (“IPR&amp;D”) intangible assets. These IPR&amp;D assets are not amortized, but are tested for impairment annually, or more frequently when indicators of potential impairment exist, until the completion or abandonment of the associated research and development efforts. Upon completion of the projects, the assets will be amortized over the expected economic life of the asset, which will be determined on that date. Should the project be determined to be abandoned, and if the asset developed has no alternative use, the full value of the asset will be charged to expense.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10, “Goodwill and Intangible Assets” for information regarding the impairment testing performed in calendar year 2023.</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Revenue Recognition</w:t>
      </w:r>
    </w:p>
    <w:p>
      <w:pPr>
        <w:spacing w:after="0" w:line="191" w:lineRule="exact"/>
        <w:rPr>
          <w:sz w:val="20"/>
          <w:szCs w:val="20"/>
          <w:color w:val="auto"/>
        </w:rPr>
      </w:pPr>
    </w:p>
    <w:p>
      <w:pPr>
        <w:ind w:right="320"/>
        <w:spacing w:after="0" w:line="343" w:lineRule="auto"/>
        <w:rPr>
          <w:sz w:val="20"/>
          <w:szCs w:val="20"/>
          <w:color w:val="auto"/>
        </w:rPr>
      </w:pPr>
      <w:r>
        <w:rPr>
          <w:rFonts w:ascii="Times New Roman" w:cs="Times New Roman" w:eastAsia="Times New Roman" w:hAnsi="Times New Roman"/>
          <w:sz w:val="18"/>
          <w:szCs w:val="18"/>
          <w:color w:val="auto"/>
        </w:rPr>
        <w:t>The Company recognizes revenue in accordance with Accounting Standards Codification (ASC) 606, Revenue from Contracts with Customers. Accordingly, revenue is recognized in an amount that reflects the consideration to which the Company expects to be entitled in 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in the ordinary course of business. Typically, such purchase orders provide the annual terms, including pricing, related to a particular vehicle model. Purchase orders generally do not specify quantities. The Company recognizes revenue based on the pricing terms included in such annual purchase orders.</w:t>
      </w:r>
    </w:p>
    <w:p>
      <w:pPr>
        <w:spacing w:after="0" w:line="70" w:lineRule="exact"/>
        <w:rPr>
          <w:sz w:val="20"/>
          <w:szCs w:val="20"/>
          <w:color w:val="auto"/>
        </w:rPr>
      </w:pPr>
    </w:p>
    <w:p>
      <w:pPr>
        <w:ind w:right="360"/>
        <w:spacing w:after="0" w:line="339" w:lineRule="auto"/>
        <w:rPr>
          <w:sz w:val="20"/>
          <w:szCs w:val="20"/>
          <w:color w:val="auto"/>
        </w:rPr>
      </w:pPr>
      <w:r>
        <w:rPr>
          <w:rFonts w:ascii="Times New Roman" w:cs="Times New Roman" w:eastAsia="Times New Roman" w:hAnsi="Times New Roman"/>
          <w:sz w:val="18"/>
          <w:szCs w:val="18"/>
          <w:color w:val="auto"/>
        </w:rPr>
        <w:t>As part of certain agreements, entered into in the ordinary course of business, the Company is asked to provide customers with annual price reductions. Such amounts are subject to estimate and are accrued as a reduction of revenue as control of the products is transferred to the customer under standard commercial terms.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pricing arrangements with customers based on the related content, the cost of Company products and other commercial factors. Such pricing accruals are adjusted as they are settled with customers. Refer to Note 11, “Revenue”, for further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Advertising and Promotional Materials</w:t>
      </w:r>
    </w:p>
    <w:p>
      <w:pPr>
        <w:spacing w:after="0" w:line="191" w:lineRule="exact"/>
        <w:rPr>
          <w:sz w:val="20"/>
          <w:szCs w:val="20"/>
          <w:color w:val="auto"/>
        </w:rPr>
      </w:pPr>
    </w:p>
    <w:p>
      <w:pPr>
        <w:ind w:right="740"/>
        <w:spacing w:after="0" w:line="437" w:lineRule="auto"/>
        <w:rPr>
          <w:sz w:val="20"/>
          <w:szCs w:val="20"/>
          <w:color w:val="auto"/>
        </w:rPr>
      </w:pPr>
      <w:r>
        <w:rPr>
          <w:rFonts w:ascii="Times New Roman" w:cs="Times New Roman" w:eastAsia="Times New Roman" w:hAnsi="Times New Roman"/>
          <w:sz w:val="18"/>
          <w:szCs w:val="18"/>
          <w:color w:val="auto"/>
        </w:rPr>
        <w:t>All advertising and promotional costs are expensed as incurred and amounted to approximately $3.4 million, $3.3 million and $1.8 million, in 2023, 2022 and 2021,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Repairs and Maintenance</w:t>
      </w:r>
    </w:p>
    <w:p>
      <w:pPr>
        <w:spacing w:after="0" w:line="191" w:lineRule="exact"/>
        <w:rPr>
          <w:sz w:val="20"/>
          <w:szCs w:val="20"/>
          <w:color w:val="auto"/>
        </w:rPr>
      </w:pPr>
    </w:p>
    <w:p>
      <w:pPr>
        <w:ind w:right="540"/>
        <w:spacing w:after="0" w:line="382" w:lineRule="auto"/>
        <w:rPr>
          <w:sz w:val="20"/>
          <w:szCs w:val="20"/>
          <w:color w:val="auto"/>
        </w:rPr>
      </w:pPr>
      <w:r>
        <w:rPr>
          <w:rFonts w:ascii="Times New Roman" w:cs="Times New Roman" w:eastAsia="Times New Roman" w:hAnsi="Times New Roman"/>
          <w:sz w:val="18"/>
          <w:szCs w:val="18"/>
          <w:color w:val="auto"/>
        </w:rPr>
        <w:t>Major renewals and improvements of property and equipment are capitalized, and repairs and maintenance are expensed as incurred. The Company incurred expenses relating to the repair and maintenance of plant and equipment of approximately $31.0 million, $27.9 million and $24.2 million, in 2023, 2022 and 2021, respectively.</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73</w:t>
      </w:r>
    </w:p>
    <w:p>
      <w:pPr>
        <w:sectPr>
          <w:pgSz w:w="12240" w:h="15840" w:orient="portrait"/>
          <w:cols w:equalWidth="0" w:num="1">
            <w:col w:w="10760"/>
          </w:cols>
          <w:pgMar w:left="900" w:top="852" w:right="580" w:bottom="0" w:gutter="0" w:footer="0" w:header="0"/>
          <w:type w:val="continuous"/>
        </w:sectPr>
      </w:pPr>
    </w:p>
    <w:bookmarkStart w:id="73" w:name="page74"/>
    <w:bookmarkEnd w:id="73"/>
    <w:p>
      <w:pPr>
        <w:ind w:left="320"/>
        <w:spacing w:after="0"/>
        <w:rPr>
          <w:sz w:val="20"/>
          <w:szCs w:val="20"/>
          <w:color w:val="auto"/>
        </w:rPr>
      </w:pPr>
      <w:r>
        <w:rPr>
          <w:rFonts w:ascii="Arial" w:cs="Arial" w:eastAsia="Arial" w:hAnsi="Arial"/>
          <w:sz w:val="22"/>
          <w:szCs w:val="22"/>
          <w:b w:val="1"/>
          <w:bCs w:val="1"/>
          <w:color w:val="4CA5CD"/>
        </w:rPr>
        <w:t>Self-Insurance</w:t>
      </w:r>
    </w:p>
    <w:p>
      <w:pPr>
        <w:spacing w:after="0" w:line="191" w:lineRule="exact"/>
        <w:rPr>
          <w:sz w:val="20"/>
          <w:szCs w:val="20"/>
          <w:color w:val="auto"/>
        </w:rPr>
      </w:pPr>
    </w:p>
    <w:p>
      <w:pPr>
        <w:ind w:left="320" w:right="80"/>
        <w:spacing w:after="0" w:line="362" w:lineRule="auto"/>
        <w:rPr>
          <w:sz w:val="20"/>
          <w:szCs w:val="20"/>
          <w:color w:val="auto"/>
        </w:rPr>
      </w:pPr>
      <w:r>
        <w:rPr>
          <w:rFonts w:ascii="Times New Roman" w:cs="Times New Roman" w:eastAsia="Times New Roman" w:hAnsi="Times New Roman"/>
          <w:sz w:val="18"/>
          <w:szCs w:val="18"/>
          <w:color w:val="auto"/>
        </w:rPr>
        <w:t>The Company is self-insured for a portion of its risk on workers’ compensation and employee medical costs. The arrangements provide for stop loss insurance to manage the Company’s risk. Such costs are accrued based on known claims and an estimate of incurred, but not reported (“IBNR”) claims. IBNR claims are estimated using historical lag information and other data provided by claims administrators. This estimation process is subjective, and to the extent that future results differ from original estimates, adjustments to recorded accruals may be necessary.</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Product Warranty</w:t>
      </w:r>
    </w:p>
    <w:p>
      <w:pPr>
        <w:spacing w:after="0" w:line="191" w:lineRule="exact"/>
        <w:rPr>
          <w:sz w:val="20"/>
          <w:szCs w:val="20"/>
          <w:color w:val="auto"/>
        </w:rPr>
      </w:pPr>
    </w:p>
    <w:p>
      <w:pPr>
        <w:ind w:left="320" w:right="180"/>
        <w:spacing w:after="0" w:line="477" w:lineRule="auto"/>
        <w:rPr>
          <w:sz w:val="20"/>
          <w:szCs w:val="20"/>
          <w:color w:val="auto"/>
        </w:rPr>
      </w:pPr>
      <w:r>
        <w:rPr>
          <w:rFonts w:ascii="Times New Roman" w:cs="Times New Roman" w:eastAsia="Times New Roman" w:hAnsi="Times New Roman"/>
          <w:sz w:val="17"/>
          <w:szCs w:val="17"/>
          <w:color w:val="auto"/>
        </w:rPr>
        <w:t>The Company periodically incurs product warranty costs. Any liabilities associated with product warranty are estimated based on known facts and circumstances and are not significant at December 31, 2023, 2022 and 2021. The Company does not offer extended warranties on its products.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Income Taxes</w:t>
      </w:r>
    </w:p>
    <w:p>
      <w:pPr>
        <w:spacing w:after="0" w:line="191" w:lineRule="exact"/>
        <w:rPr>
          <w:sz w:val="20"/>
          <w:szCs w:val="20"/>
          <w:color w:val="auto"/>
        </w:rPr>
      </w:pPr>
    </w:p>
    <w:p>
      <w:pPr>
        <w:ind w:left="320"/>
        <w:spacing w:after="0" w:line="343" w:lineRule="auto"/>
        <w:rPr>
          <w:sz w:val="20"/>
          <w:szCs w:val="20"/>
          <w:color w:val="auto"/>
        </w:rPr>
      </w:pPr>
      <w:r>
        <w:rPr>
          <w:rFonts w:ascii="Times New Roman" w:cs="Times New Roman" w:eastAsia="Times New Roman" w:hAnsi="Times New Roman"/>
          <w:sz w:val="18"/>
          <w:szCs w:val="18"/>
          <w:color w:val="auto"/>
        </w:rPr>
        <w:t>The provision for income taxes is based on the earnings reported in the consolidated financial statements. Deferred income tax assets and liabilities are computed for differences between the financial statement and tax basis of assets and liabilities that will result in deductible or taxable amounts in the future. Such deferred income tax asset and liability computations are based on enacted tax laws and rates. The Company applies the provisions of ASC 740, Income Taxes, as it relates to uncertainty in income taxes recognized in the Company’s consolidated financial statements. A threshold of more likely than not to be sustained upon examination is applied to uncertain tax positions. The Company deems the estimates related to this provision to be reasonable, however, no assurance can be given that the final outcome of these matters will not vary from what is reflected in the historical income tax provisions and accruals.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Leases</w:t>
      </w:r>
    </w:p>
    <w:p>
      <w:pPr>
        <w:spacing w:after="0" w:line="191" w:lineRule="exact"/>
        <w:rPr>
          <w:sz w:val="20"/>
          <w:szCs w:val="20"/>
          <w:color w:val="auto"/>
        </w:rPr>
      </w:pPr>
    </w:p>
    <w:p>
      <w:pPr>
        <w:ind w:left="320" w:right="60"/>
        <w:spacing w:after="0" w:line="362" w:lineRule="auto"/>
        <w:rPr>
          <w:sz w:val="20"/>
          <w:szCs w:val="20"/>
          <w:color w:val="auto"/>
        </w:rPr>
      </w:pPr>
      <w:r>
        <w:rPr>
          <w:rFonts w:ascii="Times New Roman" w:cs="Times New Roman" w:eastAsia="Times New Roman" w:hAnsi="Times New Roman"/>
          <w:sz w:val="18"/>
          <w:szCs w:val="18"/>
          <w:color w:val="auto"/>
        </w:rPr>
        <w:t>The Company has operating leases for corporate offices, warehouses, vehicles, and other equipment, which are included within “Patents and other assets” section of the Consolidated Balance Sheets. The leases have remaining lease terms of 1 year to 5 years. The weighted average remaining lease term for operating leases as of December 31, 2023 was 3 years, with a weighted average discount rate of 6.4%. Future minimum lease payments for operating leases are as follows:</w:t>
      </w:r>
    </w:p>
    <w:p>
      <w:pPr>
        <w:spacing w:after="0" w:line="99"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43"/>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bottom w:val="single" w:sz="8" w:color="808080"/>
            </w:tcBorders>
            <w:gridSpan w:val="2"/>
          </w:tcPr>
          <w:p>
            <w:pPr>
              <w:jc w:val="right"/>
              <w:ind w:right="102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1,857,325</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1,091,917</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545,291</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242,712</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3,846</w:t>
            </w:r>
          </w:p>
        </w:tc>
      </w:tr>
      <w:tr>
        <w:trPr>
          <w:trHeight w:val="340"/>
        </w:trPr>
        <w:tc>
          <w:tcPr>
            <w:tcW w:w="756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120" w:type="dxa"/>
            <w:vAlign w:val="bottom"/>
            <w:tcBorders>
              <w:bottom w:val="single" w:sz="8" w:color="808080"/>
            </w:tcBorders>
            <w:gridSpan w:val="2"/>
          </w:tcPr>
          <w:p>
            <w:pPr>
              <w:jc w:val="right"/>
              <w:ind w:right="102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3,741,091</w:t>
            </w:r>
          </w:p>
        </w:tc>
      </w:tr>
      <w:tr>
        <w:trPr>
          <w:trHeight w:val="355"/>
        </w:trPr>
        <w:tc>
          <w:tcPr>
            <w:tcW w:w="756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Borders>
              <w:bottom w:val="single" w:sz="8" w:color="808080"/>
            </w:tcBorders>
          </w:tcPr>
          <w:p>
            <w:pPr>
              <w:spacing w:after="0"/>
              <w:rPr>
                <w:sz w:val="24"/>
                <w:szCs w:val="24"/>
                <w:color w:val="auto"/>
              </w:rPr>
            </w:pPr>
          </w:p>
        </w:tc>
        <w:tc>
          <w:tcPr>
            <w:tcW w:w="1100" w:type="dxa"/>
            <w:vAlign w:val="bottom"/>
            <w:tcBorders>
              <w:bottom w:val="single" w:sz="8" w:color="4CA5CD"/>
            </w:tcBorders>
          </w:tcPr>
          <w:p>
            <w:pPr>
              <w:spacing w:after="0"/>
              <w:rPr>
                <w:sz w:val="24"/>
                <w:szCs w:val="24"/>
                <w:color w:val="auto"/>
              </w:rPr>
            </w:pPr>
          </w:p>
        </w:tc>
        <w:tc>
          <w:tcPr>
            <w:tcW w:w="17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(170,876)</w:t>
            </w:r>
          </w:p>
        </w:tc>
      </w:tr>
      <w:tr>
        <w:trPr>
          <w:trHeight w:val="3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4CA5CD"/>
            </w:tcBorders>
            <w:gridSpan w:val="2"/>
          </w:tcPr>
          <w:p>
            <w:pPr>
              <w:jc w:val="right"/>
              <w:ind w:right="102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3,570,215</w:t>
            </w: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4CA5CD"/>
            </w:tcBorders>
          </w:tcPr>
          <w:p>
            <w:pPr>
              <w:spacing w:after="0" w:line="20" w:lineRule="exact"/>
              <w:rPr>
                <w:sz w:val="1"/>
                <w:szCs w:val="1"/>
                <w:color w:val="auto"/>
              </w:rPr>
            </w:pPr>
          </w:p>
        </w:tc>
        <w:tc>
          <w:tcPr>
            <w:tcW w:w="176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580" w:top="83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74</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30" w:right="900" w:bottom="0" w:gutter="0" w:footer="0" w:header="0"/>
          <w:type w:val="continuous"/>
        </w:sectPr>
      </w:pPr>
    </w:p>
    <w:bookmarkStart w:id="74" w:name="page75"/>
    <w:bookmarkEnd w:id="74"/>
    <w:p>
      <w:pPr>
        <w:spacing w:after="0"/>
        <w:rPr>
          <w:sz w:val="20"/>
          <w:szCs w:val="20"/>
          <w:color w:val="auto"/>
        </w:rPr>
      </w:pPr>
      <w:r>
        <w:rPr>
          <w:rFonts w:ascii="Arial" w:cs="Arial" w:eastAsia="Arial" w:hAnsi="Arial"/>
          <w:sz w:val="22"/>
          <w:szCs w:val="22"/>
          <w:b w:val="1"/>
          <w:bCs w:val="1"/>
          <w:color w:val="4CA5CD"/>
        </w:rPr>
        <w:t>Earnings Per Share</w:t>
      </w:r>
    </w:p>
    <w:p>
      <w:pPr>
        <w:spacing w:after="0" w:line="191" w:lineRule="exact"/>
        <w:rPr>
          <w:sz w:val="20"/>
          <w:szCs w:val="20"/>
          <w:color w:val="auto"/>
        </w:rPr>
      </w:pPr>
    </w:p>
    <w:p>
      <w:pPr>
        <w:ind w:right="520"/>
        <w:spacing w:after="0" w:line="352" w:lineRule="auto"/>
        <w:rPr>
          <w:sz w:val="20"/>
          <w:szCs w:val="20"/>
          <w:color w:val="auto"/>
        </w:rPr>
      </w:pPr>
      <w:r>
        <w:rPr>
          <w:rFonts w:ascii="Times New Roman" w:cs="Times New Roman" w:eastAsia="Times New Roman" w:hAnsi="Times New Roman"/>
          <w:sz w:val="18"/>
          <w:szCs w:val="18"/>
          <w:color w:val="auto"/>
        </w:rPr>
        <w:t>The Company has unvested share-based payment awards with a right to receive non-forfeitable dividends, which are considered participating securities under ASC 260, Earnings Per Share.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w:t>
      </w:r>
    </w:p>
    <w:p>
      <w:pPr>
        <w:spacing w:after="0" w:line="63" w:lineRule="exact"/>
        <w:rPr>
          <w:sz w:val="20"/>
          <w:szCs w:val="20"/>
          <w:color w:val="auto"/>
        </w:rPr>
      </w:pPr>
    </w:p>
    <w:p>
      <w:pPr>
        <w:ind w:right="540"/>
        <w:spacing w:after="0" w:line="437"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common share under the two-class method for each of the last three years: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4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74"/>
        </w:trPr>
        <w:tc>
          <w:tcPr>
            <w:tcW w:w="4680" w:type="dxa"/>
            <w:vAlign w:val="bottom"/>
          </w:tcPr>
          <w:p>
            <w:pPr>
              <w:spacing w:after="0"/>
              <w:rPr>
                <w:sz w:val="20"/>
                <w:szCs w:val="20"/>
                <w:color w:val="auto"/>
              </w:rPr>
            </w:pPr>
            <w:r>
              <w:rPr>
                <w:rFonts w:ascii="Arial" w:cs="Arial" w:eastAsia="Arial" w:hAnsi="Arial"/>
                <w:sz w:val="17"/>
                <w:szCs w:val="17"/>
                <w:b w:val="1"/>
                <w:bCs w:val="1"/>
                <w:color w:val="808080"/>
              </w:rPr>
              <w:t>BASIC EARNINGS PER SHARE</w:t>
            </w: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468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14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4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428,403,272</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318,757,352</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360,797,232</w:t>
            </w:r>
          </w:p>
        </w:tc>
        <w:tc>
          <w:tcPr>
            <w:tcW w:w="0" w:type="dxa"/>
            <w:vAlign w:val="bottom"/>
          </w:tcPr>
          <w:p>
            <w:pPr>
              <w:spacing w:after="0"/>
              <w:rPr>
                <w:sz w:val="1"/>
                <w:szCs w:val="1"/>
                <w:color w:val="auto"/>
              </w:rPr>
            </w:pPr>
          </w:p>
        </w:tc>
      </w:tr>
      <w:tr>
        <w:trPr>
          <w:trHeight w:val="355"/>
        </w:trPr>
        <w:tc>
          <w:tcPr>
            <w:tcW w:w="46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Less: Allocated to participating securities</w:t>
            </w:r>
          </w:p>
        </w:tc>
        <w:tc>
          <w:tcPr>
            <w:tcW w:w="50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6,352,424</w:t>
            </w:r>
          </w:p>
        </w:tc>
        <w:tc>
          <w:tcPr>
            <w:tcW w:w="58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4,875,057</w:t>
            </w:r>
          </w:p>
        </w:tc>
        <w:tc>
          <w:tcPr>
            <w:tcW w:w="580" w:type="dxa"/>
            <w:vAlign w:val="bottom"/>
            <w:tcBorders>
              <w:bottom w:val="single" w:sz="8" w:color="4CA5CD"/>
            </w:tcBorders>
          </w:tcPr>
          <w:p>
            <w:pPr>
              <w:spacing w:after="0"/>
              <w:rPr>
                <w:sz w:val="24"/>
                <w:szCs w:val="24"/>
                <w:color w:val="auto"/>
              </w:rPr>
            </w:pP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5,591,992</w:t>
            </w:r>
          </w:p>
        </w:tc>
        <w:tc>
          <w:tcPr>
            <w:tcW w:w="0" w:type="dxa"/>
            <w:vAlign w:val="bottom"/>
          </w:tcPr>
          <w:p>
            <w:pPr>
              <w:spacing w:after="0"/>
              <w:rPr>
                <w:sz w:val="1"/>
                <w:szCs w:val="1"/>
                <w:color w:val="auto"/>
              </w:rPr>
            </w:pPr>
          </w:p>
        </w:tc>
      </w:tr>
      <w:tr>
        <w:trPr>
          <w:trHeight w:val="33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500" w:type="dxa"/>
            <w:vAlign w:val="bottom"/>
            <w:tcBorders>
              <w:bottom w:val="single" w:sz="8" w:color="4CA5CD"/>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422,050,848</w:t>
            </w:r>
          </w:p>
        </w:tc>
        <w:tc>
          <w:tcPr>
            <w:tcW w:w="580" w:type="dxa"/>
            <w:vAlign w:val="bottom"/>
            <w:tcBorders>
              <w:bottom w:val="single" w:sz="8" w:color="4CA5CD"/>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313,882,295</w:t>
            </w:r>
          </w:p>
        </w:tc>
        <w:tc>
          <w:tcPr>
            <w:tcW w:w="580" w:type="dxa"/>
            <w:vAlign w:val="bottom"/>
            <w:tcBorders>
              <w:bottom w:val="single" w:sz="8" w:color="4CA5CD"/>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355,205,240</w:t>
            </w:r>
          </w:p>
        </w:tc>
        <w:tc>
          <w:tcPr>
            <w:tcW w:w="0" w:type="dxa"/>
            <w:vAlign w:val="bottom"/>
          </w:tcPr>
          <w:p>
            <w:pPr>
              <w:spacing w:after="0"/>
              <w:rPr>
                <w:sz w:val="1"/>
                <w:szCs w:val="1"/>
                <w:color w:val="auto"/>
              </w:rPr>
            </w:pPr>
          </w:p>
        </w:tc>
      </w:tr>
      <w:tr>
        <w:trPr>
          <w:trHeight w:val="33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5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229,405,479</w:t>
            </w:r>
          </w:p>
        </w:tc>
        <w:tc>
          <w:tcPr>
            <w:tcW w:w="5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230,825,293</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235,526,911</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50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3"/>
        </w:trPr>
        <w:tc>
          <w:tcPr>
            <w:tcW w:w="4680" w:type="dxa"/>
            <w:vAlign w:val="bottom"/>
          </w:tcPr>
          <w:p>
            <w:pPr>
              <w:spacing w:after="0"/>
              <w:rPr>
                <w:sz w:val="20"/>
                <w:szCs w:val="20"/>
                <w:color w:val="auto"/>
              </w:rPr>
            </w:pPr>
            <w:r>
              <w:rPr>
                <w:rFonts w:ascii="Arial" w:cs="Arial" w:eastAsia="Arial" w:hAnsi="Arial"/>
                <w:sz w:val="17"/>
                <w:szCs w:val="17"/>
                <w:b w:val="1"/>
                <w:bCs w:val="1"/>
                <w:color w:val="808080"/>
              </w:rPr>
              <w:t>DILUTED EARNINGS PER SHARE</w:t>
            </w: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46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4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Allocation of Net Income used in basic computation</w:t>
            </w:r>
          </w:p>
        </w:tc>
        <w:tc>
          <w:tcPr>
            <w:tcW w:w="50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422,050,848</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313,882,295</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355,205,240</w:t>
            </w:r>
          </w:p>
        </w:tc>
        <w:tc>
          <w:tcPr>
            <w:tcW w:w="0" w:type="dxa"/>
            <w:vAlign w:val="bottom"/>
          </w:tcPr>
          <w:p>
            <w:pPr>
              <w:spacing w:after="0"/>
              <w:rPr>
                <w:sz w:val="1"/>
                <w:szCs w:val="1"/>
                <w:color w:val="auto"/>
              </w:rPr>
            </w:pPr>
          </w:p>
        </w:tc>
      </w:tr>
      <w:tr>
        <w:trPr>
          <w:trHeight w:val="355"/>
        </w:trPr>
        <w:tc>
          <w:tcPr>
            <w:tcW w:w="4680" w:type="dxa"/>
            <w:vAlign w:val="bottom"/>
            <w:tcBorders>
              <w:bottom w:val="single" w:sz="8" w:color="808080"/>
            </w:tcBorders>
          </w:tcPr>
          <w:p>
            <w:pPr>
              <w:ind w:left="720"/>
              <w:spacing w:after="0"/>
              <w:rPr>
                <w:sz w:val="20"/>
                <w:szCs w:val="20"/>
                <w:color w:val="auto"/>
              </w:rPr>
            </w:pPr>
            <w:r>
              <w:rPr>
                <w:rFonts w:ascii="Times New Roman" w:cs="Times New Roman" w:eastAsia="Times New Roman" w:hAnsi="Times New Roman"/>
                <w:sz w:val="18"/>
                <w:szCs w:val="18"/>
                <w:color w:val="auto"/>
              </w:rPr>
              <w:t>Reallocation of undistributed earnings</w:t>
            </w:r>
          </w:p>
        </w:tc>
        <w:tc>
          <w:tcPr>
            <w:tcW w:w="50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6,341</w:t>
            </w:r>
          </w:p>
        </w:tc>
        <w:tc>
          <w:tcPr>
            <w:tcW w:w="58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5,299</w:t>
            </w:r>
          </w:p>
        </w:tc>
        <w:tc>
          <w:tcPr>
            <w:tcW w:w="580" w:type="dxa"/>
            <w:vAlign w:val="bottom"/>
            <w:tcBorders>
              <w:bottom w:val="single" w:sz="8" w:color="4CA5CD"/>
            </w:tcBorders>
          </w:tcPr>
          <w:p>
            <w:pPr>
              <w:spacing w:after="0"/>
              <w:rPr>
                <w:sz w:val="24"/>
                <w:szCs w:val="24"/>
                <w:color w:val="auto"/>
              </w:rPr>
            </w:pP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17,014</w:t>
            </w:r>
          </w:p>
        </w:tc>
        <w:tc>
          <w:tcPr>
            <w:tcW w:w="0" w:type="dxa"/>
            <w:vAlign w:val="bottom"/>
          </w:tcPr>
          <w:p>
            <w:pPr>
              <w:spacing w:after="0"/>
              <w:rPr>
                <w:sz w:val="1"/>
                <w:szCs w:val="1"/>
                <w:color w:val="auto"/>
              </w:rPr>
            </w:pPr>
          </w:p>
        </w:tc>
      </w:tr>
      <w:tr>
        <w:trPr>
          <w:trHeight w:val="32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w w:val="98"/>
              </w:rPr>
              <w:t>Net Income available to common shareholders — Diluted</w:t>
            </w:r>
          </w:p>
        </w:tc>
        <w:tc>
          <w:tcPr>
            <w:tcW w:w="50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422,057,189</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313,887,594</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355,222,254</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5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229,405,479</w:t>
            </w:r>
          </w:p>
        </w:tc>
        <w:tc>
          <w:tcPr>
            <w:tcW w:w="5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230,825,293</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235,526,911</w:t>
            </w:r>
          </w:p>
        </w:tc>
        <w:tc>
          <w:tcPr>
            <w:tcW w:w="0" w:type="dxa"/>
            <w:vAlign w:val="bottom"/>
          </w:tcPr>
          <w:p>
            <w:pPr>
              <w:spacing w:after="0"/>
              <w:rPr>
                <w:sz w:val="1"/>
                <w:szCs w:val="1"/>
                <w:color w:val="auto"/>
              </w:rPr>
            </w:pPr>
          </w:p>
        </w:tc>
      </w:tr>
      <w:tr>
        <w:trPr>
          <w:trHeight w:val="261"/>
        </w:trPr>
        <w:tc>
          <w:tcPr>
            <w:tcW w:w="4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Additional weighted average dilutive common</w:t>
            </w:r>
          </w:p>
        </w:tc>
        <w:tc>
          <w:tcPr>
            <w:tcW w:w="500" w:type="dxa"/>
            <w:vAlign w:val="bottom"/>
          </w:tcPr>
          <w:p>
            <w:pPr>
              <w:spacing w:after="0"/>
              <w:rPr>
                <w:sz w:val="22"/>
                <w:szCs w:val="22"/>
                <w:color w:val="auto"/>
              </w:rPr>
            </w:pPr>
          </w:p>
        </w:tc>
        <w:tc>
          <w:tcPr>
            <w:tcW w:w="14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314,719</w:t>
            </w:r>
          </w:p>
        </w:tc>
        <w:tc>
          <w:tcPr>
            <w:tcW w:w="580" w:type="dxa"/>
            <w:vAlign w:val="bottom"/>
          </w:tcPr>
          <w:p>
            <w:pPr>
              <w:spacing w:after="0"/>
              <w:rPr>
                <w:sz w:val="22"/>
                <w:szCs w:val="22"/>
                <w:color w:val="auto"/>
              </w:rPr>
            </w:pPr>
          </w:p>
        </w:tc>
        <w:tc>
          <w:tcPr>
            <w:tcW w:w="14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394,196</w:t>
            </w:r>
          </w:p>
        </w:tc>
        <w:tc>
          <w:tcPr>
            <w:tcW w:w="580" w:type="dxa"/>
            <w:vAlign w:val="bottom"/>
          </w:tcPr>
          <w:p>
            <w:pPr>
              <w:spacing w:after="0"/>
              <w:rPr>
                <w:sz w:val="22"/>
                <w:szCs w:val="2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1,077,103</w:t>
            </w:r>
          </w:p>
        </w:tc>
        <w:tc>
          <w:tcPr>
            <w:tcW w:w="0" w:type="dxa"/>
            <w:vAlign w:val="bottom"/>
          </w:tcPr>
          <w:p>
            <w:pPr>
              <w:spacing w:after="0"/>
              <w:rPr>
                <w:sz w:val="1"/>
                <w:szCs w:val="1"/>
                <w:color w:val="auto"/>
              </w:rPr>
            </w:pPr>
          </w:p>
        </w:tc>
      </w:tr>
      <w:tr>
        <w:trPr>
          <w:trHeight w:val="180"/>
        </w:trPr>
        <w:tc>
          <w:tcPr>
            <w:tcW w:w="468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stock equivalents</w:t>
            </w:r>
          </w:p>
        </w:tc>
        <w:tc>
          <w:tcPr>
            <w:tcW w:w="5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680" w:type="dxa"/>
            <w:vAlign w:val="bottom"/>
            <w:tcBorders>
              <w:bottom w:val="single" w:sz="8" w:color="808080"/>
            </w:tcBorders>
            <w:vMerge w:val="continue"/>
          </w:tcPr>
          <w:p>
            <w:pPr>
              <w:spacing w:after="0"/>
              <w:rPr>
                <w:sz w:val="8"/>
                <w:szCs w:val="8"/>
                <w:color w:val="auto"/>
              </w:rPr>
            </w:pPr>
          </w:p>
        </w:tc>
        <w:tc>
          <w:tcPr>
            <w:tcW w:w="500" w:type="dxa"/>
            <w:vAlign w:val="bottom"/>
            <w:tcBorders>
              <w:bottom w:val="single" w:sz="8" w:color="4CA5CD"/>
            </w:tcBorders>
          </w:tcPr>
          <w:p>
            <w:pPr>
              <w:spacing w:after="0"/>
              <w:rPr>
                <w:sz w:val="8"/>
                <w:szCs w:val="8"/>
                <w:color w:val="auto"/>
              </w:rPr>
            </w:pPr>
          </w:p>
        </w:tc>
        <w:tc>
          <w:tcPr>
            <w:tcW w:w="1400" w:type="dxa"/>
            <w:vAlign w:val="bottom"/>
            <w:tcBorders>
              <w:bottom w:val="single" w:sz="8" w:color="4CA5CD"/>
            </w:tcBorders>
          </w:tcPr>
          <w:p>
            <w:pPr>
              <w:spacing w:after="0"/>
              <w:rPr>
                <w:sz w:val="8"/>
                <w:szCs w:val="8"/>
                <w:color w:val="auto"/>
              </w:rPr>
            </w:pPr>
          </w:p>
        </w:tc>
        <w:tc>
          <w:tcPr>
            <w:tcW w:w="580" w:type="dxa"/>
            <w:vAlign w:val="bottom"/>
            <w:tcBorders>
              <w:bottom w:val="single" w:sz="8" w:color="4CA5CD"/>
            </w:tcBorders>
          </w:tcPr>
          <w:p>
            <w:pPr>
              <w:spacing w:after="0"/>
              <w:rPr>
                <w:sz w:val="8"/>
                <w:szCs w:val="8"/>
                <w:color w:val="auto"/>
              </w:rPr>
            </w:pPr>
          </w:p>
        </w:tc>
        <w:tc>
          <w:tcPr>
            <w:tcW w:w="1400" w:type="dxa"/>
            <w:vAlign w:val="bottom"/>
            <w:tcBorders>
              <w:bottom w:val="single" w:sz="8" w:color="4CA5CD"/>
            </w:tcBorders>
          </w:tcPr>
          <w:p>
            <w:pPr>
              <w:spacing w:after="0"/>
              <w:rPr>
                <w:sz w:val="8"/>
                <w:szCs w:val="8"/>
                <w:color w:val="auto"/>
              </w:rPr>
            </w:pPr>
          </w:p>
        </w:tc>
        <w:tc>
          <w:tcPr>
            <w:tcW w:w="580" w:type="dxa"/>
            <w:vAlign w:val="bottom"/>
            <w:tcBorders>
              <w:bottom w:val="single" w:sz="8" w:color="4CA5CD"/>
            </w:tcBorders>
          </w:tcPr>
          <w:p>
            <w:pPr>
              <w:spacing w:after="0"/>
              <w:rPr>
                <w:sz w:val="8"/>
                <w:szCs w:val="8"/>
                <w:color w:val="auto"/>
              </w:rPr>
            </w:pPr>
          </w:p>
        </w:tc>
        <w:tc>
          <w:tcPr>
            <w:tcW w:w="1300" w:type="dxa"/>
            <w:vAlign w:val="bottom"/>
            <w:tcBorders>
              <w:bottom w:val="single" w:sz="8" w:color="4CA5CD"/>
            </w:tcBorders>
          </w:tcPr>
          <w:p>
            <w:pPr>
              <w:spacing w:after="0"/>
              <w:rPr>
                <w:sz w:val="8"/>
                <w:szCs w:val="8"/>
                <w:color w:val="auto"/>
              </w:rPr>
            </w:pPr>
          </w:p>
        </w:tc>
        <w:tc>
          <w:tcPr>
            <w:tcW w:w="0" w:type="dxa"/>
            <w:vAlign w:val="bottom"/>
          </w:tcPr>
          <w:p>
            <w:pPr>
              <w:spacing w:after="0"/>
              <w:rPr>
                <w:sz w:val="1"/>
                <w:szCs w:val="1"/>
                <w:color w:val="auto"/>
              </w:rPr>
            </w:pPr>
          </w:p>
        </w:tc>
      </w:tr>
      <w:tr>
        <w:trPr>
          <w:trHeight w:val="33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50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229,720,198</w:t>
            </w:r>
          </w:p>
        </w:tc>
        <w:tc>
          <w:tcPr>
            <w:tcW w:w="580" w:type="dxa"/>
            <w:vAlign w:val="bottom"/>
            <w:tcBorders>
              <w:bottom w:val="single" w:sz="8" w:color="4CA5CD"/>
            </w:tcBorders>
          </w:tcPr>
          <w:p>
            <w:pPr>
              <w:spacing w:after="0"/>
              <w:rPr>
                <w:sz w:val="24"/>
                <w:szCs w:val="24"/>
                <w:color w:val="auto"/>
              </w:rPr>
            </w:pPr>
          </w:p>
        </w:tc>
        <w:tc>
          <w:tcPr>
            <w:tcW w:w="140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231,219,489</w:t>
            </w:r>
          </w:p>
        </w:tc>
        <w:tc>
          <w:tcPr>
            <w:tcW w:w="580" w:type="dxa"/>
            <w:vAlign w:val="bottom"/>
            <w:tcBorders>
              <w:bottom w:val="single" w:sz="8" w:color="4CA5CD"/>
            </w:tcBorders>
          </w:tcPr>
          <w:p>
            <w:pPr>
              <w:spacing w:after="0"/>
              <w:rPr>
                <w:sz w:val="24"/>
                <w:szCs w:val="24"/>
                <w:color w:val="auto"/>
              </w:rPr>
            </w:pP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236,604,014</w:t>
            </w:r>
          </w:p>
        </w:tc>
        <w:tc>
          <w:tcPr>
            <w:tcW w:w="0" w:type="dxa"/>
            <w:vAlign w:val="bottom"/>
          </w:tcPr>
          <w:p>
            <w:pPr>
              <w:spacing w:after="0"/>
              <w:rPr>
                <w:sz w:val="1"/>
                <w:szCs w:val="1"/>
                <w:color w:val="auto"/>
              </w:rPr>
            </w:pPr>
          </w:p>
        </w:tc>
      </w:tr>
      <w:tr>
        <w:trPr>
          <w:trHeight w:val="355"/>
        </w:trPr>
        <w:tc>
          <w:tcPr>
            <w:tcW w:w="4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right="520"/>
        <w:spacing w:after="0" w:line="439" w:lineRule="auto"/>
        <w:rPr>
          <w:sz w:val="20"/>
          <w:szCs w:val="20"/>
          <w:color w:val="auto"/>
        </w:rPr>
      </w:pPr>
      <w:r>
        <w:rPr>
          <w:rFonts w:ascii="Times New Roman" w:cs="Times New Roman" w:eastAsia="Times New Roman" w:hAnsi="Times New Roman"/>
          <w:sz w:val="18"/>
          <w:szCs w:val="18"/>
          <w:color w:val="auto"/>
        </w:rPr>
        <w:t>For the years ended December 31, 2023, 2022 and 2021, 1,441,812 shares, 1,842,602 shares, and 200,037 shares, respectively, related to stock option plans were not included in diluted average common shares outstanding because they were anti-dilutive.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Comprehensive Income (Loss)</w:t>
      </w:r>
    </w:p>
    <w:p>
      <w:pPr>
        <w:spacing w:after="0" w:line="191" w:lineRule="exact"/>
        <w:rPr>
          <w:sz w:val="20"/>
          <w:szCs w:val="20"/>
          <w:color w:val="auto"/>
        </w:rPr>
      </w:pPr>
    </w:p>
    <w:p>
      <w:pPr>
        <w:ind w:right="340"/>
        <w:spacing w:after="0" w:line="362" w:lineRule="auto"/>
        <w:rPr>
          <w:sz w:val="20"/>
          <w:szCs w:val="20"/>
          <w:color w:val="auto"/>
        </w:rPr>
      </w:pPr>
      <w:r>
        <w:rPr>
          <w:rFonts w:ascii="Times New Roman" w:cs="Times New Roman" w:eastAsia="Times New Roman" w:hAnsi="Times New Roman"/>
          <w:sz w:val="18"/>
          <w:szCs w:val="18"/>
          <w:color w:val="auto"/>
        </w:rPr>
        <w:t>Comprehensive income (loss) reflects the change in equity of a business enterprise during a period from transactions and other events and circumstances from non-owner sources. For the Company, comprehensive income represents net income adjusted for unrealized gains and losses on available for sale investments and foreign currency translation adjustments that are further detailed in Note 9, “Comprehensive Income”, for more information.</w:t>
      </w:r>
    </w:p>
    <w:p>
      <w:pPr>
        <w:sectPr>
          <w:pgSz w:w="12240" w:h="15840" w:orient="portrait"/>
          <w:cols w:equalWidth="0" w:num="1">
            <w:col w:w="10760"/>
          </w:cols>
          <w:pgMar w:left="900" w:top="83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75</w:t>
      </w:r>
    </w:p>
    <w:p>
      <w:pPr>
        <w:sectPr>
          <w:pgSz w:w="12240" w:h="15840" w:orient="portrait"/>
          <w:cols w:equalWidth="0" w:num="1">
            <w:col w:w="10760"/>
          </w:cols>
          <w:pgMar w:left="900" w:top="830" w:right="580" w:bottom="0" w:gutter="0" w:footer="0" w:header="0"/>
          <w:type w:val="continuous"/>
        </w:sectPr>
      </w:pPr>
    </w:p>
    <w:bookmarkStart w:id="75" w:name="page76"/>
    <w:bookmarkEnd w:id="75"/>
    <w:p>
      <w:pPr>
        <w:ind w:left="320"/>
        <w:spacing w:after="0"/>
        <w:rPr>
          <w:sz w:val="20"/>
          <w:szCs w:val="20"/>
          <w:color w:val="auto"/>
        </w:rPr>
      </w:pPr>
      <w:r>
        <w:rPr>
          <w:rFonts w:ascii="Arial" w:cs="Arial" w:eastAsia="Arial" w:hAnsi="Arial"/>
          <w:sz w:val="22"/>
          <w:szCs w:val="22"/>
          <w:b w:val="1"/>
          <w:bCs w:val="1"/>
          <w:color w:val="4CA5CD"/>
        </w:rPr>
        <w:t>Foreign Currency Translation</w:t>
      </w:r>
    </w:p>
    <w:p>
      <w:pPr>
        <w:spacing w:after="0" w:line="191" w:lineRule="exact"/>
        <w:rPr>
          <w:sz w:val="20"/>
          <w:szCs w:val="20"/>
          <w:color w:val="auto"/>
        </w:rPr>
      </w:pPr>
    </w:p>
    <w:p>
      <w:pPr>
        <w:ind w:left="320" w:right="120"/>
        <w:spacing w:after="0" w:line="388" w:lineRule="auto"/>
        <w:rPr>
          <w:sz w:val="20"/>
          <w:szCs w:val="20"/>
          <w:color w:val="auto"/>
        </w:rPr>
      </w:pPr>
      <w:r>
        <w:rPr>
          <w:rFonts w:ascii="Times New Roman" w:cs="Times New Roman" w:eastAsia="Times New Roman" w:hAnsi="Times New Roman"/>
          <w:sz w:val="17"/>
          <w:szCs w:val="17"/>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 Gains and losses arising from re-measuring foreign currency transactions into the appropriate currency are included in the determination of net income.</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Stock-Based Compensation Plans</w:t>
      </w:r>
    </w:p>
    <w:p>
      <w:pPr>
        <w:spacing w:after="0" w:line="191" w:lineRule="exact"/>
        <w:rPr>
          <w:sz w:val="20"/>
          <w:szCs w:val="20"/>
          <w:color w:val="auto"/>
        </w:rPr>
      </w:pPr>
    </w:p>
    <w:p>
      <w:pPr>
        <w:ind w:left="320" w:right="120"/>
        <w:spacing w:after="0" w:line="349" w:lineRule="auto"/>
        <w:rPr>
          <w:sz w:val="20"/>
          <w:szCs w:val="20"/>
          <w:color w:val="auto"/>
        </w:rPr>
      </w:pPr>
      <w:r>
        <w:rPr>
          <w:rFonts w:ascii="Times New Roman" w:cs="Times New Roman" w:eastAsia="Times New Roman" w:hAnsi="Times New Roman"/>
          <w:sz w:val="17"/>
          <w:szCs w:val="17"/>
          <w:color w:val="auto"/>
        </w:rPr>
        <w:t>The Company accounts for stock-based compensation using the fair value recognition provisions of ASC 718, Compensation - Stock Compensation. As described more fully in Note 5, “Stock-Based Compensation Plans”, the Company provides, or has provided, compensation benefits under an omnibus incentive plan, two other stock option plans, another restricted stock plan, and two employee stock purchase plans. The Company utilizes the Black-Scholes model to estimate the value of the stock options, which requires the input of assumptions. These assumptions include estimating (a) the length of time employees will retain their vested stock options before exercising them (“expected term”),</w:t>
      </w:r>
    </w:p>
    <w:p>
      <w:pPr>
        <w:spacing w:after="0" w:line="3" w:lineRule="exact"/>
        <w:rPr>
          <w:sz w:val="20"/>
          <w:szCs w:val="20"/>
          <w:color w:val="auto"/>
        </w:rPr>
      </w:pPr>
    </w:p>
    <w:p>
      <w:pPr>
        <w:ind w:left="320" w:right="100"/>
        <w:spacing w:after="0" w:line="367" w:lineRule="auto"/>
        <w:tabs>
          <w:tab w:leader="none" w:pos="5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Company’s common stock price over the expected term, (c) the number of options that will ultimately not complete their vesting requirements (“forfeitures”) and (d) expected dividends. Changes in the assumptions can materially affect the estimate of fair value of stock-based compensation and consequently, the related amounts recognized on the consolidated statements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Estimates</w:t>
      </w:r>
    </w:p>
    <w:p>
      <w:pPr>
        <w:spacing w:after="0" w:line="191" w:lineRule="exact"/>
        <w:rPr>
          <w:sz w:val="20"/>
          <w:szCs w:val="20"/>
          <w:color w:val="auto"/>
        </w:rPr>
      </w:pPr>
    </w:p>
    <w:p>
      <w:pPr>
        <w:ind w:left="320" w:right="160"/>
        <w:spacing w:after="0" w:line="36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Reclassifications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current year presentation.</w:t>
      </w:r>
    </w:p>
    <w:p>
      <w:pPr>
        <w:spacing w:after="0" w:line="37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Recent Accounting Standards</w:t>
      </w:r>
    </w:p>
    <w:p>
      <w:pPr>
        <w:spacing w:after="0" w:line="191" w:lineRule="exact"/>
        <w:rPr>
          <w:sz w:val="20"/>
          <w:szCs w:val="20"/>
          <w:color w:val="auto"/>
        </w:rPr>
      </w:pPr>
    </w:p>
    <w:p>
      <w:pPr>
        <w:ind w:left="320" w:right="100"/>
        <w:spacing w:after="0" w:line="32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Improvements to Reportable Segment Disclosures.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The Company will likely include additional disclosures when this ASU is adopted.</w:t>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is currently evaluating the provisions of this ASU and expects to adopt the ASU for the year ending December 31, 2024.</w:t>
      </w:r>
    </w:p>
    <w:p>
      <w:pPr>
        <w:spacing w:after="0" w:line="227" w:lineRule="exact"/>
        <w:rPr>
          <w:sz w:val="20"/>
          <w:szCs w:val="20"/>
          <w:color w:val="auto"/>
        </w:rPr>
      </w:pPr>
    </w:p>
    <w:p>
      <w:pPr>
        <w:ind w:left="320"/>
        <w:spacing w:after="0" w:line="353"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Under this ASU, public benefit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 is effective on a prospective basis for the Company in the fiscal year ending December 31, 2025. This ASU will result in additional disclosures being included in the consolidated financial statements once adopted.</w:t>
      </w:r>
    </w:p>
    <w:p>
      <w:pPr>
        <w:sectPr>
          <w:pgSz w:w="12240" w:h="15840" w:orient="portrait"/>
          <w:cols w:equalWidth="0" w:num="1">
            <w:col w:w="10760"/>
          </w:cols>
          <w:pgMar w:left="580" w:top="83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76</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30" w:right="900" w:bottom="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color w:val="404040"/>
        </w:rPr>
        <w:t>( 2 )  D E B T  A N D  F I N A N C I N G  A R R A N G E M E N T S</w:t>
      </w:r>
    </w:p>
    <w:p>
      <w:pPr>
        <w:spacing w:after="0" w:line="263" w:lineRule="exact"/>
        <w:rPr>
          <w:sz w:val="20"/>
          <w:szCs w:val="20"/>
          <w:color w:val="auto"/>
        </w:rPr>
      </w:pPr>
    </w:p>
    <w:p>
      <w:pPr>
        <w:ind w:right="340"/>
        <w:spacing w:after="0" w:line="429" w:lineRule="auto"/>
        <w:rPr>
          <w:sz w:val="20"/>
          <w:szCs w:val="20"/>
          <w:color w:val="auto"/>
        </w:rPr>
      </w:pPr>
      <w:r>
        <w:rPr>
          <w:rFonts w:ascii="Times New Roman" w:cs="Times New Roman" w:eastAsia="Times New Roman" w:hAnsi="Times New Roman"/>
          <w:sz w:val="18"/>
          <w:szCs w:val="18"/>
          <w:color w:val="auto"/>
        </w:rPr>
        <w:t>On October 15, 2018, the Company entered into a credit agreement with PNC as the administrative agent and sole lender, which has now been amended and restated as discussed below.</w:t>
      </w:r>
    </w:p>
    <w:p>
      <w:pPr>
        <w:spacing w:after="0"/>
        <w:rPr>
          <w:sz w:val="20"/>
          <w:szCs w:val="20"/>
          <w:color w:val="auto"/>
        </w:rPr>
      </w:pPr>
      <w:r>
        <w:rPr>
          <w:rFonts w:ascii="Times New Roman" w:cs="Times New Roman" w:eastAsia="Times New Roman" w:hAnsi="Times New Roman"/>
          <w:sz w:val="18"/>
          <w:szCs w:val="18"/>
          <w:color w:val="auto"/>
        </w:rPr>
        <w:t>On February 21, 2023, as previously disclosed, the Company entered into an amended and restated credit agreement (“Credit Agreement”) that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for, among other things, a three-year unsecured revolving credit facility with a borrowing capacity of up to $250 million (“Revolver”)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matures on February 21, 2026, replacing in its entirety the Company’s above referenced prior $150.0 million revolving credit facility, which</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have otherwise matured on October 15, 2023. Included in the Revolver is a $20.0 million sublimit for standby letters of credit and 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million sublimit for swingline loans, each subject to certain conditions. Funds are available under the Revolver for working capital, capital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and other lawful corporate purposes, including, but not limited to, acquisitions and common stock repurchases, subject in each</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to compliance with certain financial covenants, as defined in the Credit Agreement.</w:t>
      </w:r>
    </w:p>
    <w:p>
      <w:pPr>
        <w:spacing w:after="0" w:line="229" w:lineRule="exact"/>
        <w:rPr>
          <w:sz w:val="20"/>
          <w:szCs w:val="20"/>
          <w:color w:val="auto"/>
        </w:rPr>
      </w:pPr>
    </w:p>
    <w:p>
      <w:pPr>
        <w:ind w:right="540"/>
        <w:spacing w:after="0" w:line="382" w:lineRule="auto"/>
        <w:rPr>
          <w:sz w:val="20"/>
          <w:szCs w:val="20"/>
          <w:color w:val="auto"/>
        </w:rPr>
      </w:pPr>
      <w:r>
        <w:rPr>
          <w:rFonts w:ascii="Times New Roman" w:cs="Times New Roman" w:eastAsia="Times New Roman" w:hAnsi="Times New Roman"/>
          <w:sz w:val="18"/>
          <w:szCs w:val="18"/>
          <w:color w:val="auto"/>
        </w:rPr>
        <w:t>The obligations of the Company under the Credit Agreement are not secured, but are subject to certain covenants. As of December 31, 2023, there was no outstanding balances on the Revolver and as of December 31, 2022 there was no outstanding balance under the prior revolving credit facility.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certain covenants that place certain limitations on the Company.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was in compliance with its covenants under the Credit Agreement.</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404040"/>
        </w:rPr>
        <w:t>( 3 )  I N C O M E  T A X E 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is based on the earnings reported in the accompanying consolidated financial statements. The Company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recognizes deferred income tax liabilities and assets for the expected future tax consequences of events that have been included in the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or tax returns. Under this method, deferred income tax liabilities and assets are determined based on the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cumulative temporary differences between the financial statement and tax basis of assets and liabilities using enacted tax rates expected to</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applied to taxable income in years which those temporary differences are expected to be recovered or settled. Deferred income tax expense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measured by the net change in deferred income tax assets and liabilities during the year.</w:t>
      </w:r>
    </w:p>
    <w:p>
      <w:pPr>
        <w:spacing w:after="0" w:line="229" w:lineRule="exact"/>
        <w:rPr>
          <w:sz w:val="20"/>
          <w:szCs w:val="20"/>
          <w:color w:val="auto"/>
        </w:rPr>
      </w:pPr>
    </w:p>
    <w:p>
      <w:pPr>
        <w:ind w:right="540"/>
        <w:spacing w:after="0" w:line="439" w:lineRule="auto"/>
        <w:rPr>
          <w:sz w:val="20"/>
          <w:szCs w:val="20"/>
          <w:color w:val="auto"/>
        </w:rPr>
      </w:pPr>
      <w:r>
        <w:rPr>
          <w:rFonts w:ascii="Times New Roman" w:cs="Times New Roman" w:eastAsia="Times New Roman" w:hAnsi="Times New Roman"/>
          <w:sz w:val="18"/>
          <w:szCs w:val="18"/>
          <w:color w:val="auto"/>
        </w:rPr>
        <w:t>The foreign components of income before the provision for income taxes were not material for the years ended December 31, 2023, 2022 and 2021. The components of the provision for income taxes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Currently payable:</w:t>
            </w:r>
          </w:p>
        </w:tc>
        <w:tc>
          <w:tcPr>
            <w:tcW w:w="4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Federal</w:t>
            </w:r>
          </w:p>
        </w:tc>
        <w:tc>
          <w:tcPr>
            <w:tcW w:w="480" w:type="dxa"/>
            <w:vAlign w:val="bottom"/>
            <w:tcBorders>
              <w:bottom w:val="single" w:sz="8" w:color="808080"/>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85,978,954</w:t>
            </w:r>
          </w:p>
        </w:tc>
        <w:tc>
          <w:tcPr>
            <w:tcW w:w="560" w:type="dxa"/>
            <w:vAlign w:val="bottom"/>
            <w:tcBorders>
              <w:bottom w:val="single" w:sz="8" w:color="808080"/>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62,670,986</w:t>
            </w:r>
          </w:p>
        </w:tc>
        <w:tc>
          <w:tcPr>
            <w:tcW w:w="560" w:type="dxa"/>
            <w:vAlign w:val="bottom"/>
            <w:tcBorders>
              <w:bottom w:val="single" w:sz="8" w:color="808080"/>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89,507,896</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State</w:t>
            </w:r>
          </w:p>
        </w:tc>
        <w:tc>
          <w:tcPr>
            <w:tcW w:w="4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6,242,525</w:t>
            </w:r>
          </w:p>
        </w:tc>
        <w:tc>
          <w:tcPr>
            <w:tcW w:w="5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4,310,783</w:t>
            </w:r>
          </w:p>
        </w:tc>
        <w:tc>
          <w:tcPr>
            <w:tcW w:w="5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5,642,926</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Foreign</w:t>
            </w:r>
          </w:p>
        </w:tc>
        <w:tc>
          <w:tcPr>
            <w:tcW w:w="48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2,091,533</w:t>
            </w:r>
          </w:p>
        </w:tc>
        <w:tc>
          <w:tcPr>
            <w:tcW w:w="56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1,761,732</w:t>
            </w:r>
          </w:p>
        </w:tc>
        <w:tc>
          <w:tcPr>
            <w:tcW w:w="560" w:type="dxa"/>
            <w:vAlign w:val="bottom"/>
            <w:tcBorders>
              <w:bottom w:val="single" w:sz="8" w:color="4CA5CD"/>
            </w:tcBorders>
          </w:tcPr>
          <w:p>
            <w:pPr>
              <w:spacing w:after="0"/>
              <w:rPr>
                <w:sz w:val="24"/>
                <w:szCs w:val="24"/>
                <w:color w:val="auto"/>
              </w:rPr>
            </w:pPr>
          </w:p>
        </w:tc>
        <w:tc>
          <w:tcPr>
            <w:tcW w:w="13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2,098,433</w:t>
            </w: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94,313,012</w:t>
            </w:r>
          </w:p>
        </w:tc>
        <w:tc>
          <w:tcPr>
            <w:tcW w:w="56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68,743,501</w:t>
            </w:r>
          </w:p>
        </w:tc>
        <w:tc>
          <w:tcPr>
            <w:tcW w:w="560" w:type="dxa"/>
            <w:vAlign w:val="bottom"/>
            <w:tcBorders>
              <w:bottom w:val="single" w:sz="8" w:color="4CA5CD"/>
            </w:tcBorders>
          </w:tcPr>
          <w:p>
            <w:pPr>
              <w:spacing w:after="0"/>
              <w:rPr>
                <w:sz w:val="24"/>
                <w:szCs w:val="24"/>
                <w:color w:val="auto"/>
              </w:rPr>
            </w:pPr>
          </w:p>
        </w:tc>
        <w:tc>
          <w:tcPr>
            <w:tcW w:w="13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97,249,255</w:t>
            </w:r>
          </w:p>
        </w:tc>
      </w:tr>
      <w:tr>
        <w:trPr>
          <w:trHeight w:val="32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4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Primarily federal</w:t>
            </w:r>
          </w:p>
        </w:tc>
        <w:tc>
          <w:tcPr>
            <w:tcW w:w="48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(17,735,110)</w:t>
            </w:r>
          </w:p>
        </w:tc>
        <w:tc>
          <w:tcPr>
            <w:tcW w:w="56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(17,777,777)</w:t>
            </w:r>
          </w:p>
        </w:tc>
        <w:tc>
          <w:tcPr>
            <w:tcW w:w="560" w:type="dxa"/>
            <w:vAlign w:val="bottom"/>
            <w:tcBorders>
              <w:bottom w:val="single" w:sz="8" w:color="4CA5CD"/>
            </w:tcBorders>
          </w:tcPr>
          <w:p>
            <w:pPr>
              <w:spacing w:after="0"/>
              <w:rPr>
                <w:sz w:val="24"/>
                <w:szCs w:val="24"/>
                <w:color w:val="auto"/>
              </w:rPr>
            </w:pPr>
          </w:p>
        </w:tc>
        <w:tc>
          <w:tcPr>
            <w:tcW w:w="13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(41,694,751)</w:t>
            </w:r>
          </w:p>
        </w:tc>
      </w:tr>
      <w:tr>
        <w:trPr>
          <w:trHeight w:val="3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tcBorders>
              <w:bottom w:val="single" w:sz="8" w:color="4CA5CD"/>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76,577,902</w:t>
            </w:r>
          </w:p>
        </w:tc>
        <w:tc>
          <w:tcPr>
            <w:tcW w:w="560" w:type="dxa"/>
            <w:vAlign w:val="bottom"/>
            <w:tcBorders>
              <w:bottom w:val="single" w:sz="8" w:color="4CA5CD"/>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50,965,724</w:t>
            </w:r>
          </w:p>
        </w:tc>
        <w:tc>
          <w:tcPr>
            <w:tcW w:w="560" w:type="dxa"/>
            <w:vAlign w:val="bottom"/>
            <w:tcBorders>
              <w:bottom w:val="single" w:sz="8" w:color="4CA5CD"/>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55,554,504</w:t>
            </w:r>
          </w:p>
        </w:tc>
      </w:tr>
      <w:tr>
        <w:trPr>
          <w:trHeight w:val="20"/>
        </w:trPr>
        <w:tc>
          <w:tcPr>
            <w:tcW w:w="4680" w:type="dxa"/>
            <w:vAlign w:val="bottom"/>
          </w:tcPr>
          <w:p>
            <w:pPr>
              <w:spacing w:after="0" w:line="20" w:lineRule="exact"/>
              <w:rPr>
                <w:sz w:val="1"/>
                <w:szCs w:val="1"/>
                <w:color w:val="auto"/>
              </w:rPr>
            </w:pPr>
          </w:p>
        </w:tc>
        <w:tc>
          <w:tcPr>
            <w:tcW w:w="480" w:type="dxa"/>
            <w:vAlign w:val="bottom"/>
            <w:tcBorders>
              <w:bottom w:val="single" w:sz="8" w:color="4CA5CD"/>
            </w:tcBorders>
          </w:tcPr>
          <w:p>
            <w:pPr>
              <w:spacing w:after="0" w:line="20" w:lineRule="exact"/>
              <w:rPr>
                <w:sz w:val="1"/>
                <w:szCs w:val="1"/>
                <w:color w:val="auto"/>
              </w:rPr>
            </w:pPr>
          </w:p>
        </w:tc>
        <w:tc>
          <w:tcPr>
            <w:tcW w:w="1420" w:type="dxa"/>
            <w:vAlign w:val="bottom"/>
            <w:tcBorders>
              <w:bottom w:val="single" w:sz="8" w:color="4CA5CD"/>
            </w:tcBorders>
          </w:tcPr>
          <w:p>
            <w:pPr>
              <w:spacing w:after="0" w:line="20" w:lineRule="exact"/>
              <w:rPr>
                <w:sz w:val="1"/>
                <w:szCs w:val="1"/>
                <w:color w:val="auto"/>
              </w:rPr>
            </w:pPr>
          </w:p>
        </w:tc>
        <w:tc>
          <w:tcPr>
            <w:tcW w:w="560" w:type="dxa"/>
            <w:vAlign w:val="bottom"/>
            <w:tcBorders>
              <w:bottom w:val="single" w:sz="8" w:color="4CA5CD"/>
            </w:tcBorders>
          </w:tcPr>
          <w:p>
            <w:pPr>
              <w:spacing w:after="0" w:line="20" w:lineRule="exact"/>
              <w:rPr>
                <w:sz w:val="1"/>
                <w:szCs w:val="1"/>
                <w:color w:val="auto"/>
              </w:rPr>
            </w:pPr>
          </w:p>
        </w:tc>
        <w:tc>
          <w:tcPr>
            <w:tcW w:w="1420" w:type="dxa"/>
            <w:vAlign w:val="bottom"/>
            <w:tcBorders>
              <w:bottom w:val="single" w:sz="8" w:color="4CA5CD"/>
            </w:tcBorders>
          </w:tcPr>
          <w:p>
            <w:pPr>
              <w:spacing w:after="0" w:line="20" w:lineRule="exact"/>
              <w:rPr>
                <w:sz w:val="1"/>
                <w:szCs w:val="1"/>
                <w:color w:val="auto"/>
              </w:rPr>
            </w:pPr>
          </w:p>
        </w:tc>
        <w:tc>
          <w:tcPr>
            <w:tcW w:w="560" w:type="dxa"/>
            <w:vAlign w:val="bottom"/>
            <w:tcBorders>
              <w:bottom w:val="single" w:sz="8" w:color="4CA5CD"/>
            </w:tcBorders>
          </w:tcPr>
          <w:p>
            <w:pPr>
              <w:spacing w:after="0" w:line="20" w:lineRule="exact"/>
              <w:rPr>
                <w:sz w:val="1"/>
                <w:szCs w:val="1"/>
                <w:color w:val="auto"/>
              </w:rPr>
            </w:pPr>
          </w:p>
        </w:tc>
        <w:tc>
          <w:tcPr>
            <w:tcW w:w="132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131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77</w:t>
      </w:r>
    </w:p>
    <w:p>
      <w:pPr>
        <w:sectPr>
          <w:pgSz w:w="12240" w:h="15840" w:orient="portrait"/>
          <w:cols w:equalWidth="0" w:num="1">
            <w:col w:w="10760"/>
          </w:cols>
          <w:pgMar w:left="900" w:top="1312" w:right="580" w:bottom="0" w:gutter="0" w:footer="0" w:header="0"/>
          <w:type w:val="continuous"/>
        </w:sectPr>
      </w:pPr>
    </w:p>
    <w:bookmarkStart w:id="77" w:name="page78"/>
    <w:bookmarkEnd w:id="77"/>
    <w:p>
      <w:pPr>
        <w:ind w:left="320"/>
        <w:spacing w:after="0"/>
        <w:rPr>
          <w:sz w:val="20"/>
          <w:szCs w:val="20"/>
          <w:color w:val="auto"/>
        </w:rPr>
      </w:pPr>
      <w:r>
        <w:rPr>
          <w:rFonts w:ascii="Times New Roman" w:cs="Times New Roman" w:eastAsia="Times New Roman" w:hAnsi="Times New Roman"/>
          <w:sz w:val="18"/>
          <w:szCs w:val="18"/>
          <w:color w:val="auto"/>
        </w:rPr>
        <w:t>The effective income tax rates are different from the statutory federal income tax rates for the following reasons:</w:t>
      </w:r>
    </w:p>
    <w:p>
      <w:pPr>
        <w:spacing w:after="0" w:line="301"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4500" w:type="dxa"/>
            <w:vAlign w:val="bottom"/>
          </w:tcPr>
          <w:p>
            <w:pPr>
              <w:spacing w:after="0"/>
              <w:rPr>
                <w:sz w:val="24"/>
                <w:szCs w:val="24"/>
                <w:color w:val="auto"/>
              </w:rPr>
            </w:pPr>
          </w:p>
        </w:tc>
        <w:tc>
          <w:tcPr>
            <w:tcW w:w="27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345"/>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2700" w:type="dxa"/>
            <w:vAlign w:val="bottom"/>
            <w:tcBorders>
              <w:bottom w:val="single" w:sz="8" w:color="808080"/>
            </w:tcBorders>
          </w:tcPr>
          <w:p>
            <w:pPr>
              <w:jc w:val="right"/>
              <w:ind w:right="630"/>
              <w:spacing w:after="0"/>
              <w:rPr>
                <w:sz w:val="20"/>
                <w:szCs w:val="20"/>
                <w:color w:val="auto"/>
              </w:rPr>
            </w:pPr>
            <w:r>
              <w:rPr>
                <w:rFonts w:ascii="Times New Roman" w:cs="Times New Roman" w:eastAsia="Times New Roman" w:hAnsi="Times New Roman"/>
                <w:sz w:val="18"/>
                <w:szCs w:val="18"/>
                <w:color w:val="auto"/>
              </w:rPr>
              <w:t>21.0 %</w:t>
            </w:r>
          </w:p>
        </w:tc>
        <w:tc>
          <w:tcPr>
            <w:tcW w:w="1980" w:type="dxa"/>
            <w:vAlign w:val="bottom"/>
            <w:tcBorders>
              <w:bottom w:val="single" w:sz="8" w:color="808080"/>
            </w:tcBorders>
          </w:tcPr>
          <w:p>
            <w:pPr>
              <w:jc w:val="right"/>
              <w:ind w:right="630"/>
              <w:spacing w:after="0"/>
              <w:rPr>
                <w:sz w:val="20"/>
                <w:szCs w:val="20"/>
                <w:color w:val="auto"/>
              </w:rPr>
            </w:pPr>
            <w:r>
              <w:rPr>
                <w:rFonts w:ascii="Times New Roman" w:cs="Times New Roman" w:eastAsia="Times New Roman" w:hAnsi="Times New Roman"/>
                <w:sz w:val="18"/>
                <w:szCs w:val="18"/>
                <w:color w:val="auto"/>
              </w:rPr>
              <w:t>21.0 %</w:t>
            </w:r>
          </w:p>
        </w:tc>
        <w:tc>
          <w:tcPr>
            <w:tcW w:w="12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340"/>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State income taxes, net of federal income tax benefit</w:t>
            </w:r>
          </w:p>
        </w:tc>
        <w:tc>
          <w:tcPr>
            <w:tcW w:w="270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0.8</w:t>
            </w:r>
          </w:p>
        </w:tc>
        <w:tc>
          <w:tcPr>
            <w:tcW w:w="198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0.9</w:t>
            </w:r>
          </w:p>
        </w:tc>
        <w:tc>
          <w:tcPr>
            <w:tcW w:w="126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r>
      <w:tr>
        <w:trPr>
          <w:trHeight w:val="340"/>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Research tax credit</w:t>
            </w:r>
          </w:p>
        </w:tc>
        <w:tc>
          <w:tcPr>
            <w:tcW w:w="270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(1.3)</w:t>
            </w:r>
          </w:p>
        </w:tc>
        <w:tc>
          <w:tcPr>
            <w:tcW w:w="198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r>
      <w:tr>
        <w:trPr>
          <w:trHeight w:val="340"/>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(Decrease) Increase in reserve for uncertain tax provisions</w:t>
            </w:r>
          </w:p>
        </w:tc>
        <w:tc>
          <w:tcPr>
            <w:tcW w:w="270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340"/>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270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0.1</w:t>
            </w:r>
          </w:p>
        </w:tc>
        <w:tc>
          <w:tcPr>
            <w:tcW w:w="198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0.3</w:t>
            </w:r>
          </w:p>
        </w:tc>
        <w:tc>
          <w:tcPr>
            <w:tcW w:w="126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340"/>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70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0.1</w:t>
            </w:r>
          </w:p>
        </w:tc>
        <w:tc>
          <w:tcPr>
            <w:tcW w:w="198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0.3</w:t>
            </w:r>
          </w:p>
        </w:tc>
        <w:tc>
          <w:tcPr>
            <w:tcW w:w="126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340"/>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Foreign tax credit</w:t>
            </w:r>
          </w:p>
        </w:tc>
        <w:tc>
          <w:tcPr>
            <w:tcW w:w="270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(0.5)</w:t>
            </w:r>
          </w:p>
        </w:tc>
        <w:tc>
          <w:tcPr>
            <w:tcW w:w="198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(0.3)</w:t>
            </w:r>
          </w:p>
        </w:tc>
        <w:tc>
          <w:tcPr>
            <w:tcW w:w="126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340"/>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Foreign derived intangible income deduction</w:t>
            </w:r>
          </w:p>
        </w:tc>
        <w:tc>
          <w:tcPr>
            <w:tcW w:w="270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(5.1)</w:t>
            </w:r>
          </w:p>
        </w:tc>
        <w:tc>
          <w:tcPr>
            <w:tcW w:w="198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(6.2)</w:t>
            </w:r>
          </w:p>
        </w:tc>
        <w:tc>
          <w:tcPr>
            <w:tcW w:w="126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r>
      <w:tr>
        <w:trPr>
          <w:trHeight w:val="340"/>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70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(0.4)</w:t>
            </w:r>
          </w:p>
        </w:tc>
        <w:tc>
          <w:tcPr>
            <w:tcW w:w="1980" w:type="dxa"/>
            <w:vAlign w:val="bottom"/>
            <w:tcBorders>
              <w:bottom w:val="single" w:sz="8" w:color="808080"/>
            </w:tcBorders>
          </w:tcPr>
          <w:p>
            <w:pPr>
              <w:jc w:val="right"/>
              <w:ind w:right="810"/>
              <w:spacing w:after="0"/>
              <w:rPr>
                <w:sz w:val="20"/>
                <w:szCs w:val="20"/>
                <w:color w:val="auto"/>
              </w:rPr>
            </w:pPr>
            <w:r>
              <w:rPr>
                <w:rFonts w:ascii="Times New Roman" w:cs="Times New Roman" w:eastAsia="Times New Roman" w:hAnsi="Times New Roman"/>
                <w:sz w:val="18"/>
                <w:szCs w:val="18"/>
                <w:color w:val="auto"/>
              </w:rPr>
              <w:t>(0.6)</w:t>
            </w:r>
          </w:p>
        </w:tc>
        <w:tc>
          <w:tcPr>
            <w:tcW w:w="126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r>
      <w:tr>
        <w:trPr>
          <w:trHeight w:val="355"/>
        </w:trPr>
        <w:tc>
          <w:tcPr>
            <w:tcW w:w="45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700" w:type="dxa"/>
            <w:vAlign w:val="bottom"/>
            <w:tcBorders>
              <w:bottom w:val="single" w:sz="8" w:color="4CA5CD"/>
            </w:tcBorders>
          </w:tcPr>
          <w:p>
            <w:pPr>
              <w:jc w:val="right"/>
              <w:ind w:right="810"/>
              <w:spacing w:after="0"/>
              <w:rPr>
                <w:sz w:val="20"/>
                <w:szCs w:val="20"/>
                <w:color w:val="auto"/>
              </w:rPr>
            </w:pPr>
            <w:r>
              <w:rPr>
                <w:rFonts w:ascii="Times New Roman" w:cs="Times New Roman" w:eastAsia="Times New Roman" w:hAnsi="Times New Roman"/>
                <w:sz w:val="18"/>
                <w:szCs w:val="18"/>
                <w:color w:val="auto"/>
              </w:rPr>
              <w:t>0.5</w:t>
            </w:r>
          </w:p>
        </w:tc>
        <w:tc>
          <w:tcPr>
            <w:tcW w:w="1980" w:type="dxa"/>
            <w:vAlign w:val="bottom"/>
            <w:tcBorders>
              <w:bottom w:val="single" w:sz="8" w:color="4CA5CD"/>
            </w:tcBorders>
          </w:tcPr>
          <w:p>
            <w:pPr>
              <w:jc w:val="right"/>
              <w:ind w:right="810"/>
              <w:spacing w:after="0"/>
              <w:rPr>
                <w:sz w:val="20"/>
                <w:szCs w:val="20"/>
                <w:color w:val="auto"/>
              </w:rPr>
            </w:pPr>
            <w:r>
              <w:rPr>
                <w:rFonts w:ascii="Times New Roman" w:cs="Times New Roman" w:eastAsia="Times New Roman" w:hAnsi="Times New Roman"/>
                <w:sz w:val="18"/>
                <w:szCs w:val="18"/>
                <w:color w:val="auto"/>
              </w:rPr>
              <w:t>0.4</w:t>
            </w:r>
          </w:p>
        </w:tc>
        <w:tc>
          <w:tcPr>
            <w:tcW w:w="1260" w:type="dxa"/>
            <w:vAlign w:val="bottom"/>
            <w:tcBorders>
              <w:bottom w:val="single" w:sz="8" w:color="4CA5CD"/>
            </w:tcBorders>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3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700" w:type="dxa"/>
            <w:vAlign w:val="bottom"/>
            <w:tcBorders>
              <w:bottom w:val="single" w:sz="8" w:color="4CA5CD"/>
            </w:tcBorders>
          </w:tcPr>
          <w:p>
            <w:pPr>
              <w:jc w:val="right"/>
              <w:ind w:right="630"/>
              <w:spacing w:after="0"/>
              <w:rPr>
                <w:sz w:val="20"/>
                <w:szCs w:val="20"/>
                <w:color w:val="auto"/>
              </w:rPr>
            </w:pPr>
            <w:r>
              <w:rPr>
                <w:rFonts w:ascii="Times New Roman" w:cs="Times New Roman" w:eastAsia="Times New Roman" w:hAnsi="Times New Roman"/>
                <w:sz w:val="18"/>
                <w:szCs w:val="18"/>
                <w:color w:val="auto"/>
              </w:rPr>
              <w:t>15.2 %</w:t>
            </w:r>
          </w:p>
        </w:tc>
        <w:tc>
          <w:tcPr>
            <w:tcW w:w="1980" w:type="dxa"/>
            <w:vAlign w:val="bottom"/>
            <w:tcBorders>
              <w:bottom w:val="single" w:sz="8" w:color="4CA5CD"/>
            </w:tcBorders>
          </w:tcPr>
          <w:p>
            <w:pPr>
              <w:jc w:val="right"/>
              <w:ind w:right="630"/>
              <w:spacing w:after="0"/>
              <w:rPr>
                <w:sz w:val="20"/>
                <w:szCs w:val="20"/>
                <w:color w:val="auto"/>
              </w:rPr>
            </w:pPr>
            <w:r>
              <w:rPr>
                <w:rFonts w:ascii="Times New Roman" w:cs="Times New Roman" w:eastAsia="Times New Roman" w:hAnsi="Times New Roman"/>
                <w:sz w:val="18"/>
                <w:szCs w:val="18"/>
                <w:color w:val="auto"/>
              </w:rPr>
              <w:t>13.8 %</w:t>
            </w:r>
          </w:p>
        </w:tc>
        <w:tc>
          <w:tcPr>
            <w:tcW w:w="12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0"/>
        </w:trPr>
        <w:tc>
          <w:tcPr>
            <w:tcW w:w="4500" w:type="dxa"/>
            <w:vAlign w:val="bottom"/>
          </w:tcPr>
          <w:p>
            <w:pPr>
              <w:spacing w:after="0" w:line="20" w:lineRule="exact"/>
              <w:rPr>
                <w:sz w:val="1"/>
                <w:szCs w:val="1"/>
                <w:color w:val="auto"/>
              </w:rPr>
            </w:pPr>
          </w:p>
        </w:tc>
        <w:tc>
          <w:tcPr>
            <w:tcW w:w="2700" w:type="dxa"/>
            <w:vAlign w:val="bottom"/>
            <w:tcBorders>
              <w:bottom w:val="single" w:sz="8" w:color="4CA5CD"/>
            </w:tcBorders>
          </w:tcPr>
          <w:p>
            <w:pPr>
              <w:spacing w:after="0" w:line="20" w:lineRule="exact"/>
              <w:rPr>
                <w:sz w:val="1"/>
                <w:szCs w:val="1"/>
                <w:color w:val="auto"/>
              </w:rPr>
            </w:pPr>
          </w:p>
        </w:tc>
        <w:tc>
          <w:tcPr>
            <w:tcW w:w="1980" w:type="dxa"/>
            <w:vAlign w:val="bottom"/>
            <w:tcBorders>
              <w:bottom w:val="single" w:sz="8" w:color="4CA5CD"/>
            </w:tcBorders>
          </w:tcPr>
          <w:p>
            <w:pPr>
              <w:spacing w:after="0" w:line="20" w:lineRule="exact"/>
              <w:rPr>
                <w:sz w:val="1"/>
                <w:szCs w:val="1"/>
                <w:color w:val="auto"/>
              </w:rPr>
            </w:pPr>
          </w:p>
        </w:tc>
        <w:tc>
          <w:tcPr>
            <w:tcW w:w="126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tax effect of temporary differences which give rise to deferred income tax assets and liabilities at December 31, 2023 and 2022, are as follows: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320" w:type="dxa"/>
        <w:tblCellMar>
          <w:top w:w="0" w:type="dxa"/>
          <w:left w:w="0" w:type="dxa"/>
          <w:bottom w:w="0" w:type="dxa"/>
          <w:right w:w="0" w:type="dxa"/>
        </w:tblCellMar>
      </w:tblPr>
      <w:tr>
        <w:trPr>
          <w:trHeight w:val="29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Accruals not currently deductible</w:t>
            </w:r>
          </w:p>
        </w:tc>
        <w:tc>
          <w:tcPr>
            <w:tcW w:w="720" w:type="dxa"/>
            <w:vAlign w:val="bottom"/>
            <w:tcBorders>
              <w:bottom w:val="single" w:sz="8" w:color="808080"/>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10,989,677</w:t>
            </w:r>
          </w:p>
        </w:tc>
        <w:tc>
          <w:tcPr>
            <w:tcW w:w="800" w:type="dxa"/>
            <w:vAlign w:val="bottom"/>
            <w:tcBorders>
              <w:bottom w:val="single" w:sz="8" w:color="808080"/>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9,778,184</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7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70,252,363</w:t>
            </w: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58,501,232</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7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15,536,416</w:t>
            </w: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14,670,250</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Excess tax over book depreciation</w:t>
            </w:r>
          </w:p>
        </w:tc>
        <w:tc>
          <w:tcPr>
            <w:tcW w:w="7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7,060,777</w:t>
            </w: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4CA5CD"/>
            </w:tcBorders>
          </w:tcPr>
          <w:p>
            <w:pPr>
              <w:spacing w:after="0"/>
              <w:rPr>
                <w:sz w:val="24"/>
                <w:szCs w:val="24"/>
                <w:color w:val="auto"/>
              </w:rPr>
            </w:pPr>
          </w:p>
        </w:tc>
        <w:tc>
          <w:tcPr>
            <w:tcW w:w="21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4,025,082</w:t>
            </w:r>
          </w:p>
        </w:tc>
        <w:tc>
          <w:tcPr>
            <w:tcW w:w="800" w:type="dxa"/>
            <w:vAlign w:val="bottom"/>
            <w:tcBorders>
              <w:bottom w:val="single" w:sz="8" w:color="4CA5CD"/>
            </w:tcBorders>
          </w:tcPr>
          <w:p>
            <w:pPr>
              <w:spacing w:after="0"/>
              <w:rPr>
                <w:sz w:val="24"/>
                <w:szCs w:val="24"/>
                <w:color w:val="auto"/>
              </w:rPr>
            </w:pPr>
          </w:p>
        </w:tc>
        <w:tc>
          <w:tcPr>
            <w:tcW w:w="20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4,722,513</w:t>
            </w:r>
          </w:p>
        </w:tc>
      </w:tr>
      <w:tr>
        <w:trPr>
          <w:trHeight w:val="32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720" w:type="dxa"/>
            <w:vAlign w:val="bottom"/>
            <w:tcBorders>
              <w:bottom w:val="single" w:sz="8" w:color="808080"/>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107,864,315</w:t>
            </w:r>
          </w:p>
        </w:tc>
        <w:tc>
          <w:tcPr>
            <w:tcW w:w="800" w:type="dxa"/>
            <w:vAlign w:val="bottom"/>
            <w:tcBorders>
              <w:bottom w:val="single" w:sz="8" w:color="808080"/>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87,672,179</w:t>
            </w: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Excess tax over book depreciation</w:t>
            </w:r>
          </w:p>
        </w:tc>
        <w:tc>
          <w:tcPr>
            <w:tcW w:w="720" w:type="dxa"/>
            <w:vAlign w:val="bottom"/>
            <w:tcBorders>
              <w:bottom w:val="single" w:sz="8" w:color="808080"/>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808080"/>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(3,460,485)</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(47,185,855)</w:t>
            </w: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(42,580,026)</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Intangible assets</w:t>
            </w:r>
          </w:p>
        </w:tc>
        <w:tc>
          <w:tcPr>
            <w:tcW w:w="72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(15,235,639)</w:t>
            </w: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(13,268,772)</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4CA5CD"/>
            </w:tcBorders>
          </w:tcPr>
          <w:p>
            <w:pPr>
              <w:spacing w:after="0"/>
              <w:rPr>
                <w:sz w:val="24"/>
                <w:szCs w:val="24"/>
                <w:color w:val="auto"/>
              </w:rPr>
            </w:pPr>
          </w:p>
        </w:tc>
        <w:tc>
          <w:tcPr>
            <w:tcW w:w="21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(4,329,062)</w:t>
            </w:r>
          </w:p>
        </w:tc>
        <w:tc>
          <w:tcPr>
            <w:tcW w:w="800" w:type="dxa"/>
            <w:vAlign w:val="bottom"/>
            <w:tcBorders>
              <w:bottom w:val="single" w:sz="8" w:color="4CA5CD"/>
            </w:tcBorders>
          </w:tcPr>
          <w:p>
            <w:pPr>
              <w:spacing w:after="0"/>
              <w:rPr>
                <w:sz w:val="24"/>
                <w:szCs w:val="24"/>
                <w:color w:val="auto"/>
              </w:rPr>
            </w:pPr>
          </w:p>
        </w:tc>
        <w:tc>
          <w:tcPr>
            <w:tcW w:w="20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(2,834,196)</w:t>
            </w: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720" w:type="dxa"/>
            <w:vAlign w:val="bottom"/>
            <w:tcBorders>
              <w:bottom w:val="single" w:sz="8" w:color="4CA5CD"/>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(66,750,556)</w:t>
            </w:r>
          </w:p>
        </w:tc>
        <w:tc>
          <w:tcPr>
            <w:tcW w:w="800" w:type="dxa"/>
            <w:vAlign w:val="bottom"/>
            <w:tcBorders>
              <w:bottom w:val="single" w:sz="8" w:color="4CA5CD"/>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(62,143,479)</w:t>
            </w:r>
          </w:p>
        </w:tc>
      </w:tr>
      <w:tr>
        <w:trPr>
          <w:trHeight w:val="3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income taxes</w:t>
            </w:r>
          </w:p>
        </w:tc>
        <w:tc>
          <w:tcPr>
            <w:tcW w:w="720" w:type="dxa"/>
            <w:vAlign w:val="bottom"/>
            <w:tcBorders>
              <w:bottom w:val="single" w:sz="8" w:color="4CA5CD"/>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41,113,759</w:t>
            </w:r>
          </w:p>
        </w:tc>
        <w:tc>
          <w:tcPr>
            <w:tcW w:w="800" w:type="dxa"/>
            <w:vAlign w:val="bottom"/>
            <w:tcBorders>
              <w:bottom w:val="single" w:sz="8" w:color="4CA5CD"/>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25,528,700</w:t>
            </w:r>
          </w:p>
        </w:tc>
      </w:tr>
      <w:tr>
        <w:trPr>
          <w:trHeight w:val="20"/>
        </w:trPr>
        <w:tc>
          <w:tcPr>
            <w:tcW w:w="4680" w:type="dxa"/>
            <w:vAlign w:val="bottom"/>
          </w:tcPr>
          <w:p>
            <w:pPr>
              <w:spacing w:after="0" w:line="20" w:lineRule="exact"/>
              <w:rPr>
                <w:sz w:val="1"/>
                <w:szCs w:val="1"/>
                <w:color w:val="auto"/>
              </w:rPr>
            </w:pPr>
          </w:p>
        </w:tc>
        <w:tc>
          <w:tcPr>
            <w:tcW w:w="720" w:type="dxa"/>
            <w:vAlign w:val="bottom"/>
            <w:tcBorders>
              <w:bottom w:val="single" w:sz="8" w:color="4CA5CD"/>
            </w:tcBorders>
          </w:tcPr>
          <w:p>
            <w:pPr>
              <w:spacing w:after="0" w:line="20" w:lineRule="exact"/>
              <w:rPr>
                <w:sz w:val="1"/>
                <w:szCs w:val="1"/>
                <w:color w:val="auto"/>
              </w:rPr>
            </w:pPr>
          </w:p>
        </w:tc>
        <w:tc>
          <w:tcPr>
            <w:tcW w:w="2160" w:type="dxa"/>
            <w:vAlign w:val="bottom"/>
            <w:tcBorders>
              <w:bottom w:val="single" w:sz="8" w:color="4CA5CD"/>
            </w:tcBorders>
          </w:tcPr>
          <w:p>
            <w:pPr>
              <w:spacing w:after="0" w:line="20" w:lineRule="exact"/>
              <w:rPr>
                <w:sz w:val="1"/>
                <w:szCs w:val="1"/>
                <w:color w:val="auto"/>
              </w:rPr>
            </w:pPr>
          </w:p>
        </w:tc>
        <w:tc>
          <w:tcPr>
            <w:tcW w:w="800" w:type="dxa"/>
            <w:vAlign w:val="bottom"/>
            <w:tcBorders>
              <w:bottom w:val="single" w:sz="8" w:color="4CA5CD"/>
            </w:tcBorders>
          </w:tcPr>
          <w:p>
            <w:pPr>
              <w:spacing w:after="0" w:line="20" w:lineRule="exact"/>
              <w:rPr>
                <w:sz w:val="1"/>
                <w:szCs w:val="1"/>
                <w:color w:val="auto"/>
              </w:rPr>
            </w:pPr>
          </w:p>
        </w:tc>
        <w:tc>
          <w:tcPr>
            <w:tcW w:w="208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right="140"/>
        <w:spacing w:after="0" w:line="429" w:lineRule="auto"/>
        <w:rPr>
          <w:sz w:val="20"/>
          <w:szCs w:val="20"/>
          <w:color w:val="auto"/>
        </w:rPr>
      </w:pPr>
      <w:r>
        <w:rPr>
          <w:rFonts w:ascii="Times New Roman" w:cs="Times New Roman" w:eastAsia="Times New Roman" w:hAnsi="Times New Roman"/>
          <w:sz w:val="18"/>
          <w:szCs w:val="18"/>
          <w:color w:val="auto"/>
        </w:rPr>
        <w:t>Net operating loss carryforwards with no expiration totaling $6.0 million are available to reduce future taxable earnings of certain domestic and foreign subsidiaries.</w:t>
      </w:r>
    </w:p>
    <w:p>
      <w:pPr>
        <w:ind w:left="320"/>
        <w:spacing w:after="0"/>
        <w:rPr>
          <w:sz w:val="20"/>
          <w:szCs w:val="20"/>
          <w:color w:val="auto"/>
        </w:rPr>
      </w:pPr>
      <w:r>
        <w:rPr>
          <w:rFonts w:ascii="Times New Roman" w:cs="Times New Roman" w:eastAsia="Times New Roman" w:hAnsi="Times New Roman"/>
          <w:sz w:val="18"/>
          <w:szCs w:val="18"/>
          <w:color w:val="auto"/>
        </w:rPr>
        <w:t>Income taxes paid in cash were approximately $110.3 million, $35.2 million and $105.8 million in 2023, 2022 and 2021, respectively.</w:t>
      </w:r>
    </w:p>
    <w:p>
      <w:pPr>
        <w:sectPr>
          <w:pgSz w:w="12240" w:h="15840" w:orient="portrait"/>
          <w:cols w:equalWidth="0" w:num="1">
            <w:col w:w="10760"/>
          </w:cols>
          <w:pgMar w:left="580" w:top="85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78</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2" w:right="90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4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34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520" w:type="dxa"/>
            <w:vAlign w:val="bottom"/>
            <w:tcBorders>
              <w:bottom w:val="single" w:sz="8" w:color="808080"/>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4,630,000</w:t>
            </w:r>
          </w:p>
        </w:tc>
        <w:tc>
          <w:tcPr>
            <w:tcW w:w="600" w:type="dxa"/>
            <w:vAlign w:val="bottom"/>
            <w:tcBorders>
              <w:bottom w:val="single" w:sz="8" w:color="808080"/>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5,275,000</w:t>
            </w:r>
          </w:p>
        </w:tc>
        <w:tc>
          <w:tcPr>
            <w:tcW w:w="660" w:type="dxa"/>
            <w:vAlign w:val="bottom"/>
            <w:tcBorders>
              <w:bottom w:val="single" w:sz="8" w:color="808080"/>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4,864,000</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5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1,046,000</w:t>
            </w:r>
          </w:p>
        </w:tc>
        <w:tc>
          <w:tcPr>
            <w:tcW w:w="6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951,000</w:t>
            </w:r>
          </w:p>
        </w:tc>
        <w:tc>
          <w:tcPr>
            <w:tcW w:w="6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1,023,000</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Additions for tax positions in prior years</w:t>
            </w:r>
          </w:p>
        </w:tc>
        <w:tc>
          <w:tcPr>
            <w:tcW w:w="5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671,000</w:t>
            </w:r>
          </w:p>
        </w:tc>
        <w:tc>
          <w:tcPr>
            <w:tcW w:w="6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353,000</w:t>
            </w:r>
          </w:p>
        </w:tc>
        <w:tc>
          <w:tcPr>
            <w:tcW w:w="6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364,000</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Reductions for tax positions in prior years</w:t>
            </w:r>
          </w:p>
        </w:tc>
        <w:tc>
          <w:tcPr>
            <w:tcW w:w="5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(31,000)</w:t>
            </w:r>
          </w:p>
        </w:tc>
        <w:tc>
          <w:tcPr>
            <w:tcW w:w="6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(26,000)</w:t>
            </w:r>
          </w:p>
        </w:tc>
        <w:tc>
          <w:tcPr>
            <w:tcW w:w="6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0" w:type="dxa"/>
            <w:vAlign w:val="bottom"/>
          </w:tcPr>
          <w:p>
            <w:pPr>
              <w:spacing w:after="0"/>
              <w:rPr>
                <w:sz w:val="1"/>
                <w:szCs w:val="1"/>
                <w:color w:val="auto"/>
              </w:rPr>
            </w:pPr>
          </w:p>
        </w:tc>
      </w:tr>
      <w:tr>
        <w:trPr>
          <w:trHeight w:val="261"/>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Reductions as a result of a lapse of the applicable statute</w:t>
            </w:r>
          </w:p>
        </w:tc>
        <w:tc>
          <w:tcPr>
            <w:tcW w:w="520" w:type="dxa"/>
            <w:vAlign w:val="bottom"/>
          </w:tcPr>
          <w:p>
            <w:pPr>
              <w:spacing w:after="0"/>
              <w:rPr>
                <w:sz w:val="22"/>
                <w:szCs w:val="22"/>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(1,538,000)</w:t>
            </w:r>
          </w:p>
        </w:tc>
        <w:tc>
          <w:tcPr>
            <w:tcW w:w="600" w:type="dxa"/>
            <w:vAlign w:val="bottom"/>
          </w:tcPr>
          <w:p>
            <w:pPr>
              <w:spacing w:after="0"/>
              <w:rPr>
                <w:sz w:val="22"/>
                <w:szCs w:val="22"/>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(1,923,000)</w:t>
            </w:r>
          </w:p>
        </w:tc>
        <w:tc>
          <w:tcPr>
            <w:tcW w:w="660" w:type="dxa"/>
            <w:vAlign w:val="bottom"/>
          </w:tcPr>
          <w:p>
            <w:pPr>
              <w:spacing w:after="0"/>
              <w:rPr>
                <w:sz w:val="22"/>
                <w:szCs w:val="2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0" w:type="dxa"/>
            <w:vAlign w:val="bottom"/>
          </w:tcPr>
          <w:p>
            <w:pPr>
              <w:spacing w:after="0"/>
              <w:rPr>
                <w:sz w:val="1"/>
                <w:szCs w:val="1"/>
                <w:color w:val="auto"/>
              </w:rPr>
            </w:pPr>
          </w:p>
        </w:tc>
      </w:tr>
      <w:tr>
        <w:trPr>
          <w:trHeight w:val="18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 limitations</w:t>
            </w:r>
          </w:p>
        </w:tc>
        <w:tc>
          <w:tcPr>
            <w:tcW w:w="5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680" w:type="dxa"/>
            <w:vAlign w:val="bottom"/>
            <w:tcBorders>
              <w:bottom w:val="single" w:sz="8" w:color="808080"/>
            </w:tcBorders>
            <w:vMerge w:val="continue"/>
          </w:tcPr>
          <w:p>
            <w:pPr>
              <w:spacing w:after="0"/>
              <w:rPr>
                <w:sz w:val="8"/>
                <w:szCs w:val="8"/>
                <w:color w:val="auto"/>
              </w:rPr>
            </w:pPr>
          </w:p>
        </w:tc>
        <w:tc>
          <w:tcPr>
            <w:tcW w:w="520" w:type="dxa"/>
            <w:vAlign w:val="bottom"/>
            <w:tcBorders>
              <w:bottom w:val="single" w:sz="8" w:color="4CA5CD"/>
            </w:tcBorders>
          </w:tcPr>
          <w:p>
            <w:pPr>
              <w:spacing w:after="0"/>
              <w:rPr>
                <w:sz w:val="8"/>
                <w:szCs w:val="8"/>
                <w:color w:val="auto"/>
              </w:rPr>
            </w:pPr>
          </w:p>
        </w:tc>
        <w:tc>
          <w:tcPr>
            <w:tcW w:w="1380" w:type="dxa"/>
            <w:vAlign w:val="bottom"/>
            <w:tcBorders>
              <w:bottom w:val="single" w:sz="8" w:color="4CA5CD"/>
            </w:tcBorders>
          </w:tcPr>
          <w:p>
            <w:pPr>
              <w:spacing w:after="0"/>
              <w:rPr>
                <w:sz w:val="8"/>
                <w:szCs w:val="8"/>
                <w:color w:val="auto"/>
              </w:rPr>
            </w:pPr>
          </w:p>
        </w:tc>
        <w:tc>
          <w:tcPr>
            <w:tcW w:w="600" w:type="dxa"/>
            <w:vAlign w:val="bottom"/>
            <w:tcBorders>
              <w:bottom w:val="single" w:sz="8" w:color="4CA5CD"/>
            </w:tcBorders>
          </w:tcPr>
          <w:p>
            <w:pPr>
              <w:spacing w:after="0"/>
              <w:rPr>
                <w:sz w:val="8"/>
                <w:szCs w:val="8"/>
                <w:color w:val="auto"/>
              </w:rPr>
            </w:pPr>
          </w:p>
        </w:tc>
        <w:tc>
          <w:tcPr>
            <w:tcW w:w="1380" w:type="dxa"/>
            <w:vAlign w:val="bottom"/>
            <w:tcBorders>
              <w:bottom w:val="single" w:sz="8" w:color="4CA5CD"/>
            </w:tcBorders>
          </w:tcPr>
          <w:p>
            <w:pPr>
              <w:spacing w:after="0"/>
              <w:rPr>
                <w:sz w:val="8"/>
                <w:szCs w:val="8"/>
                <w:color w:val="auto"/>
              </w:rPr>
            </w:pPr>
          </w:p>
        </w:tc>
        <w:tc>
          <w:tcPr>
            <w:tcW w:w="660" w:type="dxa"/>
            <w:vAlign w:val="bottom"/>
            <w:tcBorders>
              <w:bottom w:val="single" w:sz="8" w:color="4CA5CD"/>
            </w:tcBorders>
          </w:tcPr>
          <w:p>
            <w:pPr>
              <w:spacing w:after="0"/>
              <w:rPr>
                <w:sz w:val="8"/>
                <w:szCs w:val="8"/>
                <w:color w:val="auto"/>
              </w:rPr>
            </w:pPr>
          </w:p>
        </w:tc>
        <w:tc>
          <w:tcPr>
            <w:tcW w:w="1220" w:type="dxa"/>
            <w:vAlign w:val="bottom"/>
            <w:tcBorders>
              <w:bottom w:val="single" w:sz="8" w:color="4CA5CD"/>
            </w:tcBorders>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End of year</w:t>
            </w:r>
          </w:p>
        </w:tc>
        <w:tc>
          <w:tcPr>
            <w:tcW w:w="520" w:type="dxa"/>
            <w:vAlign w:val="bottom"/>
            <w:tcBorders>
              <w:bottom w:val="single" w:sz="8" w:color="4CA5CD"/>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4,778,000</w:t>
            </w:r>
          </w:p>
        </w:tc>
        <w:tc>
          <w:tcPr>
            <w:tcW w:w="600" w:type="dxa"/>
            <w:vAlign w:val="bottom"/>
            <w:tcBorders>
              <w:bottom w:val="single" w:sz="8" w:color="4CA5CD"/>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4,630,000</w:t>
            </w:r>
          </w:p>
        </w:tc>
        <w:tc>
          <w:tcPr>
            <w:tcW w:w="660" w:type="dxa"/>
            <w:vAlign w:val="bottom"/>
            <w:tcBorders>
              <w:bottom w:val="single" w:sz="8" w:color="4CA5CD"/>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5,275,000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520" w:type="dxa"/>
            <w:vAlign w:val="bottom"/>
            <w:tcBorders>
              <w:bottom w:val="single" w:sz="8" w:color="4CA5CD"/>
            </w:tcBorders>
          </w:tcPr>
          <w:p>
            <w:pPr>
              <w:spacing w:after="0" w:line="20" w:lineRule="exact"/>
              <w:rPr>
                <w:sz w:val="1"/>
                <w:szCs w:val="1"/>
                <w:color w:val="auto"/>
              </w:rPr>
            </w:pPr>
          </w:p>
        </w:tc>
        <w:tc>
          <w:tcPr>
            <w:tcW w:w="1380" w:type="dxa"/>
            <w:vAlign w:val="bottom"/>
            <w:tcBorders>
              <w:bottom w:val="single" w:sz="8" w:color="4CA5CD"/>
            </w:tcBorders>
          </w:tcPr>
          <w:p>
            <w:pPr>
              <w:spacing w:after="0" w:line="20" w:lineRule="exact"/>
              <w:rPr>
                <w:sz w:val="1"/>
                <w:szCs w:val="1"/>
                <w:color w:val="auto"/>
              </w:rPr>
            </w:pPr>
          </w:p>
        </w:tc>
        <w:tc>
          <w:tcPr>
            <w:tcW w:w="600" w:type="dxa"/>
            <w:vAlign w:val="bottom"/>
            <w:tcBorders>
              <w:bottom w:val="single" w:sz="8" w:color="4CA5CD"/>
            </w:tcBorders>
          </w:tcPr>
          <w:p>
            <w:pPr>
              <w:spacing w:after="0" w:line="20" w:lineRule="exact"/>
              <w:rPr>
                <w:sz w:val="1"/>
                <w:szCs w:val="1"/>
                <w:color w:val="auto"/>
              </w:rPr>
            </w:pPr>
          </w:p>
        </w:tc>
        <w:tc>
          <w:tcPr>
            <w:tcW w:w="1380" w:type="dxa"/>
            <w:vAlign w:val="bottom"/>
            <w:tcBorders>
              <w:bottom w:val="single" w:sz="8" w:color="4CA5CD"/>
            </w:tcBorders>
          </w:tcPr>
          <w:p>
            <w:pPr>
              <w:spacing w:after="0" w:line="20" w:lineRule="exact"/>
              <w:rPr>
                <w:sz w:val="1"/>
                <w:szCs w:val="1"/>
                <w:color w:val="auto"/>
              </w:rPr>
            </w:pPr>
          </w:p>
        </w:tc>
        <w:tc>
          <w:tcPr>
            <w:tcW w:w="660" w:type="dxa"/>
            <w:vAlign w:val="bottom"/>
            <w:tcBorders>
              <w:bottom w:val="single" w:sz="8" w:color="4CA5CD"/>
            </w:tcBorders>
          </w:tcPr>
          <w:p>
            <w:pPr>
              <w:spacing w:after="0" w:line="20" w:lineRule="exact"/>
              <w:rPr>
                <w:sz w:val="1"/>
                <w:szCs w:val="1"/>
                <w:color w:val="auto"/>
              </w:rPr>
            </w:pPr>
          </w:p>
        </w:tc>
        <w:tc>
          <w:tcPr>
            <w:tcW w:w="1220" w:type="dxa"/>
            <w:vAlign w:val="bottom"/>
            <w:tcBorders>
              <w:bottom w:val="single" w:sz="8" w:color="4CA5C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recognized, unrecognized tax benefits would affect the effective tax rate.</w:t>
      </w:r>
    </w:p>
    <w:p>
      <w:pPr>
        <w:spacing w:after="0" w:line="253" w:lineRule="exact"/>
        <w:rPr>
          <w:sz w:val="20"/>
          <w:szCs w:val="20"/>
          <w:color w:val="auto"/>
        </w:rPr>
      </w:pPr>
    </w:p>
    <w:p>
      <w:pPr>
        <w:jc w:val="both"/>
        <w:ind w:right="400"/>
        <w:spacing w:after="0" w:line="38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through the provision for income taxes. The Company has accrued approximately $365,000, $379,000, and $605,000 for interest as of December 31, 2023, 2022, and 2021, respectively. Interest expensed during 2023, 2022 and 2021 was not considered significant.</w:t>
      </w:r>
    </w:p>
    <w:p>
      <w:pPr>
        <w:spacing w:after="0" w:line="34" w:lineRule="exact"/>
        <w:rPr>
          <w:sz w:val="20"/>
          <w:szCs w:val="20"/>
          <w:color w:val="auto"/>
        </w:rPr>
      </w:pPr>
    </w:p>
    <w:p>
      <w:pPr>
        <w:ind w:right="360"/>
        <w:spacing w:after="0" w:line="381" w:lineRule="auto"/>
        <w:rPr>
          <w:sz w:val="20"/>
          <w:szCs w:val="20"/>
          <w:color w:val="auto"/>
        </w:rPr>
      </w:pPr>
      <w:r>
        <w:rPr>
          <w:rFonts w:ascii="Times New Roman" w:cs="Times New Roman" w:eastAsia="Times New Roman" w:hAnsi="Times New Roman"/>
          <w:sz w:val="18"/>
          <w:szCs w:val="18"/>
          <w:color w:val="auto"/>
        </w:rPr>
        <w:t>The Company is also subject to periodic and routine audits in both domestic and foreign tax jurisdictions. It is reasonably possible that the amounts of unrecognized tax benefits could change as a result of an audit, new positions taken on income tax returns, settlement of tax positions and the closing of statute of limitations. It is not expected that any change will be material to the Company’s consolidated financial statements.</w:t>
      </w:r>
    </w:p>
    <w:p>
      <w:pPr>
        <w:spacing w:after="0" w:line="34" w:lineRule="exact"/>
        <w:rPr>
          <w:sz w:val="20"/>
          <w:szCs w:val="20"/>
          <w:color w:val="auto"/>
        </w:rPr>
      </w:pPr>
    </w:p>
    <w:p>
      <w:pPr>
        <w:ind w:right="680"/>
        <w:spacing w:after="0" w:line="437" w:lineRule="auto"/>
        <w:rPr>
          <w:sz w:val="20"/>
          <w:szCs w:val="20"/>
          <w:color w:val="auto"/>
        </w:rPr>
      </w:pPr>
      <w:r>
        <w:rPr>
          <w:rFonts w:ascii="Times New Roman" w:cs="Times New Roman" w:eastAsia="Times New Roman" w:hAnsi="Times New Roman"/>
          <w:sz w:val="18"/>
          <w:szCs w:val="18"/>
          <w:color w:val="auto"/>
        </w:rPr>
        <w:t>For the majority of tax jurisdictions, the Company is no longer subject to U.S. federal, state and local, or non-U.S. income tax examinations by tax authorities for years before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404040"/>
        </w:rPr>
        <w:t>( 4 )  E M P L O Y E E  B E N E F I T  P L A N S</w:t>
      </w:r>
    </w:p>
    <w:p>
      <w:pPr>
        <w:spacing w:after="0" w:line="263" w:lineRule="exact"/>
        <w:rPr>
          <w:sz w:val="20"/>
          <w:szCs w:val="20"/>
          <w:color w:val="auto"/>
        </w:rPr>
      </w:pPr>
    </w:p>
    <w:p>
      <w:pPr>
        <w:ind w:right="380"/>
        <w:spacing w:after="0" w:line="353" w:lineRule="auto"/>
        <w:rPr>
          <w:sz w:val="20"/>
          <w:szCs w:val="20"/>
          <w:color w:val="auto"/>
        </w:rPr>
      </w:pPr>
      <w:r>
        <w:rPr>
          <w:rFonts w:ascii="Times New Roman" w:cs="Times New Roman" w:eastAsia="Times New Roman" w:hAnsi="Times New Roman"/>
          <w:sz w:val="18"/>
          <w:szCs w:val="18"/>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2023, 2022 and 2021 the Company’s contributions were approximately $13.8 million, $12.9 million and $9.0 million, respectively. The increase in the Company’s matching contributions in 2023 was due to increased employee participation in the plan. The increase in 2022 was due to changes, approved by the Company’s Board of Directors, to the rate of Company match, as well as increased participation in the plan.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provide health care benefits to retired employees.</w:t>
      </w:r>
    </w:p>
    <w:p>
      <w:pPr>
        <w:spacing w:after="0" w:line="253" w:lineRule="exact"/>
        <w:rPr>
          <w:sz w:val="20"/>
          <w:szCs w:val="20"/>
          <w:color w:val="auto"/>
        </w:rPr>
      </w:pPr>
    </w:p>
    <w:p>
      <w:pPr>
        <w:ind w:right="440"/>
        <w:spacing w:after="0" w:line="347" w:lineRule="auto"/>
        <w:rPr>
          <w:sz w:val="20"/>
          <w:szCs w:val="20"/>
          <w:color w:val="auto"/>
        </w:rPr>
      </w:pPr>
      <w:r>
        <w:rPr>
          <w:rFonts w:ascii="Times New Roman" w:cs="Times New Roman" w:eastAsia="Times New Roman" w:hAnsi="Times New Roman"/>
          <w:sz w:val="18"/>
          <w:szCs w:val="18"/>
          <w:color w:val="auto"/>
        </w:rPr>
        <w:t>The Gentex Corporation Non-Qualified Deferred Compensation Plan (the “Deferred Compensation Plan”) is intended to enhance retirement savings among a select group of management or highly compensated employees who contribute significantly to the success of the Company. It is also intended to constitute an unfunded non-qualified deferred compensation plan described in Sections 201(2), 301(a)(3), and 401(a)(1) of the Employee Retirement Income Security Act of 1974, as amended (“ERISA”). Only select management and highly compensated employees, including executive officers, are eligible to participate. The Deferred Compensation Plan is administered by a committee who shall approve designation of any participants and may also remove participants.</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79</w:t>
      </w:r>
    </w:p>
    <w:p>
      <w:pPr>
        <w:sectPr>
          <w:pgSz w:w="12240" w:h="15840" w:orient="portrait"/>
          <w:cols w:equalWidth="0" w:num="1">
            <w:col w:w="10760"/>
          </w:cols>
          <w:pgMar w:left="900" w:top="852" w:right="580" w:bottom="0" w:gutter="0" w:footer="0" w:header="0"/>
          <w:type w:val="continuous"/>
        </w:sectPr>
      </w:pPr>
    </w:p>
    <w:bookmarkStart w:id="79" w:name="page80"/>
    <w:bookmarkEnd w:id="79"/>
    <w:p>
      <w:pPr>
        <w:ind w:left="320" w:right="160"/>
        <w:spacing w:after="0" w:line="343" w:lineRule="auto"/>
        <w:rPr>
          <w:sz w:val="20"/>
          <w:szCs w:val="20"/>
          <w:color w:val="auto"/>
        </w:rPr>
      </w:pPr>
      <w:r>
        <w:rPr>
          <w:rFonts w:ascii="Times New Roman" w:cs="Times New Roman" w:eastAsia="Times New Roman" w:hAnsi="Times New Roman"/>
          <w:sz w:val="18"/>
          <w:szCs w:val="18"/>
          <w:color w:val="auto"/>
        </w:rPr>
        <w:t>Participants may elect, on a pre-tax basis, to defer receipt of compensation by making an election in accordance with the terms of the Deferred Compensation Plan. Participants are immediately vested in their own deferrals and related earnings. The Company may, but is not required, to match participant deferrals. Participants are generally vested in any such matching contributions 50% after two years, but before three years, of service and 100% after three years of service. A participant’s vested credit balance under the Deferred Compensation Plan will generally be paid on the earliest to occur of: a separation from service; a fixed date or event; a change of control; or a plan termination. Subject to applicable rules, a participant can elect whether to receive his or her vested credit balance in a lump sum on the relevant payment date or in installments thereafter.</w:t>
      </w:r>
    </w:p>
    <w:p>
      <w:pPr>
        <w:spacing w:after="0" w:line="70" w:lineRule="exact"/>
        <w:rPr>
          <w:sz w:val="20"/>
          <w:szCs w:val="20"/>
          <w:color w:val="auto"/>
        </w:rPr>
      </w:pPr>
    </w:p>
    <w:p>
      <w:pPr>
        <w:ind w:left="320" w:right="120"/>
        <w:spacing w:after="0" w:line="359" w:lineRule="auto"/>
        <w:rPr>
          <w:sz w:val="20"/>
          <w:szCs w:val="20"/>
          <w:color w:val="auto"/>
        </w:rPr>
      </w:pPr>
      <w:r>
        <w:rPr>
          <w:rFonts w:ascii="Times New Roman" w:cs="Times New Roman" w:eastAsia="Times New Roman" w:hAnsi="Times New Roman"/>
          <w:sz w:val="17"/>
          <w:szCs w:val="17"/>
          <w:color w:val="auto"/>
        </w:rPr>
        <w:t>The deferrals are held in a separate irrevocable rabbi trust (“the Rabbi Trust”), which has been established pursuant to the Deferred Compensation Plan. The Rabbi Trust is intended to be used to hold funds, including matching contributions. The assets of the trust are subject to the claims</w:t>
      </w:r>
    </w:p>
    <w:p>
      <w:pPr>
        <w:spacing w:after="0" w:line="2" w:lineRule="exact"/>
        <w:rPr>
          <w:sz w:val="20"/>
          <w:szCs w:val="20"/>
          <w:color w:val="auto"/>
        </w:rPr>
      </w:pPr>
    </w:p>
    <w:p>
      <w:pPr>
        <w:ind w:left="320" w:right="60"/>
        <w:spacing w:after="0" w:line="345" w:lineRule="auto"/>
        <w:rPr>
          <w:sz w:val="20"/>
          <w:szCs w:val="20"/>
          <w:color w:val="auto"/>
        </w:rPr>
      </w:pPr>
      <w:r>
        <w:rPr>
          <w:rFonts w:ascii="Times New Roman" w:cs="Times New Roman" w:eastAsia="Times New Roman" w:hAnsi="Times New Roman"/>
          <w:sz w:val="18"/>
          <w:szCs w:val="18"/>
          <w:color w:val="auto"/>
        </w:rPr>
        <w:t>of the Company’s creditors in the event that the Company becomes insolvent. Consequently, the Rabbi Trust qualifies as a grantor trust for income tax purposes. The Company also makes periodic payments into Company-owned life insurance policies held in this Rabbi Trust to fund the expected obligations arising under this plan. At December 31, 2023, total assets held by the trustee were $8.9 million, which are recorded in Other Assets, with an associated liability of $9.0 million recorded in Other Non-Current Liabilities in the Company’s consolidated balance sheets. The $8.9 million of assets held by the trustee is invested in Company-owned life insurance policies.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color w:val="404040"/>
        </w:rPr>
        <w:t>( 5 )  S T O C K - B A S E D  C O M P E N S A T I O N  P L A N S</w:t>
      </w:r>
    </w:p>
    <w:p>
      <w:pPr>
        <w:spacing w:after="0" w:line="263" w:lineRule="exact"/>
        <w:rPr>
          <w:sz w:val="20"/>
          <w:szCs w:val="20"/>
          <w:color w:val="auto"/>
        </w:rPr>
      </w:pPr>
    </w:p>
    <w:p>
      <w:pPr>
        <w:ind w:left="320"/>
        <w:spacing w:after="0" w:line="381" w:lineRule="auto"/>
        <w:rPr>
          <w:sz w:val="20"/>
          <w:szCs w:val="20"/>
          <w:color w:val="auto"/>
        </w:rPr>
      </w:pPr>
      <w:r>
        <w:rPr>
          <w:rFonts w:ascii="Times New Roman" w:cs="Times New Roman" w:eastAsia="Times New Roman" w:hAnsi="Times New Roman"/>
          <w:sz w:val="18"/>
          <w:szCs w:val="18"/>
          <w:color w:val="auto"/>
        </w:rPr>
        <w:t>At December 31, 2023, the Company had two equity incentive plans under which awards are made, which include the Gentex Corporation 2019 Omnibus Incentive Plan (“2019 Omnibus Plan”), and an employee stock purchase plan. Those plans and any material amendments thereto have previously been approved by shareholders.</w:t>
      </w:r>
    </w:p>
    <w:p>
      <w:pPr>
        <w:spacing w:after="0" w:line="34" w:lineRule="exact"/>
        <w:rPr>
          <w:sz w:val="20"/>
          <w:szCs w:val="20"/>
          <w:color w:val="auto"/>
        </w:rPr>
      </w:pPr>
    </w:p>
    <w:p>
      <w:pPr>
        <w:ind w:left="320" w:right="80"/>
        <w:spacing w:after="0" w:line="347" w:lineRule="auto"/>
        <w:rPr>
          <w:sz w:val="20"/>
          <w:szCs w:val="20"/>
          <w:color w:val="auto"/>
        </w:rPr>
      </w:pPr>
      <w:r>
        <w:rPr>
          <w:rFonts w:ascii="Times New Roman" w:cs="Times New Roman" w:eastAsia="Times New Roman" w:hAnsi="Times New Roman"/>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2019 Omnibus Incentive Plan</w:t>
      </w:r>
    </w:p>
    <w:p>
      <w:pPr>
        <w:spacing w:after="0" w:line="191" w:lineRule="exact"/>
        <w:rPr>
          <w:sz w:val="20"/>
          <w:szCs w:val="20"/>
          <w:color w:val="auto"/>
        </w:rPr>
      </w:pPr>
    </w:p>
    <w:p>
      <w:pPr>
        <w:ind w:left="320" w:right="60"/>
        <w:spacing w:after="0" w:line="362" w:lineRule="auto"/>
        <w:rPr>
          <w:sz w:val="20"/>
          <w:szCs w:val="20"/>
          <w:color w:val="auto"/>
        </w:rPr>
      </w:pPr>
      <w:r>
        <w:rPr>
          <w:rFonts w:ascii="Times New Roman" w:cs="Times New Roman" w:eastAsia="Times New Roman" w:hAnsi="Times New Roman"/>
          <w:sz w:val="18"/>
          <w:szCs w:val="18"/>
          <w:color w:val="auto"/>
        </w:rPr>
        <w:t>The 2019 Omnibus Plan covers 45,000,000 shares of common stock. The purpose of the 2019 Omnibus Plan is to attract and retain employees, officers, and directors of the Company and its subsidiaries and to motivate and provide such persons incentives and rewards for performance. As of December 31, 2023, 25,611,657 shares (net of shares from canceled/expired options) have been issued under the 2019 Omnibus Plan, which includes stock options (at a set conversion rate), restricted shares, and performance share awards.</w:t>
      </w:r>
    </w:p>
    <w:p>
      <w:pPr>
        <w:spacing w:after="0" w:line="24" w:lineRule="exact"/>
        <w:rPr>
          <w:sz w:val="20"/>
          <w:szCs w:val="20"/>
          <w:color w:val="auto"/>
        </w:rPr>
      </w:pPr>
    </w:p>
    <w:tbl>
      <w:tblPr>
        <w:tblLayout w:type="fixed"/>
        <w:tblInd w:w="320" w:type="dxa"/>
        <w:tblCellMar>
          <w:top w:w="0" w:type="dxa"/>
          <w:left w:w="0" w:type="dxa"/>
          <w:bottom w:w="0" w:type="dxa"/>
          <w:right w:w="0" w:type="dxa"/>
        </w:tblCellMar>
      </w:tblPr>
      <w:tr>
        <w:trPr>
          <w:trHeight w:val="240"/>
        </w:trPr>
        <w:tc>
          <w:tcPr>
            <w:tcW w:w="4680" w:type="dxa"/>
            <w:vAlign w:val="bottom"/>
          </w:tcPr>
          <w:p>
            <w:pPr>
              <w:spacing w:after="0"/>
              <w:rPr>
                <w:sz w:val="20"/>
                <w:szCs w:val="20"/>
                <w:color w:val="auto"/>
              </w:rPr>
            </w:pPr>
          </w:p>
        </w:tc>
        <w:tc>
          <w:tcPr>
            <w:tcW w:w="21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 Granted</w:t>
            </w:r>
          </w:p>
        </w:tc>
        <w:tc>
          <w:tcPr>
            <w:tcW w:w="18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Conversion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Shares Under</w:t>
            </w:r>
          </w:p>
        </w:tc>
        <w:tc>
          <w:tcPr>
            <w:tcW w:w="0" w:type="dxa"/>
            <w:vAlign w:val="bottom"/>
          </w:tcPr>
          <w:p>
            <w:pPr>
              <w:spacing w:after="0"/>
              <w:rPr>
                <w:sz w:val="1"/>
                <w:szCs w:val="1"/>
                <w:color w:val="auto"/>
              </w:rPr>
            </w:pPr>
          </w:p>
        </w:tc>
      </w:tr>
      <w:tr>
        <w:trPr>
          <w:trHeight w:val="178"/>
        </w:trPr>
        <w:tc>
          <w:tcPr>
            <w:tcW w:w="468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 Omnibus Plan</w:t>
            </w:r>
          </w:p>
        </w:tc>
        <w:tc>
          <w:tcPr>
            <w:tcW w:w="0" w:type="dxa"/>
            <w:vAlign w:val="bottom"/>
          </w:tcPr>
          <w:p>
            <w:pPr>
              <w:spacing w:after="0"/>
              <w:rPr>
                <w:sz w:val="1"/>
                <w:szCs w:val="1"/>
                <w:color w:val="auto"/>
              </w:rPr>
            </w:pPr>
          </w:p>
        </w:tc>
      </w:tr>
      <w:tr>
        <w:trPr>
          <w:trHeight w:val="102"/>
        </w:trPr>
        <w:tc>
          <w:tcPr>
            <w:tcW w:w="46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2160" w:type="dxa"/>
            <w:vAlign w:val="bottom"/>
            <w:tcBorders>
              <w:bottom w:val="single" w:sz="8" w:color="808080"/>
            </w:tcBorders>
          </w:tcPr>
          <w:p>
            <w:pPr>
              <w:jc w:val="right"/>
              <w:ind w:right="270"/>
              <w:spacing w:after="0"/>
              <w:rPr>
                <w:sz w:val="20"/>
                <w:szCs w:val="20"/>
                <w:color w:val="auto"/>
              </w:rPr>
            </w:pPr>
            <w:r>
              <w:rPr>
                <w:rFonts w:ascii="Times New Roman" w:cs="Times New Roman" w:eastAsia="Times New Roman" w:hAnsi="Times New Roman"/>
                <w:sz w:val="18"/>
                <w:szCs w:val="18"/>
                <w:color w:val="auto"/>
              </w:rPr>
              <w:t>4,908,950</w:t>
            </w:r>
          </w:p>
        </w:tc>
        <w:tc>
          <w:tcPr>
            <w:tcW w:w="186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7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4,908,950</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2160" w:type="dxa"/>
            <w:vAlign w:val="bottom"/>
            <w:tcBorders>
              <w:bottom w:val="single" w:sz="8" w:color="808080"/>
            </w:tcBorders>
          </w:tcPr>
          <w:p>
            <w:pPr>
              <w:jc w:val="right"/>
              <w:ind w:right="270"/>
              <w:spacing w:after="0"/>
              <w:rPr>
                <w:sz w:val="20"/>
                <w:szCs w:val="20"/>
                <w:color w:val="auto"/>
              </w:rPr>
            </w:pPr>
            <w:r>
              <w:rPr>
                <w:rFonts w:ascii="Times New Roman" w:cs="Times New Roman" w:eastAsia="Times New Roman" w:hAnsi="Times New Roman"/>
                <w:sz w:val="18"/>
                <w:szCs w:val="18"/>
                <w:color w:val="auto"/>
              </w:rPr>
              <w:t>4,231,194</w:t>
            </w:r>
          </w:p>
        </w:tc>
        <w:tc>
          <w:tcPr>
            <w:tcW w:w="1860" w:type="dxa"/>
            <w:vAlign w:val="bottom"/>
            <w:tcBorders>
              <w:bottom w:val="single" w:sz="8" w:color="808080"/>
            </w:tcBorders>
          </w:tcPr>
          <w:p>
            <w:pPr>
              <w:jc w:val="right"/>
              <w:ind w:right="150"/>
              <w:spacing w:after="0"/>
              <w:rPr>
                <w:sz w:val="20"/>
                <w:szCs w:val="20"/>
                <w:color w:val="auto"/>
              </w:rPr>
            </w:pPr>
            <w:r>
              <w:rPr>
                <w:rFonts w:ascii="Times New Roman" w:cs="Times New Roman" w:eastAsia="Times New Roman" w:hAnsi="Times New Roman"/>
                <w:sz w:val="18"/>
                <w:szCs w:val="18"/>
                <w:color w:val="auto"/>
              </w:rPr>
              <w:t>4.06</w:t>
            </w:r>
          </w:p>
        </w:tc>
        <w:tc>
          <w:tcPr>
            <w:tcW w:w="17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17,178,648</w:t>
            </w:r>
          </w:p>
        </w:tc>
        <w:tc>
          <w:tcPr>
            <w:tcW w:w="0" w:type="dxa"/>
            <w:vAlign w:val="bottom"/>
          </w:tcPr>
          <w:p>
            <w:pPr>
              <w:spacing w:after="0"/>
              <w:rPr>
                <w:sz w:val="1"/>
                <w:szCs w:val="1"/>
                <w:color w:val="auto"/>
              </w:rPr>
            </w:pPr>
          </w:p>
        </w:tc>
      </w:tr>
      <w:tr>
        <w:trPr>
          <w:trHeight w:val="35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Performance Shares</w:t>
            </w:r>
          </w:p>
        </w:tc>
        <w:tc>
          <w:tcPr>
            <w:tcW w:w="2160" w:type="dxa"/>
            <w:vAlign w:val="bottom"/>
            <w:tcBorders>
              <w:bottom w:val="single" w:sz="8" w:color="4CA5CD"/>
            </w:tcBorders>
          </w:tcPr>
          <w:p>
            <w:pPr>
              <w:jc w:val="right"/>
              <w:ind w:right="270"/>
              <w:spacing w:after="0"/>
              <w:rPr>
                <w:sz w:val="20"/>
                <w:szCs w:val="20"/>
                <w:color w:val="auto"/>
              </w:rPr>
            </w:pPr>
            <w:r>
              <w:rPr>
                <w:rFonts w:ascii="Times New Roman" w:cs="Times New Roman" w:eastAsia="Times New Roman" w:hAnsi="Times New Roman"/>
                <w:sz w:val="18"/>
                <w:szCs w:val="18"/>
                <w:color w:val="auto"/>
              </w:rPr>
              <w:t>867,995</w:t>
            </w:r>
          </w:p>
        </w:tc>
        <w:tc>
          <w:tcPr>
            <w:tcW w:w="1860" w:type="dxa"/>
            <w:vAlign w:val="bottom"/>
            <w:tcBorders>
              <w:bottom w:val="single" w:sz="8" w:color="4CA5CD"/>
            </w:tcBorders>
          </w:tcPr>
          <w:p>
            <w:pPr>
              <w:jc w:val="right"/>
              <w:ind w:right="150"/>
              <w:spacing w:after="0"/>
              <w:rPr>
                <w:sz w:val="20"/>
                <w:szCs w:val="20"/>
                <w:color w:val="auto"/>
              </w:rPr>
            </w:pPr>
            <w:r>
              <w:rPr>
                <w:rFonts w:ascii="Times New Roman" w:cs="Times New Roman" w:eastAsia="Times New Roman" w:hAnsi="Times New Roman"/>
                <w:sz w:val="18"/>
                <w:szCs w:val="18"/>
                <w:color w:val="auto"/>
              </w:rPr>
              <w:t>4.06</w:t>
            </w:r>
          </w:p>
        </w:tc>
        <w:tc>
          <w:tcPr>
            <w:tcW w:w="17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3,524,059</w:t>
            </w:r>
          </w:p>
        </w:tc>
        <w:tc>
          <w:tcPr>
            <w:tcW w:w="0" w:type="dxa"/>
            <w:vAlign w:val="bottom"/>
          </w:tcPr>
          <w:p>
            <w:pPr>
              <w:spacing w:after="0"/>
              <w:rPr>
                <w:sz w:val="1"/>
                <w:szCs w:val="1"/>
                <w:color w:val="auto"/>
              </w:rPr>
            </w:pPr>
          </w:p>
        </w:tc>
      </w:tr>
      <w:tr>
        <w:trPr>
          <w:trHeight w:val="310"/>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4CA5CD"/>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10,008,139</w:t>
            </w:r>
          </w:p>
        </w:tc>
        <w:tc>
          <w:tcPr>
            <w:tcW w:w="1860" w:type="dxa"/>
            <w:vAlign w:val="bottom"/>
            <w:tcBorders>
              <w:bottom w:val="single" w:sz="8" w:color="4CA5CD"/>
            </w:tcBorders>
          </w:tcPr>
          <w:p>
            <w:pPr>
              <w:spacing w:after="0"/>
              <w:rPr>
                <w:sz w:val="24"/>
                <w:szCs w:val="24"/>
                <w:color w:val="auto"/>
              </w:rPr>
            </w:pPr>
          </w:p>
        </w:tc>
        <w:tc>
          <w:tcPr>
            <w:tcW w:w="17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25,611,657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160" w:type="dxa"/>
            <w:vAlign w:val="bottom"/>
            <w:tcBorders>
              <w:bottom w:val="single" w:sz="8" w:color="4CA5CD"/>
            </w:tcBorders>
          </w:tcPr>
          <w:p>
            <w:pPr>
              <w:spacing w:after="0" w:line="20" w:lineRule="exact"/>
              <w:rPr>
                <w:sz w:val="1"/>
                <w:szCs w:val="1"/>
                <w:color w:val="auto"/>
              </w:rPr>
            </w:pPr>
          </w:p>
        </w:tc>
        <w:tc>
          <w:tcPr>
            <w:tcW w:w="1860" w:type="dxa"/>
            <w:vAlign w:val="bottom"/>
            <w:tcBorders>
              <w:bottom w:val="single" w:sz="8" w:color="4CA5CD"/>
            </w:tcBorders>
          </w:tcPr>
          <w:p>
            <w:pPr>
              <w:spacing w:after="0" w:line="20" w:lineRule="exact"/>
              <w:rPr>
                <w:sz w:val="1"/>
                <w:szCs w:val="1"/>
                <w:color w:val="auto"/>
              </w:rPr>
            </w:pPr>
          </w:p>
        </w:tc>
        <w:tc>
          <w:tcPr>
            <w:tcW w:w="1740" w:type="dxa"/>
            <w:vAlign w:val="bottom"/>
            <w:tcBorders>
              <w:bottom w:val="single" w:sz="8" w:color="4CA5C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580" w:top="85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80</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2" w:right="900" w:bottom="0" w:gutter="0" w:footer="0" w:header="0"/>
          <w:type w:val="continuous"/>
        </w:sectPr>
      </w:pPr>
    </w:p>
    <w:bookmarkStart w:id="80" w:name="page81"/>
    <w:bookmarkEnd w:id="80"/>
    <w:p>
      <w:pPr>
        <w:spacing w:after="0"/>
        <w:rPr>
          <w:sz w:val="20"/>
          <w:szCs w:val="20"/>
          <w:color w:val="auto"/>
        </w:rPr>
      </w:pPr>
      <w:r>
        <w:rPr>
          <w:rFonts w:ascii="Arial" w:cs="Arial" w:eastAsia="Arial" w:hAnsi="Arial"/>
          <w:sz w:val="17"/>
          <w:szCs w:val="17"/>
          <w:b w:val="1"/>
          <w:bCs w:val="1"/>
          <w:color w:val="F4494E"/>
        </w:rPr>
        <w:t>EMPLOYEE STOCK OPTIONS</w:t>
      </w:r>
    </w:p>
    <w:p>
      <w:pPr>
        <w:spacing w:after="0" w:line="176" w:lineRule="exact"/>
        <w:rPr>
          <w:sz w:val="20"/>
          <w:szCs w:val="20"/>
          <w:color w:val="auto"/>
        </w:rPr>
      </w:pPr>
    </w:p>
    <w:p>
      <w:pPr>
        <w:ind w:right="1020"/>
        <w:spacing w:after="0" w:line="429" w:lineRule="auto"/>
        <w:rPr>
          <w:sz w:val="20"/>
          <w:szCs w:val="20"/>
          <w:color w:val="auto"/>
        </w:rPr>
      </w:pPr>
      <w:r>
        <w:rPr>
          <w:rFonts w:ascii="Times New Roman" w:cs="Times New Roman" w:eastAsia="Times New Roman" w:hAnsi="Times New Roman"/>
          <w:sz w:val="18"/>
          <w:szCs w:val="18"/>
          <w:color w:val="auto"/>
        </w:rPr>
        <w:t>The Employee Stock Option Plan allowed the Company to grant up to 24,000,000 shares of common stock under the plan, prior to its replacement by the 2019 Omnibus Plan.</w:t>
      </w:r>
    </w:p>
    <w:p>
      <w:pPr>
        <w:ind w:right="680"/>
        <w:spacing w:after="0" w:line="362" w:lineRule="auto"/>
        <w:rPr>
          <w:sz w:val="20"/>
          <w:szCs w:val="20"/>
          <w:color w:val="auto"/>
        </w:rPr>
      </w:pPr>
      <w:r>
        <w:rPr>
          <w:rFonts w:ascii="Times New Roman" w:cs="Times New Roman" w:eastAsia="Times New Roman" w:hAnsi="Times New Roman"/>
          <w:sz w:val="18"/>
          <w:szCs w:val="18"/>
          <w:color w:val="auto"/>
        </w:rPr>
        <w:t>The Company has granted options on 4,908,950 shares (net of shares from canceled/expired options) under the 2019 Omnibus Plan and 12,674,639 shares (net of shares from canceled/expired options) under the prior plan (prior to its replacement) through December 31, 2023. Under each of such plans, the option exercise price equals the stock’s market price on date of grant. The options vest after one to five years, and expire after five to ten years.</w:t>
      </w:r>
    </w:p>
    <w:p>
      <w:pPr>
        <w:spacing w:after="0" w:line="52" w:lineRule="exact"/>
        <w:rPr>
          <w:sz w:val="20"/>
          <w:szCs w:val="20"/>
          <w:color w:val="auto"/>
        </w:rPr>
      </w:pPr>
    </w:p>
    <w:p>
      <w:pPr>
        <w:ind w:right="1000"/>
        <w:spacing w:after="0" w:line="437" w:lineRule="auto"/>
        <w:rPr>
          <w:sz w:val="20"/>
          <w:szCs w:val="20"/>
          <w:color w:val="auto"/>
        </w:rPr>
      </w:pPr>
      <w:r>
        <w:rPr>
          <w:rFonts w:ascii="Times New Roman" w:cs="Times New Roman" w:eastAsia="Times New Roman" w:hAnsi="Times New Roman"/>
          <w:sz w:val="18"/>
          <w:szCs w:val="18"/>
          <w:color w:val="auto"/>
        </w:rPr>
        <w:t>The fair value of each option grant was estimated on the date of grant using the Black-Scholes option pricing model with the following weighted-average assumptions for the indicated periods: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3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345"/>
        </w:trPr>
        <w:tc>
          <w:tcPr>
            <w:tcW w:w="36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0"/>
                <w:szCs w:val="20"/>
                <w:color w:val="auto"/>
                <w:vertAlign w:val="superscript"/>
              </w:rPr>
              <w:t>(1)</w:t>
            </w:r>
          </w:p>
        </w:tc>
        <w:tc>
          <w:tcPr>
            <w:tcW w:w="16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7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7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340"/>
        </w:trPr>
        <w:tc>
          <w:tcPr>
            <w:tcW w:w="36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0"/>
                <w:szCs w:val="20"/>
                <w:color w:val="auto"/>
                <w:vertAlign w:val="superscript"/>
              </w:rPr>
              <w:t>(2)</w:t>
            </w:r>
          </w:p>
        </w:tc>
        <w:tc>
          <w:tcPr>
            <w:tcW w:w="16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7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7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27.6 %</w:t>
            </w:r>
          </w:p>
        </w:tc>
      </w:tr>
      <w:tr>
        <w:trPr>
          <w:trHeight w:val="340"/>
        </w:trPr>
        <w:tc>
          <w:tcPr>
            <w:tcW w:w="36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0"/>
                <w:szCs w:val="20"/>
                <w:color w:val="auto"/>
                <w:vertAlign w:val="superscript"/>
              </w:rPr>
              <w:t>(3)</w:t>
            </w:r>
          </w:p>
        </w:tc>
        <w:tc>
          <w:tcPr>
            <w:tcW w:w="16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7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7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340"/>
        </w:trPr>
        <w:tc>
          <w:tcPr>
            <w:tcW w:w="36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 xml:space="preserve">Expected term of options (in years) </w:t>
            </w:r>
            <w:r>
              <w:rPr>
                <w:rFonts w:ascii="Times New Roman" w:cs="Times New Roman" w:eastAsia="Times New Roman" w:hAnsi="Times New Roman"/>
                <w:sz w:val="20"/>
                <w:szCs w:val="20"/>
                <w:color w:val="auto"/>
                <w:vertAlign w:val="superscript"/>
              </w:rPr>
              <w:t>(4)</w:t>
            </w:r>
          </w:p>
        </w:tc>
        <w:tc>
          <w:tcPr>
            <w:tcW w:w="16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7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7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w:t>
            </w:r>
          </w:p>
        </w:tc>
        <w:tc>
          <w:tcPr>
            <w:tcW w:w="16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7.66</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6.42</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6.59</w:t>
            </w:r>
          </w:p>
        </w:tc>
      </w:tr>
    </w:tbl>
    <w:p>
      <w:pPr>
        <w:spacing w:after="0" w:line="127" w:lineRule="exact"/>
        <w:rPr>
          <w:sz w:val="20"/>
          <w:szCs w:val="20"/>
          <w:color w:val="auto"/>
        </w:rPr>
      </w:pPr>
    </w:p>
    <w:p>
      <w:pPr>
        <w:ind w:left="180" w:hanging="180"/>
        <w:spacing w:after="0"/>
        <w:tabs>
          <w:tab w:leader="none" w:pos="180" w:val="left"/>
        </w:tabs>
        <w:numPr>
          <w:ilvl w:val="0"/>
          <w:numId w:val="15"/>
        </w:numPr>
        <w:rPr>
          <w:rFonts w:ascii="Times New Roman" w:cs="Times New Roman" w:eastAsia="Times New Roman" w:hAnsi="Times New Roman"/>
          <w:sz w:val="16"/>
          <w:szCs w:val="16"/>
          <w:color w:val="808080"/>
          <w:vertAlign w:val="superscript"/>
        </w:rPr>
      </w:pPr>
      <w:r>
        <w:rPr>
          <w:rFonts w:ascii="Times New Roman" w:cs="Times New Roman" w:eastAsia="Times New Roman" w:hAnsi="Times New Roman"/>
          <w:sz w:val="14"/>
          <w:szCs w:val="14"/>
          <w:color w:val="808080"/>
        </w:rPr>
        <w:t>Represents the Company’s estimated cash dividend yield over the expected term of option grant.</w:t>
      </w:r>
    </w:p>
    <w:p>
      <w:pPr>
        <w:spacing w:after="0" w:line="86" w:lineRule="exact"/>
        <w:rPr>
          <w:rFonts w:ascii="Times New Roman" w:cs="Times New Roman" w:eastAsia="Times New Roman" w:hAnsi="Times New Roman"/>
          <w:sz w:val="16"/>
          <w:szCs w:val="16"/>
          <w:color w:val="808080"/>
          <w:vertAlign w:val="superscript"/>
        </w:rPr>
      </w:pPr>
    </w:p>
    <w:p>
      <w:pPr>
        <w:ind w:left="180" w:right="660" w:hanging="180"/>
        <w:spacing w:after="0" w:line="313" w:lineRule="auto"/>
        <w:tabs>
          <w:tab w:leader="none" w:pos="180" w:val="left"/>
        </w:tabs>
        <w:numPr>
          <w:ilvl w:val="0"/>
          <w:numId w:val="15"/>
        </w:numPr>
        <w:rPr>
          <w:rFonts w:ascii="Times New Roman" w:cs="Times New Roman" w:eastAsia="Times New Roman" w:hAnsi="Times New Roman"/>
          <w:sz w:val="16"/>
          <w:szCs w:val="16"/>
          <w:color w:val="808080"/>
          <w:vertAlign w:val="superscript"/>
        </w:rPr>
      </w:pPr>
      <w:r>
        <w:rPr>
          <w:rFonts w:ascii="Times New Roman" w:cs="Times New Roman" w:eastAsia="Times New Roman" w:hAnsi="Times New Roman"/>
          <w:sz w:val="14"/>
          <w:szCs w:val="14"/>
          <w:color w:val="808080"/>
        </w:rPr>
        <w:t>Amount is determined based on analysis of historical price volatility of the Company’s common stock. The expected volatility is based on the daily percentage change in the price of the stock over a period equal to the expected term of the option grant.</w:t>
      </w:r>
    </w:p>
    <w:p>
      <w:pPr>
        <w:ind w:left="180" w:hanging="180"/>
        <w:spacing w:after="0"/>
        <w:tabs>
          <w:tab w:leader="none" w:pos="180" w:val="left"/>
        </w:tabs>
        <w:numPr>
          <w:ilvl w:val="0"/>
          <w:numId w:val="15"/>
        </w:numPr>
        <w:rPr>
          <w:rFonts w:ascii="Times New Roman" w:cs="Times New Roman" w:eastAsia="Times New Roman" w:hAnsi="Times New Roman"/>
          <w:sz w:val="16"/>
          <w:szCs w:val="16"/>
          <w:color w:val="808080"/>
          <w:vertAlign w:val="superscript"/>
        </w:rPr>
      </w:pPr>
      <w:r>
        <w:rPr>
          <w:rFonts w:ascii="Times New Roman" w:cs="Times New Roman" w:eastAsia="Times New Roman" w:hAnsi="Times New Roman"/>
          <w:sz w:val="14"/>
          <w:szCs w:val="14"/>
          <w:color w:val="808080"/>
        </w:rPr>
        <w:t>Represents the U.S. Treasury yield over the expected term of the option grant.</w:t>
      </w:r>
    </w:p>
    <w:p>
      <w:pPr>
        <w:spacing w:after="0" w:line="86" w:lineRule="exact"/>
        <w:rPr>
          <w:rFonts w:ascii="Times New Roman" w:cs="Times New Roman" w:eastAsia="Times New Roman" w:hAnsi="Times New Roman"/>
          <w:sz w:val="16"/>
          <w:szCs w:val="16"/>
          <w:color w:val="808080"/>
          <w:vertAlign w:val="superscript"/>
        </w:rPr>
      </w:pPr>
    </w:p>
    <w:p>
      <w:pPr>
        <w:ind w:left="180" w:right="800" w:hanging="180"/>
        <w:spacing w:after="0" w:line="343" w:lineRule="auto"/>
        <w:tabs>
          <w:tab w:leader="none" w:pos="180" w:val="left"/>
        </w:tabs>
        <w:numPr>
          <w:ilvl w:val="0"/>
          <w:numId w:val="15"/>
        </w:numPr>
        <w:rPr>
          <w:rFonts w:ascii="Times New Roman" w:cs="Times New Roman" w:eastAsia="Times New Roman" w:hAnsi="Times New Roman"/>
          <w:sz w:val="16"/>
          <w:szCs w:val="16"/>
          <w:color w:val="808080"/>
          <w:vertAlign w:val="superscript"/>
        </w:rPr>
      </w:pPr>
      <w:r>
        <w:rPr>
          <w:rFonts w:ascii="Times New Roman" w:cs="Times New Roman" w:eastAsia="Times New Roman" w:hAnsi="Times New Roman"/>
          <w:sz w:val="14"/>
          <w:szCs w:val="14"/>
          <w:color w:val="808080"/>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105" w:lineRule="exact"/>
        <w:rPr>
          <w:sz w:val="20"/>
          <w:szCs w:val="20"/>
          <w:color w:val="auto"/>
        </w:rPr>
      </w:pPr>
    </w:p>
    <w:p>
      <w:pPr>
        <w:jc w:val="both"/>
        <w:ind w:right="880"/>
        <w:spacing w:after="0" w:line="381" w:lineRule="auto"/>
        <w:rPr>
          <w:sz w:val="20"/>
          <w:szCs w:val="20"/>
          <w:color w:val="auto"/>
        </w:rPr>
      </w:pPr>
      <w:r>
        <w:rPr>
          <w:rFonts w:ascii="Times New Roman" w:cs="Times New Roman" w:eastAsia="Times New Roman" w:hAnsi="Times New Roman"/>
          <w:sz w:val="18"/>
          <w:szCs w:val="18"/>
          <w:color w:val="auto"/>
        </w:rPr>
        <w:t>As of December 31, 2023, there was $7,993,783 of unrecognized compensation cost related to stock option awards which is expected to be recognized over the remaining vesting periods, with a weighted-average period of 2.09 years. Stock option expense for the years ended December 31, 2023, 2022 and 2021 was $6,095,854, $6,302,581, and $5,780,959 respectively.</w:t>
      </w:r>
    </w:p>
    <w:p>
      <w:pPr>
        <w:spacing w:after="0" w:line="34" w:lineRule="exact"/>
        <w:rPr>
          <w:sz w:val="20"/>
          <w:szCs w:val="20"/>
          <w:color w:val="auto"/>
        </w:rPr>
      </w:pPr>
    </w:p>
    <w:p>
      <w:pPr>
        <w:ind w:right="740"/>
        <w:spacing w:after="0" w:line="437" w:lineRule="auto"/>
        <w:rPr>
          <w:sz w:val="20"/>
          <w:szCs w:val="20"/>
          <w:color w:val="auto"/>
        </w:rPr>
      </w:pPr>
      <w:r>
        <w:rPr>
          <w:rFonts w:ascii="Times New Roman" w:cs="Times New Roman" w:eastAsia="Times New Roman" w:hAnsi="Times New Roman"/>
          <w:sz w:val="18"/>
          <w:szCs w:val="18"/>
          <w:color w:val="auto"/>
        </w:rPr>
        <w:t>A summary of the status of the Company’s stock option plans at December 31, 2023, 2022 and 2021, and changes during the same periods are presented in the tables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0" w:type="dxa"/>
            <w:vAlign w:val="bottom"/>
            <w:gridSpan w:val="3"/>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360" w:type="dxa"/>
            <w:vAlign w:val="bottom"/>
          </w:tcPr>
          <w:p>
            <w:pPr>
              <w:spacing w:after="0"/>
              <w:rPr>
                <w:sz w:val="20"/>
                <w:szCs w:val="20"/>
                <w:color w:val="auto"/>
              </w:rPr>
            </w:pPr>
          </w:p>
        </w:tc>
        <w:tc>
          <w:tcPr>
            <w:tcW w:w="17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 (000)</w:t>
            </w:r>
          </w:p>
        </w:tc>
        <w:tc>
          <w:tcPr>
            <w:tcW w:w="200" w:type="dxa"/>
            <w:vAlign w:val="bottom"/>
          </w:tcPr>
          <w:p>
            <w:pPr>
              <w:spacing w:after="0"/>
              <w:rPr>
                <w:sz w:val="20"/>
                <w:szCs w:val="20"/>
                <w:color w:val="auto"/>
              </w:rPr>
            </w:pPr>
          </w:p>
        </w:tc>
        <w:tc>
          <w:tcPr>
            <w:tcW w:w="1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Wtd. Avg. Ex. Price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Wtd. Avg. Remaining</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78"/>
        </w:trPr>
        <w:tc>
          <w:tcPr>
            <w:tcW w:w="336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 Life</w:t>
            </w:r>
          </w:p>
        </w:tc>
        <w:tc>
          <w:tcPr>
            <w:tcW w:w="22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Value (000)</w:t>
            </w:r>
          </w:p>
        </w:tc>
        <w:tc>
          <w:tcPr>
            <w:tcW w:w="0" w:type="dxa"/>
            <w:vAlign w:val="bottom"/>
          </w:tcPr>
          <w:p>
            <w:pPr>
              <w:spacing w:after="0"/>
              <w:rPr>
                <w:sz w:val="1"/>
                <w:szCs w:val="1"/>
                <w:color w:val="auto"/>
              </w:rPr>
            </w:pPr>
          </w:p>
        </w:tc>
      </w:tr>
      <w:tr>
        <w:trPr>
          <w:trHeight w:val="37"/>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7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1780" w:type="dxa"/>
            <w:vAlign w:val="bottom"/>
            <w:tcBorders>
              <w:bottom w:val="single" w:sz="8" w:color="808080"/>
            </w:tcBorders>
            <w:vMerge w:val="continue"/>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0"/>
        </w:trPr>
        <w:tc>
          <w:tcPr>
            <w:tcW w:w="3360" w:type="dxa"/>
            <w:vAlign w:val="bottom"/>
            <w:tcBorders>
              <w:bottom w:val="single" w:sz="8" w:color="808080"/>
            </w:tcBorders>
            <w:vMerge w:val="continue"/>
          </w:tcPr>
          <w:p>
            <w:pPr>
              <w:spacing w:after="0"/>
              <w:rPr>
                <w:sz w:val="24"/>
                <w:szCs w:val="24"/>
                <w:color w:val="auto"/>
              </w:rPr>
            </w:pPr>
          </w:p>
        </w:tc>
        <w:tc>
          <w:tcPr>
            <w:tcW w:w="17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4,872</w:t>
            </w:r>
          </w:p>
        </w:tc>
        <w:tc>
          <w:tcPr>
            <w:tcW w:w="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768</w:t>
            </w:r>
          </w:p>
        </w:tc>
        <w:tc>
          <w:tcPr>
            <w:tcW w:w="2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(1,023)</w:t>
            </w:r>
          </w:p>
        </w:tc>
        <w:tc>
          <w:tcPr>
            <w:tcW w:w="2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0" w:type="dxa"/>
            <w:vAlign w:val="bottom"/>
          </w:tcPr>
          <w:p>
            <w:pPr>
              <w:spacing w:after="0"/>
              <w:rPr>
                <w:sz w:val="1"/>
                <w:szCs w:val="1"/>
                <w:color w:val="auto"/>
              </w:rPr>
            </w:pPr>
          </w:p>
        </w:tc>
      </w:tr>
      <w:tr>
        <w:trPr>
          <w:trHeight w:val="355"/>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Borders>
              <w:bottom w:val="single" w:sz="8" w:color="4CA5CD"/>
            </w:tcBorders>
          </w:tcPr>
          <w:p>
            <w:pPr>
              <w:spacing w:after="0"/>
              <w:rPr>
                <w:sz w:val="24"/>
                <w:szCs w:val="24"/>
                <w:color w:val="auto"/>
              </w:rPr>
            </w:pPr>
          </w:p>
        </w:tc>
        <w:tc>
          <w:tcPr>
            <w:tcW w:w="15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3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7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4,387</w:t>
            </w:r>
          </w:p>
        </w:tc>
        <w:tc>
          <w:tcPr>
            <w:tcW w:w="2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 years</w:t>
            </w: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17,491</w:t>
            </w:r>
          </w:p>
        </w:tc>
        <w:tc>
          <w:tcPr>
            <w:tcW w:w="0" w:type="dxa"/>
            <w:vAlign w:val="bottom"/>
          </w:tcPr>
          <w:p>
            <w:pPr>
              <w:spacing w:after="0"/>
              <w:rPr>
                <w:sz w:val="1"/>
                <w:szCs w:val="1"/>
                <w:color w:val="auto"/>
              </w:rPr>
            </w:pPr>
          </w:p>
        </w:tc>
      </w:tr>
      <w:tr>
        <w:trPr>
          <w:trHeight w:val="35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years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84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81</w:t>
      </w:r>
    </w:p>
    <w:p>
      <w:pPr>
        <w:sectPr>
          <w:pgSz w:w="12240" w:h="15840" w:orient="portrait"/>
          <w:cols w:equalWidth="0" w:num="1">
            <w:col w:w="10760"/>
          </w:cols>
          <w:pgMar w:left="900" w:top="846" w:right="580" w:bottom="0" w:gutter="0" w:footer="0" w:header="0"/>
          <w:type w:val="continuous"/>
        </w:sectPr>
      </w:pPr>
    </w:p>
    <w:bookmarkStart w:id="81" w:name="page82"/>
    <w:bookmarkEnd w:id="81"/>
    <w:tbl>
      <w:tblPr>
        <w:tblLayout w:type="fixed"/>
        <w:tblInd w:w="320" w:type="dxa"/>
        <w:tblCellMar>
          <w:top w:w="0" w:type="dxa"/>
          <w:left w:w="0" w:type="dxa"/>
          <w:bottom w:w="0" w:type="dxa"/>
          <w:right w:w="0" w:type="dxa"/>
        </w:tblCellMar>
      </w:tblPr>
      <w:tr>
        <w:trPr>
          <w:trHeight w:val="282"/>
        </w:trPr>
        <w:tc>
          <w:tcPr>
            <w:tcW w:w="3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0" w:type="dxa"/>
            <w:vAlign w:val="bottom"/>
            <w:gridSpan w:val="4"/>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400" w:type="dxa"/>
            <w:vAlign w:val="bottom"/>
          </w:tcPr>
          <w:p>
            <w:pPr>
              <w:spacing w:after="0"/>
              <w:rPr>
                <w:sz w:val="20"/>
                <w:szCs w:val="20"/>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Shares (000)</w:t>
            </w:r>
          </w:p>
        </w:tc>
        <w:tc>
          <w:tcPr>
            <w:tcW w:w="200" w:type="dxa"/>
            <w:vAlign w:val="bottom"/>
          </w:tcPr>
          <w:p>
            <w:pPr>
              <w:spacing w:after="0"/>
              <w:rPr>
                <w:sz w:val="20"/>
                <w:szCs w:val="20"/>
                <w:color w:val="auto"/>
              </w:rPr>
            </w:pPr>
          </w:p>
        </w:tc>
        <w:tc>
          <w:tcPr>
            <w:tcW w:w="16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Wtd. Avg. Ex. Price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Wtd. Avg. Remaining</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78"/>
        </w:trPr>
        <w:tc>
          <w:tcPr>
            <w:tcW w:w="34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 Life</w:t>
            </w:r>
          </w:p>
        </w:tc>
        <w:tc>
          <w:tcPr>
            <w:tcW w:w="22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Value (000)</w:t>
            </w:r>
          </w:p>
        </w:tc>
        <w:tc>
          <w:tcPr>
            <w:tcW w:w="0" w:type="dxa"/>
            <w:vAlign w:val="bottom"/>
          </w:tcPr>
          <w:p>
            <w:pPr>
              <w:spacing w:after="0"/>
              <w:rPr>
                <w:sz w:val="1"/>
                <w:szCs w:val="1"/>
                <w:color w:val="auto"/>
              </w:rPr>
            </w:pPr>
          </w:p>
        </w:tc>
      </w:tr>
      <w:tr>
        <w:trPr>
          <w:trHeight w:val="36"/>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7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1780" w:type="dxa"/>
            <w:vAlign w:val="bottom"/>
            <w:tcBorders>
              <w:bottom w:val="single" w:sz="8" w:color="808080"/>
            </w:tcBorders>
            <w:vMerge w:val="continue"/>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vMerge w:val="continue"/>
          </w:tcPr>
          <w:p>
            <w:pPr>
              <w:spacing w:after="0"/>
              <w:rPr>
                <w:sz w:val="24"/>
                <w:szCs w:val="24"/>
                <w:color w:val="auto"/>
              </w:rPr>
            </w:pPr>
          </w:p>
        </w:tc>
        <w:tc>
          <w:tcPr>
            <w:tcW w:w="1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355"/>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tcBorders>
              <w:bottom w:val="single" w:sz="8" w:color="4CA5CD"/>
            </w:tcBorders>
          </w:tcPr>
          <w:p>
            <w:pPr>
              <w:spacing w:after="0"/>
              <w:rPr>
                <w:sz w:val="24"/>
                <w:szCs w:val="24"/>
                <w:color w:val="auto"/>
              </w:rPr>
            </w:pPr>
          </w:p>
        </w:tc>
        <w:tc>
          <w:tcPr>
            <w:tcW w:w="15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4CA5CD"/>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7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4,872</w:t>
            </w:r>
          </w:p>
        </w:tc>
        <w:tc>
          <w:tcPr>
            <w:tcW w:w="2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 years</w:t>
            </w: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0" w:type="dxa"/>
            <w:vAlign w:val="bottom"/>
          </w:tcPr>
          <w:p>
            <w:pPr>
              <w:spacing w:after="0"/>
              <w:rPr>
                <w:sz w:val="1"/>
                <w:szCs w:val="1"/>
                <w:color w:val="auto"/>
              </w:rPr>
            </w:pPr>
          </w:p>
        </w:tc>
      </w:tr>
      <w:tr>
        <w:trPr>
          <w:trHeight w:val="35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years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708"/>
        </w:trPr>
        <w:tc>
          <w:tcPr>
            <w:tcW w:w="3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0" w:type="dxa"/>
            <w:vAlign w:val="bottom"/>
            <w:gridSpan w:val="4"/>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400" w:type="dxa"/>
            <w:vAlign w:val="bottom"/>
          </w:tcPr>
          <w:p>
            <w:pPr>
              <w:spacing w:after="0"/>
              <w:rPr>
                <w:sz w:val="20"/>
                <w:szCs w:val="20"/>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Shares (000)</w:t>
            </w:r>
          </w:p>
        </w:tc>
        <w:tc>
          <w:tcPr>
            <w:tcW w:w="200" w:type="dxa"/>
            <w:vAlign w:val="bottom"/>
          </w:tcPr>
          <w:p>
            <w:pPr>
              <w:spacing w:after="0"/>
              <w:rPr>
                <w:sz w:val="20"/>
                <w:szCs w:val="20"/>
                <w:color w:val="auto"/>
              </w:rPr>
            </w:pPr>
          </w:p>
        </w:tc>
        <w:tc>
          <w:tcPr>
            <w:tcW w:w="16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Wtd. Avg. Ex. Price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Wtd. Avg. Remaining</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78"/>
        </w:trPr>
        <w:tc>
          <w:tcPr>
            <w:tcW w:w="34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 Life</w:t>
            </w:r>
          </w:p>
        </w:tc>
        <w:tc>
          <w:tcPr>
            <w:tcW w:w="22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Value (000)</w:t>
            </w:r>
          </w:p>
        </w:tc>
        <w:tc>
          <w:tcPr>
            <w:tcW w:w="0" w:type="dxa"/>
            <w:vAlign w:val="bottom"/>
          </w:tcPr>
          <w:p>
            <w:pPr>
              <w:spacing w:after="0"/>
              <w:rPr>
                <w:sz w:val="1"/>
                <w:szCs w:val="1"/>
                <w:color w:val="auto"/>
              </w:rPr>
            </w:pPr>
          </w:p>
        </w:tc>
      </w:tr>
      <w:tr>
        <w:trPr>
          <w:trHeight w:val="36"/>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7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5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1780" w:type="dxa"/>
            <w:vAlign w:val="bottom"/>
            <w:tcBorders>
              <w:bottom w:val="single" w:sz="8" w:color="808080"/>
            </w:tcBorders>
            <w:vMerge w:val="continue"/>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vMerge w:val="continue"/>
          </w:tcPr>
          <w:p>
            <w:pPr>
              <w:spacing w:after="0"/>
              <w:rPr>
                <w:sz w:val="24"/>
                <w:szCs w:val="24"/>
                <w:color w:val="auto"/>
              </w:rPr>
            </w:pPr>
          </w:p>
        </w:tc>
        <w:tc>
          <w:tcPr>
            <w:tcW w:w="1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(1,184)</w:t>
            </w:r>
          </w:p>
        </w:tc>
        <w:tc>
          <w:tcPr>
            <w:tcW w:w="2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17,289</w:t>
            </w:r>
          </w:p>
        </w:tc>
        <w:tc>
          <w:tcPr>
            <w:tcW w:w="0" w:type="dxa"/>
            <w:vAlign w:val="bottom"/>
          </w:tcPr>
          <w:p>
            <w:pPr>
              <w:spacing w:after="0"/>
              <w:rPr>
                <w:sz w:val="1"/>
                <w:szCs w:val="1"/>
                <w:color w:val="auto"/>
              </w:rPr>
            </w:pPr>
          </w:p>
        </w:tc>
      </w:tr>
      <w:tr>
        <w:trPr>
          <w:trHeight w:val="355"/>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tcBorders>
              <w:bottom w:val="single" w:sz="8" w:color="4CA5CD"/>
            </w:tcBorders>
          </w:tcPr>
          <w:p>
            <w:pPr>
              <w:spacing w:after="0"/>
              <w:rPr>
                <w:sz w:val="24"/>
                <w:szCs w:val="24"/>
                <w:color w:val="auto"/>
              </w:rPr>
            </w:pPr>
          </w:p>
        </w:tc>
        <w:tc>
          <w:tcPr>
            <w:tcW w:w="15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7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4,535</w:t>
            </w:r>
          </w:p>
        </w:tc>
        <w:tc>
          <w:tcPr>
            <w:tcW w:w="20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3.4 years</w:t>
            </w:r>
          </w:p>
        </w:tc>
        <w:tc>
          <w:tcPr>
            <w:tcW w:w="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35,283</w:t>
            </w:r>
          </w:p>
        </w:tc>
        <w:tc>
          <w:tcPr>
            <w:tcW w:w="0" w:type="dxa"/>
            <w:vAlign w:val="bottom"/>
          </w:tcPr>
          <w:p>
            <w:pPr>
              <w:spacing w:after="0"/>
              <w:rPr>
                <w:sz w:val="1"/>
                <w:szCs w:val="1"/>
                <w:color w:val="auto"/>
              </w:rPr>
            </w:pPr>
          </w:p>
        </w:tc>
      </w:tr>
      <w:tr>
        <w:trPr>
          <w:trHeight w:val="35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years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right="120"/>
        <w:spacing w:after="0" w:line="437" w:lineRule="auto"/>
        <w:rPr>
          <w:sz w:val="20"/>
          <w:szCs w:val="20"/>
          <w:color w:val="auto"/>
        </w:rPr>
      </w:pPr>
      <w:r>
        <w:rPr>
          <w:rFonts w:ascii="Times New Roman" w:cs="Times New Roman" w:eastAsia="Times New Roman" w:hAnsi="Times New Roman"/>
          <w:sz w:val="18"/>
          <w:szCs w:val="18"/>
          <w:color w:val="auto"/>
        </w:rPr>
        <w:t>A summary of the status of the Company’s non-vested employee stock option activity for the years ended December 31, 2023, 2022, and 2021, are presented in the table below:</w:t>
      </w:r>
    </w:p>
    <w:p>
      <w:pPr>
        <w:sectPr>
          <w:pgSz w:w="12240" w:h="15840" w:orient="portrait"/>
          <w:cols w:equalWidth="0" w:num="1">
            <w:col w:w="10760"/>
          </w:cols>
          <w:pgMar w:left="580" w:top="967" w:right="900" w:bottom="0" w:gutter="0" w:footer="0" w:header="0"/>
        </w:sectPr>
      </w:pP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25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580" w:type="dxa"/>
            <w:vAlign w:val="bottom"/>
          </w:tcPr>
          <w:p>
            <w:pPr>
              <w:spacing w:after="0"/>
              <w:rPr>
                <w:sz w:val="22"/>
                <w:szCs w:val="22"/>
                <w:color w:val="auto"/>
              </w:rPr>
            </w:pPr>
          </w:p>
        </w:tc>
        <w:tc>
          <w:tcPr>
            <w:tcW w:w="1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 (000)</w:t>
            </w:r>
          </w:p>
        </w:tc>
        <w:tc>
          <w:tcPr>
            <w:tcW w:w="200" w:type="dxa"/>
            <w:vAlign w:val="bottom"/>
          </w:tcPr>
          <w:p>
            <w:pPr>
              <w:spacing w:after="0"/>
              <w:rPr>
                <w:sz w:val="22"/>
                <w:szCs w:val="22"/>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Wtd. Avg</w:t>
            </w:r>
          </w:p>
        </w:tc>
        <w:tc>
          <w:tcPr>
            <w:tcW w:w="0" w:type="dxa"/>
            <w:vAlign w:val="bottom"/>
          </w:tcPr>
          <w:p>
            <w:pPr>
              <w:spacing w:after="0"/>
              <w:rPr>
                <w:sz w:val="1"/>
                <w:szCs w:val="1"/>
                <w:color w:val="auto"/>
              </w:rPr>
            </w:pPr>
          </w:p>
        </w:tc>
      </w:tr>
      <w:tr>
        <w:trPr>
          <w:trHeight w:val="240"/>
        </w:trPr>
        <w:tc>
          <w:tcPr>
            <w:tcW w:w="258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53"/>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Nonvested Stock Options</w:t>
            </w:r>
          </w:p>
        </w:tc>
        <w:tc>
          <w:tcPr>
            <w:tcW w:w="1260" w:type="dxa"/>
            <w:vAlign w:val="bottom"/>
            <w:tcBorders>
              <w:bottom w:val="single" w:sz="8" w:color="808080"/>
            </w:tcBorders>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1040" w:type="dxa"/>
            <w:vAlign w:val="bottom"/>
            <w:tcBorders>
              <w:bottom w:val="single" w:sz="8" w:color="808080"/>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0" w:type="dxa"/>
            <w:vAlign w:val="bottom"/>
          </w:tcPr>
          <w:p>
            <w:pPr>
              <w:spacing w:after="0"/>
              <w:rPr>
                <w:sz w:val="1"/>
                <w:szCs w:val="1"/>
                <w:color w:val="auto"/>
              </w:rPr>
            </w:pPr>
          </w:p>
        </w:tc>
      </w:tr>
      <w:tr>
        <w:trPr>
          <w:trHeight w:val="257"/>
        </w:trPr>
        <w:tc>
          <w:tcPr>
            <w:tcW w:w="2580" w:type="dxa"/>
            <w:vAlign w:val="bottom"/>
            <w:vMerge w:val="continue"/>
          </w:tcPr>
          <w:p>
            <w:pPr>
              <w:spacing w:after="0"/>
              <w:rPr>
                <w:sz w:val="22"/>
                <w:szCs w:val="22"/>
                <w:color w:val="auto"/>
              </w:rPr>
            </w:pPr>
          </w:p>
        </w:tc>
        <w:tc>
          <w:tcPr>
            <w:tcW w:w="1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2,913</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0"/>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 Beginning of Year</w:t>
            </w:r>
          </w:p>
        </w:tc>
        <w:tc>
          <w:tcPr>
            <w:tcW w:w="12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580" w:type="dxa"/>
            <w:vAlign w:val="bottom"/>
            <w:tcBorders>
              <w:bottom w:val="single" w:sz="8" w:color="808080"/>
            </w:tcBorders>
            <w:vMerge w:val="continue"/>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2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768</w:t>
            </w:r>
          </w:p>
        </w:tc>
        <w:tc>
          <w:tcPr>
            <w:tcW w:w="2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40"/>
        </w:trPr>
        <w:tc>
          <w:tcPr>
            <w:tcW w:w="2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(1,056)</w:t>
            </w:r>
          </w:p>
        </w:tc>
        <w:tc>
          <w:tcPr>
            <w:tcW w:w="2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55"/>
        </w:trPr>
        <w:tc>
          <w:tcPr>
            <w:tcW w:w="2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Borders>
              <w:bottom w:val="single" w:sz="8" w:color="4CA5CD"/>
            </w:tcBorders>
          </w:tcPr>
          <w:p>
            <w:pPr>
              <w:spacing w:after="0"/>
              <w:rPr>
                <w:sz w:val="24"/>
                <w:szCs w:val="24"/>
                <w:color w:val="auto"/>
              </w:rPr>
            </w:pPr>
          </w:p>
        </w:tc>
        <w:tc>
          <w:tcPr>
            <w:tcW w:w="10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2"/>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Nonvested Stock Options</w:t>
            </w:r>
          </w:p>
        </w:tc>
        <w:tc>
          <w:tcPr>
            <w:tcW w:w="1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2,445</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0"/>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 End of Year</w:t>
            </w:r>
          </w:p>
        </w:tc>
        <w:tc>
          <w:tcPr>
            <w:tcW w:w="12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5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2"/>
        </w:trPr>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 (000)</w:t>
            </w:r>
          </w:p>
        </w:tc>
        <w:tc>
          <w:tcPr>
            <w:tcW w:w="200" w:type="dxa"/>
            <w:vAlign w:val="bottom"/>
          </w:tcPr>
          <w:p>
            <w:pPr>
              <w:spacing w:after="0"/>
              <w:rPr>
                <w:sz w:val="22"/>
                <w:szCs w:val="22"/>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Wtd. Avg</w:t>
            </w:r>
          </w:p>
        </w:tc>
        <w:tc>
          <w:tcPr>
            <w:tcW w:w="0" w:type="dxa"/>
            <w:vAlign w:val="bottom"/>
          </w:tcPr>
          <w:p>
            <w:pPr>
              <w:spacing w:after="0"/>
              <w:rPr>
                <w:sz w:val="1"/>
                <w:szCs w:val="1"/>
                <w:color w:val="auto"/>
              </w:rPr>
            </w:pPr>
          </w:p>
        </w:tc>
      </w:tr>
      <w:tr>
        <w:trPr>
          <w:trHeight w:val="240"/>
        </w:trPr>
        <w:tc>
          <w:tcPr>
            <w:tcW w:w="12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53"/>
        </w:trPr>
        <w:tc>
          <w:tcPr>
            <w:tcW w:w="1260" w:type="dxa"/>
            <w:vAlign w:val="bottom"/>
            <w:tcBorders>
              <w:bottom w:val="single" w:sz="8" w:color="808080"/>
            </w:tcBorders>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1040" w:type="dxa"/>
            <w:vAlign w:val="bottom"/>
            <w:tcBorders>
              <w:bottom w:val="single" w:sz="8" w:color="808080"/>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443"/>
        </w:trPr>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69"/>
        </w:trPr>
        <w:tc>
          <w:tcPr>
            <w:tcW w:w="12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12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1,219</w:t>
            </w:r>
          </w:p>
        </w:tc>
        <w:tc>
          <w:tcPr>
            <w:tcW w:w="2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40"/>
        </w:trPr>
        <w:tc>
          <w:tcPr>
            <w:tcW w:w="12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(1,153)</w:t>
            </w:r>
          </w:p>
        </w:tc>
        <w:tc>
          <w:tcPr>
            <w:tcW w:w="2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420" w:hanging="1644"/>
        <w:spacing w:after="0"/>
        <w:tabs>
          <w:tab w:leader="none" w:pos="2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69850</wp:posOffset>
                </wp:positionV>
                <wp:extent cx="158496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4960" cy="4763"/>
                        </a:xfrm>
                        <a:prstGeom prst="line">
                          <a:avLst/>
                        </a:prstGeom>
                        <a:solidFill>
                          <a:srgbClr val="FFFFFF"/>
                        </a:solidFill>
                        <a:ln w="12700">
                          <a:solidFill>
                            <a:srgbClr val="4CA5CD"/>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5.5pt" to="125.05pt,5.5pt" o:allowincell="f" strokecolor="#4CA5CD" strokeweight="1pt"/>
            </w:pict>
          </mc:Fallback>
        </mc:AlternateContent>
      </w:r>
    </w:p>
    <w:p>
      <w:pPr>
        <w:spacing w:after="0" w:line="242" w:lineRule="exact"/>
        <w:rPr>
          <w:sz w:val="20"/>
          <w:szCs w:val="20"/>
          <w:color w:val="auto"/>
        </w:rPr>
      </w:pPr>
    </w:p>
    <w:p>
      <w:pPr>
        <w:jc w:val="right"/>
        <w:spacing w:after="0"/>
        <w:tabs>
          <w:tab w:leader="none" w:pos="1140" w:val="left"/>
          <w:tab w:leader="none" w:pos="60" w:val="left"/>
        </w:tabs>
        <w:rPr>
          <w:sz w:val="20"/>
          <w:szCs w:val="20"/>
          <w:color w:val="auto"/>
        </w:rPr>
      </w:pPr>
      <w:r>
        <w:rPr>
          <w:rFonts w:ascii="Times New Roman" w:cs="Times New Roman" w:eastAsia="Times New Roman" w:hAnsi="Times New Roman"/>
          <w:sz w:val="18"/>
          <w:szCs w:val="18"/>
          <w:color w:val="auto"/>
        </w:rPr>
        <w:t>2,913</w:t>
        <w:tab/>
        <w:t>$</w:t>
      </w:r>
      <w:r>
        <w:rPr>
          <w:sz w:val="20"/>
          <w:szCs w:val="20"/>
          <w:color w:val="auto"/>
        </w:rPr>
        <w:tab/>
      </w: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2"/>
        </w:trPr>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Shares (000)</w:t>
            </w:r>
          </w:p>
        </w:tc>
        <w:tc>
          <w:tcPr>
            <w:tcW w:w="220" w:type="dxa"/>
            <w:vAlign w:val="bottom"/>
          </w:tcPr>
          <w:p>
            <w:pPr>
              <w:spacing w:after="0"/>
              <w:rPr>
                <w:sz w:val="22"/>
                <w:szCs w:val="22"/>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Wtd. Avg</w:t>
            </w:r>
          </w:p>
        </w:tc>
        <w:tc>
          <w:tcPr>
            <w:tcW w:w="0" w:type="dxa"/>
            <w:vAlign w:val="bottom"/>
          </w:tcPr>
          <w:p>
            <w:pPr>
              <w:spacing w:after="0"/>
              <w:rPr>
                <w:sz w:val="1"/>
                <w:szCs w:val="1"/>
                <w:color w:val="auto"/>
              </w:rPr>
            </w:pPr>
          </w:p>
        </w:tc>
      </w:tr>
      <w:tr>
        <w:trPr>
          <w:trHeight w:val="240"/>
        </w:trPr>
        <w:tc>
          <w:tcPr>
            <w:tcW w:w="1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53"/>
        </w:trPr>
        <w:tc>
          <w:tcPr>
            <w:tcW w:w="124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1040" w:type="dxa"/>
            <w:vAlign w:val="bottom"/>
            <w:tcBorders>
              <w:bottom w:val="single" w:sz="8" w:color="808080"/>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443"/>
        </w:trPr>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69"/>
        </w:trPr>
        <w:tc>
          <w:tcPr>
            <w:tcW w:w="1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12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40"/>
        </w:trPr>
        <w:tc>
          <w:tcPr>
            <w:tcW w:w="12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400" w:hanging="1629"/>
        <w:spacing w:after="0"/>
        <w:tabs>
          <w:tab w:leader="none" w:pos="2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55245</wp:posOffset>
                </wp:positionV>
                <wp:extent cx="158432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4325" cy="4763"/>
                        </a:xfrm>
                        <a:prstGeom prst="line">
                          <a:avLst/>
                        </a:prstGeom>
                        <a:solidFill>
                          <a:srgbClr val="FFFFFF"/>
                        </a:solidFill>
                        <a:ln w="12700">
                          <a:solidFill>
                            <a:srgbClr val="4CA5CD"/>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4.35pt" to="124.8pt,4.35pt" o:allowincell="f" strokecolor="#4CA5CD" strokeweight="1pt"/>
            </w:pict>
          </mc:Fallback>
        </mc:AlternateContent>
      </w:r>
    </w:p>
    <w:p>
      <w:pPr>
        <w:spacing w:after="0" w:line="219" w:lineRule="exact"/>
        <w:rPr>
          <w:sz w:val="20"/>
          <w:szCs w:val="20"/>
          <w:color w:val="auto"/>
        </w:rPr>
      </w:pPr>
    </w:p>
    <w:p>
      <w:pPr>
        <w:jc w:val="right"/>
        <w:spacing w:after="0"/>
        <w:tabs>
          <w:tab w:leader="none" w:pos="1140" w:val="left"/>
          <w:tab w:leader="none" w:pos="80" w:val="left"/>
        </w:tabs>
        <w:rPr>
          <w:sz w:val="20"/>
          <w:szCs w:val="20"/>
          <w:color w:val="auto"/>
        </w:rPr>
      </w:pPr>
      <w:r>
        <w:rPr>
          <w:rFonts w:ascii="Times New Roman" w:cs="Times New Roman" w:eastAsia="Times New Roman" w:hAnsi="Times New Roman"/>
          <w:sz w:val="18"/>
          <w:szCs w:val="18"/>
          <w:color w:val="auto"/>
        </w:rPr>
        <w:t>3,156</w:t>
        <w:tab/>
        <w:t>$</w:t>
      </w:r>
      <w:r>
        <w:rPr>
          <w:sz w:val="20"/>
          <w:szCs w:val="20"/>
          <w:color w:val="auto"/>
        </w:rPr>
        <w:tab/>
      </w:r>
      <w:r>
        <w:rPr>
          <w:rFonts w:ascii="Times New Roman" w:cs="Times New Roman" w:eastAsia="Times New Roman" w:hAnsi="Times New Roman"/>
          <w:sz w:val="18"/>
          <w:szCs w:val="18"/>
          <w:color w:val="auto"/>
        </w:rPr>
        <w:t>5</w:t>
      </w:r>
    </w:p>
    <w:p>
      <w:pPr>
        <w:spacing w:after="0" w:line="417" w:lineRule="exact"/>
        <w:rPr>
          <w:sz w:val="20"/>
          <w:szCs w:val="20"/>
          <w:color w:val="auto"/>
        </w:rPr>
      </w:pPr>
    </w:p>
    <w:p>
      <w:pPr>
        <w:sectPr>
          <w:pgSz w:w="12240" w:h="15840" w:orient="portrait"/>
          <w:cols w:equalWidth="0" w:num="3">
            <w:col w:w="5400" w:space="180"/>
            <w:col w:w="2500" w:space="180"/>
            <w:col w:w="2500"/>
          </w:cols>
          <w:pgMar w:left="580" w:top="967"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82</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967" w:right="900" w:bottom="0" w:gutter="0" w:footer="0" w:header="0"/>
          <w:type w:val="continuous"/>
        </w:sectPr>
      </w:pPr>
    </w:p>
    <w:bookmarkStart w:id="82" w:name="page83"/>
    <w:bookmarkEnd w:id="82"/>
    <w:p>
      <w:pPr>
        <w:spacing w:after="0"/>
        <w:rPr>
          <w:sz w:val="20"/>
          <w:szCs w:val="20"/>
          <w:color w:val="auto"/>
        </w:rPr>
      </w:pPr>
      <w:r>
        <w:rPr>
          <w:rFonts w:ascii="Arial" w:cs="Arial" w:eastAsia="Arial" w:hAnsi="Arial"/>
          <w:sz w:val="22"/>
          <w:szCs w:val="22"/>
          <w:b w:val="1"/>
          <w:bCs w:val="1"/>
          <w:color w:val="4CA5CD"/>
        </w:rPr>
        <w:t>Restricted Shares</w:t>
      </w:r>
    </w:p>
    <w:p>
      <w:pPr>
        <w:spacing w:after="0" w:line="191" w:lineRule="exact"/>
        <w:rPr>
          <w:sz w:val="20"/>
          <w:szCs w:val="20"/>
          <w:color w:val="auto"/>
        </w:rPr>
      </w:pPr>
    </w:p>
    <w:p>
      <w:pPr>
        <w:ind w:right="640"/>
        <w:spacing w:after="0" w:line="429" w:lineRule="auto"/>
        <w:rPr>
          <w:sz w:val="20"/>
          <w:szCs w:val="20"/>
          <w:color w:val="auto"/>
        </w:rPr>
      </w:pPr>
      <w:r>
        <w:rPr>
          <w:rFonts w:ascii="Times New Roman" w:cs="Times New Roman" w:eastAsia="Times New Roman" w:hAnsi="Times New Roman"/>
          <w:sz w:val="18"/>
          <w:szCs w:val="18"/>
          <w:color w:val="auto"/>
        </w:rPr>
        <w:t>The Company’s Second Restricted Stock Plan provided for a maximum number of shares that may be subject to awards of 9,000,000 shares, prior to its replacement by the 2019 Omnibus Plan.</w:t>
      </w:r>
    </w:p>
    <w:p>
      <w:pPr>
        <w:ind w:right="560"/>
        <w:spacing w:after="0" w:line="352" w:lineRule="auto"/>
        <w:rPr>
          <w:sz w:val="20"/>
          <w:szCs w:val="20"/>
          <w:color w:val="auto"/>
        </w:rPr>
      </w:pPr>
      <w:r>
        <w:rPr>
          <w:rFonts w:ascii="Times New Roman" w:cs="Times New Roman" w:eastAsia="Times New Roman" w:hAnsi="Times New Roman"/>
          <w:sz w:val="18"/>
          <w:szCs w:val="18"/>
          <w:color w:val="auto"/>
        </w:rPr>
        <w:t>Restricted shares awarded under either that plan or the 2019 Omnibus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The Company has issued 4,231,194 shares under the 2019 Omnibus Plan and 5,630,019 shares under the prior plan (prior to its replacement) as of December 31, 2023, and has 3,377,863 shares outstanding under such plans.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0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Vesting Period(1)</w:t>
            </w:r>
          </w:p>
        </w:tc>
        <w:tc>
          <w:tcPr>
            <w:tcW w:w="1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 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Market Price</w:t>
            </w:r>
          </w:p>
        </w:tc>
        <w:tc>
          <w:tcPr>
            <w:tcW w:w="180" w:type="dxa"/>
            <w:vAlign w:val="bottom"/>
          </w:tcPr>
          <w:p>
            <w:pPr>
              <w:spacing w:after="0"/>
              <w:rPr>
                <w:sz w:val="22"/>
                <w:szCs w:val="22"/>
                <w:color w:val="auto"/>
              </w:rPr>
            </w:pPr>
          </w:p>
        </w:tc>
        <w:tc>
          <w:tcPr>
            <w:tcW w:w="1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 Granted</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Market Price</w:t>
            </w:r>
          </w:p>
        </w:tc>
        <w:tc>
          <w:tcPr>
            <w:tcW w:w="1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 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Market Price</w:t>
            </w:r>
          </w:p>
        </w:tc>
        <w:tc>
          <w:tcPr>
            <w:tcW w:w="0" w:type="dxa"/>
            <w:vAlign w:val="bottom"/>
          </w:tcPr>
          <w:p>
            <w:pPr>
              <w:spacing w:after="0"/>
              <w:rPr>
                <w:sz w:val="1"/>
                <w:szCs w:val="1"/>
                <w:color w:val="auto"/>
              </w:rPr>
            </w:pPr>
          </w:p>
        </w:tc>
      </w:tr>
      <w:tr>
        <w:trPr>
          <w:trHeight w:val="179"/>
        </w:trPr>
        <w:tc>
          <w:tcPr>
            <w:tcW w:w="20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at Grant Date</w:t>
            </w:r>
          </w:p>
        </w:tc>
        <w:tc>
          <w:tcPr>
            <w:tcW w:w="1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at Grant Date</w:t>
            </w:r>
          </w:p>
        </w:tc>
        <w:tc>
          <w:tcPr>
            <w:tcW w:w="180" w:type="dxa"/>
            <w:vAlign w:val="bottom"/>
            <w:vMerge w:val="restart"/>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at Grant Date</w:t>
            </w:r>
          </w:p>
        </w:tc>
        <w:tc>
          <w:tcPr>
            <w:tcW w:w="0" w:type="dxa"/>
            <w:vAlign w:val="bottom"/>
          </w:tcPr>
          <w:p>
            <w:pPr>
              <w:spacing w:after="0"/>
              <w:rPr>
                <w:sz w:val="1"/>
                <w:szCs w:val="1"/>
                <w:color w:val="auto"/>
              </w:rPr>
            </w:pPr>
          </w:p>
        </w:tc>
      </w:tr>
      <w:tr>
        <w:trPr>
          <w:trHeight w:val="81"/>
        </w:trPr>
        <w:tc>
          <w:tcPr>
            <w:tcW w:w="2000" w:type="dxa"/>
            <w:vAlign w:val="bottom"/>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ectPr>
          <w:pgSz w:w="12240" w:h="15840" w:orient="portrait"/>
          <w:cols w:equalWidth="0" w:num="1">
            <w:col w:w="10760"/>
          </w:cols>
          <w:pgMar w:left="900" w:top="830" w:right="580" w:bottom="0" w:gutter="0" w:footer="0" w:header="0"/>
        </w:sectPr>
      </w:pPr>
    </w:p>
    <w:tbl>
      <w:tblPr>
        <w:tblLayout w:type="fixed"/>
        <w:tblInd w:w="0" w:type="dxa"/>
        <w:tblCellMar>
          <w:top w:w="0" w:type="dxa"/>
          <w:left w:w="0" w:type="dxa"/>
          <w:bottom w:w="0" w:type="dxa"/>
          <w:right w:w="0" w:type="dxa"/>
        </w:tblCellMar>
      </w:tblPr>
      <w:tr>
        <w:trPr>
          <w:trHeight w:val="292"/>
        </w:trPr>
        <w:tc>
          <w:tcPr>
            <w:tcW w:w="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18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142,314</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28.03 – 32.66</w:t>
            </w:r>
          </w:p>
        </w:tc>
      </w:tr>
      <w:tr>
        <w:trPr>
          <w:trHeight w:val="340"/>
        </w:trPr>
        <w:tc>
          <w:tcPr>
            <w:tcW w:w="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18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104,562</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28.03 – 32.66</w:t>
            </w:r>
          </w:p>
        </w:tc>
      </w:tr>
      <w:tr>
        <w:trPr>
          <w:trHeight w:val="340"/>
        </w:trPr>
        <w:tc>
          <w:tcPr>
            <w:tcW w:w="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18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302,569</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28.03 – 32.66</w:t>
            </w:r>
          </w:p>
        </w:tc>
      </w:tr>
      <w:tr>
        <w:trPr>
          <w:trHeight w:val="340"/>
        </w:trPr>
        <w:tc>
          <w:tcPr>
            <w:tcW w:w="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18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265,719</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28.03 – 32.66</w:t>
            </w:r>
          </w:p>
        </w:tc>
      </w:tr>
      <w:tr>
        <w:trPr>
          <w:trHeight w:val="335"/>
        </w:trPr>
        <w:tc>
          <w:tcPr>
            <w:tcW w:w="1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188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3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184,900</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28.03 – 32.66</w:t>
            </w:r>
          </w:p>
        </w:tc>
      </w:tr>
      <w:tr>
        <w:trPr>
          <w:trHeight w:val="365"/>
        </w:trPr>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1,000,064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28.03 – 32.66</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0"/>
        </w:trPr>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119,849</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23.84 – 29.89</w:t>
            </w:r>
          </w:p>
        </w:tc>
      </w:tr>
      <w:tr>
        <w:trPr>
          <w:trHeight w:val="340"/>
        </w:trPr>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82,538</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23.84 – 29.17</w:t>
            </w:r>
          </w:p>
        </w:tc>
      </w:tr>
      <w:tr>
        <w:trPr>
          <w:trHeight w:val="340"/>
        </w:trPr>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261,493</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23.84 – 30.85</w:t>
            </w:r>
          </w:p>
        </w:tc>
      </w:tr>
      <w:tr>
        <w:trPr>
          <w:trHeight w:val="340"/>
        </w:trPr>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260,149</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23.84 – 29.17</w:t>
            </w:r>
          </w:p>
        </w:tc>
      </w:tr>
      <w:tr>
        <w:trPr>
          <w:trHeight w:val="335"/>
        </w:trPr>
        <w:tc>
          <w:tcPr>
            <w:tcW w:w="13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225,060</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23.84 – 29.17</w:t>
            </w:r>
          </w:p>
        </w:tc>
      </w:tr>
      <w:tr>
        <w:trPr>
          <w:trHeight w:val="365"/>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949,089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23.84 – 30.85</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0"/>
        </w:trPr>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32.98 – 34.37</w:t>
            </w:r>
          </w:p>
        </w:tc>
      </w:tr>
      <w:tr>
        <w:trPr>
          <w:trHeight w:val="340"/>
        </w:trPr>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0"/>
        </w:trPr>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606,853</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32.98 – 35.67</w:t>
            </w:r>
          </w:p>
        </w:tc>
      </w:tr>
      <w:tr>
        <w:trPr>
          <w:trHeight w:val="340"/>
        </w:trPr>
        <w:tc>
          <w:tcPr>
            <w:tcW w:w="13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309,955</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32.98 – 35.67</w:t>
            </w:r>
          </w:p>
        </w:tc>
      </w:tr>
      <w:tr>
        <w:trPr>
          <w:trHeight w:val="335"/>
        </w:trPr>
        <w:tc>
          <w:tcPr>
            <w:tcW w:w="134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157,169</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32.98 – 35.67</w:t>
            </w:r>
          </w:p>
        </w:tc>
      </w:tr>
      <w:tr>
        <w:trPr>
          <w:trHeight w:val="365"/>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1,098,611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32.98 – 35.67</w:t>
            </w:r>
          </w:p>
        </w:tc>
      </w:tr>
    </w:tbl>
    <w:p>
      <w:pPr>
        <w:spacing w:after="0" w:line="127" w:lineRule="exact"/>
        <w:rPr>
          <w:sz w:val="20"/>
          <w:szCs w:val="20"/>
          <w:color w:val="auto"/>
        </w:rPr>
      </w:pPr>
    </w:p>
    <w:p>
      <w:pPr>
        <w:sectPr>
          <w:pgSz w:w="12240" w:h="15840" w:orient="portrait"/>
          <w:cols w:equalWidth="0" w:num="3">
            <w:col w:w="4700" w:space="180"/>
            <w:col w:w="2700" w:space="180"/>
            <w:col w:w="3000"/>
          </w:cols>
          <w:pgMar w:left="900" w:top="830" w:right="580" w:bottom="0" w:gutter="0" w:footer="0" w:header="0"/>
          <w:type w:val="continuous"/>
        </w:sectPr>
      </w:pPr>
    </w:p>
    <w:p>
      <w:pPr>
        <w:ind w:left="180" w:hanging="180"/>
        <w:spacing w:after="0"/>
        <w:tabs>
          <w:tab w:leader="none" w:pos="180" w:val="left"/>
        </w:tabs>
        <w:numPr>
          <w:ilvl w:val="0"/>
          <w:numId w:val="18"/>
        </w:numPr>
        <w:rPr>
          <w:rFonts w:ascii="Times New Roman" w:cs="Times New Roman" w:eastAsia="Times New Roman" w:hAnsi="Times New Roman"/>
          <w:sz w:val="16"/>
          <w:szCs w:val="16"/>
          <w:color w:val="808080"/>
          <w:vertAlign w:val="superscript"/>
        </w:rPr>
      </w:pPr>
      <w:r>
        <w:rPr>
          <w:rFonts w:ascii="Times New Roman" w:cs="Times New Roman" w:eastAsia="Times New Roman" w:hAnsi="Times New Roman"/>
          <w:sz w:val="14"/>
          <w:szCs w:val="14"/>
          <w:color w:val="808080"/>
        </w:rPr>
        <w:t>Each of these awards cliff vest after the restriction period with no additional restrictions.</w:t>
      </w:r>
    </w:p>
    <w:p>
      <w:pPr>
        <w:spacing w:after="0" w:line="234" w:lineRule="exact"/>
        <w:rPr>
          <w:sz w:val="20"/>
          <w:szCs w:val="20"/>
          <w:color w:val="auto"/>
        </w:rPr>
      </w:pPr>
    </w:p>
    <w:p>
      <w:pPr>
        <w:ind w:right="680"/>
        <w:spacing w:after="0" w:line="437" w:lineRule="auto"/>
        <w:rPr>
          <w:sz w:val="20"/>
          <w:szCs w:val="20"/>
          <w:color w:val="auto"/>
        </w:rPr>
      </w:pPr>
      <w:r>
        <w:rPr>
          <w:rFonts w:ascii="Times New Roman" w:cs="Times New Roman" w:eastAsia="Times New Roman" w:hAnsi="Times New Roman"/>
          <w:sz w:val="18"/>
          <w:szCs w:val="18"/>
          <w:color w:val="auto"/>
        </w:rPr>
        <w:t>A summary of restricted share award activity, including award grants, vesting, and forfeitures for the years ended December 31, 2023, 2022, and 2021, are presented in the table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46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345"/>
        </w:trPr>
        <w:tc>
          <w:tcPr>
            <w:tcW w:w="46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 (000)</w:t>
            </w:r>
          </w:p>
        </w:tc>
        <w:tc>
          <w:tcPr>
            <w:tcW w:w="180" w:type="dxa"/>
            <w:vAlign w:val="bottom"/>
          </w:tcPr>
          <w:p>
            <w:pPr>
              <w:spacing w:after="0"/>
              <w:rPr>
                <w:sz w:val="24"/>
                <w:szCs w:val="24"/>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Nonvested, Beginning of Year</w:t>
            </w:r>
          </w:p>
        </w:tc>
        <w:tc>
          <w:tcPr>
            <w:tcW w:w="180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680" w:type="dxa"/>
            <w:vAlign w:val="bottom"/>
            <w:vMerge w:val="continue"/>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80" w:type="dxa"/>
            <w:vAlign w:val="bottom"/>
          </w:tcPr>
          <w:p>
            <w:pPr>
              <w:spacing w:after="0"/>
              <w:rPr>
                <w:sz w:val="24"/>
                <w:szCs w:val="24"/>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3,760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0" w:type="dxa"/>
            <w:vAlign w:val="bottom"/>
          </w:tcPr>
          <w:p>
            <w:pPr>
              <w:spacing w:after="0"/>
              <w:rPr>
                <w:sz w:val="1"/>
                <w:szCs w:val="1"/>
                <w:color w:val="auto"/>
              </w:rPr>
            </w:pPr>
          </w:p>
        </w:tc>
      </w:tr>
      <w:tr>
        <w:trPr>
          <w:trHeight w:val="20"/>
        </w:trPr>
        <w:tc>
          <w:tcPr>
            <w:tcW w:w="4680" w:type="dxa"/>
            <w:vAlign w:val="bottom"/>
            <w:shd w:val="clear" w:color="auto" w:fill="808080"/>
          </w:tcPr>
          <w:p>
            <w:pPr>
              <w:spacing w:after="0" w:line="20" w:lineRule="exact"/>
              <w:rPr>
                <w:sz w:val="1"/>
                <w:szCs w:val="1"/>
                <w:color w:val="auto"/>
              </w:rPr>
            </w:pPr>
          </w:p>
        </w:tc>
        <w:tc>
          <w:tcPr>
            <w:tcW w:w="180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80" w:type="dxa"/>
            <w:vAlign w:val="bottom"/>
          </w:tcPr>
          <w:p>
            <w:pPr>
              <w:spacing w:after="0"/>
              <w:rPr>
                <w:sz w:val="24"/>
                <w:szCs w:val="24"/>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949</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0"/>
        </w:trPr>
        <w:tc>
          <w:tcPr>
            <w:tcW w:w="4680" w:type="dxa"/>
            <w:vAlign w:val="bottom"/>
            <w:shd w:val="clear" w:color="auto" w:fill="808080"/>
          </w:tcPr>
          <w:p>
            <w:pPr>
              <w:spacing w:after="0" w:line="20" w:lineRule="exact"/>
              <w:rPr>
                <w:sz w:val="1"/>
                <w:szCs w:val="1"/>
                <w:color w:val="auto"/>
              </w:rPr>
            </w:pPr>
          </w:p>
        </w:tc>
        <w:tc>
          <w:tcPr>
            <w:tcW w:w="180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80" w:type="dxa"/>
            <w:vAlign w:val="bottom"/>
          </w:tcPr>
          <w:p>
            <w:pPr>
              <w:spacing w:after="0"/>
              <w:rPr>
                <w:sz w:val="24"/>
                <w:szCs w:val="24"/>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(935)</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4680" w:type="dxa"/>
            <w:vAlign w:val="bottom"/>
            <w:shd w:val="clear" w:color="auto" w:fill="808080"/>
          </w:tcPr>
          <w:p>
            <w:pPr>
              <w:spacing w:after="0" w:line="20" w:lineRule="exact"/>
              <w:rPr>
                <w:sz w:val="1"/>
                <w:szCs w:val="1"/>
                <w:color w:val="auto"/>
              </w:rPr>
            </w:pPr>
          </w:p>
        </w:tc>
        <w:tc>
          <w:tcPr>
            <w:tcW w:w="180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24"/>
                <w:szCs w:val="24"/>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4680" w:type="dxa"/>
            <w:vAlign w:val="bottom"/>
            <w:tcBorders>
              <w:top w:val="single" w:sz="8" w:color="808080"/>
            </w:tcBorders>
            <w:vMerge w:val="restart"/>
          </w:tcPr>
          <w:p>
            <w:pPr>
              <w:spacing w:after="0"/>
              <w:rPr>
                <w:sz w:val="20"/>
                <w:szCs w:val="20"/>
                <w:color w:val="auto"/>
              </w:rPr>
            </w:pPr>
            <w:r>
              <w:rPr>
                <w:rFonts w:ascii="Times New Roman" w:cs="Times New Roman" w:eastAsia="Times New Roman" w:hAnsi="Times New Roman"/>
                <w:sz w:val="18"/>
                <w:szCs w:val="18"/>
                <w:color w:val="auto"/>
              </w:rPr>
              <w:t>Nonvested, End of Year</w:t>
            </w:r>
          </w:p>
        </w:tc>
        <w:tc>
          <w:tcPr>
            <w:tcW w:w="1800" w:type="dxa"/>
            <w:vAlign w:val="bottom"/>
            <w:tcBorders>
              <w:top w:val="single" w:sz="8" w:color="4CA5CD"/>
            </w:tcBorders>
            <w:shd w:val="clear" w:color="auto" w:fill="4CA5C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top w:val="single" w:sz="8" w:color="4CA5CD"/>
            </w:tcBorders>
            <w:shd w:val="clear" w:color="auto" w:fill="4CA5C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top w:val="single" w:sz="8" w:color="4CA5CD"/>
            </w:tcBorders>
            <w:shd w:val="clear" w:color="auto" w:fill="4CA5C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680" w:type="dxa"/>
            <w:vAlign w:val="bottom"/>
            <w:vMerge w:val="continue"/>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80" w:type="dxa"/>
            <w:vAlign w:val="bottom"/>
          </w:tcPr>
          <w:p>
            <w:pPr>
              <w:spacing w:after="0"/>
              <w:rPr>
                <w:sz w:val="24"/>
                <w:szCs w:val="24"/>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3,553</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500"/>
        <w:spacing w:after="0" w:line="363" w:lineRule="auto"/>
        <w:rPr>
          <w:sz w:val="20"/>
          <w:szCs w:val="20"/>
          <w:color w:val="auto"/>
        </w:rPr>
      </w:pPr>
      <w:r>
        <w:rPr>
          <w:rFonts w:ascii="Times New Roman" w:cs="Times New Roman" w:eastAsia="Times New Roman" w:hAnsi="Times New Roman"/>
          <w:sz w:val="18"/>
          <w:szCs w:val="18"/>
          <w:color w:val="auto"/>
        </w:rPr>
        <w:t>As of December 31, 2023, there was unearned stock-based compensation of $45,797,227 associated with these restricted stock grants. The unearned stock-based compensation related to these grants is being amortized to compensation expense over the applicable restriction periods. Compensation expense related to restricted stock for the years ended December 31, 2023, 2022 and 2021 was $24,809,834, $21,773,179, and $19,304,013 respectively.</w:t>
      </w:r>
    </w:p>
    <w:p>
      <w:pPr>
        <w:sectPr>
          <w:pgSz w:w="12240" w:h="15840" w:orient="portrait"/>
          <w:cols w:equalWidth="0" w:num="1">
            <w:col w:w="10760"/>
          </w:cols>
          <w:pgMar w:left="900" w:top="830" w:right="5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83</w:t>
      </w:r>
    </w:p>
    <w:p>
      <w:pPr>
        <w:sectPr>
          <w:pgSz w:w="12240" w:h="15840" w:orient="portrait"/>
          <w:cols w:equalWidth="0" w:num="1">
            <w:col w:w="10760"/>
          </w:cols>
          <w:pgMar w:left="900" w:top="830" w:right="580" w:bottom="0" w:gutter="0" w:footer="0" w:header="0"/>
          <w:type w:val="continuous"/>
        </w:sectPr>
      </w:pPr>
    </w:p>
    <w:bookmarkStart w:id="83" w:name="page84"/>
    <w:bookmarkEnd w:id="83"/>
    <w:p>
      <w:pPr>
        <w:ind w:left="320"/>
        <w:spacing w:after="0"/>
        <w:rPr>
          <w:sz w:val="20"/>
          <w:szCs w:val="20"/>
          <w:color w:val="auto"/>
        </w:rPr>
      </w:pPr>
      <w:r>
        <w:rPr>
          <w:rFonts w:ascii="Arial" w:cs="Arial" w:eastAsia="Arial" w:hAnsi="Arial"/>
          <w:sz w:val="22"/>
          <w:szCs w:val="22"/>
          <w:b w:val="1"/>
          <w:bCs w:val="1"/>
          <w:color w:val="4CA5CD"/>
        </w:rPr>
        <w:t>Performance Shares</w:t>
      </w:r>
    </w:p>
    <w:p>
      <w:pPr>
        <w:spacing w:after="0" w:line="191" w:lineRule="exact"/>
        <w:rPr>
          <w:sz w:val="20"/>
          <w:szCs w:val="20"/>
          <w:color w:val="auto"/>
        </w:rPr>
      </w:pPr>
    </w:p>
    <w:p>
      <w:pPr>
        <w:ind w:left="320" w:right="240"/>
        <w:spacing w:after="0" w:line="338" w:lineRule="auto"/>
        <w:rPr>
          <w:sz w:val="20"/>
          <w:szCs w:val="20"/>
          <w:color w:val="auto"/>
        </w:rPr>
      </w:pPr>
      <w:r>
        <w:rPr>
          <w:rFonts w:ascii="Times New Roman" w:cs="Times New Roman" w:eastAsia="Times New Roman" w:hAnsi="Times New Roman"/>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closing stock price on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 As of December 31, 2023, the Company had unearned stock-based compensation of $16,118,617 associated with these performance share grants. The unearned stock-based compensation related to these grants is being amortized to compensation expense over the applicable performance periods. Compensation expense related to performance share grants for the years ended December 31, 2023, 2022, and 2021 was $5,882,458, $1,246,369, and $1,573,831, respectively.</w:t>
      </w:r>
    </w:p>
    <w:p>
      <w:pPr>
        <w:spacing w:after="0" w:line="77" w:lineRule="exact"/>
        <w:rPr>
          <w:sz w:val="20"/>
          <w:szCs w:val="20"/>
          <w:color w:val="auto"/>
        </w:rPr>
      </w:pPr>
    </w:p>
    <w:p>
      <w:pPr>
        <w:ind w:left="320" w:right="20"/>
        <w:spacing w:after="0" w:line="343" w:lineRule="auto"/>
        <w:rPr>
          <w:sz w:val="20"/>
          <w:szCs w:val="20"/>
          <w:color w:val="auto"/>
        </w:rPr>
      </w:pPr>
      <w:r>
        <w:rPr>
          <w:rFonts w:ascii="Times New Roman" w:cs="Times New Roman" w:eastAsia="Times New Roman" w:hAnsi="Times New Roman"/>
          <w:sz w:val="18"/>
          <w:szCs w:val="18"/>
          <w:color w:val="auto"/>
        </w:rPr>
        <w:t>As part of its objective of attracting and retaining management to fulfill the Company’s strategic goals, the Compensation Committee recommended and the Board approved on February 16, 2023, a retention grant of performance share awards (“PSAs”). In addition to the retention of management, the PSAs have been granted to further align management goals with those of the Company’s shareholders. For that reason, the PSAs have been granted with performance criteria and will be based upon achievement of the Company’s relative total shareholder return (“TSR”) over a four year period (2023-2026), against a predetermined peer group. The grant date fair value of PSAs with TSR targets was determined using a Monte Carlo simulation. Compensation expense related to these retention grants for the year ended December 31, 2023 was $1,526,983.</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4CA5CD"/>
        </w:rPr>
        <w:t>Employee Stock Purchase Plan</w:t>
      </w:r>
    </w:p>
    <w:p>
      <w:pPr>
        <w:spacing w:after="0" w:line="191" w:lineRule="exact"/>
        <w:rPr>
          <w:sz w:val="20"/>
          <w:szCs w:val="20"/>
          <w:color w:val="auto"/>
        </w:rPr>
      </w:pPr>
    </w:p>
    <w:p>
      <w:pPr>
        <w:ind w:left="320" w:right="120"/>
        <w:spacing w:after="0" w:line="353" w:lineRule="auto"/>
        <w:rPr>
          <w:sz w:val="20"/>
          <w:szCs w:val="20"/>
          <w:color w:val="auto"/>
        </w:rPr>
      </w:pPr>
      <w:r>
        <w:rPr>
          <w:rFonts w:ascii="Times New Roman" w:cs="Times New Roman" w:eastAsia="Times New Roman" w:hAnsi="Times New Roman"/>
          <w:sz w:val="18"/>
          <w:szCs w:val="18"/>
          <w:color w:val="auto"/>
        </w:rPr>
        <w:t>Prior to July 1, 2022, the Company had in place an employee stock purchase plan covering 2,000,000 shares of common stock, which was approved by shareholders including amendments thereto. In May 2022, the 2022 Gentex Corporation Employee Stock Purchase Plan covering 2,000,000 shares of common stock was approved by shareholders, replacing the above referenced prior plan effective July 1, 2022. Under such plans, the Company sold or sells shares at 85% of the stock’s market price at the date of purchase. In accordance with ASC 718, the 15% discounted value is recognized as compensation expense.</w:t>
      </w:r>
    </w:p>
    <w:p>
      <w:pPr>
        <w:spacing w:after="0" w:line="58" w:lineRule="exact"/>
        <w:rPr>
          <w:sz w:val="20"/>
          <w:szCs w:val="20"/>
          <w:color w:val="auto"/>
        </w:rPr>
      </w:pPr>
    </w:p>
    <w:p>
      <w:pPr>
        <w:jc w:val="both"/>
        <w:ind w:left="320" w:right="340"/>
        <w:spacing w:after="0" w:line="381" w:lineRule="auto"/>
        <w:rPr>
          <w:sz w:val="20"/>
          <w:szCs w:val="20"/>
          <w:color w:val="auto"/>
        </w:rPr>
      </w:pPr>
      <w:r>
        <w:rPr>
          <w:rFonts w:ascii="Times New Roman" w:cs="Times New Roman" w:eastAsia="Times New Roman" w:hAnsi="Times New Roman"/>
          <w:sz w:val="18"/>
          <w:szCs w:val="18"/>
          <w:color w:val="auto"/>
        </w:rPr>
        <w:t>Compensation expense related to the employee stock purchase plans for the years ended December 31, 2023, 2022, and 2021 was $882,294, $906,478, and $713,912, respectively. The following table summarizes shares sold to employees under the 2022 and prior plan in the years ended December 31, 2023, 2022 and 2021:</w:t>
      </w:r>
    </w:p>
    <w:p>
      <w:pPr>
        <w:spacing w:after="0" w:line="48" w:lineRule="exact"/>
        <w:rPr>
          <w:sz w:val="20"/>
          <w:szCs w:val="20"/>
          <w:color w:val="auto"/>
        </w:rPr>
      </w:pPr>
    </w:p>
    <w:tbl>
      <w:tblPr>
        <w:tblLayout w:type="fixed"/>
        <w:tblInd w:w="32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Cumulative Shares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14"/>
        </w:trPr>
        <w:tc>
          <w:tcPr>
            <w:tcW w:w="388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260" w:type="dxa"/>
            <w:vAlign w:val="bottom"/>
            <w:tcBorders>
              <w:bottom w:val="single" w:sz="8" w:color="808080"/>
            </w:tcBorders>
          </w:tcPr>
          <w:p>
            <w:pPr>
              <w:spacing w:after="0"/>
              <w:rPr>
                <w:sz w:val="18"/>
                <w:szCs w:val="18"/>
                <w:color w:val="auto"/>
              </w:rPr>
            </w:pPr>
          </w:p>
        </w:tc>
        <w:tc>
          <w:tcPr>
            <w:tcW w:w="12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2023</w:t>
            </w:r>
          </w:p>
        </w:tc>
      </w:tr>
      <w:tr>
        <w:trPr>
          <w:trHeight w:val="34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2022 Employee Stock 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194,241</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94,111</w:t>
            </w:r>
          </w:p>
        </w:tc>
        <w:tc>
          <w:tcPr>
            <w:tcW w:w="18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288,352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r>
      <w:tr>
        <w:trPr>
          <w:trHeight w:val="20"/>
        </w:trPr>
        <w:tc>
          <w:tcPr>
            <w:tcW w:w="3880" w:type="dxa"/>
            <w:vAlign w:val="bottom"/>
            <w:shd w:val="clear" w:color="auto" w:fill="808080"/>
          </w:tcPr>
          <w:p>
            <w:pPr>
              <w:spacing w:after="0" w:line="20" w:lineRule="exact"/>
              <w:rPr>
                <w:sz w:val="1"/>
                <w:szCs w:val="1"/>
                <w:color w:val="auto"/>
              </w:rPr>
            </w:pPr>
          </w:p>
        </w:tc>
        <w:tc>
          <w:tcPr>
            <w:tcW w:w="98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808080"/>
          </w:tcPr>
          <w:p>
            <w:pPr>
              <w:spacing w:after="0" w:line="20" w:lineRule="exact"/>
              <w:rPr>
                <w:sz w:val="1"/>
                <w:szCs w:val="1"/>
                <w:color w:val="auto"/>
              </w:rPr>
            </w:pPr>
          </w:p>
        </w:tc>
        <w:tc>
          <w:tcPr>
            <w:tcW w:w="260" w:type="dxa"/>
            <w:vAlign w:val="bottom"/>
            <w:shd w:val="clear" w:color="auto" w:fill="808080"/>
          </w:tcPr>
          <w:p>
            <w:pPr>
              <w:spacing w:after="0" w:line="20" w:lineRule="exact"/>
              <w:rPr>
                <w:sz w:val="1"/>
                <w:szCs w:val="1"/>
                <w:color w:val="auto"/>
              </w:rPr>
            </w:pPr>
          </w:p>
        </w:tc>
        <w:tc>
          <w:tcPr>
            <w:tcW w:w="1260" w:type="dxa"/>
            <w:vAlign w:val="bottom"/>
            <w:shd w:val="clear" w:color="auto" w:fill="808080"/>
          </w:tcPr>
          <w:p>
            <w:pPr>
              <w:spacing w:after="0" w:line="20" w:lineRule="exact"/>
              <w:rPr>
                <w:sz w:val="1"/>
                <w:szCs w:val="1"/>
                <w:color w:val="auto"/>
              </w:rPr>
            </w:pPr>
          </w:p>
        </w:tc>
      </w:tr>
      <w:tr>
        <w:trPr>
          <w:trHeight w:val="335"/>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Prior Employee Stock Purchase Plan</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126,101</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143,892</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1,624,122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80" w:type="dxa"/>
            <w:vAlign w:val="bottom"/>
          </w:tcPr>
          <w:p>
            <w:pPr>
              <w:spacing w:after="0" w:line="20" w:lineRule="exact"/>
              <w:rPr>
                <w:sz w:val="1"/>
                <w:szCs w:val="1"/>
                <w:color w:val="auto"/>
              </w:rPr>
            </w:pPr>
          </w:p>
        </w:tc>
        <w:tc>
          <w:tcPr>
            <w:tcW w:w="980" w:type="dxa"/>
            <w:vAlign w:val="bottom"/>
            <w:shd w:val="clear" w:color="auto" w:fill="4CA5C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4CA5CD"/>
          </w:tcPr>
          <w:p>
            <w:pPr>
              <w:spacing w:after="0" w:line="20" w:lineRule="exact"/>
              <w:rPr>
                <w:sz w:val="1"/>
                <w:szCs w:val="1"/>
                <w:color w:val="auto"/>
              </w:rPr>
            </w:pPr>
          </w:p>
        </w:tc>
        <w:tc>
          <w:tcPr>
            <w:tcW w:w="180" w:type="dxa"/>
            <w:vAlign w:val="bottom"/>
            <w:tcBorders>
              <w:left w:val="single" w:sz="8" w:color="4CA5CD"/>
            </w:tcBorders>
          </w:tcPr>
          <w:p>
            <w:pPr>
              <w:spacing w:after="0" w:line="20" w:lineRule="exact"/>
              <w:rPr>
                <w:sz w:val="1"/>
                <w:szCs w:val="1"/>
                <w:color w:val="auto"/>
              </w:rPr>
            </w:pPr>
          </w:p>
        </w:tc>
        <w:tc>
          <w:tcPr>
            <w:tcW w:w="980" w:type="dxa"/>
            <w:vAlign w:val="bottom"/>
            <w:shd w:val="clear" w:color="auto" w:fill="4CA5CD"/>
          </w:tcPr>
          <w:p>
            <w:pPr>
              <w:spacing w:after="0" w:line="20" w:lineRule="exact"/>
              <w:rPr>
                <w:sz w:val="1"/>
                <w:szCs w:val="1"/>
                <w:color w:val="auto"/>
              </w:rPr>
            </w:pPr>
          </w:p>
        </w:tc>
        <w:tc>
          <w:tcPr>
            <w:tcW w:w="180" w:type="dxa"/>
            <w:vAlign w:val="bottom"/>
            <w:tcBorders>
              <w:left w:val="single" w:sz="8" w:color="4CA5CD"/>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404040"/>
        </w:rPr>
        <w:t>( 6 )  C O M M I T M E N T S  A N D  C O N T I N G E N C I E S</w:t>
      </w:r>
    </w:p>
    <w:p>
      <w:pPr>
        <w:spacing w:after="0" w:line="263" w:lineRule="exact"/>
        <w:rPr>
          <w:sz w:val="20"/>
          <w:szCs w:val="20"/>
          <w:color w:val="auto"/>
        </w:rPr>
      </w:pPr>
    </w:p>
    <w:p>
      <w:pPr>
        <w:ind w:left="320" w:right="280"/>
        <w:spacing w:after="0" w:line="381" w:lineRule="auto"/>
        <w:rPr>
          <w:sz w:val="20"/>
          <w:szCs w:val="20"/>
          <w:color w:val="auto"/>
        </w:rPr>
      </w:pPr>
      <w:r>
        <w:rPr>
          <w:rFonts w:ascii="Times New Roman" w:cs="Times New Roman" w:eastAsia="Times New Roman" w:hAnsi="Times New Roman"/>
          <w:sz w:val="18"/>
          <w:szCs w:val="18"/>
          <w:color w:val="auto"/>
        </w:rPr>
        <w:t>On October 4, 2023, the Company entered into a Stock Purchase Agreement to acquire up to 3,137,500 shares of VOXX Class A Common Stock. As part of this agreement, the Company agreed to purchase 1,568,750 shares of Class A Common Stock at a price of $10 per share on January 5, 2024.</w:t>
      </w:r>
    </w:p>
    <w:p>
      <w:pPr>
        <w:spacing w:after="0" w:line="34" w:lineRule="exact"/>
        <w:rPr>
          <w:sz w:val="20"/>
          <w:szCs w:val="20"/>
          <w:color w:val="auto"/>
        </w:rPr>
      </w:pPr>
    </w:p>
    <w:p>
      <w:pPr>
        <w:ind w:left="320" w:right="240"/>
        <w:spacing w:after="0" w:line="352" w:lineRule="auto"/>
        <w:rPr>
          <w:sz w:val="20"/>
          <w:szCs w:val="20"/>
          <w:color w:val="auto"/>
        </w:rPr>
      </w:pPr>
      <w:r>
        <w:rPr>
          <w:rFonts w:ascii="Times New Roman" w:cs="Times New Roman" w:eastAsia="Times New Roman" w:hAnsi="Times New Roman"/>
          <w:sz w:val="18"/>
          <w:szCs w:val="18"/>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matters that constitute material pending legal proceedings that will have a material adverse effect on the financial position, future results of operations, or cash flows of the Company.</w:t>
      </w:r>
    </w:p>
    <w:p>
      <w:pPr>
        <w:sectPr>
          <w:pgSz w:w="12240" w:h="15840" w:orient="portrait"/>
          <w:cols w:equalWidth="0" w:num="1">
            <w:col w:w="10760"/>
          </w:cols>
          <w:pgMar w:left="580" w:top="83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84</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30" w:right="900" w:bottom="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color w:val="404040"/>
        </w:rPr>
        <w:t>( 7 )  S E G M E N T  R E P O R T I N G</w:t>
      </w:r>
    </w:p>
    <w:p>
      <w:pPr>
        <w:spacing w:after="0" w:line="263" w:lineRule="exact"/>
        <w:rPr>
          <w:sz w:val="20"/>
          <w:szCs w:val="20"/>
          <w:color w:val="auto"/>
        </w:rPr>
      </w:pPr>
    </w:p>
    <w:p>
      <w:pPr>
        <w:ind w:right="520"/>
        <w:spacing w:after="0" w:line="362" w:lineRule="auto"/>
        <w:rPr>
          <w:sz w:val="20"/>
          <w:szCs w:val="20"/>
          <w:color w:val="auto"/>
        </w:rPr>
      </w:pPr>
      <w:r>
        <w:rPr>
          <w:rFonts w:ascii="Times New Roman" w:cs="Times New Roman" w:eastAsia="Times New Roman" w:hAnsi="Times New Roman"/>
          <w:sz w:val="18"/>
          <w:szCs w:val="18"/>
          <w:color w:val="auto"/>
        </w:rPr>
        <w:t>ASC 280, Segment Reporting, requires that a public enterprise report financial and descriptive information about its reportable operating segments subject to certain aggregation criteria and quantitative thresholds. Operating segments are defined by ASC 280 as components of an enterprise about which separate financial information is available that is evaluated regularly by the chief operating decision-makers in deciding how to allocate resources and in assessing performance.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4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8"/>
        </w:trPr>
        <w:tc>
          <w:tcPr>
            <w:tcW w:w="4680" w:type="dxa"/>
            <w:vAlign w:val="bottom"/>
          </w:tcPr>
          <w:p>
            <w:pPr>
              <w:ind w:left="180"/>
              <w:spacing w:after="0"/>
              <w:rPr>
                <w:sz w:val="20"/>
                <w:szCs w:val="20"/>
                <w:color w:val="auto"/>
              </w:rPr>
            </w:pPr>
            <w:r>
              <w:rPr>
                <w:rFonts w:ascii="Arial" w:cs="Arial" w:eastAsia="Arial" w:hAnsi="Arial"/>
                <w:sz w:val="17"/>
                <w:szCs w:val="17"/>
                <w:b w:val="1"/>
                <w:bCs w:val="1"/>
                <w:color w:val="808080"/>
              </w:rPr>
              <w:t>REVENUE:</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27"/>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Automotive Products</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r>
        <w:trPr>
          <w:trHeight w:val="340"/>
        </w:trPr>
        <w:tc>
          <w:tcPr>
            <w:tcW w:w="46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688,164,335</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579,531,611</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542,690,346</w:t>
            </w:r>
          </w:p>
        </w:tc>
      </w:tr>
      <w:tr>
        <w:trPr>
          <w:trHeight w:val="340"/>
        </w:trPr>
        <w:tc>
          <w:tcPr>
            <w:tcW w:w="46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Germany</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294,529,611</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266,498,398</w:t>
            </w:r>
          </w:p>
        </w:tc>
        <w:tc>
          <w:tcPr>
            <w:tcW w:w="5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234,994,551</w:t>
            </w:r>
          </w:p>
        </w:tc>
      </w:tr>
      <w:tr>
        <w:trPr>
          <w:trHeight w:val="340"/>
        </w:trPr>
        <w:tc>
          <w:tcPr>
            <w:tcW w:w="46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Japan</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323,872,022</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234,888,653</w:t>
            </w:r>
          </w:p>
        </w:tc>
        <w:tc>
          <w:tcPr>
            <w:tcW w:w="5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211,417,475</w:t>
            </w:r>
          </w:p>
        </w:tc>
      </w:tr>
      <w:tr>
        <w:trPr>
          <w:trHeight w:val="340"/>
        </w:trPr>
        <w:tc>
          <w:tcPr>
            <w:tcW w:w="46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Mexico</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142,082,011</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121,553,711</w:t>
            </w:r>
          </w:p>
        </w:tc>
        <w:tc>
          <w:tcPr>
            <w:tcW w:w="5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111,761,245</w:t>
            </w:r>
          </w:p>
        </w:tc>
      </w:tr>
      <w:tr>
        <w:trPr>
          <w:trHeight w:val="340"/>
        </w:trPr>
        <w:tc>
          <w:tcPr>
            <w:tcW w:w="46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Republic of Korea</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149,554,788</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95,395,479</w:t>
            </w:r>
          </w:p>
        </w:tc>
        <w:tc>
          <w:tcPr>
            <w:tcW w:w="5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67,219,836</w:t>
            </w:r>
          </w:p>
        </w:tc>
      </w:tr>
      <w:tr>
        <w:trPr>
          <w:trHeight w:val="340"/>
        </w:trPr>
        <w:tc>
          <w:tcPr>
            <w:tcW w:w="46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Other Countries</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656,457,524</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576,874,606</w:t>
            </w:r>
          </w:p>
        </w:tc>
        <w:tc>
          <w:tcPr>
            <w:tcW w:w="5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529,104,581</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44,554,753</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44,215,585</w:t>
            </w:r>
          </w:p>
        </w:tc>
        <w:tc>
          <w:tcPr>
            <w:tcW w:w="52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33,981,895</w:t>
            </w:r>
          </w:p>
        </w:tc>
      </w:tr>
      <w:tr>
        <w:trPr>
          <w:trHeight w:val="335"/>
        </w:trPr>
        <w:tc>
          <w:tcPr>
            <w:tcW w:w="4680" w:type="dxa"/>
            <w:vAlign w:val="bottom"/>
            <w:tcBorders>
              <w:bottom w:val="single" w:sz="8" w:color="808080"/>
            </w:tcBorders>
          </w:tcPr>
          <w:p>
            <w:pPr>
              <w:ind w:left="108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2,299,215,044</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1,918,958,043</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1,731,169,929</w:t>
            </w:r>
          </w:p>
        </w:tc>
      </w:tr>
      <w:tr>
        <w:trPr>
          <w:trHeight w:val="263"/>
        </w:trPr>
        <w:tc>
          <w:tcPr>
            <w:tcW w:w="4680" w:type="dxa"/>
            <w:vAlign w:val="bottom"/>
          </w:tcPr>
          <w:p>
            <w:pPr>
              <w:ind w:left="180"/>
              <w:spacing w:after="0"/>
              <w:rPr>
                <w:sz w:val="20"/>
                <w:szCs w:val="20"/>
                <w:color w:val="auto"/>
              </w:rPr>
            </w:pPr>
            <w:r>
              <w:rPr>
                <w:rFonts w:ascii="Arial" w:cs="Arial" w:eastAsia="Arial" w:hAnsi="Arial"/>
                <w:sz w:val="17"/>
                <w:szCs w:val="17"/>
                <w:b w:val="1"/>
                <w:bCs w:val="1"/>
                <w:color w:val="808080"/>
              </w:rPr>
              <w:t>INCOME (LOSS) FROM OPERATIONS:</w:t>
            </w: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67"/>
        </w:trPr>
        <w:tc>
          <w:tcPr>
            <w:tcW w:w="468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360" w:type="dxa"/>
            <w:vAlign w:val="bottom"/>
            <w:tcBorders>
              <w:bottom w:val="single" w:sz="8" w:color="808080"/>
            </w:tcBorders>
          </w:tcPr>
          <w:p>
            <w:pPr>
              <w:spacing w:after="0"/>
              <w:rPr>
                <w:sz w:val="5"/>
                <w:szCs w:val="5"/>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Automotive Products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495,650,700</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372,490,748</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414,185,075</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80,353</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(2,484,622)</w:t>
            </w:r>
          </w:p>
        </w:tc>
        <w:tc>
          <w:tcPr>
            <w:tcW w:w="52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(4,403,097)</w:t>
            </w:r>
          </w:p>
        </w:tc>
      </w:tr>
      <w:tr>
        <w:trPr>
          <w:trHeight w:val="33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495,731,053</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370,006,126</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409,781,978</w:t>
            </w:r>
          </w:p>
        </w:tc>
      </w:tr>
      <w:tr>
        <w:trPr>
          <w:trHeight w:val="263"/>
        </w:trPr>
        <w:tc>
          <w:tcPr>
            <w:tcW w:w="4680" w:type="dxa"/>
            <w:vAlign w:val="bottom"/>
          </w:tcPr>
          <w:p>
            <w:pPr>
              <w:ind w:left="180"/>
              <w:spacing w:after="0"/>
              <w:rPr>
                <w:sz w:val="20"/>
                <w:szCs w:val="20"/>
                <w:color w:val="auto"/>
              </w:rPr>
            </w:pPr>
            <w:r>
              <w:rPr>
                <w:rFonts w:ascii="Arial" w:cs="Arial" w:eastAsia="Arial" w:hAnsi="Arial"/>
                <w:sz w:val="17"/>
                <w:szCs w:val="17"/>
                <w:b w:val="1"/>
                <w:bCs w:val="1"/>
                <w:color w:val="808080"/>
              </w:rPr>
              <w:t>ASSETS:</w:t>
            </w: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67"/>
        </w:trPr>
        <w:tc>
          <w:tcPr>
            <w:tcW w:w="468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360" w:type="dxa"/>
            <w:vAlign w:val="bottom"/>
            <w:tcBorders>
              <w:bottom w:val="single" w:sz="8" w:color="808080"/>
            </w:tcBorders>
          </w:tcPr>
          <w:p>
            <w:pPr>
              <w:spacing w:after="0"/>
              <w:rPr>
                <w:sz w:val="5"/>
                <w:szCs w:val="5"/>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Automotive Products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1,782,342,705</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1,670,634,277</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1,495,298,453</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85,610,250</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43,025,905</w:t>
            </w:r>
          </w:p>
        </w:tc>
        <w:tc>
          <w:tcPr>
            <w:tcW w:w="5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34,760,744</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743,484,597</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613,569,742</w:t>
            </w:r>
          </w:p>
        </w:tc>
        <w:tc>
          <w:tcPr>
            <w:tcW w:w="52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601,331,969</w:t>
            </w:r>
          </w:p>
        </w:tc>
      </w:tr>
      <w:tr>
        <w:trPr>
          <w:trHeight w:val="33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2,611,437,552</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2,327,229,924</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2,131,391,166</w:t>
            </w:r>
          </w:p>
        </w:tc>
      </w:tr>
      <w:tr>
        <w:trPr>
          <w:trHeight w:val="263"/>
        </w:trPr>
        <w:tc>
          <w:tcPr>
            <w:tcW w:w="4680" w:type="dxa"/>
            <w:vAlign w:val="bottom"/>
          </w:tcPr>
          <w:p>
            <w:pPr>
              <w:ind w:left="180"/>
              <w:spacing w:after="0"/>
              <w:rPr>
                <w:sz w:val="20"/>
                <w:szCs w:val="20"/>
                <w:color w:val="auto"/>
              </w:rPr>
            </w:pPr>
            <w:r>
              <w:rPr>
                <w:rFonts w:ascii="Arial" w:cs="Arial" w:eastAsia="Arial" w:hAnsi="Arial"/>
                <w:sz w:val="17"/>
                <w:szCs w:val="17"/>
                <w:b w:val="1"/>
                <w:bCs w:val="1"/>
                <w:color w:val="808080"/>
              </w:rPr>
              <w:t>DEPRECIATION &amp; AMORTIZATION:</w:t>
            </w: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67"/>
        </w:trPr>
        <w:tc>
          <w:tcPr>
            <w:tcW w:w="468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360" w:type="dxa"/>
            <w:vAlign w:val="bottom"/>
            <w:tcBorders>
              <w:bottom w:val="single" w:sz="8" w:color="808080"/>
            </w:tcBorders>
          </w:tcPr>
          <w:p>
            <w:pPr>
              <w:spacing w:after="0"/>
              <w:rPr>
                <w:sz w:val="5"/>
                <w:szCs w:val="5"/>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Automotive Products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87,123,055</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90,030,087</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92,516,347</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1,231,061</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1,056,510</w:t>
            </w:r>
          </w:p>
        </w:tc>
        <w:tc>
          <w:tcPr>
            <w:tcW w:w="5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913,451</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4,967,076</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5,481,846</w:t>
            </w:r>
          </w:p>
        </w:tc>
        <w:tc>
          <w:tcPr>
            <w:tcW w:w="52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5,682,221</w:t>
            </w:r>
          </w:p>
        </w:tc>
      </w:tr>
      <w:tr>
        <w:trPr>
          <w:trHeight w:val="33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93,321,192</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96,568,443</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99,112,019</w:t>
            </w:r>
          </w:p>
        </w:tc>
      </w:tr>
      <w:tr>
        <w:trPr>
          <w:trHeight w:val="263"/>
        </w:trPr>
        <w:tc>
          <w:tcPr>
            <w:tcW w:w="4680" w:type="dxa"/>
            <w:vAlign w:val="bottom"/>
          </w:tcPr>
          <w:p>
            <w:pPr>
              <w:ind w:left="180"/>
              <w:spacing w:after="0"/>
              <w:rPr>
                <w:sz w:val="20"/>
                <w:szCs w:val="20"/>
                <w:color w:val="auto"/>
              </w:rPr>
            </w:pPr>
            <w:r>
              <w:rPr>
                <w:rFonts w:ascii="Arial" w:cs="Arial" w:eastAsia="Arial" w:hAnsi="Arial"/>
                <w:sz w:val="17"/>
                <w:szCs w:val="17"/>
                <w:b w:val="1"/>
                <w:bCs w:val="1"/>
                <w:color w:val="808080"/>
              </w:rPr>
              <w:t>CAPITAL EXPENDITURES:</w:t>
            </w: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67"/>
        </w:trPr>
        <w:tc>
          <w:tcPr>
            <w:tcW w:w="468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360" w:type="dxa"/>
            <w:vAlign w:val="bottom"/>
            <w:tcBorders>
              <w:bottom w:val="single" w:sz="8" w:color="808080"/>
            </w:tcBorders>
          </w:tcPr>
          <w:p>
            <w:pPr>
              <w:spacing w:after="0"/>
              <w:rPr>
                <w:sz w:val="5"/>
                <w:szCs w:val="5"/>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Automotive Products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163,070,404</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141,166,506</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58,415,887</w:t>
            </w: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3,827,880</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2,356,910</w:t>
            </w:r>
          </w:p>
        </w:tc>
        <w:tc>
          <w:tcPr>
            <w:tcW w:w="5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1,467,962</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Corporate</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16,780,176</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2,909,707</w:t>
            </w:r>
          </w:p>
        </w:tc>
        <w:tc>
          <w:tcPr>
            <w:tcW w:w="52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8,951,198</w:t>
            </w:r>
          </w:p>
        </w:tc>
      </w:tr>
      <w:tr>
        <w:trPr>
          <w:trHeight w:val="310"/>
        </w:trPr>
        <w:tc>
          <w:tcPr>
            <w:tcW w:w="4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183,678,460</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146,433,123</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68,835,047</w:t>
            </w:r>
          </w:p>
        </w:tc>
      </w:tr>
      <w:tr>
        <w:trPr>
          <w:trHeight w:val="20"/>
        </w:trPr>
        <w:tc>
          <w:tcPr>
            <w:tcW w:w="4680" w:type="dxa"/>
            <w:vAlign w:val="bottom"/>
          </w:tcPr>
          <w:p>
            <w:pPr>
              <w:spacing w:after="0" w:line="20" w:lineRule="exact"/>
              <w:rPr>
                <w:sz w:val="1"/>
                <w:szCs w:val="1"/>
                <w:color w:val="auto"/>
              </w:rPr>
            </w:pPr>
          </w:p>
        </w:tc>
        <w:tc>
          <w:tcPr>
            <w:tcW w:w="440" w:type="dxa"/>
            <w:vAlign w:val="bottom"/>
            <w:tcBorders>
              <w:bottom w:val="single" w:sz="8" w:color="4CA5CD"/>
            </w:tcBorders>
          </w:tcPr>
          <w:p>
            <w:pPr>
              <w:spacing w:after="0" w:line="20" w:lineRule="exact"/>
              <w:rPr>
                <w:sz w:val="1"/>
                <w:szCs w:val="1"/>
                <w:color w:val="auto"/>
              </w:rPr>
            </w:pPr>
          </w:p>
        </w:tc>
        <w:tc>
          <w:tcPr>
            <w:tcW w:w="1460" w:type="dxa"/>
            <w:vAlign w:val="bottom"/>
            <w:tcBorders>
              <w:bottom w:val="single" w:sz="8" w:color="4CA5CD"/>
            </w:tcBorders>
          </w:tcPr>
          <w:p>
            <w:pPr>
              <w:spacing w:after="0" w:line="20" w:lineRule="exact"/>
              <w:rPr>
                <w:sz w:val="1"/>
                <w:szCs w:val="1"/>
                <w:color w:val="auto"/>
              </w:rPr>
            </w:pPr>
          </w:p>
        </w:tc>
        <w:tc>
          <w:tcPr>
            <w:tcW w:w="520" w:type="dxa"/>
            <w:vAlign w:val="bottom"/>
            <w:tcBorders>
              <w:bottom w:val="single" w:sz="8" w:color="4CA5CD"/>
            </w:tcBorders>
          </w:tcPr>
          <w:p>
            <w:pPr>
              <w:spacing w:after="0" w:line="20" w:lineRule="exact"/>
              <w:rPr>
                <w:sz w:val="1"/>
                <w:szCs w:val="1"/>
                <w:color w:val="auto"/>
              </w:rPr>
            </w:pPr>
          </w:p>
        </w:tc>
        <w:tc>
          <w:tcPr>
            <w:tcW w:w="1460" w:type="dxa"/>
            <w:vAlign w:val="bottom"/>
            <w:tcBorders>
              <w:bottom w:val="single" w:sz="8" w:color="4CA5CD"/>
            </w:tcBorders>
          </w:tcPr>
          <w:p>
            <w:pPr>
              <w:spacing w:after="0" w:line="20" w:lineRule="exact"/>
              <w:rPr>
                <w:sz w:val="1"/>
                <w:szCs w:val="1"/>
                <w:color w:val="auto"/>
              </w:rPr>
            </w:pPr>
          </w:p>
        </w:tc>
        <w:tc>
          <w:tcPr>
            <w:tcW w:w="520" w:type="dxa"/>
            <w:vAlign w:val="bottom"/>
            <w:tcBorders>
              <w:bottom w:val="single" w:sz="8" w:color="4CA5CD"/>
            </w:tcBorders>
          </w:tcPr>
          <w:p>
            <w:pPr>
              <w:spacing w:after="0" w:line="20" w:lineRule="exact"/>
              <w:rPr>
                <w:sz w:val="1"/>
                <w:szCs w:val="1"/>
                <w:color w:val="auto"/>
              </w:rPr>
            </w:pPr>
          </w:p>
        </w:tc>
        <w:tc>
          <w:tcPr>
            <w:tcW w:w="136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1307"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85</w:t>
      </w:r>
    </w:p>
    <w:p>
      <w:pPr>
        <w:sectPr>
          <w:pgSz w:w="12240" w:h="15840" w:orient="portrait"/>
          <w:cols w:equalWidth="0" w:num="1">
            <w:col w:w="10760"/>
          </w:cols>
          <w:pgMar w:left="900" w:top="1307" w:right="580" w:bottom="0" w:gutter="0" w:footer="0" w:header="0"/>
          <w:type w:val="continuous"/>
        </w:sectPr>
      </w:pPr>
    </w:p>
    <w:bookmarkStart w:id="85" w:name="page86"/>
    <w:bookmarkEnd w:id="85"/>
    <w:p>
      <w:pPr>
        <w:ind w:left="320" w:right="180"/>
        <w:spacing w:after="0" w:line="437" w:lineRule="auto"/>
        <w:rPr>
          <w:sz w:val="20"/>
          <w:szCs w:val="20"/>
          <w:color w:val="auto"/>
        </w:rPr>
      </w:pPr>
      <w:r>
        <w:rPr>
          <w:rFonts w:ascii="Times New Roman" w:cs="Times New Roman" w:eastAsia="Times New Roman" w:hAnsi="Times New Roman"/>
          <w:sz w:val="18"/>
          <w:szCs w:val="18"/>
          <w:color w:val="auto"/>
        </w:rPr>
        <w:t>Other includes Dimmable Aircraft Windows, Fire Protection Products, Nanofiber, and Medical. Major product line revenues included within the Automotive Products segment are as follows:</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4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6"/>
        </w:trPr>
        <w:tc>
          <w:tcPr>
            <w:tcW w:w="4680" w:type="dxa"/>
            <w:vAlign w:val="bottom"/>
          </w:tcPr>
          <w:p>
            <w:pPr>
              <w:ind w:left="180"/>
              <w:spacing w:after="0"/>
              <w:rPr>
                <w:sz w:val="20"/>
                <w:szCs w:val="20"/>
                <w:color w:val="auto"/>
              </w:rPr>
            </w:pPr>
            <w:r>
              <w:rPr>
                <w:rFonts w:ascii="Arial" w:cs="Arial" w:eastAsia="Arial" w:hAnsi="Arial"/>
                <w:sz w:val="17"/>
                <w:szCs w:val="17"/>
                <w:b w:val="1"/>
                <w:bCs w:val="1"/>
                <w:color w:val="808080"/>
              </w:rPr>
              <w:t>AUTOMOTIVE PRODUCTS</w:t>
            </w: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69"/>
        </w:trPr>
        <w:tc>
          <w:tcPr>
            <w:tcW w:w="468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146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46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1360" w:type="dxa"/>
            <w:vAlign w:val="bottom"/>
            <w:tcBorders>
              <w:bottom w:val="single" w:sz="8" w:color="808080"/>
            </w:tcBorders>
          </w:tcPr>
          <w:p>
            <w:pPr>
              <w:spacing w:after="0"/>
              <w:rPr>
                <w:sz w:val="6"/>
                <w:szCs w:val="6"/>
                <w:color w:val="auto"/>
              </w:rPr>
            </w:pPr>
          </w:p>
        </w:tc>
      </w:tr>
      <w:tr>
        <w:trPr>
          <w:trHeight w:val="340"/>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Automotive Mirrors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2,128,473,563</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1,742,196,401</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1,563,424,443</w:t>
            </w:r>
          </w:p>
        </w:tc>
      </w:tr>
      <w:tr>
        <w:trPr>
          <w:trHeight w:val="355"/>
        </w:trPr>
        <w:tc>
          <w:tcPr>
            <w:tcW w:w="4680" w:type="dxa"/>
            <w:vAlign w:val="bottom"/>
            <w:tcBorders>
              <w:bottom w:val="single" w:sz="8" w:color="808080"/>
            </w:tcBorders>
          </w:tcPr>
          <w:p>
            <w:pPr>
              <w:ind w:left="540"/>
              <w:spacing w:after="0"/>
              <w:rPr>
                <w:sz w:val="20"/>
                <w:szCs w:val="20"/>
                <w:color w:val="auto"/>
              </w:rPr>
            </w:pPr>
            <w:r>
              <w:rPr>
                <w:rFonts w:ascii="Times New Roman" w:cs="Times New Roman" w:eastAsia="Times New Roman" w:hAnsi="Times New Roman"/>
                <w:sz w:val="18"/>
                <w:szCs w:val="18"/>
                <w:color w:val="auto"/>
              </w:rPr>
              <w:t>HomeLink® Modules*</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126,186,728</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132,546,057</w:t>
            </w:r>
          </w:p>
        </w:tc>
        <w:tc>
          <w:tcPr>
            <w:tcW w:w="520" w:type="dxa"/>
            <w:vAlign w:val="bottom"/>
            <w:tcBorders>
              <w:bottom w:val="single" w:sz="8" w:color="4CA5CD"/>
            </w:tcBorders>
          </w:tcPr>
          <w:p>
            <w:pPr>
              <w:spacing w:after="0"/>
              <w:rPr>
                <w:sz w:val="24"/>
                <w:szCs w:val="24"/>
                <w:color w:val="auto"/>
              </w:rPr>
            </w:pP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133,763,591</w:t>
            </w:r>
          </w:p>
        </w:tc>
      </w:tr>
      <w:tr>
        <w:trPr>
          <w:trHeight w:val="325"/>
        </w:trPr>
        <w:tc>
          <w:tcPr>
            <w:tcW w:w="4680" w:type="dxa"/>
            <w:vAlign w:val="bottom"/>
            <w:tcBorders>
              <w:bottom w:val="single" w:sz="8" w:color="808080"/>
            </w:tcBorders>
          </w:tcPr>
          <w:p>
            <w:pPr>
              <w:ind w:left="180"/>
              <w:spacing w:after="0"/>
              <w:rPr>
                <w:sz w:val="20"/>
                <w:szCs w:val="20"/>
                <w:color w:val="auto"/>
              </w:rPr>
            </w:pPr>
            <w:r>
              <w:rPr>
                <w:rFonts w:ascii="Arial" w:cs="Arial" w:eastAsia="Arial" w:hAnsi="Arial"/>
                <w:sz w:val="17"/>
                <w:szCs w:val="17"/>
                <w:b w:val="1"/>
                <w:bCs w:val="1"/>
                <w:color w:val="808080"/>
              </w:rPr>
              <w:t>TOTAL AUTOMOTIVE PRODUCTS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2,254,660,291</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1,874,742,458</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1,697,188,034</w:t>
            </w:r>
          </w:p>
        </w:tc>
      </w:tr>
      <w:tr>
        <w:trPr>
          <w:trHeight w:val="355"/>
        </w:trPr>
        <w:tc>
          <w:tcPr>
            <w:tcW w:w="4680" w:type="dxa"/>
            <w:vAlign w:val="bottom"/>
            <w:tcBorders>
              <w:bottom w:val="single" w:sz="8" w:color="808080"/>
            </w:tcBorders>
          </w:tcPr>
          <w:p>
            <w:pPr>
              <w:ind w:left="180"/>
              <w:spacing w:after="0"/>
              <w:rPr>
                <w:sz w:val="20"/>
                <w:szCs w:val="20"/>
                <w:color w:val="auto"/>
              </w:rPr>
            </w:pPr>
            <w:r>
              <w:rPr>
                <w:rFonts w:ascii="Arial" w:cs="Arial" w:eastAsia="Arial" w:hAnsi="Arial"/>
                <w:sz w:val="17"/>
                <w:szCs w:val="17"/>
                <w:b w:val="1"/>
                <w:bCs w:val="1"/>
                <w:color w:val="808080"/>
              </w:rPr>
              <w:t>OTHER PRODUCTS REVENUE</w:t>
            </w:r>
          </w:p>
        </w:tc>
        <w:tc>
          <w:tcPr>
            <w:tcW w:w="44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44,554,753</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44,215,585</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33,981,895</w:t>
            </w:r>
          </w:p>
        </w:tc>
      </w:tr>
      <w:tr>
        <w:trPr>
          <w:trHeight w:val="3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2,299,215,044</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1,918,958,043</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1,731,169,929</w:t>
            </w:r>
          </w:p>
        </w:tc>
      </w:tr>
      <w:tr>
        <w:trPr>
          <w:trHeight w:val="20"/>
        </w:trPr>
        <w:tc>
          <w:tcPr>
            <w:tcW w:w="4680" w:type="dxa"/>
            <w:vAlign w:val="bottom"/>
          </w:tcPr>
          <w:p>
            <w:pPr>
              <w:spacing w:after="0" w:line="20" w:lineRule="exact"/>
              <w:rPr>
                <w:sz w:val="1"/>
                <w:szCs w:val="1"/>
                <w:color w:val="auto"/>
              </w:rPr>
            </w:pPr>
          </w:p>
        </w:tc>
        <w:tc>
          <w:tcPr>
            <w:tcW w:w="440" w:type="dxa"/>
            <w:vAlign w:val="bottom"/>
            <w:tcBorders>
              <w:bottom w:val="single" w:sz="8" w:color="4CA5CD"/>
            </w:tcBorders>
          </w:tcPr>
          <w:p>
            <w:pPr>
              <w:spacing w:after="0" w:line="20" w:lineRule="exact"/>
              <w:rPr>
                <w:sz w:val="1"/>
                <w:szCs w:val="1"/>
                <w:color w:val="auto"/>
              </w:rPr>
            </w:pPr>
          </w:p>
        </w:tc>
        <w:tc>
          <w:tcPr>
            <w:tcW w:w="1460" w:type="dxa"/>
            <w:vAlign w:val="bottom"/>
            <w:tcBorders>
              <w:bottom w:val="single" w:sz="8" w:color="4CA5CD"/>
            </w:tcBorders>
          </w:tcPr>
          <w:p>
            <w:pPr>
              <w:spacing w:after="0" w:line="20" w:lineRule="exact"/>
              <w:rPr>
                <w:sz w:val="1"/>
                <w:szCs w:val="1"/>
                <w:color w:val="auto"/>
              </w:rPr>
            </w:pPr>
          </w:p>
        </w:tc>
        <w:tc>
          <w:tcPr>
            <w:tcW w:w="520" w:type="dxa"/>
            <w:vAlign w:val="bottom"/>
            <w:tcBorders>
              <w:bottom w:val="single" w:sz="8" w:color="4CA5CD"/>
            </w:tcBorders>
          </w:tcPr>
          <w:p>
            <w:pPr>
              <w:spacing w:after="0" w:line="20" w:lineRule="exact"/>
              <w:rPr>
                <w:sz w:val="1"/>
                <w:szCs w:val="1"/>
                <w:color w:val="auto"/>
              </w:rPr>
            </w:pPr>
          </w:p>
        </w:tc>
        <w:tc>
          <w:tcPr>
            <w:tcW w:w="1460" w:type="dxa"/>
            <w:vAlign w:val="bottom"/>
            <w:tcBorders>
              <w:bottom w:val="single" w:sz="8" w:color="4CA5CD"/>
            </w:tcBorders>
          </w:tcPr>
          <w:p>
            <w:pPr>
              <w:spacing w:after="0" w:line="20" w:lineRule="exact"/>
              <w:rPr>
                <w:sz w:val="1"/>
                <w:szCs w:val="1"/>
                <w:color w:val="auto"/>
              </w:rPr>
            </w:pPr>
          </w:p>
        </w:tc>
        <w:tc>
          <w:tcPr>
            <w:tcW w:w="520" w:type="dxa"/>
            <w:vAlign w:val="bottom"/>
            <w:tcBorders>
              <w:bottom w:val="single" w:sz="8" w:color="4CA5CD"/>
            </w:tcBorders>
          </w:tcPr>
          <w:p>
            <w:pPr>
              <w:spacing w:after="0" w:line="20" w:lineRule="exact"/>
              <w:rPr>
                <w:sz w:val="1"/>
                <w:szCs w:val="1"/>
                <w:color w:val="auto"/>
              </w:rPr>
            </w:pPr>
          </w:p>
        </w:tc>
        <w:tc>
          <w:tcPr>
            <w:tcW w:w="1360" w:type="dxa"/>
            <w:vAlign w:val="bottom"/>
            <w:tcBorders>
              <w:bottom w:val="single" w:sz="8" w:color="4CA5CD"/>
            </w:tcBorders>
          </w:tcPr>
          <w:p>
            <w:pPr>
              <w:spacing w:after="0" w:line="20" w:lineRule="exact"/>
              <w:rPr>
                <w:sz w:val="1"/>
                <w:szCs w:val="1"/>
                <w:color w:val="auto"/>
              </w:rPr>
            </w:pPr>
          </w:p>
        </w:tc>
      </w:tr>
    </w:tbl>
    <w:p>
      <w:pPr>
        <w:spacing w:after="0" w:line="142" w:lineRule="exact"/>
        <w:rPr>
          <w:sz w:val="20"/>
          <w:szCs w:val="20"/>
          <w:color w:val="auto"/>
        </w:rPr>
      </w:pPr>
    </w:p>
    <w:p>
      <w:pPr>
        <w:ind w:left="320"/>
        <w:spacing w:after="0"/>
        <w:tabs>
          <w:tab w:leader="none" w:pos="480" w:val="left"/>
        </w:tabs>
        <w:rPr>
          <w:sz w:val="20"/>
          <w:szCs w:val="20"/>
          <w:color w:val="auto"/>
        </w:rPr>
      </w:pPr>
      <w:r>
        <w:rPr>
          <w:rFonts w:ascii="Times New Roman" w:cs="Times New Roman" w:eastAsia="Times New Roman" w:hAnsi="Times New Roman"/>
          <w:sz w:val="14"/>
          <w:szCs w:val="14"/>
          <w:color w:val="808080"/>
        </w:rPr>
        <w:t>*</w:t>
        <w:tab/>
        <w:t>Excludes HomeLink® revenue integrated into automotive mirrors.</w:t>
      </w:r>
    </w:p>
    <w:p>
      <w:pPr>
        <w:spacing w:after="0" w:line="257" w:lineRule="exact"/>
        <w:rPr>
          <w:sz w:val="20"/>
          <w:szCs w:val="20"/>
          <w:color w:val="auto"/>
        </w:rPr>
      </w:pPr>
    </w:p>
    <w:p>
      <w:pPr>
        <w:ind w:left="320" w:right="300"/>
        <w:spacing w:after="0" w:line="382" w:lineRule="auto"/>
        <w:rPr>
          <w:sz w:val="20"/>
          <w:szCs w:val="20"/>
          <w:color w:val="auto"/>
        </w:rPr>
      </w:pPr>
      <w:r>
        <w:rPr>
          <w:rFonts w:ascii="Times New Roman" w:cs="Times New Roman" w:eastAsia="Times New Roman" w:hAnsi="Times New Roman"/>
          <w:sz w:val="18"/>
          <w:szCs w:val="18"/>
          <w:color w:val="auto"/>
        </w:rPr>
        <w:t>Corporate assets are principally cash and cash equivalents, investments, deferred income taxes and corporate fixed assets. Depreciation &amp; Amortization on corporate fixed assets are allocated as appropriate to the Automotive and Other segments when reviewing operating results. Substantially all long-lived assets are located in the U.S.</w:t>
      </w:r>
    </w:p>
    <w:p>
      <w:pPr>
        <w:spacing w:after="0" w:line="32" w:lineRule="exact"/>
        <w:rPr>
          <w:sz w:val="20"/>
          <w:szCs w:val="20"/>
          <w:color w:val="auto"/>
        </w:rPr>
      </w:pPr>
    </w:p>
    <w:p>
      <w:pPr>
        <w:ind w:left="320" w:right="60"/>
        <w:spacing w:after="0" w:line="363" w:lineRule="auto"/>
        <w:rPr>
          <w:sz w:val="20"/>
          <w:szCs w:val="20"/>
          <w:color w:val="auto"/>
        </w:rPr>
      </w:pPr>
      <w:r>
        <w:rPr>
          <w:rFonts w:ascii="Times New Roman" w:cs="Times New Roman" w:eastAsia="Times New Roman" w:hAnsi="Times New Roman"/>
          <w:sz w:val="18"/>
          <w:szCs w:val="18"/>
          <w:color w:val="auto"/>
        </w:rPr>
        <w:t>Automotive Products revenues in the “Other countries” category are sales to customer automotive manufacturing plants in Korea, Canada, Hungary, China, and the United Kingdom, as well as other foreign automotive customers. Most of the Company’s non-U.S. sales are invoiced and paid in U.S. dollars. During the years ended December 31, 2023, 2022 and 2021, approximately 8%, 7% and 8% of the Company’s net sales were invoiced and paid in foreign currencies, respectively.</w:t>
      </w:r>
    </w:p>
    <w:p>
      <w:pPr>
        <w:spacing w:after="0" w:line="48" w:lineRule="exact"/>
        <w:rPr>
          <w:sz w:val="20"/>
          <w:szCs w:val="20"/>
          <w:color w:val="auto"/>
        </w:rPr>
      </w:pPr>
    </w:p>
    <w:p>
      <w:pPr>
        <w:ind w:left="320"/>
        <w:spacing w:after="0" w:line="439" w:lineRule="auto"/>
        <w:rPr>
          <w:sz w:val="20"/>
          <w:szCs w:val="20"/>
          <w:color w:val="auto"/>
        </w:rPr>
      </w:pPr>
      <w:r>
        <w:rPr>
          <w:rFonts w:ascii="Times New Roman" w:cs="Times New Roman" w:eastAsia="Times New Roman" w:hAnsi="Times New Roman"/>
          <w:sz w:val="18"/>
          <w:szCs w:val="18"/>
          <w:color w:val="auto"/>
        </w:rPr>
        <w:t>In 2023, the Company had three automotive customers (including direct sales to original equipment manufacturer (“OEM”) customers and sales through their Tier 1 suppliers), which individually accounted for 10% or more of net sales as follows:</w:t>
      </w:r>
    </w:p>
    <w:p>
      <w:pPr>
        <w:spacing w:after="0" w:line="30" w:lineRule="exact"/>
        <w:rPr>
          <w:sz w:val="20"/>
          <w:szCs w:val="20"/>
          <w:color w:val="auto"/>
        </w:rPr>
      </w:pPr>
    </w:p>
    <w:tbl>
      <w:tblPr>
        <w:tblLayout w:type="fixed"/>
        <w:tblInd w:w="320" w:type="dxa"/>
        <w:tblCellMar>
          <w:top w:w="0" w:type="dxa"/>
          <w:left w:w="0" w:type="dxa"/>
          <w:bottom w:w="0" w:type="dxa"/>
          <w:right w:w="0" w:type="dxa"/>
        </w:tblCellMar>
      </w:tblPr>
      <w:tr>
        <w:trPr>
          <w:trHeight w:val="304"/>
        </w:trPr>
        <w:tc>
          <w:tcPr>
            <w:tcW w:w="2260" w:type="dxa"/>
            <w:vAlign w:val="bottom"/>
          </w:tcPr>
          <w:p>
            <w:pPr>
              <w:spacing w:after="0"/>
              <w:rPr>
                <w:sz w:val="24"/>
                <w:szCs w:val="24"/>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Toyota Motor Company</w:t>
            </w:r>
          </w:p>
        </w:tc>
        <w:tc>
          <w:tcPr>
            <w:tcW w:w="180" w:type="dxa"/>
            <w:vAlign w:val="bottom"/>
          </w:tcPr>
          <w:p>
            <w:pPr>
              <w:spacing w:after="0"/>
              <w:rPr>
                <w:sz w:val="24"/>
                <w:szCs w:val="24"/>
                <w:color w:val="auto"/>
              </w:rPr>
            </w:pPr>
          </w:p>
        </w:tc>
        <w:tc>
          <w:tcPr>
            <w:tcW w:w="2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Volkswagen Group</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General Motors</w:t>
            </w:r>
          </w:p>
        </w:tc>
      </w:tr>
      <w:tr>
        <w:trPr>
          <w:trHeight w:val="343"/>
        </w:trPr>
        <w:tc>
          <w:tcPr>
            <w:tcW w:w="2260" w:type="dxa"/>
            <w:vAlign w:val="bottom"/>
            <w:tcBorders>
              <w:bottom w:val="single" w:sz="8" w:color="808080"/>
            </w:tcBorders>
          </w:tcPr>
          <w:p>
            <w:pPr>
              <w:jc w:val="right"/>
              <w:ind w:right="1810"/>
              <w:spacing w:after="0"/>
              <w:rPr>
                <w:sz w:val="20"/>
                <w:szCs w:val="20"/>
                <w:color w:val="auto"/>
              </w:rPr>
            </w:pPr>
            <w:r>
              <w:rPr>
                <w:rFonts w:ascii="Times New Roman" w:cs="Times New Roman" w:eastAsia="Times New Roman" w:hAnsi="Times New Roman"/>
                <w:sz w:val="18"/>
                <w:szCs w:val="18"/>
                <w:color w:val="auto"/>
                <w:w w:val="94"/>
              </w:rPr>
              <w:t>2023</w:t>
            </w:r>
          </w:p>
        </w:tc>
        <w:tc>
          <w:tcPr>
            <w:tcW w:w="37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4"/>
                <w:szCs w:val="24"/>
                <w:color w:val="auto"/>
              </w:rPr>
            </w:pPr>
          </w:p>
        </w:tc>
        <w:tc>
          <w:tcPr>
            <w:tcW w:w="2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4"/>
                <w:szCs w:val="24"/>
                <w:color w:val="auto"/>
              </w:rPr>
            </w:pPr>
          </w:p>
        </w:tc>
        <w:tc>
          <w:tcPr>
            <w:tcW w:w="2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40"/>
        </w:trPr>
        <w:tc>
          <w:tcPr>
            <w:tcW w:w="2260" w:type="dxa"/>
            <w:vAlign w:val="bottom"/>
            <w:tcBorders>
              <w:bottom w:val="single" w:sz="8" w:color="808080"/>
            </w:tcBorders>
          </w:tcPr>
          <w:p>
            <w:pPr>
              <w:jc w:val="right"/>
              <w:ind w:right="1810"/>
              <w:spacing w:after="0"/>
              <w:rPr>
                <w:sz w:val="20"/>
                <w:szCs w:val="20"/>
                <w:color w:val="auto"/>
              </w:rPr>
            </w:pPr>
            <w:r>
              <w:rPr>
                <w:rFonts w:ascii="Times New Roman" w:cs="Times New Roman" w:eastAsia="Times New Roman" w:hAnsi="Times New Roman"/>
                <w:sz w:val="18"/>
                <w:szCs w:val="18"/>
                <w:color w:val="auto"/>
                <w:w w:val="94"/>
              </w:rPr>
              <w:t>2022</w:t>
            </w:r>
          </w:p>
        </w:tc>
        <w:tc>
          <w:tcPr>
            <w:tcW w:w="37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24"/>
                <w:szCs w:val="24"/>
                <w:color w:val="auto"/>
              </w:rPr>
            </w:pPr>
          </w:p>
        </w:tc>
        <w:tc>
          <w:tcPr>
            <w:tcW w:w="2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4"/>
                <w:szCs w:val="24"/>
                <w:color w:val="auto"/>
              </w:rPr>
            </w:pPr>
          </w:p>
        </w:tc>
        <w:tc>
          <w:tcPr>
            <w:tcW w:w="20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58"/>
        </w:trPr>
        <w:tc>
          <w:tcPr>
            <w:tcW w:w="226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w w:val="94"/>
              </w:rPr>
              <w:t>2021</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94" w:lineRule="exact"/>
        <w:rPr>
          <w:sz w:val="20"/>
          <w:szCs w:val="20"/>
          <w:color w:val="auto"/>
        </w:rPr>
      </w:pPr>
    </w:p>
    <w:p>
      <w:pPr>
        <w:ind w:left="320"/>
        <w:spacing w:after="0"/>
        <w:rPr>
          <w:sz w:val="20"/>
          <w:szCs w:val="20"/>
          <w:color w:val="auto"/>
        </w:rPr>
      </w:pPr>
      <w:r>
        <w:rPr>
          <w:rFonts w:ascii="Arial" w:cs="Arial" w:eastAsia="Arial" w:hAnsi="Arial"/>
          <w:sz w:val="18"/>
          <w:szCs w:val="18"/>
          <w:color w:val="404040"/>
        </w:rPr>
        <w:t>( 8 )  Q U A R T E R L Y  F I N A N C I A L  I N F O R M A T I O N  ( U N A U D I T E D )</w:t>
      </w:r>
    </w:p>
    <w:p>
      <w:pPr>
        <w:spacing w:after="0" w:line="263" w:lineRule="exact"/>
        <w:rPr>
          <w:sz w:val="20"/>
          <w:szCs w:val="20"/>
          <w:color w:val="auto"/>
        </w:rPr>
      </w:pPr>
    </w:p>
    <w:p>
      <w:pPr>
        <w:ind w:left="320" w:right="440"/>
        <w:spacing w:after="0" w:line="437" w:lineRule="auto"/>
        <w:rPr>
          <w:sz w:val="20"/>
          <w:szCs w:val="20"/>
          <w:color w:val="auto"/>
        </w:rPr>
      </w:pPr>
      <w:r>
        <w:rPr>
          <w:rFonts w:ascii="Times New Roman" w:cs="Times New Roman" w:eastAsia="Times New Roman" w:hAnsi="Times New Roman"/>
          <w:sz w:val="18"/>
          <w:szCs w:val="18"/>
          <w:color w:val="auto"/>
        </w:rPr>
        <w:t>The following table sets forth selected financial information for all of the quarters during the years ended December 31, 2023 and 2022 (in thousands, except per share data):</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34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550,761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468,251</w:t>
            </w:r>
          </w:p>
        </w:tc>
        <w:tc>
          <w:tcPr>
            <w:tcW w:w="8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583,473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463,423</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575,848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493,637</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589,132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493,648</w:t>
            </w:r>
          </w:p>
        </w:tc>
        <w:tc>
          <w:tcPr>
            <w:tcW w:w="0" w:type="dxa"/>
            <w:vAlign w:val="bottom"/>
          </w:tcPr>
          <w:p>
            <w:pPr>
              <w:spacing w:after="0"/>
              <w:rPr>
                <w:sz w:val="1"/>
                <w:szCs w:val="1"/>
                <w:color w:val="auto"/>
              </w:rPr>
            </w:pPr>
          </w:p>
        </w:tc>
      </w:tr>
      <w:tr>
        <w:trPr>
          <w:trHeight w:val="34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4"/>
                <w:szCs w:val="24"/>
                <w:color w:val="auto"/>
              </w:rPr>
            </w:pPr>
          </w:p>
        </w:tc>
        <w:tc>
          <w:tcPr>
            <w:tcW w:w="200" w:type="dxa"/>
            <w:vAlign w:val="bottom"/>
            <w:tcBorders>
              <w:top w:val="single" w:sz="8" w:color="808080"/>
              <w:bottom w:val="single" w:sz="8" w:color="808080"/>
            </w:tcBorders>
          </w:tcPr>
          <w:p>
            <w:pPr>
              <w:spacing w:after="0"/>
              <w:rPr>
                <w:sz w:val="24"/>
                <w:szCs w:val="24"/>
                <w:color w:val="auto"/>
              </w:rPr>
            </w:pPr>
          </w:p>
        </w:tc>
        <w:tc>
          <w:tcPr>
            <w:tcW w:w="800" w:type="dxa"/>
            <w:vAlign w:val="bottom"/>
            <w:tcBorders>
              <w:top w:val="single" w:sz="8" w:color="808080"/>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174,737</w:t>
            </w:r>
          </w:p>
        </w:tc>
        <w:tc>
          <w:tcPr>
            <w:tcW w:w="300" w:type="dxa"/>
            <w:vAlign w:val="bottom"/>
            <w:tcBorders>
              <w:top w:val="single" w:sz="8" w:color="808080"/>
              <w:bottom w:val="single" w:sz="8" w:color="808080"/>
            </w:tcBorders>
          </w:tcPr>
          <w:p>
            <w:pPr>
              <w:spacing w:after="0"/>
              <w:rPr>
                <w:sz w:val="24"/>
                <w:szCs w:val="24"/>
                <w:color w:val="auto"/>
              </w:rPr>
            </w:pPr>
          </w:p>
        </w:tc>
        <w:tc>
          <w:tcPr>
            <w:tcW w:w="70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160,412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808080"/>
              <w:bottom w:val="single" w:sz="8" w:color="808080"/>
            </w:tcBorders>
          </w:tcPr>
          <w:p>
            <w:pPr>
              <w:spacing w:after="0"/>
              <w:rPr>
                <w:sz w:val="24"/>
                <w:szCs w:val="24"/>
                <w:color w:val="auto"/>
              </w:rPr>
            </w:pPr>
          </w:p>
        </w:tc>
        <w:tc>
          <w:tcPr>
            <w:tcW w:w="80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193,083</w:t>
            </w:r>
          </w:p>
        </w:tc>
        <w:tc>
          <w:tcPr>
            <w:tcW w:w="360" w:type="dxa"/>
            <w:vAlign w:val="bottom"/>
            <w:tcBorders>
              <w:top w:val="single" w:sz="8" w:color="808080"/>
              <w:bottom w:val="single" w:sz="8" w:color="808080"/>
            </w:tcBorders>
          </w:tcPr>
          <w:p>
            <w:pPr>
              <w:spacing w:after="0"/>
              <w:rPr>
                <w:sz w:val="24"/>
                <w:szCs w:val="24"/>
                <w:color w:val="auto"/>
              </w:rPr>
            </w:pPr>
          </w:p>
        </w:tc>
        <w:tc>
          <w:tcPr>
            <w:tcW w:w="64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148,367</w:t>
            </w:r>
          </w:p>
        </w:tc>
        <w:tc>
          <w:tcPr>
            <w:tcW w:w="180" w:type="dxa"/>
            <w:vAlign w:val="bottom"/>
          </w:tcPr>
          <w:p>
            <w:pPr>
              <w:spacing w:after="0"/>
              <w:rPr>
                <w:sz w:val="24"/>
                <w:szCs w:val="24"/>
                <w:color w:val="auto"/>
              </w:rPr>
            </w:pPr>
          </w:p>
        </w:tc>
        <w:tc>
          <w:tcPr>
            <w:tcW w:w="220" w:type="dxa"/>
            <w:vAlign w:val="bottom"/>
            <w:tcBorders>
              <w:top w:val="single" w:sz="8" w:color="808080"/>
              <w:bottom w:val="single" w:sz="8" w:color="808080"/>
            </w:tcBorders>
          </w:tcPr>
          <w:p>
            <w:pPr>
              <w:spacing w:after="0"/>
              <w:rPr>
                <w:sz w:val="24"/>
                <w:szCs w:val="24"/>
                <w:color w:val="auto"/>
              </w:rPr>
            </w:pPr>
          </w:p>
        </w:tc>
        <w:tc>
          <w:tcPr>
            <w:tcW w:w="800" w:type="dxa"/>
            <w:vAlign w:val="bottom"/>
            <w:tcBorders>
              <w:top w:val="single" w:sz="8" w:color="808080"/>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191,441</w:t>
            </w:r>
          </w:p>
        </w:tc>
        <w:tc>
          <w:tcPr>
            <w:tcW w:w="320" w:type="dxa"/>
            <w:vAlign w:val="bottom"/>
            <w:tcBorders>
              <w:top w:val="single" w:sz="8" w:color="808080"/>
              <w:bottom w:val="single" w:sz="8" w:color="808080"/>
            </w:tcBorders>
          </w:tcPr>
          <w:p>
            <w:pPr>
              <w:spacing w:after="0"/>
              <w:rPr>
                <w:sz w:val="24"/>
                <w:szCs w:val="24"/>
                <w:color w:val="auto"/>
              </w:rPr>
            </w:pPr>
          </w:p>
        </w:tc>
        <w:tc>
          <w:tcPr>
            <w:tcW w:w="6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147,201</w:t>
            </w:r>
          </w:p>
        </w:tc>
        <w:tc>
          <w:tcPr>
            <w:tcW w:w="180" w:type="dxa"/>
            <w:vAlign w:val="bottom"/>
          </w:tcPr>
          <w:p>
            <w:pPr>
              <w:spacing w:after="0"/>
              <w:rPr>
                <w:sz w:val="24"/>
                <w:szCs w:val="24"/>
                <w:color w:val="auto"/>
              </w:rPr>
            </w:pPr>
          </w:p>
        </w:tc>
        <w:tc>
          <w:tcPr>
            <w:tcW w:w="200" w:type="dxa"/>
            <w:vAlign w:val="bottom"/>
            <w:tcBorders>
              <w:top w:val="single" w:sz="8" w:color="808080"/>
              <w:bottom w:val="single" w:sz="8" w:color="808080"/>
            </w:tcBorders>
          </w:tcPr>
          <w:p>
            <w:pPr>
              <w:spacing w:after="0"/>
              <w:rPr>
                <w:sz w:val="24"/>
                <w:szCs w:val="24"/>
                <w:color w:val="auto"/>
              </w:rPr>
            </w:pPr>
          </w:p>
        </w:tc>
        <w:tc>
          <w:tcPr>
            <w:tcW w:w="800" w:type="dxa"/>
            <w:vAlign w:val="bottom"/>
            <w:tcBorders>
              <w:top w:val="single" w:sz="8" w:color="808080"/>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203,369</w:t>
            </w:r>
          </w:p>
        </w:tc>
        <w:tc>
          <w:tcPr>
            <w:tcW w:w="340" w:type="dxa"/>
            <w:vAlign w:val="bottom"/>
            <w:tcBorders>
              <w:top w:val="single" w:sz="8" w:color="808080"/>
              <w:bottom w:val="single" w:sz="8" w:color="808080"/>
            </w:tcBorders>
          </w:tcPr>
          <w:p>
            <w:pPr>
              <w:spacing w:after="0"/>
              <w:rPr>
                <w:sz w:val="24"/>
                <w:szCs w:val="24"/>
                <w:color w:val="auto"/>
              </w:rPr>
            </w:pPr>
          </w:p>
        </w:tc>
        <w:tc>
          <w:tcPr>
            <w:tcW w:w="66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153,834</w:t>
            </w:r>
          </w:p>
        </w:tc>
        <w:tc>
          <w:tcPr>
            <w:tcW w:w="0" w:type="dxa"/>
            <w:vAlign w:val="bottom"/>
          </w:tcPr>
          <w:p>
            <w:pPr>
              <w:spacing w:after="0"/>
              <w:rPr>
                <w:sz w:val="1"/>
                <w:szCs w:val="1"/>
                <w:color w:val="auto"/>
              </w:rPr>
            </w:pPr>
          </w:p>
        </w:tc>
      </w:tr>
      <w:tr>
        <w:trPr>
          <w:trHeight w:val="34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113,251</w:t>
            </w:r>
          </w:p>
        </w:tc>
        <w:tc>
          <w:tcPr>
            <w:tcW w:w="3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103,306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127,289</w:t>
            </w:r>
          </w:p>
        </w:tc>
        <w:tc>
          <w:tcPr>
            <w:tcW w:w="3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85,791</w:t>
            </w:r>
          </w:p>
        </w:tc>
        <w:tc>
          <w:tcPr>
            <w:tcW w:w="18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122,417</w:t>
            </w:r>
          </w:p>
        </w:tc>
        <w:tc>
          <w:tcPr>
            <w:tcW w:w="3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86,792</w:t>
            </w:r>
          </w:p>
        </w:tc>
        <w:tc>
          <w:tcPr>
            <w:tcW w:w="18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132,774</w:t>
            </w:r>
          </w:p>
        </w:tc>
        <w:tc>
          <w:tcPr>
            <w:tcW w:w="3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94,118</w:t>
            </w:r>
          </w:p>
        </w:tc>
        <w:tc>
          <w:tcPr>
            <w:tcW w:w="0" w:type="dxa"/>
            <w:vAlign w:val="bottom"/>
          </w:tcPr>
          <w:p>
            <w:pPr>
              <w:spacing w:after="0"/>
              <w:rPr>
                <w:sz w:val="1"/>
                <w:szCs w:val="1"/>
                <w:color w:val="auto"/>
              </w:rPr>
            </w:pPr>
          </w:p>
        </w:tc>
      </w:tr>
      <w:tr>
        <w:trPr>
          <w:trHeight w:val="34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97,578</w:t>
            </w:r>
          </w:p>
        </w:tc>
        <w:tc>
          <w:tcPr>
            <w:tcW w:w="3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87,529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109,155</w:t>
            </w:r>
          </w:p>
        </w:tc>
        <w:tc>
          <w:tcPr>
            <w:tcW w:w="3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72,404</w:t>
            </w:r>
          </w:p>
        </w:tc>
        <w:tc>
          <w:tcPr>
            <w:tcW w:w="18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104,725</w:t>
            </w:r>
          </w:p>
        </w:tc>
        <w:tc>
          <w:tcPr>
            <w:tcW w:w="3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72,656</w:t>
            </w:r>
          </w:p>
        </w:tc>
        <w:tc>
          <w:tcPr>
            <w:tcW w:w="18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116,944</w:t>
            </w:r>
          </w:p>
        </w:tc>
        <w:tc>
          <w:tcPr>
            <w:tcW w:w="3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86,168</w:t>
            </w:r>
          </w:p>
        </w:tc>
        <w:tc>
          <w:tcPr>
            <w:tcW w:w="0" w:type="dxa"/>
            <w:vAlign w:val="bottom"/>
          </w:tcPr>
          <w:p>
            <w:pPr>
              <w:spacing w:after="0"/>
              <w:rPr>
                <w:sz w:val="1"/>
                <w:szCs w:val="1"/>
                <w:color w:val="auto"/>
              </w:rPr>
            </w:pPr>
          </w:p>
        </w:tc>
      </w:tr>
      <w:tr>
        <w:trPr>
          <w:trHeight w:val="261"/>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0.42</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tcPr>
          <w:p>
            <w:pPr>
              <w:spacing w:after="0"/>
              <w:rPr>
                <w:sz w:val="22"/>
                <w:szCs w:val="22"/>
                <w:color w:val="auto"/>
              </w:rPr>
            </w:pP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0.45</w:t>
            </w:r>
          </w:p>
        </w:tc>
        <w:tc>
          <w:tcPr>
            <w:tcW w:w="3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3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59"/>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0"/>
                <w:szCs w:val="20"/>
                <w:color w:val="auto"/>
                <w:vertAlign w:val="superscript"/>
              </w:rPr>
              <w:t>(1)</w:t>
            </w:r>
          </w:p>
        </w:tc>
        <w:tc>
          <w:tcPr>
            <w:tcW w:w="44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30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Pr>
          <w:p>
            <w:pPr>
              <w:spacing w:after="0" w:line="20" w:lineRule="exact"/>
              <w:rPr>
                <w:sz w:val="1"/>
                <w:szCs w:val="1"/>
                <w:color w:val="auto"/>
              </w:rPr>
            </w:pPr>
          </w:p>
        </w:tc>
        <w:tc>
          <w:tcPr>
            <w:tcW w:w="20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300" w:type="dxa"/>
            <w:vAlign w:val="bottom"/>
            <w:shd w:val="clear" w:color="auto" w:fill="808080"/>
          </w:tcPr>
          <w:p>
            <w:pPr>
              <w:spacing w:after="0" w:line="20" w:lineRule="exact"/>
              <w:rPr>
                <w:sz w:val="1"/>
                <w:szCs w:val="1"/>
                <w:color w:val="auto"/>
              </w:rPr>
            </w:pPr>
          </w:p>
        </w:tc>
        <w:tc>
          <w:tcPr>
            <w:tcW w:w="700" w:type="dxa"/>
            <w:vAlign w:val="bottom"/>
            <w:shd w:val="clear" w:color="auto" w:fill="80808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360" w:type="dxa"/>
            <w:vAlign w:val="bottom"/>
            <w:shd w:val="clear" w:color="auto" w:fill="808080"/>
          </w:tcPr>
          <w:p>
            <w:pPr>
              <w:spacing w:after="0" w:line="20" w:lineRule="exact"/>
              <w:rPr>
                <w:sz w:val="1"/>
                <w:szCs w:val="1"/>
                <w:color w:val="auto"/>
              </w:rPr>
            </w:pPr>
          </w:p>
        </w:tc>
        <w:tc>
          <w:tcPr>
            <w:tcW w:w="64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68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340" w:type="dxa"/>
            <w:vAlign w:val="bottom"/>
            <w:shd w:val="clear" w:color="auto" w:fill="808080"/>
          </w:tcPr>
          <w:p>
            <w:pPr>
              <w:spacing w:after="0" w:line="20" w:lineRule="exact"/>
              <w:rPr>
                <w:sz w:val="1"/>
                <w:szCs w:val="1"/>
                <w:color w:val="auto"/>
              </w:rPr>
            </w:pPr>
          </w:p>
        </w:tc>
        <w:tc>
          <w:tcPr>
            <w:tcW w:w="66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1620" w:type="dxa"/>
            <w:vAlign w:val="bottom"/>
            <w:vMerge w:val="continue"/>
          </w:tcPr>
          <w:p>
            <w:pPr>
              <w:spacing w:after="0"/>
              <w:rPr>
                <w:sz w:val="22"/>
                <w:szCs w:val="22"/>
                <w:color w:val="auto"/>
              </w:rPr>
            </w:pP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0.42</w:t>
            </w: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80" w:type="dxa"/>
            <w:vAlign w:val="bottom"/>
          </w:tcPr>
          <w:p>
            <w:pPr>
              <w:spacing w:after="0"/>
              <w:rPr>
                <w:sz w:val="22"/>
                <w:szCs w:val="22"/>
                <w:color w:val="auto"/>
              </w:rPr>
            </w:pP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0.45</w:t>
            </w:r>
          </w:p>
        </w:tc>
        <w:tc>
          <w:tcPr>
            <w:tcW w:w="3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3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31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0"/>
                <w:szCs w:val="20"/>
                <w:color w:val="auto"/>
                <w:vertAlign w:val="superscript"/>
              </w:rPr>
              <w:t>(1)</w:t>
            </w:r>
          </w:p>
        </w:tc>
        <w:tc>
          <w:tcPr>
            <w:tcW w:w="440" w:type="dxa"/>
            <w:vAlign w:val="bottom"/>
            <w:gridSpan w:val="2"/>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3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500" w:right="260" w:hanging="180"/>
        <w:spacing w:after="0" w:line="343" w:lineRule="auto"/>
        <w:tabs>
          <w:tab w:leader="none" w:pos="500" w:val="left"/>
        </w:tabs>
        <w:numPr>
          <w:ilvl w:val="0"/>
          <w:numId w:val="19"/>
        </w:numPr>
        <w:rPr>
          <w:rFonts w:ascii="Times New Roman" w:cs="Times New Roman" w:eastAsia="Times New Roman" w:hAnsi="Times New Roman"/>
          <w:sz w:val="16"/>
          <w:szCs w:val="16"/>
          <w:color w:val="808080"/>
          <w:vertAlign w:val="superscript"/>
        </w:rPr>
      </w:pPr>
      <w:r>
        <w:rPr>
          <w:rFonts w:ascii="Times New Roman" w:cs="Times New Roman" w:eastAsia="Times New Roman" w:hAnsi="Times New Roman"/>
          <w:sz w:val="14"/>
          <w:szCs w:val="14"/>
          <w:color w:val="808080"/>
        </w:rPr>
        <w:t>Basic and diluted earnings per share are computed independently for each quarter presented. Therefore the sum of quarterly basic and diluted per share information may not equal annual basis and diluted earnings per share.</w:t>
      </w:r>
    </w:p>
    <w:p>
      <w:pPr>
        <w:sectPr>
          <w:pgSz w:w="12240" w:h="15840" w:orient="portrait"/>
          <w:cols w:equalWidth="0" w:num="1">
            <w:col w:w="10760"/>
          </w:cols>
          <w:pgMar w:left="580" w:top="85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86</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52" w:right="900" w:bottom="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color w:val="404040"/>
        </w:rPr>
        <w:t>( 9 )  C O M P R E H E N S I V E  I N C O M E</w:t>
      </w:r>
    </w:p>
    <w:p>
      <w:pPr>
        <w:spacing w:after="0" w:line="263" w:lineRule="exact"/>
        <w:rPr>
          <w:sz w:val="20"/>
          <w:szCs w:val="20"/>
          <w:color w:val="auto"/>
        </w:rPr>
      </w:pPr>
    </w:p>
    <w:p>
      <w:pPr>
        <w:jc w:val="both"/>
        <w:ind w:right="480"/>
        <w:spacing w:after="0" w:line="381" w:lineRule="auto"/>
        <w:rPr>
          <w:sz w:val="20"/>
          <w:szCs w:val="20"/>
          <w:color w:val="auto"/>
        </w:rPr>
      </w:pPr>
      <w:r>
        <w:rPr>
          <w:rFonts w:ascii="Times New Roman" w:cs="Times New Roman" w:eastAsia="Times New Roman" w:hAnsi="Times New Roman"/>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available for sale investments and foreign currency translation adjustments.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4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34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80" w:type="dxa"/>
            <w:vAlign w:val="bottom"/>
            <w:tcBorders>
              <w:bottom w:val="single" w:sz="8" w:color="808080"/>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(4,032,239)</w:t>
            </w:r>
          </w:p>
        </w:tc>
        <w:tc>
          <w:tcPr>
            <w:tcW w:w="560" w:type="dxa"/>
            <w:vAlign w:val="bottom"/>
            <w:tcBorders>
              <w:bottom w:val="single" w:sz="8" w:color="808080"/>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920,589</w:t>
            </w:r>
          </w:p>
        </w:tc>
        <w:tc>
          <w:tcPr>
            <w:tcW w:w="680" w:type="dxa"/>
            <w:vAlign w:val="bottom"/>
            <w:tcBorders>
              <w:bottom w:val="single" w:sz="8" w:color="808080"/>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769,045</w:t>
            </w:r>
          </w:p>
        </w:tc>
        <w:tc>
          <w:tcPr>
            <w:tcW w:w="0" w:type="dxa"/>
            <w:vAlign w:val="bottom"/>
          </w:tcPr>
          <w:p>
            <w:pPr>
              <w:spacing w:after="0"/>
              <w:rPr>
                <w:sz w:val="1"/>
                <w:szCs w:val="1"/>
                <w:color w:val="auto"/>
              </w:rPr>
            </w:pPr>
          </w:p>
        </w:tc>
      </w:tr>
      <w:tr>
        <w:trPr>
          <w:trHeight w:val="355"/>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48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(502,480)</w:t>
            </w:r>
          </w:p>
        </w:tc>
        <w:tc>
          <w:tcPr>
            <w:tcW w:w="56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(4,952,828)</w:t>
            </w:r>
          </w:p>
        </w:tc>
        <w:tc>
          <w:tcPr>
            <w:tcW w:w="680" w:type="dxa"/>
            <w:vAlign w:val="bottom"/>
            <w:tcBorders>
              <w:bottom w:val="single" w:sz="8" w:color="4CA5CD"/>
            </w:tcBorders>
          </w:tcPr>
          <w:p>
            <w:pPr>
              <w:spacing w:after="0"/>
              <w:rPr>
                <w:sz w:val="24"/>
                <w:szCs w:val="24"/>
                <w:color w:val="auto"/>
              </w:rPr>
            </w:pPr>
          </w:p>
        </w:tc>
        <w:tc>
          <w:tcPr>
            <w:tcW w:w="12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151,544</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Net current-period change</w:t>
            </w:r>
          </w:p>
        </w:tc>
        <w:tc>
          <w:tcPr>
            <w:tcW w:w="48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(502,480)</w:t>
            </w:r>
          </w:p>
        </w:tc>
        <w:tc>
          <w:tcPr>
            <w:tcW w:w="56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(4,952,828)</w:t>
            </w:r>
          </w:p>
        </w:tc>
        <w:tc>
          <w:tcPr>
            <w:tcW w:w="680" w:type="dxa"/>
            <w:vAlign w:val="bottom"/>
            <w:tcBorders>
              <w:bottom w:val="single" w:sz="8" w:color="4CA5CD"/>
            </w:tcBorders>
          </w:tcPr>
          <w:p>
            <w:pPr>
              <w:spacing w:after="0"/>
              <w:rPr>
                <w:sz w:val="24"/>
                <w:szCs w:val="24"/>
                <w:color w:val="auto"/>
              </w:rPr>
            </w:pPr>
          </w:p>
        </w:tc>
        <w:tc>
          <w:tcPr>
            <w:tcW w:w="12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151,544</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8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(4,534,719)</w:t>
            </w:r>
          </w:p>
        </w:tc>
        <w:tc>
          <w:tcPr>
            <w:tcW w:w="56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(4,032,239)</w:t>
            </w:r>
          </w:p>
        </w:tc>
        <w:tc>
          <w:tcPr>
            <w:tcW w:w="680" w:type="dxa"/>
            <w:vAlign w:val="bottom"/>
            <w:tcBorders>
              <w:bottom w:val="single" w:sz="8" w:color="4CA5CD"/>
            </w:tcBorders>
          </w:tcPr>
          <w:p>
            <w:pPr>
              <w:spacing w:after="0"/>
              <w:rPr>
                <w:sz w:val="24"/>
                <w:szCs w:val="24"/>
                <w:color w:val="auto"/>
              </w:rPr>
            </w:pPr>
          </w:p>
        </w:tc>
        <w:tc>
          <w:tcPr>
            <w:tcW w:w="12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920,589</w:t>
            </w:r>
          </w:p>
        </w:tc>
        <w:tc>
          <w:tcPr>
            <w:tcW w:w="0" w:type="dxa"/>
            <w:vAlign w:val="bottom"/>
          </w:tcPr>
          <w:p>
            <w:pPr>
              <w:spacing w:after="0"/>
              <w:rPr>
                <w:sz w:val="1"/>
                <w:szCs w:val="1"/>
                <w:color w:val="auto"/>
              </w:rPr>
            </w:pPr>
          </w:p>
        </w:tc>
      </w:tr>
      <w:tr>
        <w:trPr>
          <w:trHeight w:val="32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Unrealized gains (losses) on available-for-sale securities:</w:t>
            </w:r>
          </w:p>
        </w:tc>
        <w:tc>
          <w:tcPr>
            <w:tcW w:w="4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(10,110,695)</w:t>
            </w:r>
          </w:p>
        </w:tc>
        <w:tc>
          <w:tcPr>
            <w:tcW w:w="5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1,006,655</w:t>
            </w:r>
          </w:p>
        </w:tc>
        <w:tc>
          <w:tcPr>
            <w:tcW w:w="6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6,082,007</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4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3,360,396</w:t>
            </w:r>
          </w:p>
        </w:tc>
        <w:tc>
          <w:tcPr>
            <w:tcW w:w="5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(12,470,515)</w:t>
            </w:r>
          </w:p>
        </w:tc>
        <w:tc>
          <w:tcPr>
            <w:tcW w:w="6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(4,228,434)</w:t>
            </w:r>
          </w:p>
        </w:tc>
        <w:tc>
          <w:tcPr>
            <w:tcW w:w="0" w:type="dxa"/>
            <w:vAlign w:val="bottom"/>
          </w:tcPr>
          <w:p>
            <w:pPr>
              <w:spacing w:after="0"/>
              <w:rPr>
                <w:sz w:val="1"/>
                <w:szCs w:val="1"/>
                <w:color w:val="auto"/>
              </w:rPr>
            </w:pPr>
          </w:p>
        </w:tc>
      </w:tr>
      <w:tr>
        <w:trPr>
          <w:trHeight w:val="261"/>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480" w:type="dxa"/>
            <w:vAlign w:val="bottom"/>
          </w:tcPr>
          <w:p>
            <w:pPr>
              <w:spacing w:after="0"/>
              <w:rPr>
                <w:sz w:val="22"/>
                <w:szCs w:val="22"/>
                <w:color w:val="auto"/>
              </w:rPr>
            </w:pPr>
          </w:p>
        </w:tc>
        <w:tc>
          <w:tcPr>
            <w:tcW w:w="14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4,727,896</w:t>
            </w:r>
          </w:p>
        </w:tc>
        <w:tc>
          <w:tcPr>
            <w:tcW w:w="560" w:type="dxa"/>
            <w:vAlign w:val="bottom"/>
          </w:tcPr>
          <w:p>
            <w:pPr>
              <w:spacing w:after="0"/>
              <w:rPr>
                <w:sz w:val="22"/>
                <w:szCs w:val="22"/>
                <w:color w:val="auto"/>
              </w:rPr>
            </w:pPr>
          </w:p>
        </w:tc>
        <w:tc>
          <w:tcPr>
            <w:tcW w:w="14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1,353,165</w:t>
            </w:r>
          </w:p>
        </w:tc>
        <w:tc>
          <w:tcPr>
            <w:tcW w:w="680" w:type="dxa"/>
            <w:vAlign w:val="bottom"/>
          </w:tcPr>
          <w:p>
            <w:pPr>
              <w:spacing w:after="0"/>
              <w:rPr>
                <w:sz w:val="22"/>
                <w:szCs w:val="2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(846,918)</w:t>
            </w:r>
          </w:p>
        </w:tc>
        <w:tc>
          <w:tcPr>
            <w:tcW w:w="0" w:type="dxa"/>
            <w:vAlign w:val="bottom"/>
          </w:tcPr>
          <w:p>
            <w:pPr>
              <w:spacing w:after="0"/>
              <w:rPr>
                <w:sz w:val="1"/>
                <w:szCs w:val="1"/>
                <w:color w:val="auto"/>
              </w:rPr>
            </w:pPr>
          </w:p>
        </w:tc>
      </w:tr>
      <w:tr>
        <w:trPr>
          <w:trHeight w:val="180"/>
        </w:trPr>
        <w:tc>
          <w:tcPr>
            <w:tcW w:w="4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income (loss)</w:t>
            </w:r>
          </w:p>
        </w:tc>
        <w:tc>
          <w:tcPr>
            <w:tcW w:w="4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680" w:type="dxa"/>
            <w:vAlign w:val="bottom"/>
            <w:tcBorders>
              <w:bottom w:val="single" w:sz="8" w:color="808080"/>
            </w:tcBorders>
            <w:vMerge w:val="continue"/>
          </w:tcPr>
          <w:p>
            <w:pPr>
              <w:spacing w:after="0"/>
              <w:rPr>
                <w:sz w:val="8"/>
                <w:szCs w:val="8"/>
                <w:color w:val="auto"/>
              </w:rPr>
            </w:pPr>
          </w:p>
        </w:tc>
        <w:tc>
          <w:tcPr>
            <w:tcW w:w="480" w:type="dxa"/>
            <w:vAlign w:val="bottom"/>
            <w:tcBorders>
              <w:bottom w:val="single" w:sz="8" w:color="4CA5CD"/>
            </w:tcBorders>
          </w:tcPr>
          <w:p>
            <w:pPr>
              <w:spacing w:after="0"/>
              <w:rPr>
                <w:sz w:val="8"/>
                <w:szCs w:val="8"/>
                <w:color w:val="auto"/>
              </w:rPr>
            </w:pPr>
          </w:p>
        </w:tc>
        <w:tc>
          <w:tcPr>
            <w:tcW w:w="1420" w:type="dxa"/>
            <w:vAlign w:val="bottom"/>
            <w:tcBorders>
              <w:bottom w:val="single" w:sz="8" w:color="4CA5CD"/>
            </w:tcBorders>
          </w:tcPr>
          <w:p>
            <w:pPr>
              <w:spacing w:after="0"/>
              <w:rPr>
                <w:sz w:val="8"/>
                <w:szCs w:val="8"/>
                <w:color w:val="auto"/>
              </w:rPr>
            </w:pPr>
          </w:p>
        </w:tc>
        <w:tc>
          <w:tcPr>
            <w:tcW w:w="560" w:type="dxa"/>
            <w:vAlign w:val="bottom"/>
            <w:tcBorders>
              <w:bottom w:val="single" w:sz="8" w:color="4CA5CD"/>
            </w:tcBorders>
          </w:tcPr>
          <w:p>
            <w:pPr>
              <w:spacing w:after="0"/>
              <w:rPr>
                <w:sz w:val="8"/>
                <w:szCs w:val="8"/>
                <w:color w:val="auto"/>
              </w:rPr>
            </w:pPr>
          </w:p>
        </w:tc>
        <w:tc>
          <w:tcPr>
            <w:tcW w:w="1420" w:type="dxa"/>
            <w:vAlign w:val="bottom"/>
            <w:tcBorders>
              <w:bottom w:val="single" w:sz="8" w:color="4CA5CD"/>
            </w:tcBorders>
          </w:tcPr>
          <w:p>
            <w:pPr>
              <w:spacing w:after="0"/>
              <w:rPr>
                <w:sz w:val="8"/>
                <w:szCs w:val="8"/>
                <w:color w:val="auto"/>
              </w:rPr>
            </w:pPr>
          </w:p>
        </w:tc>
        <w:tc>
          <w:tcPr>
            <w:tcW w:w="680" w:type="dxa"/>
            <w:vAlign w:val="bottom"/>
            <w:tcBorders>
              <w:bottom w:val="single" w:sz="8" w:color="4CA5CD"/>
            </w:tcBorders>
          </w:tcPr>
          <w:p>
            <w:pPr>
              <w:spacing w:after="0"/>
              <w:rPr>
                <w:sz w:val="8"/>
                <w:szCs w:val="8"/>
                <w:color w:val="auto"/>
              </w:rPr>
            </w:pPr>
          </w:p>
        </w:tc>
        <w:tc>
          <w:tcPr>
            <w:tcW w:w="1200" w:type="dxa"/>
            <w:vAlign w:val="bottom"/>
            <w:tcBorders>
              <w:bottom w:val="single" w:sz="8" w:color="4CA5CD"/>
            </w:tcBorders>
          </w:tcPr>
          <w:p>
            <w:pPr>
              <w:spacing w:after="0"/>
              <w:rPr>
                <w:sz w:val="8"/>
                <w:szCs w:val="8"/>
                <w:color w:val="auto"/>
              </w:rPr>
            </w:pP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Net current-period change</w:t>
            </w:r>
          </w:p>
        </w:tc>
        <w:tc>
          <w:tcPr>
            <w:tcW w:w="48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8,088,292</w:t>
            </w:r>
          </w:p>
        </w:tc>
        <w:tc>
          <w:tcPr>
            <w:tcW w:w="56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(11,117,350)</w:t>
            </w:r>
          </w:p>
        </w:tc>
        <w:tc>
          <w:tcPr>
            <w:tcW w:w="680" w:type="dxa"/>
            <w:vAlign w:val="bottom"/>
            <w:tcBorders>
              <w:bottom w:val="single" w:sz="8" w:color="4CA5CD"/>
            </w:tcBorders>
          </w:tcPr>
          <w:p>
            <w:pPr>
              <w:spacing w:after="0"/>
              <w:rPr>
                <w:sz w:val="24"/>
                <w:szCs w:val="24"/>
                <w:color w:val="auto"/>
              </w:rPr>
            </w:pPr>
          </w:p>
        </w:tc>
        <w:tc>
          <w:tcPr>
            <w:tcW w:w="12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(5,075,352)</w:t>
            </w:r>
          </w:p>
        </w:tc>
        <w:tc>
          <w:tcPr>
            <w:tcW w:w="0" w:type="dxa"/>
            <w:vAlign w:val="bottom"/>
          </w:tcPr>
          <w:p>
            <w:pPr>
              <w:spacing w:after="0"/>
              <w:rPr>
                <w:sz w:val="1"/>
                <w:szCs w:val="1"/>
                <w:color w:val="auto"/>
              </w:rPr>
            </w:pP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8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(2,022,403)</w:t>
            </w:r>
          </w:p>
        </w:tc>
        <w:tc>
          <w:tcPr>
            <w:tcW w:w="560" w:type="dxa"/>
            <w:vAlign w:val="bottom"/>
            <w:tcBorders>
              <w:bottom w:val="single" w:sz="8" w:color="4CA5CD"/>
            </w:tcBorders>
          </w:tcPr>
          <w:p>
            <w:pPr>
              <w:spacing w:after="0"/>
              <w:rPr>
                <w:sz w:val="24"/>
                <w:szCs w:val="24"/>
                <w:color w:val="auto"/>
              </w:rPr>
            </w:pP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(10,110,695)</w:t>
            </w:r>
          </w:p>
        </w:tc>
        <w:tc>
          <w:tcPr>
            <w:tcW w:w="680" w:type="dxa"/>
            <w:vAlign w:val="bottom"/>
            <w:tcBorders>
              <w:bottom w:val="single" w:sz="8" w:color="4CA5CD"/>
            </w:tcBorders>
          </w:tcPr>
          <w:p>
            <w:pPr>
              <w:spacing w:after="0"/>
              <w:rPr>
                <w:sz w:val="24"/>
                <w:szCs w:val="24"/>
                <w:color w:val="auto"/>
              </w:rPr>
            </w:pPr>
          </w:p>
        </w:tc>
        <w:tc>
          <w:tcPr>
            <w:tcW w:w="12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1,006,655</w:t>
            </w:r>
          </w:p>
        </w:tc>
        <w:tc>
          <w:tcPr>
            <w:tcW w:w="0" w:type="dxa"/>
            <w:vAlign w:val="bottom"/>
          </w:tcPr>
          <w:p>
            <w:pPr>
              <w:spacing w:after="0"/>
              <w:rPr>
                <w:sz w:val="1"/>
                <w:szCs w:val="1"/>
                <w:color w:val="auto"/>
              </w:rPr>
            </w:pPr>
          </w:p>
        </w:tc>
      </w:tr>
      <w:tr>
        <w:trPr>
          <w:trHeight w:val="3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 end of period</w:t>
            </w:r>
          </w:p>
        </w:tc>
        <w:tc>
          <w:tcPr>
            <w:tcW w:w="480" w:type="dxa"/>
            <w:vAlign w:val="bottom"/>
            <w:tcBorders>
              <w:bottom w:val="single" w:sz="8" w:color="4CA5CD"/>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(6,557,122)</w:t>
            </w:r>
          </w:p>
        </w:tc>
        <w:tc>
          <w:tcPr>
            <w:tcW w:w="560" w:type="dxa"/>
            <w:vAlign w:val="bottom"/>
            <w:tcBorders>
              <w:bottom w:val="single" w:sz="8" w:color="4CA5CD"/>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(14,142,934)</w:t>
            </w:r>
          </w:p>
        </w:tc>
        <w:tc>
          <w:tcPr>
            <w:tcW w:w="680" w:type="dxa"/>
            <w:vAlign w:val="bottom"/>
            <w:tcBorders>
              <w:bottom w:val="single" w:sz="8" w:color="4CA5CD"/>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1,927,244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80" w:type="dxa"/>
            <w:vAlign w:val="bottom"/>
            <w:tcBorders>
              <w:bottom w:val="single" w:sz="8" w:color="4CA5CD"/>
            </w:tcBorders>
          </w:tcPr>
          <w:p>
            <w:pPr>
              <w:spacing w:after="0" w:line="20" w:lineRule="exact"/>
              <w:rPr>
                <w:sz w:val="1"/>
                <w:szCs w:val="1"/>
                <w:color w:val="auto"/>
              </w:rPr>
            </w:pPr>
          </w:p>
        </w:tc>
        <w:tc>
          <w:tcPr>
            <w:tcW w:w="1420" w:type="dxa"/>
            <w:vAlign w:val="bottom"/>
            <w:tcBorders>
              <w:bottom w:val="single" w:sz="8" w:color="4CA5CD"/>
            </w:tcBorders>
          </w:tcPr>
          <w:p>
            <w:pPr>
              <w:spacing w:after="0" w:line="20" w:lineRule="exact"/>
              <w:rPr>
                <w:sz w:val="1"/>
                <w:szCs w:val="1"/>
                <w:color w:val="auto"/>
              </w:rPr>
            </w:pPr>
          </w:p>
        </w:tc>
        <w:tc>
          <w:tcPr>
            <w:tcW w:w="560" w:type="dxa"/>
            <w:vAlign w:val="bottom"/>
            <w:tcBorders>
              <w:bottom w:val="single" w:sz="8" w:color="4CA5CD"/>
            </w:tcBorders>
          </w:tcPr>
          <w:p>
            <w:pPr>
              <w:spacing w:after="0" w:line="20" w:lineRule="exact"/>
              <w:rPr>
                <w:sz w:val="1"/>
                <w:szCs w:val="1"/>
                <w:color w:val="auto"/>
              </w:rPr>
            </w:pPr>
          </w:p>
        </w:tc>
        <w:tc>
          <w:tcPr>
            <w:tcW w:w="1420" w:type="dxa"/>
            <w:vAlign w:val="bottom"/>
            <w:tcBorders>
              <w:bottom w:val="single" w:sz="8" w:color="4CA5CD"/>
            </w:tcBorders>
          </w:tcPr>
          <w:p>
            <w:pPr>
              <w:spacing w:after="0" w:line="20" w:lineRule="exact"/>
              <w:rPr>
                <w:sz w:val="1"/>
                <w:szCs w:val="1"/>
                <w:color w:val="auto"/>
              </w:rPr>
            </w:pPr>
          </w:p>
        </w:tc>
        <w:tc>
          <w:tcPr>
            <w:tcW w:w="680" w:type="dxa"/>
            <w:vAlign w:val="bottom"/>
            <w:tcBorders>
              <w:bottom w:val="single" w:sz="8" w:color="4CA5CD"/>
            </w:tcBorders>
          </w:tcPr>
          <w:p>
            <w:pPr>
              <w:spacing w:after="0" w:line="20" w:lineRule="exact"/>
              <w:rPr>
                <w:sz w:val="1"/>
                <w:szCs w:val="1"/>
                <w:color w:val="auto"/>
              </w:rPr>
            </w:pPr>
          </w:p>
        </w:tc>
        <w:tc>
          <w:tcPr>
            <w:tcW w:w="1200" w:type="dxa"/>
            <w:vAlign w:val="bottom"/>
            <w:tcBorders>
              <w:bottom w:val="single" w:sz="8" w:color="4CA5C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808080"/>
        </w:rPr>
        <w:t>All amounts are shown net of tax. Amounts in parentheses indicate debits.</w:t>
      </w:r>
    </w:p>
    <w:p>
      <w:pPr>
        <w:spacing w:after="0" w:line="257" w:lineRule="exact"/>
        <w:rPr>
          <w:sz w:val="20"/>
          <w:szCs w:val="20"/>
          <w:color w:val="auto"/>
        </w:rPr>
      </w:pPr>
    </w:p>
    <w:p>
      <w:pPr>
        <w:ind w:right="460"/>
        <w:spacing w:after="0" w:line="437" w:lineRule="auto"/>
        <w:rPr>
          <w:sz w:val="20"/>
          <w:szCs w:val="20"/>
          <w:color w:val="auto"/>
        </w:rPr>
      </w:pPr>
      <w:r>
        <w:rPr>
          <w:rFonts w:ascii="Times New Roman" w:cs="Times New Roman" w:eastAsia="Times New Roman" w:hAnsi="Times New Roman"/>
          <w:sz w:val="18"/>
          <w:szCs w:val="18"/>
          <w:color w:val="auto"/>
        </w:rPr>
        <w:t>The following table presents details of reclassifications from accumulated other comprehensive (loss) income for the years ended December 31, 2023, 2022 and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Details about Accumulated Other</w:t>
            </w:r>
          </w:p>
        </w:tc>
        <w:tc>
          <w:tcPr>
            <w:tcW w:w="260" w:type="dxa"/>
            <w:vAlign w:val="bottom"/>
          </w:tcPr>
          <w:p>
            <w:pPr>
              <w:spacing w:after="0"/>
              <w:rPr>
                <w:sz w:val="20"/>
                <w:szCs w:val="20"/>
                <w:color w:val="auto"/>
              </w:rPr>
            </w:pPr>
          </w:p>
        </w:tc>
        <w:tc>
          <w:tcPr>
            <w:tcW w:w="3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Affected Line item in the Statement</w:t>
            </w:r>
          </w:p>
        </w:tc>
        <w:tc>
          <w:tcPr>
            <w:tcW w:w="0" w:type="dxa"/>
            <w:vAlign w:val="bottom"/>
          </w:tcPr>
          <w:p>
            <w:pPr>
              <w:spacing w:after="0"/>
              <w:rPr>
                <w:sz w:val="1"/>
                <w:szCs w:val="1"/>
                <w:color w:val="auto"/>
              </w:rPr>
            </w:pPr>
          </w:p>
        </w:tc>
      </w:tr>
      <w:tr>
        <w:trPr>
          <w:trHeight w:val="179"/>
        </w:trPr>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 Components</w:t>
            </w:r>
          </w:p>
        </w:tc>
        <w:tc>
          <w:tcPr>
            <w:tcW w:w="260" w:type="dxa"/>
            <w:vAlign w:val="bottom"/>
          </w:tcPr>
          <w:p>
            <w:pPr>
              <w:spacing w:after="0"/>
              <w:rPr>
                <w:sz w:val="15"/>
                <w:szCs w:val="15"/>
                <w:color w:val="auto"/>
              </w:rPr>
            </w:pPr>
          </w:p>
        </w:tc>
        <w:tc>
          <w:tcPr>
            <w:tcW w:w="3140" w:type="dxa"/>
            <w:vAlign w:val="bottom"/>
            <w:gridSpan w:val="4"/>
            <w:vMerge w:val="continue"/>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of Consolidated Income</w:t>
            </w:r>
          </w:p>
        </w:tc>
        <w:tc>
          <w:tcPr>
            <w:tcW w:w="0" w:type="dxa"/>
            <w:vAlign w:val="bottom"/>
          </w:tcPr>
          <w:p>
            <w:pPr>
              <w:spacing w:after="0"/>
              <w:rPr>
                <w:sz w:val="1"/>
                <w:szCs w:val="1"/>
                <w:color w:val="auto"/>
              </w:rPr>
            </w:pPr>
          </w:p>
        </w:tc>
      </w:tr>
      <w:tr>
        <w:trPr>
          <w:trHeight w:val="120"/>
        </w:trPr>
        <w:tc>
          <w:tcPr>
            <w:tcW w:w="34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gains on available-for-sale</w:t>
            </w:r>
          </w:p>
        </w:tc>
        <w:tc>
          <w:tcPr>
            <w:tcW w:w="26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securities</w:t>
            </w: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4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34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Realized (loss) gain on sale of securities</w:t>
            </w:r>
          </w:p>
        </w:tc>
        <w:tc>
          <w:tcPr>
            <w:tcW w:w="260" w:type="dxa"/>
            <w:vAlign w:val="bottom"/>
            <w:tcBorders>
              <w:bottom w:val="single" w:sz="8" w:color="808080"/>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(5,984,678)</w:t>
            </w:r>
          </w:p>
        </w:tc>
        <w:tc>
          <w:tcPr>
            <w:tcW w:w="340" w:type="dxa"/>
            <w:vAlign w:val="bottom"/>
            <w:tcBorders>
              <w:bottom w:val="single" w:sz="8" w:color="808080"/>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(1,712,867)</w:t>
            </w:r>
          </w:p>
        </w:tc>
        <w:tc>
          <w:tcPr>
            <w:tcW w:w="600" w:type="dxa"/>
            <w:vAlign w:val="bottom"/>
            <w:tcBorders>
              <w:bottom w:val="single" w:sz="8" w:color="808080"/>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808080"/>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1,072,048</w:t>
            </w:r>
          </w:p>
        </w:tc>
        <w:tc>
          <w:tcPr>
            <w:tcW w:w="2960" w:type="dxa"/>
            <w:vAlign w:val="bottom"/>
            <w:tcBorders>
              <w:bottom w:val="single" w:sz="8" w:color="808080"/>
            </w:tcBorders>
          </w:tcPr>
          <w:p>
            <w:pPr>
              <w:ind w:left="80"/>
              <w:spacing w:after="0"/>
              <w:rPr>
                <w:sz w:val="20"/>
                <w:szCs w:val="20"/>
                <w:color w:val="auto"/>
              </w:rPr>
            </w:pPr>
            <w:r>
              <w:rPr>
                <w:rFonts w:ascii="Times New Roman" w:cs="Times New Roman" w:eastAsia="Times New Roman" w:hAnsi="Times New Roman"/>
                <w:sz w:val="18"/>
                <w:szCs w:val="18"/>
                <w:color w:val="auto"/>
              </w:rPr>
              <w:t>Other (loss) income, net</w:t>
            </w:r>
          </w:p>
        </w:tc>
        <w:tc>
          <w:tcPr>
            <w:tcW w:w="0" w:type="dxa"/>
            <w:vAlign w:val="bottom"/>
          </w:tcPr>
          <w:p>
            <w:pPr>
              <w:spacing w:after="0"/>
              <w:rPr>
                <w:sz w:val="1"/>
                <w:szCs w:val="1"/>
                <w:color w:val="auto"/>
              </w:rPr>
            </w:pPr>
          </w:p>
        </w:tc>
      </w:tr>
      <w:tr>
        <w:trPr>
          <w:trHeight w:val="355"/>
        </w:trPr>
        <w:tc>
          <w:tcPr>
            <w:tcW w:w="34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4CA5CD"/>
            </w:tcBorders>
          </w:tcPr>
          <w:p>
            <w:pPr>
              <w:spacing w:after="0"/>
              <w:rPr>
                <w:sz w:val="24"/>
                <w:szCs w:val="24"/>
                <w:color w:val="auto"/>
              </w:rPr>
            </w:pPr>
          </w:p>
        </w:tc>
        <w:tc>
          <w:tcPr>
            <w:tcW w:w="11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1,256,782</w:t>
            </w:r>
          </w:p>
        </w:tc>
        <w:tc>
          <w:tcPr>
            <w:tcW w:w="340" w:type="dxa"/>
            <w:vAlign w:val="bottom"/>
            <w:tcBorders>
              <w:bottom w:val="single" w:sz="8" w:color="4CA5CD"/>
            </w:tcBorders>
          </w:tcPr>
          <w:p>
            <w:pPr>
              <w:spacing w:after="0"/>
              <w:rPr>
                <w:sz w:val="24"/>
                <w:szCs w:val="24"/>
                <w:color w:val="auto"/>
              </w:rPr>
            </w:pPr>
          </w:p>
        </w:tc>
        <w:tc>
          <w:tcPr>
            <w:tcW w:w="11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359,702</w:t>
            </w:r>
          </w:p>
        </w:tc>
        <w:tc>
          <w:tcPr>
            <w:tcW w:w="600" w:type="dxa"/>
            <w:vAlign w:val="bottom"/>
            <w:tcBorders>
              <w:bottom w:val="single" w:sz="8" w:color="4CA5CD"/>
            </w:tcBorders>
          </w:tcPr>
          <w:p>
            <w:pPr>
              <w:spacing w:after="0"/>
              <w:rPr>
                <w:sz w:val="24"/>
                <w:szCs w:val="24"/>
                <w:color w:val="auto"/>
              </w:rPr>
            </w:pPr>
          </w:p>
        </w:tc>
        <w:tc>
          <w:tcPr>
            <w:tcW w:w="7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(225,130)</w:t>
            </w:r>
          </w:p>
        </w:tc>
        <w:tc>
          <w:tcPr>
            <w:tcW w:w="10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31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260" w:type="dxa"/>
            <w:vAlign w:val="bottom"/>
            <w:tcBorders>
              <w:bottom w:val="single" w:sz="8" w:color="4CA5CD"/>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(4,727,896)</w:t>
            </w:r>
          </w:p>
        </w:tc>
        <w:tc>
          <w:tcPr>
            <w:tcW w:w="340" w:type="dxa"/>
            <w:vAlign w:val="bottom"/>
            <w:tcBorders>
              <w:bottom w:val="single" w:sz="8" w:color="4CA5CD"/>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(1,353,165)</w:t>
            </w:r>
          </w:p>
        </w:tc>
        <w:tc>
          <w:tcPr>
            <w:tcW w:w="600" w:type="dxa"/>
            <w:vAlign w:val="bottom"/>
            <w:tcBorders>
              <w:bottom w:val="single" w:sz="8" w:color="4CA5CD"/>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846,918</w:t>
            </w:r>
          </w:p>
        </w:tc>
        <w:tc>
          <w:tcPr>
            <w:tcW w:w="100" w:type="dxa"/>
            <w:vAlign w:val="bottom"/>
          </w:tcPr>
          <w:p>
            <w:pPr>
              <w:spacing w:after="0"/>
              <w:rPr>
                <w:sz w:val="24"/>
                <w:szCs w:val="24"/>
                <w:color w:val="auto"/>
              </w:rPr>
            </w:pPr>
          </w:p>
        </w:tc>
        <w:tc>
          <w:tcPr>
            <w:tcW w:w="2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60" w:type="dxa"/>
            <w:vAlign w:val="bottom"/>
            <w:tcBorders>
              <w:bottom w:val="single" w:sz="8" w:color="4CA5CD"/>
            </w:tcBorders>
          </w:tcPr>
          <w:p>
            <w:pPr>
              <w:spacing w:after="0" w:line="20" w:lineRule="exact"/>
              <w:rPr>
                <w:sz w:val="1"/>
                <w:szCs w:val="1"/>
                <w:color w:val="auto"/>
              </w:rPr>
            </w:pPr>
          </w:p>
        </w:tc>
        <w:tc>
          <w:tcPr>
            <w:tcW w:w="1100" w:type="dxa"/>
            <w:vAlign w:val="bottom"/>
            <w:tcBorders>
              <w:bottom w:val="single" w:sz="8" w:color="4CA5CD"/>
            </w:tcBorders>
          </w:tcPr>
          <w:p>
            <w:pPr>
              <w:spacing w:after="0" w:line="20" w:lineRule="exact"/>
              <w:rPr>
                <w:sz w:val="1"/>
                <w:szCs w:val="1"/>
                <w:color w:val="auto"/>
              </w:rPr>
            </w:pPr>
          </w:p>
        </w:tc>
        <w:tc>
          <w:tcPr>
            <w:tcW w:w="340" w:type="dxa"/>
            <w:vAlign w:val="bottom"/>
            <w:tcBorders>
              <w:bottom w:val="single" w:sz="8" w:color="4CA5CD"/>
            </w:tcBorders>
          </w:tcPr>
          <w:p>
            <w:pPr>
              <w:spacing w:after="0" w:line="20" w:lineRule="exact"/>
              <w:rPr>
                <w:sz w:val="1"/>
                <w:szCs w:val="1"/>
                <w:color w:val="auto"/>
              </w:rPr>
            </w:pPr>
          </w:p>
        </w:tc>
        <w:tc>
          <w:tcPr>
            <w:tcW w:w="1100" w:type="dxa"/>
            <w:vAlign w:val="bottom"/>
            <w:tcBorders>
              <w:bottom w:val="single" w:sz="8" w:color="4CA5CD"/>
            </w:tcBorders>
          </w:tcPr>
          <w:p>
            <w:pPr>
              <w:spacing w:after="0" w:line="20" w:lineRule="exact"/>
              <w:rPr>
                <w:sz w:val="1"/>
                <w:szCs w:val="1"/>
                <w:color w:val="auto"/>
              </w:rPr>
            </w:pPr>
          </w:p>
        </w:tc>
        <w:tc>
          <w:tcPr>
            <w:tcW w:w="600" w:type="dxa"/>
            <w:vAlign w:val="bottom"/>
            <w:tcBorders>
              <w:bottom w:val="single" w:sz="8" w:color="4CA5CD"/>
            </w:tcBorders>
          </w:tcPr>
          <w:p>
            <w:pPr>
              <w:spacing w:after="0" w:line="20" w:lineRule="exact"/>
              <w:rPr>
                <w:sz w:val="1"/>
                <w:szCs w:val="1"/>
                <w:color w:val="auto"/>
              </w:rPr>
            </w:pPr>
          </w:p>
        </w:tc>
        <w:tc>
          <w:tcPr>
            <w:tcW w:w="760" w:type="dxa"/>
            <w:vAlign w:val="bottom"/>
            <w:tcBorders>
              <w:bottom w:val="single" w:sz="8" w:color="4CA5CD"/>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60"/>
          </w:cols>
          <w:pgMar w:left="900" w:top="84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87</w:t>
      </w:r>
    </w:p>
    <w:p>
      <w:pPr>
        <w:sectPr>
          <w:pgSz w:w="12240" w:h="15840" w:orient="portrait"/>
          <w:cols w:equalWidth="0" w:num="1">
            <w:col w:w="10760"/>
          </w:cols>
          <w:pgMar w:left="900" w:top="846" w:right="580" w:bottom="0" w:gutter="0" w:footer="0" w:header="0"/>
          <w:type w:val="continuous"/>
        </w:sectPr>
      </w:pPr>
    </w:p>
    <w:bookmarkStart w:id="87" w:name="page88"/>
    <w:bookmarkEnd w:id="87"/>
    <w:p>
      <w:pPr>
        <w:ind w:left="320"/>
        <w:spacing w:after="0"/>
        <w:rPr>
          <w:sz w:val="20"/>
          <w:szCs w:val="20"/>
          <w:color w:val="auto"/>
        </w:rPr>
      </w:pPr>
      <w:r>
        <w:rPr>
          <w:rFonts w:ascii="Arial" w:cs="Arial" w:eastAsia="Arial" w:hAnsi="Arial"/>
          <w:sz w:val="18"/>
          <w:szCs w:val="18"/>
          <w:color w:val="404040"/>
        </w:rPr>
        <w:t>( 1 0 )  G O O D W I L L  A N D  I N T A N G I B L E  A S S E T S</w:t>
      </w:r>
    </w:p>
    <w:p>
      <w:pPr>
        <w:spacing w:after="0" w:line="2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recorded Goodwill of: $307.4 million related to the HomeLink® acquisition in 2013; $3.7 million as part of the acquisition</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of Vaporsens, Inc. (“Vaporsens”) in 2020; $0.2 million as part of the acquisition of Air-Craftglass Production BV (“Air-Craftglass”) in 2020;</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 million as part of the acquisition of Argil, Inc. (“Argil”) in 2020; $2.0 million as part of the acquisition of Guardian Optical Technologies</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(“Guardian”) in 2021; and $26.7 million as part of the acquisition of eSight in the fourth quarter of 2023. Refer to Note 12, “Acquisitions”,</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further information on the eSight acquisition. The carrying value of Goodwill as of December 31, 2023 and December 31, 2022 was $340.1</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million and $313.8 million, respectively, as set forth in the table below.</w:t>
      </w:r>
    </w:p>
    <w:p>
      <w:pPr>
        <w:spacing w:after="0" w:line="276"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7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Carrying Amount</w:t>
            </w:r>
          </w:p>
        </w:tc>
      </w:tr>
      <w:tr>
        <w:trPr>
          <w:trHeight w:val="345"/>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800" w:type="dxa"/>
            <w:vAlign w:val="bottom"/>
            <w:tcBorders>
              <w:bottom w:val="single" w:sz="8" w:color="808080"/>
            </w:tcBorders>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313,807,494</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26,696,012</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Divestitures</w:t>
            </w: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0"/>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Impairments</w:t>
            </w: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55"/>
        </w:trPr>
        <w:tc>
          <w:tcPr>
            <w:tcW w:w="756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4CA5CD"/>
            </w:tcBorders>
          </w:tcPr>
          <w:p>
            <w:pPr>
              <w:spacing w:after="0"/>
              <w:rPr>
                <w:sz w:val="24"/>
                <w:szCs w:val="24"/>
                <w:color w:val="auto"/>
              </w:rPr>
            </w:pPr>
          </w:p>
        </w:tc>
        <w:tc>
          <w:tcPr>
            <w:tcW w:w="20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(397,875)</w:t>
            </w:r>
          </w:p>
        </w:tc>
      </w:tr>
      <w:tr>
        <w:trPr>
          <w:trHeight w:val="3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800" w:type="dxa"/>
            <w:vAlign w:val="bottom"/>
            <w:tcBorders>
              <w:bottom w:val="single" w:sz="8" w:color="4CA5CD"/>
            </w:tcBorders>
          </w:tcPr>
          <w:p>
            <w:pPr>
              <w:spacing w:after="0"/>
              <w:rPr>
                <w:sz w:val="24"/>
                <w:szCs w:val="24"/>
                <w:color w:val="auto"/>
              </w:rPr>
            </w:pPr>
          </w:p>
        </w:tc>
        <w:tc>
          <w:tcPr>
            <w:tcW w:w="208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340,105,631</w:t>
            </w:r>
          </w:p>
        </w:tc>
      </w:tr>
      <w:tr>
        <w:trPr>
          <w:trHeight w:val="20"/>
        </w:trPr>
        <w:tc>
          <w:tcPr>
            <w:tcW w:w="7560" w:type="dxa"/>
            <w:vAlign w:val="bottom"/>
          </w:tcPr>
          <w:p>
            <w:pPr>
              <w:spacing w:after="0" w:line="20" w:lineRule="exact"/>
              <w:rPr>
                <w:sz w:val="1"/>
                <w:szCs w:val="1"/>
                <w:color w:val="auto"/>
              </w:rPr>
            </w:pPr>
          </w:p>
        </w:tc>
        <w:tc>
          <w:tcPr>
            <w:tcW w:w="800" w:type="dxa"/>
            <w:vAlign w:val="bottom"/>
            <w:tcBorders>
              <w:bottom w:val="single" w:sz="8" w:color="4CA5CD"/>
            </w:tcBorders>
          </w:tcPr>
          <w:p>
            <w:pPr>
              <w:spacing w:after="0" w:line="20" w:lineRule="exact"/>
              <w:rPr>
                <w:sz w:val="1"/>
                <w:szCs w:val="1"/>
                <w:color w:val="auto"/>
              </w:rPr>
            </w:pPr>
          </w:p>
        </w:tc>
        <w:tc>
          <w:tcPr>
            <w:tcW w:w="2080" w:type="dxa"/>
            <w:vAlign w:val="bottom"/>
            <w:tcBorders>
              <w:bottom w:val="single" w:sz="8" w:color="4CA5CD"/>
            </w:tcBorders>
          </w:tcPr>
          <w:p>
            <w:pPr>
              <w:spacing w:after="0" w:line="20" w:lineRule="exact"/>
              <w:rPr>
                <w:sz w:val="1"/>
                <w:szCs w:val="1"/>
                <w:color w:val="auto"/>
              </w:rPr>
            </w:pPr>
          </w:p>
        </w:tc>
      </w:tr>
    </w:tbl>
    <w:p>
      <w:pPr>
        <w:spacing w:after="0" w:line="200" w:lineRule="exact"/>
        <w:rPr>
          <w:sz w:val="20"/>
          <w:szCs w:val="20"/>
          <w:color w:val="auto"/>
        </w:rPr>
      </w:pPr>
    </w:p>
    <w:p>
      <w:pPr>
        <w:ind w:left="320" w:right="240"/>
        <w:spacing w:after="0" w:line="429" w:lineRule="auto"/>
        <w:rPr>
          <w:sz w:val="20"/>
          <w:szCs w:val="20"/>
          <w:color w:val="auto"/>
        </w:rPr>
      </w:pPr>
      <w:r>
        <w:rPr>
          <w:rFonts w:ascii="Times New Roman" w:cs="Times New Roman" w:eastAsia="Times New Roman" w:hAnsi="Times New Roman"/>
          <w:sz w:val="18"/>
          <w:szCs w:val="18"/>
          <w:color w:val="auto"/>
        </w:rPr>
        <w:t>As of December 31, 2023, $30.6 million of goodwill was recorded within the Other segment as a result of the Vaporsens, Air-Craftglass, and the eSight acquisitions, and $309.5 million of goodwill was recorded within the Automotive segment.</w:t>
      </w:r>
    </w:p>
    <w:p>
      <w:pPr>
        <w:ind w:left="320" w:right="120"/>
        <w:spacing w:after="0" w:line="338" w:lineRule="auto"/>
        <w:rPr>
          <w:sz w:val="20"/>
          <w:szCs w:val="20"/>
          <w:color w:val="auto"/>
        </w:rPr>
      </w:pPr>
      <w:r>
        <w:rPr>
          <w:rFonts w:ascii="Times New Roman" w:cs="Times New Roman" w:eastAsia="Times New Roman" w:hAnsi="Times New Roman"/>
          <w:sz w:val="18"/>
          <w:szCs w:val="18"/>
          <w:color w:val="auto"/>
        </w:rPr>
        <w:t>The Company reviews goodwill and IPR&amp;D for impairment during the fourth quarter on an annual basis or more frequently if events or changes in circumstances indicate that goodwill might be impaired. The Company performed a qualitative assessment (step 0) to determine whether it is more likely than not that a reporting unit or intangible asset’s fair value is less than its carrying amount. Based on this test, the Company determined they were not and that no additional impairment testing was needed. The Company has not recognized any impairment of goodwill or IPR&amp;D in the current or prior periods. The Company continuously monitors for events and circumstances that could negatively impact the key assumptions in determining fair value thus resulting in the need for interim testing, including long-term revenue growth projections, profitability, discount rates, recent market valuations from transactions by comparable companies, volatility in the Company’s market capitalization, and certain general industry, market and macro-economic conditions. No such events or circumstances that might negatively impact the key assumptions were observed in 2023 and, as such, nothing indicated the need for interim impairment testing.</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Intangible Assets and related change in carrying values are set forth in the table below as of December 31, 2023 and December 31, 2022.</w:t>
      </w:r>
    </w:p>
    <w:p>
      <w:pPr>
        <w:sectPr>
          <w:pgSz w:w="12240" w:h="15840" w:orient="portrait"/>
          <w:cols w:equalWidth="0" w:num="1">
            <w:col w:w="10760"/>
          </w:cols>
          <w:pgMar w:left="580" w:top="1307"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88</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1307" w:right="900" w:bottom="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30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4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500" w:type="dxa"/>
            <w:vAlign w:val="bottom"/>
          </w:tcPr>
          <w:p>
            <w:pPr>
              <w:spacing w:after="0"/>
              <w:rPr>
                <w:sz w:val="24"/>
                <w:szCs w:val="24"/>
                <w:color w:val="auto"/>
              </w:rPr>
            </w:pPr>
          </w:p>
        </w:tc>
        <w:tc>
          <w:tcPr>
            <w:tcW w:w="14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Assumed</w:t>
            </w:r>
          </w:p>
        </w:tc>
        <w:tc>
          <w:tcPr>
            <w:tcW w:w="0" w:type="dxa"/>
            <w:vAlign w:val="bottom"/>
          </w:tcPr>
          <w:p>
            <w:pPr>
              <w:spacing w:after="0"/>
              <w:rPr>
                <w:sz w:val="1"/>
                <w:szCs w:val="1"/>
                <w:color w:val="auto"/>
              </w:rPr>
            </w:pPr>
          </w:p>
        </w:tc>
      </w:tr>
      <w:tr>
        <w:trPr>
          <w:trHeight w:val="179"/>
        </w:trPr>
        <w:tc>
          <w:tcPr>
            <w:tcW w:w="3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5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126"/>
        </w:trPr>
        <w:tc>
          <w:tcPr>
            <w:tcW w:w="3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HomeLink® Trade Names and Trademarks</w:t>
            </w:r>
          </w:p>
        </w:tc>
        <w:tc>
          <w:tcPr>
            <w:tcW w:w="560" w:type="dxa"/>
            <w:vAlign w:val="bottom"/>
            <w:tcBorders>
              <w:bottom w:val="single" w:sz="8" w:color="808080"/>
            </w:tcBorders>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52,000,000</w:t>
            </w:r>
          </w:p>
        </w:tc>
        <w:tc>
          <w:tcPr>
            <w:tcW w:w="440" w:type="dxa"/>
            <w:vAlign w:val="bottom"/>
            <w:tcBorders>
              <w:bottom w:val="single" w:sz="8" w:color="808080"/>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52,000,000</w:t>
            </w: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HomeLink® Technology</w:t>
            </w: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180,000,000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(153,750,000)</w:t>
            </w:r>
          </w:p>
        </w:tc>
        <w:tc>
          <w:tcPr>
            <w:tcW w:w="5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26,250,000</w:t>
            </w: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 years</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Existing Customer Platforms</w:t>
            </w: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(43,000,000)</w:t>
            </w:r>
          </w:p>
        </w:tc>
        <w:tc>
          <w:tcPr>
            <w:tcW w:w="50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Exclusive Licensing Agreement</w:t>
            </w: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96,000,000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96,000,000</w:t>
            </w: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eSight Technology</w:t>
            </w: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 years</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eSight Trade Names and Trademarks</w:t>
            </w: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870,000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870,000</w:t>
            </w: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 years</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Vaporsens In-Process R&amp;D</w:t>
            </w: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11,000,000</w:t>
            </w: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Argil In-Process R&amp;D</w:t>
            </w: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6,278,132</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6,278,132</w:t>
            </w: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Air-Craftglass In-Process R&amp;D</w:t>
            </w: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1,507,778</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1,507,778</w:t>
            </w: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Guardian Trade Names</w:t>
            </w: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55"/>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Guardian In-Process R&amp;D</w:t>
            </w: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4CA5CD"/>
            </w:tcBorders>
          </w:tcPr>
          <w:p>
            <w:pPr>
              <w:spacing w:after="0"/>
              <w:rPr>
                <w:sz w:val="24"/>
                <w:szCs w:val="24"/>
                <w:color w:val="auto"/>
              </w:rPr>
            </w:pPr>
          </w:p>
        </w:tc>
        <w:tc>
          <w:tcPr>
            <w:tcW w:w="380" w:type="dxa"/>
            <w:vAlign w:val="bottom"/>
            <w:tcBorders>
              <w:bottom w:val="single" w:sz="8" w:color="4CA5CD"/>
            </w:tcBorders>
          </w:tcPr>
          <w:p>
            <w:pPr>
              <w:spacing w:after="0"/>
              <w:rPr>
                <w:sz w:val="24"/>
                <w:szCs w:val="24"/>
                <w:color w:val="auto"/>
              </w:rPr>
            </w:pPr>
          </w:p>
        </w:tc>
        <w:tc>
          <w:tcPr>
            <w:tcW w:w="13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6,800,000</w:t>
            </w:r>
          </w:p>
        </w:tc>
        <w:tc>
          <w:tcPr>
            <w:tcW w:w="44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4CA5CD"/>
            </w:tcBorders>
          </w:tcPr>
          <w:p>
            <w:pPr>
              <w:spacing w:after="0"/>
              <w:rPr>
                <w:sz w:val="24"/>
                <w:szCs w:val="24"/>
                <w:color w:val="auto"/>
              </w:rPr>
            </w:pPr>
          </w:p>
        </w:tc>
        <w:tc>
          <w:tcPr>
            <w:tcW w:w="12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6,800,000</w:t>
            </w: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10"/>
        </w:trPr>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other identifiable intangible assets</w:t>
            </w:r>
          </w:p>
        </w:tc>
        <w:tc>
          <w:tcPr>
            <w:tcW w:w="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410,755,910</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(196,750,000)</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214,005,910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December 31, 2022:</w:t>
            </w:r>
          </w:p>
        </w:tc>
        <w:tc>
          <w:tcPr>
            <w:tcW w:w="160" w:type="dxa"/>
            <w:vAlign w:val="bottom"/>
          </w:tcPr>
          <w:p>
            <w:pPr>
              <w:spacing w:after="0" w:line="20" w:lineRule="exact"/>
              <w:rPr>
                <w:sz w:val="1"/>
                <w:szCs w:val="1"/>
                <w:color w:val="auto"/>
              </w:rPr>
            </w:pPr>
          </w:p>
        </w:tc>
        <w:tc>
          <w:tcPr>
            <w:tcW w:w="20" w:type="dxa"/>
            <w:vAlign w:val="bottom"/>
            <w:tcBorders>
              <w:top w:val="single" w:sz="8" w:color="4CA5CD"/>
              <w:bottom w:val="single" w:sz="8" w:color="4CA5CD"/>
            </w:tcBorders>
          </w:tcPr>
          <w:p>
            <w:pPr>
              <w:spacing w:after="0" w:line="20" w:lineRule="exact"/>
              <w:rPr>
                <w:sz w:val="1"/>
                <w:szCs w:val="1"/>
                <w:color w:val="auto"/>
              </w:rPr>
            </w:pPr>
          </w:p>
        </w:tc>
        <w:tc>
          <w:tcPr>
            <w:tcW w:w="380" w:type="dxa"/>
            <w:vAlign w:val="bottom"/>
            <w:tcBorders>
              <w:top w:val="single" w:sz="8" w:color="4CA5CD"/>
              <w:bottom w:val="single" w:sz="8" w:color="4CA5CD"/>
            </w:tcBorders>
          </w:tcPr>
          <w:p>
            <w:pPr>
              <w:spacing w:after="0" w:line="20" w:lineRule="exact"/>
              <w:rPr>
                <w:sz w:val="1"/>
                <w:szCs w:val="1"/>
                <w:color w:val="auto"/>
              </w:rPr>
            </w:pPr>
          </w:p>
        </w:tc>
        <w:tc>
          <w:tcPr>
            <w:tcW w:w="1320" w:type="dxa"/>
            <w:vAlign w:val="bottom"/>
            <w:tcBorders>
              <w:top w:val="single" w:sz="8" w:color="4CA5CD"/>
              <w:bottom w:val="single" w:sz="8" w:color="4CA5CD"/>
            </w:tcBorders>
          </w:tcPr>
          <w:p>
            <w:pPr>
              <w:spacing w:after="0" w:line="20" w:lineRule="exact"/>
              <w:rPr>
                <w:sz w:val="1"/>
                <w:szCs w:val="1"/>
                <w:color w:val="auto"/>
              </w:rPr>
            </w:pPr>
          </w:p>
        </w:tc>
        <w:tc>
          <w:tcPr>
            <w:tcW w:w="440" w:type="dxa"/>
            <w:vAlign w:val="bottom"/>
            <w:tcBorders>
              <w:top w:val="single" w:sz="8" w:color="4CA5CD"/>
              <w:bottom w:val="single" w:sz="8" w:color="4CA5CD"/>
            </w:tcBorders>
          </w:tcPr>
          <w:p>
            <w:pPr>
              <w:spacing w:after="0" w:line="20" w:lineRule="exact"/>
              <w:rPr>
                <w:sz w:val="1"/>
                <w:szCs w:val="1"/>
                <w:color w:val="auto"/>
              </w:rPr>
            </w:pPr>
          </w:p>
        </w:tc>
        <w:tc>
          <w:tcPr>
            <w:tcW w:w="1380" w:type="dxa"/>
            <w:vAlign w:val="bottom"/>
            <w:tcBorders>
              <w:top w:val="single" w:sz="8" w:color="4CA5CD"/>
              <w:bottom w:val="single" w:sz="8" w:color="4CA5CD"/>
            </w:tcBorders>
          </w:tcPr>
          <w:p>
            <w:pPr>
              <w:spacing w:after="0" w:line="20" w:lineRule="exact"/>
              <w:rPr>
                <w:sz w:val="1"/>
                <w:szCs w:val="1"/>
                <w:color w:val="auto"/>
              </w:rPr>
            </w:pPr>
          </w:p>
        </w:tc>
        <w:tc>
          <w:tcPr>
            <w:tcW w:w="500" w:type="dxa"/>
            <w:vAlign w:val="bottom"/>
            <w:tcBorders>
              <w:top w:val="single" w:sz="8" w:color="4CA5CD"/>
              <w:bottom w:val="single" w:sz="8" w:color="4CA5CD"/>
            </w:tcBorders>
          </w:tcPr>
          <w:p>
            <w:pPr>
              <w:spacing w:after="0" w:line="20" w:lineRule="exact"/>
              <w:rPr>
                <w:sz w:val="1"/>
                <w:szCs w:val="1"/>
                <w:color w:val="auto"/>
              </w:rPr>
            </w:pPr>
          </w:p>
        </w:tc>
        <w:tc>
          <w:tcPr>
            <w:tcW w:w="1220" w:type="dxa"/>
            <w:vAlign w:val="bottom"/>
            <w:tcBorders>
              <w:top w:val="single" w:sz="8" w:color="4CA5CD"/>
              <w:bottom w:val="single" w:sz="8" w:color="4CA5C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3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4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500" w:type="dxa"/>
            <w:vAlign w:val="bottom"/>
          </w:tcPr>
          <w:p>
            <w:pPr>
              <w:spacing w:after="0"/>
              <w:rPr>
                <w:sz w:val="24"/>
                <w:szCs w:val="24"/>
                <w:color w:val="auto"/>
              </w:rPr>
            </w:pPr>
          </w:p>
        </w:tc>
        <w:tc>
          <w:tcPr>
            <w:tcW w:w="14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Assumed Useful</w:t>
            </w:r>
          </w:p>
        </w:tc>
        <w:tc>
          <w:tcPr>
            <w:tcW w:w="0" w:type="dxa"/>
            <w:vAlign w:val="bottom"/>
          </w:tcPr>
          <w:p>
            <w:pPr>
              <w:spacing w:after="0"/>
              <w:rPr>
                <w:sz w:val="1"/>
                <w:szCs w:val="1"/>
                <w:color w:val="auto"/>
              </w:rPr>
            </w:pPr>
          </w:p>
        </w:tc>
      </w:tr>
      <w:tr>
        <w:trPr>
          <w:trHeight w:val="179"/>
        </w:trPr>
        <w:tc>
          <w:tcPr>
            <w:tcW w:w="3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5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126"/>
        </w:trPr>
        <w:tc>
          <w:tcPr>
            <w:tcW w:w="3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HomeLink® Trade Names and Trademarks</w:t>
            </w:r>
          </w:p>
        </w:tc>
        <w:tc>
          <w:tcPr>
            <w:tcW w:w="560" w:type="dxa"/>
            <w:vAlign w:val="bottom"/>
            <w:tcBorders>
              <w:bottom w:val="single" w:sz="8" w:color="808080"/>
            </w:tcBorders>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52,000,000</w:t>
            </w:r>
          </w:p>
        </w:tc>
        <w:tc>
          <w:tcPr>
            <w:tcW w:w="440" w:type="dxa"/>
            <w:vAlign w:val="bottom"/>
            <w:tcBorders>
              <w:bottom w:val="single" w:sz="8" w:color="808080"/>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808080"/>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52,000,000</w:t>
            </w: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HomeLink® Technology</w:t>
            </w: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180,000,000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(138,750,000)</w:t>
            </w:r>
          </w:p>
        </w:tc>
        <w:tc>
          <w:tcPr>
            <w:tcW w:w="50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41,250,000</w:t>
            </w: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 years</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Existing Customer Platforms</w:t>
            </w: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(39,775,000)</w:t>
            </w:r>
          </w:p>
        </w:tc>
        <w:tc>
          <w:tcPr>
            <w:tcW w:w="50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3,225,000</w:t>
            </w: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Exclusive Licensing Agreement</w:t>
            </w: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96,000,000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96,000,000</w:t>
            </w: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Vaporsens In-Process R&amp;D</w:t>
            </w: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11,000,000</w:t>
            </w: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Argil In-Process R&amp;D</w:t>
            </w: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6,278,132</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6,278,132</w:t>
            </w: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Air-Craftglass In-Process R&amp;D</w:t>
            </w: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1,507,778</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1,507,778</w:t>
            </w: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40"/>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Guardian Trade Names</w:t>
            </w: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1,300,000</w:t>
            </w:r>
          </w:p>
        </w:tc>
        <w:tc>
          <w:tcPr>
            <w:tcW w:w="4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1,300,000</w:t>
            </w: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55"/>
        </w:trPr>
        <w:tc>
          <w:tcPr>
            <w:tcW w:w="340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Guardian In-Process R&amp;D</w:t>
            </w: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4CA5CD"/>
            </w:tcBorders>
          </w:tcPr>
          <w:p>
            <w:pPr>
              <w:spacing w:after="0"/>
              <w:rPr>
                <w:sz w:val="24"/>
                <w:szCs w:val="24"/>
                <w:color w:val="auto"/>
              </w:rPr>
            </w:pPr>
          </w:p>
        </w:tc>
        <w:tc>
          <w:tcPr>
            <w:tcW w:w="132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6,800,000</w:t>
            </w:r>
          </w:p>
        </w:tc>
        <w:tc>
          <w:tcPr>
            <w:tcW w:w="440" w:type="dxa"/>
            <w:vAlign w:val="bottom"/>
            <w:tcBorders>
              <w:bottom w:val="single" w:sz="8" w:color="4CA5CD"/>
            </w:tcBorders>
          </w:tcPr>
          <w:p>
            <w:pPr>
              <w:spacing w:after="0"/>
              <w:rPr>
                <w:sz w:val="24"/>
                <w:szCs w:val="24"/>
                <w:color w:val="auto"/>
              </w:rPr>
            </w:pPr>
          </w:p>
        </w:tc>
        <w:tc>
          <w:tcPr>
            <w:tcW w:w="138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4CA5CD"/>
            </w:tcBorders>
          </w:tcPr>
          <w:p>
            <w:pPr>
              <w:spacing w:after="0"/>
              <w:rPr>
                <w:sz w:val="24"/>
                <w:szCs w:val="24"/>
                <w:color w:val="auto"/>
              </w:rPr>
            </w:pPr>
          </w:p>
        </w:tc>
        <w:tc>
          <w:tcPr>
            <w:tcW w:w="1240" w:type="dxa"/>
            <w:vAlign w:val="bottom"/>
            <w:tcBorders>
              <w:bottom w:val="single" w:sz="8" w:color="4CA5C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6,800,000</w:t>
            </w:r>
          </w:p>
        </w:tc>
        <w:tc>
          <w:tcPr>
            <w:tcW w:w="1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10"/>
        </w:trPr>
        <w:tc>
          <w:tcPr>
            <w:tcW w:w="3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other identifiable intangible assets</w:t>
            </w:r>
          </w:p>
        </w:tc>
        <w:tc>
          <w:tcPr>
            <w:tcW w:w="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397,885,910</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(178,525,000)</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219,360,910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4CA5CD"/>
            </w:tcBorders>
          </w:tcPr>
          <w:p>
            <w:pPr>
              <w:spacing w:after="0" w:line="20" w:lineRule="exact"/>
              <w:rPr>
                <w:sz w:val="1"/>
                <w:szCs w:val="1"/>
                <w:color w:val="auto"/>
              </w:rPr>
            </w:pPr>
          </w:p>
        </w:tc>
        <w:tc>
          <w:tcPr>
            <w:tcW w:w="380" w:type="dxa"/>
            <w:vAlign w:val="bottom"/>
            <w:tcBorders>
              <w:top w:val="single" w:sz="8" w:color="4CA5CD"/>
              <w:bottom w:val="single" w:sz="8" w:color="4CA5CD"/>
            </w:tcBorders>
          </w:tcPr>
          <w:p>
            <w:pPr>
              <w:spacing w:after="0" w:line="20" w:lineRule="exact"/>
              <w:rPr>
                <w:sz w:val="1"/>
                <w:szCs w:val="1"/>
                <w:color w:val="auto"/>
              </w:rPr>
            </w:pPr>
          </w:p>
        </w:tc>
        <w:tc>
          <w:tcPr>
            <w:tcW w:w="1320" w:type="dxa"/>
            <w:vAlign w:val="bottom"/>
            <w:tcBorders>
              <w:top w:val="single" w:sz="8" w:color="4CA5CD"/>
              <w:bottom w:val="single" w:sz="8" w:color="4CA5CD"/>
            </w:tcBorders>
          </w:tcPr>
          <w:p>
            <w:pPr>
              <w:spacing w:after="0" w:line="20" w:lineRule="exact"/>
              <w:rPr>
                <w:sz w:val="1"/>
                <w:szCs w:val="1"/>
                <w:color w:val="auto"/>
              </w:rPr>
            </w:pPr>
          </w:p>
        </w:tc>
        <w:tc>
          <w:tcPr>
            <w:tcW w:w="440" w:type="dxa"/>
            <w:vAlign w:val="bottom"/>
            <w:tcBorders>
              <w:top w:val="single" w:sz="8" w:color="4CA5CD"/>
              <w:bottom w:val="single" w:sz="8" w:color="4CA5CD"/>
            </w:tcBorders>
          </w:tcPr>
          <w:p>
            <w:pPr>
              <w:spacing w:after="0" w:line="20" w:lineRule="exact"/>
              <w:rPr>
                <w:sz w:val="1"/>
                <w:szCs w:val="1"/>
                <w:color w:val="auto"/>
              </w:rPr>
            </w:pPr>
          </w:p>
        </w:tc>
        <w:tc>
          <w:tcPr>
            <w:tcW w:w="1380" w:type="dxa"/>
            <w:vAlign w:val="bottom"/>
            <w:tcBorders>
              <w:top w:val="single" w:sz="8" w:color="4CA5CD"/>
              <w:bottom w:val="single" w:sz="8" w:color="4CA5CD"/>
            </w:tcBorders>
          </w:tcPr>
          <w:p>
            <w:pPr>
              <w:spacing w:after="0" w:line="20" w:lineRule="exact"/>
              <w:rPr>
                <w:sz w:val="1"/>
                <w:szCs w:val="1"/>
                <w:color w:val="auto"/>
              </w:rPr>
            </w:pPr>
          </w:p>
        </w:tc>
        <w:tc>
          <w:tcPr>
            <w:tcW w:w="500" w:type="dxa"/>
            <w:vAlign w:val="bottom"/>
            <w:tcBorders>
              <w:top w:val="single" w:sz="8" w:color="4CA5CD"/>
              <w:bottom w:val="single" w:sz="8" w:color="4CA5CD"/>
            </w:tcBorders>
          </w:tcPr>
          <w:p>
            <w:pPr>
              <w:spacing w:after="0" w:line="20" w:lineRule="exact"/>
              <w:rPr>
                <w:sz w:val="1"/>
                <w:szCs w:val="1"/>
                <w:color w:val="auto"/>
              </w:rPr>
            </w:pPr>
          </w:p>
        </w:tc>
        <w:tc>
          <w:tcPr>
            <w:tcW w:w="1220" w:type="dxa"/>
            <w:vAlign w:val="bottom"/>
            <w:tcBorders>
              <w:top w:val="single" w:sz="8" w:color="4CA5CD"/>
              <w:bottom w:val="single" w:sz="8" w:color="4CA5CD"/>
            </w:tcBorders>
          </w:tcPr>
          <w:p>
            <w:pPr>
              <w:spacing w:after="0" w:line="20" w:lineRule="exact"/>
              <w:rPr>
                <w:sz w:val="1"/>
                <w:szCs w:val="1"/>
                <w:color w:val="auto"/>
              </w:rPr>
            </w:pPr>
          </w:p>
        </w:tc>
        <w:tc>
          <w:tcPr>
            <w:tcW w:w="20" w:type="dxa"/>
            <w:vAlign w:val="bottom"/>
            <w:tcBorders>
              <w:top w:val="single" w:sz="8" w:color="4CA5CD"/>
              <w:bottom w:val="single" w:sz="8" w:color="4CA5CD"/>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460"/>
        <w:spacing w:after="0" w:line="411" w:lineRule="auto"/>
        <w:rPr>
          <w:sz w:val="20"/>
          <w:szCs w:val="20"/>
          <w:color w:val="auto"/>
        </w:rPr>
      </w:pPr>
      <w:r>
        <w:rPr>
          <w:rFonts w:ascii="Times New Roman" w:cs="Times New Roman" w:eastAsia="Times New Roman" w:hAnsi="Times New Roman"/>
          <w:sz w:val="17"/>
          <w:szCs w:val="17"/>
          <w:color w:val="auto"/>
        </w:rPr>
        <w:t>Accumulated amortization on patents and intangible assets was approximately $224.7 million and $206.3 million at December 31, 2023 and 2022, respectively. Amortization expense on patents and other intangible assets was approximately $19.7 million, $21.7 million, and $22.2 million in calendar years 2023, 2022 and 2021, respectively. At December 31, 2023, patents had a weighted average amortized life of 11 years.</w:t>
      </w:r>
    </w:p>
    <w:p>
      <w:pPr>
        <w:spacing w:after="0" w:line="16" w:lineRule="exact"/>
        <w:rPr>
          <w:sz w:val="20"/>
          <w:szCs w:val="20"/>
          <w:color w:val="auto"/>
        </w:rPr>
      </w:pPr>
    </w:p>
    <w:p>
      <w:pPr>
        <w:ind w:right="380"/>
        <w:spacing w:after="0" w:line="382" w:lineRule="auto"/>
        <w:rPr>
          <w:sz w:val="20"/>
          <w:szCs w:val="20"/>
          <w:color w:val="auto"/>
        </w:rPr>
      </w:pPr>
      <w:r>
        <w:rPr>
          <w:rFonts w:ascii="Times New Roman" w:cs="Times New Roman" w:eastAsia="Times New Roman" w:hAnsi="Times New Roman"/>
          <w:sz w:val="18"/>
          <w:szCs w:val="18"/>
          <w:color w:val="auto"/>
        </w:rPr>
        <w:t>Excluding the impact of any future acquisitions, the Company anticipates amortization expense including patents and other intangible assets to be approximately: $17 million for the year ended December 31, 2024; $14 million for the year ended December 31, 2025; $3 million for each of the years ended December 31, 2026, December 2027, and December 31, 2028.</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89</w:t>
      </w:r>
    </w:p>
    <w:p>
      <w:pPr>
        <w:sectPr>
          <w:pgSz w:w="12240" w:h="15840" w:orient="portrait"/>
          <w:cols w:equalWidth="0" w:num="1">
            <w:col w:w="10760"/>
          </w:cols>
          <w:pgMar w:left="900" w:top="852" w:right="580" w:bottom="0" w:gutter="0" w:footer="0" w:header="0"/>
          <w:type w:val="continuous"/>
        </w:sectPr>
      </w:pPr>
    </w:p>
    <w:bookmarkStart w:id="89" w:name="page90"/>
    <w:bookmarkEnd w:id="89"/>
    <w:p>
      <w:pPr>
        <w:ind w:left="320"/>
        <w:spacing w:after="0"/>
        <w:rPr>
          <w:sz w:val="20"/>
          <w:szCs w:val="20"/>
          <w:color w:val="auto"/>
        </w:rPr>
      </w:pPr>
      <w:r>
        <w:rPr>
          <w:rFonts w:ascii="Arial" w:cs="Arial" w:eastAsia="Arial" w:hAnsi="Arial"/>
          <w:sz w:val="18"/>
          <w:szCs w:val="18"/>
          <w:color w:val="404040"/>
        </w:rPr>
        <w:t>( 1 1 )  R E V E N U E</w:t>
      </w:r>
    </w:p>
    <w:p>
      <w:pPr>
        <w:spacing w:after="0" w:line="263" w:lineRule="exact"/>
        <w:rPr>
          <w:sz w:val="20"/>
          <w:szCs w:val="20"/>
          <w:color w:val="auto"/>
        </w:rPr>
      </w:pPr>
    </w:p>
    <w:p>
      <w:pPr>
        <w:ind w:left="320" w:right="400"/>
        <w:spacing w:after="0" w:line="437" w:lineRule="auto"/>
        <w:rPr>
          <w:sz w:val="20"/>
          <w:szCs w:val="20"/>
          <w:color w:val="auto"/>
        </w:rPr>
      </w:pPr>
      <w:r>
        <w:rPr>
          <w:rFonts w:ascii="Times New Roman" w:cs="Times New Roman" w:eastAsia="Times New Roman" w:hAnsi="Times New Roman"/>
          <w:sz w:val="18"/>
          <w:szCs w:val="18"/>
          <w:color w:val="auto"/>
        </w:rPr>
        <w:t>The following table shows the Company’s Automotive and Other Products revenue disaggregated by geographical location for Automotive Products for the years ended December 31, 2023, 2022, and 2021:</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4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300" w:type="dxa"/>
            <w:vAlign w:val="bottom"/>
          </w:tcPr>
          <w:p>
            <w:pPr>
              <w:spacing w:after="0"/>
              <w:rPr>
                <w:sz w:val="24"/>
                <w:szCs w:val="24"/>
                <w:color w:val="auto"/>
              </w:rPr>
            </w:pPr>
          </w:p>
        </w:tc>
      </w:tr>
      <w:tr>
        <w:trPr>
          <w:trHeight w:val="36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34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Automotive Products</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688,164,335</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579,531,611</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542,690,346</w:t>
            </w: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Germany</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294,529,611</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266,498,398</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234,994,551</w:t>
            </w: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323,872,022</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234,888,653</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211,417,475</w:t>
            </w: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Mexico</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142,082,011</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121,553,711</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111,761,245</w:t>
            </w:r>
          </w:p>
        </w:tc>
      </w:tr>
      <w:tr>
        <w:trPr>
          <w:trHeight w:val="340"/>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Republic of Korea</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149,554,788</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95,395,479</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67,219,836</w:t>
            </w:r>
          </w:p>
        </w:tc>
      </w:tr>
      <w:tr>
        <w:trPr>
          <w:trHeight w:val="355"/>
        </w:trPr>
        <w:tc>
          <w:tcPr>
            <w:tcW w:w="468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656,457,524</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576,874,606</w:t>
            </w:r>
          </w:p>
        </w:tc>
        <w:tc>
          <w:tcPr>
            <w:tcW w:w="580" w:type="dxa"/>
            <w:vAlign w:val="bottom"/>
            <w:tcBorders>
              <w:bottom w:val="single" w:sz="8" w:color="4CA5CD"/>
            </w:tcBorders>
          </w:tcPr>
          <w:p>
            <w:pPr>
              <w:spacing w:after="0"/>
              <w:rPr>
                <w:sz w:val="24"/>
                <w:szCs w:val="24"/>
                <w:color w:val="auto"/>
              </w:rPr>
            </w:pP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529,104,581</w:t>
            </w:r>
          </w:p>
        </w:tc>
      </w:tr>
      <w:tr>
        <w:trPr>
          <w:trHeight w:val="32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Total Automotive Products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2,254,660,291</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1,874,742,458</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1,697,188,034</w:t>
            </w:r>
          </w:p>
        </w:tc>
      </w:tr>
      <w:tr>
        <w:trPr>
          <w:trHeight w:val="35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Other Products (U.S.)</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44,554,753</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44,215,585</w:t>
            </w:r>
          </w:p>
        </w:tc>
        <w:tc>
          <w:tcPr>
            <w:tcW w:w="580" w:type="dxa"/>
            <w:vAlign w:val="bottom"/>
            <w:tcBorders>
              <w:bottom w:val="single" w:sz="8" w:color="4CA5CD"/>
            </w:tcBorders>
          </w:tcPr>
          <w:p>
            <w:pPr>
              <w:spacing w:after="0"/>
              <w:rPr>
                <w:sz w:val="24"/>
                <w:szCs w:val="24"/>
                <w:color w:val="auto"/>
              </w:rPr>
            </w:pP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33,981,895</w:t>
            </w:r>
          </w:p>
        </w:tc>
      </w:tr>
      <w:tr>
        <w:trPr>
          <w:trHeight w:val="3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2,299,215,044</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1,918,958,043</w:t>
            </w:r>
          </w:p>
        </w:tc>
        <w:tc>
          <w:tcPr>
            <w:tcW w:w="580" w:type="dxa"/>
            <w:vAlign w:val="bottom"/>
            <w:tcBorders>
              <w:bottom w:val="single" w:sz="8" w:color="4CA5CD"/>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1,731,169,929</w:t>
            </w:r>
          </w:p>
        </w:tc>
      </w:tr>
    </w:tbl>
    <w:p>
      <w:pPr>
        <w:spacing w:after="0" w:line="200" w:lineRule="exact"/>
        <w:rPr>
          <w:sz w:val="20"/>
          <w:szCs w:val="20"/>
          <w:color w:val="auto"/>
        </w:rPr>
      </w:pPr>
    </w:p>
    <w:p>
      <w:pPr>
        <w:spacing w:after="0" w:line="340" w:lineRule="exact"/>
        <w:rPr>
          <w:sz w:val="20"/>
          <w:szCs w:val="20"/>
          <w:color w:val="auto"/>
        </w:rPr>
      </w:pPr>
    </w:p>
    <w:p>
      <w:pPr>
        <w:ind w:left="320" w:right="100"/>
        <w:spacing w:after="0" w:line="362" w:lineRule="auto"/>
        <w:rPr>
          <w:sz w:val="20"/>
          <w:szCs w:val="20"/>
          <w:color w:val="auto"/>
        </w:rPr>
      </w:pPr>
      <w:r>
        <w:rPr>
          <w:rFonts w:ascii="Times New Roman" w:cs="Times New Roman" w:eastAsia="Times New Roman" w:hAnsi="Times New Roman"/>
          <w:sz w:val="18"/>
          <w:szCs w:val="18"/>
          <w:color w:val="auto"/>
        </w:rPr>
        <w:t>Revenue by geographic area may fluctuate based on many factors, including: exposure to local economic, political and labor conditions;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52" w:lineRule="exact"/>
        <w:rPr>
          <w:sz w:val="20"/>
          <w:szCs w:val="20"/>
          <w:color w:val="auto"/>
        </w:rPr>
      </w:pPr>
    </w:p>
    <w:p>
      <w:pPr>
        <w:ind w:left="320"/>
        <w:spacing w:after="0" w:line="437" w:lineRule="auto"/>
        <w:rPr>
          <w:sz w:val="20"/>
          <w:szCs w:val="20"/>
          <w:color w:val="auto"/>
        </w:rPr>
      </w:pPr>
      <w:r>
        <w:rPr>
          <w:rFonts w:ascii="Times New Roman" w:cs="Times New Roman" w:eastAsia="Times New Roman" w:hAnsi="Times New Roman"/>
          <w:sz w:val="18"/>
          <w:szCs w:val="18"/>
          <w:color w:val="auto"/>
        </w:rPr>
        <w:t>The following table disaggregates the Company’s Automotive and Other revenue by major source for the years ended December 31, 2023, 2022, and 2021:</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4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300" w:type="dxa"/>
            <w:vAlign w:val="bottom"/>
          </w:tcPr>
          <w:p>
            <w:pPr>
              <w:spacing w:after="0"/>
              <w:rPr>
                <w:sz w:val="24"/>
                <w:szCs w:val="24"/>
                <w:color w:val="auto"/>
              </w:rPr>
            </w:pPr>
          </w:p>
        </w:tc>
      </w:tr>
      <w:tr>
        <w:trPr>
          <w:trHeight w:val="36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34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Automotive Segment</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r>
      <w:tr>
        <w:trPr>
          <w:trHeight w:val="340"/>
        </w:trPr>
        <w:tc>
          <w:tcPr>
            <w:tcW w:w="46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Automotive Mirrors &amp; Electronics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2,128,473,563</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1,742,196,401</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1,563,424,443</w:t>
            </w:r>
          </w:p>
        </w:tc>
      </w:tr>
      <w:tr>
        <w:trPr>
          <w:trHeight w:val="355"/>
        </w:trPr>
        <w:tc>
          <w:tcPr>
            <w:tcW w:w="46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HomeLink Modules*</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126,186,728</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132,546,057</w:t>
            </w:r>
          </w:p>
        </w:tc>
        <w:tc>
          <w:tcPr>
            <w:tcW w:w="580" w:type="dxa"/>
            <w:vAlign w:val="bottom"/>
            <w:tcBorders>
              <w:bottom w:val="single" w:sz="8" w:color="4CA5CD"/>
            </w:tcBorders>
          </w:tcPr>
          <w:p>
            <w:pPr>
              <w:spacing w:after="0"/>
              <w:rPr>
                <w:sz w:val="24"/>
                <w:szCs w:val="24"/>
                <w:color w:val="auto"/>
              </w:rPr>
            </w:pP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133,763,591</w:t>
            </w:r>
          </w:p>
        </w:tc>
      </w:tr>
      <w:tr>
        <w:trPr>
          <w:trHeight w:val="340"/>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Total Automotive Products</w:t>
            </w:r>
          </w:p>
        </w:tc>
        <w:tc>
          <w:tcPr>
            <w:tcW w:w="44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2,254,660,291</w:t>
            </w:r>
          </w:p>
        </w:tc>
        <w:tc>
          <w:tcPr>
            <w:tcW w:w="520" w:type="dxa"/>
            <w:vAlign w:val="bottom"/>
            <w:tcBorders>
              <w:bottom w:val="single" w:sz="8" w:color="4CA5CD"/>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1,874,742,458</w:t>
            </w:r>
          </w:p>
        </w:tc>
        <w:tc>
          <w:tcPr>
            <w:tcW w:w="580" w:type="dxa"/>
            <w:vAlign w:val="bottom"/>
            <w:tcBorders>
              <w:bottom w:val="single" w:sz="8" w:color="4CA5CD"/>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1,697,188,034</w:t>
            </w:r>
          </w:p>
        </w:tc>
      </w:tr>
      <w:tr>
        <w:trPr>
          <w:trHeight w:val="325"/>
        </w:trPr>
        <w:tc>
          <w:tcPr>
            <w:tcW w:w="46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Other Segment</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r>
      <w:tr>
        <w:trPr>
          <w:trHeight w:val="340"/>
        </w:trPr>
        <w:tc>
          <w:tcPr>
            <w:tcW w:w="46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Fire Protection Products</w:t>
            </w:r>
          </w:p>
        </w:tc>
        <w:tc>
          <w:tcPr>
            <w:tcW w:w="44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25,927,018</w:t>
            </w:r>
          </w:p>
        </w:tc>
        <w:tc>
          <w:tcPr>
            <w:tcW w:w="520" w:type="dxa"/>
            <w:vAlign w:val="bottom"/>
            <w:tcBorders>
              <w:bottom w:val="single" w:sz="8" w:color="808080"/>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38,238,092</w:t>
            </w:r>
          </w:p>
        </w:tc>
        <w:tc>
          <w:tcPr>
            <w:tcW w:w="580" w:type="dxa"/>
            <w:vAlign w:val="bottom"/>
            <w:tcBorders>
              <w:bottom w:val="single" w:sz="8" w:color="808080"/>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25,048,697</w:t>
            </w:r>
          </w:p>
        </w:tc>
      </w:tr>
      <w:tr>
        <w:trPr>
          <w:trHeight w:val="340"/>
        </w:trPr>
        <w:tc>
          <w:tcPr>
            <w:tcW w:w="46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Windows Products</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18,582,949</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5,977,493</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8,914,798</w:t>
            </w:r>
          </w:p>
        </w:tc>
      </w:tr>
      <w:tr>
        <w:trPr>
          <w:trHeight w:val="340"/>
        </w:trPr>
        <w:tc>
          <w:tcPr>
            <w:tcW w:w="46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Nanofiber Products</w:t>
            </w:r>
          </w:p>
        </w:tc>
        <w:tc>
          <w:tcPr>
            <w:tcW w:w="4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r>
      <w:tr>
        <w:trPr>
          <w:trHeight w:val="355"/>
        </w:trPr>
        <w:tc>
          <w:tcPr>
            <w:tcW w:w="4680" w:type="dxa"/>
            <w:vAlign w:val="bottom"/>
            <w:tcBorders>
              <w:bottom w:val="single" w:sz="8" w:color="808080"/>
            </w:tcBorders>
          </w:tcPr>
          <w:p>
            <w:pPr>
              <w:ind w:left="360"/>
              <w:spacing w:after="0"/>
              <w:rPr>
                <w:sz w:val="20"/>
                <w:szCs w:val="20"/>
                <w:color w:val="auto"/>
              </w:rPr>
            </w:pPr>
            <w:r>
              <w:rPr>
                <w:rFonts w:ascii="Times New Roman" w:cs="Times New Roman" w:eastAsia="Times New Roman" w:hAnsi="Times New Roman"/>
                <w:sz w:val="18"/>
                <w:szCs w:val="18"/>
                <w:color w:val="auto"/>
              </w:rPr>
              <w:t>Medical</w:t>
            </w:r>
          </w:p>
        </w:tc>
        <w:tc>
          <w:tcPr>
            <w:tcW w:w="44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44,786</w:t>
            </w:r>
          </w:p>
        </w:tc>
        <w:tc>
          <w:tcPr>
            <w:tcW w:w="520" w:type="dxa"/>
            <w:vAlign w:val="bottom"/>
            <w:tcBorders>
              <w:bottom w:val="single" w:sz="8" w:color="4CA5CD"/>
            </w:tcBorders>
          </w:tcPr>
          <w:p>
            <w:pPr>
              <w:spacing w:after="0"/>
              <w:rPr>
                <w:sz w:val="24"/>
                <w:szCs w:val="24"/>
                <w:color w:val="auto"/>
              </w:rPr>
            </w:pPr>
          </w:p>
        </w:tc>
        <w:tc>
          <w:tcPr>
            <w:tcW w:w="1460" w:type="dxa"/>
            <w:vAlign w:val="bottom"/>
            <w:tcBorders>
              <w:bottom w:val="single" w:sz="8" w:color="4CA5C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4CA5CD"/>
            </w:tcBorders>
          </w:tcPr>
          <w:p>
            <w:pPr>
              <w:spacing w:after="0"/>
              <w:rPr>
                <w:sz w:val="24"/>
                <w:szCs w:val="24"/>
                <w:color w:val="auto"/>
              </w:rPr>
            </w:pPr>
          </w:p>
        </w:tc>
        <w:tc>
          <w:tcPr>
            <w:tcW w:w="130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Other</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44,554,753</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44,215,585</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33,981,895</w:t>
            </w:r>
          </w:p>
        </w:tc>
      </w:tr>
    </w:tbl>
    <w:p>
      <w:pPr>
        <w:spacing w:after="0" w:line="126" w:lineRule="exact"/>
        <w:rPr>
          <w:sz w:val="20"/>
          <w:szCs w:val="20"/>
          <w:color w:val="auto"/>
        </w:rPr>
      </w:pPr>
    </w:p>
    <w:p>
      <w:pPr>
        <w:ind w:left="320"/>
        <w:spacing w:after="0"/>
        <w:tabs>
          <w:tab w:leader="none" w:pos="480" w:val="left"/>
        </w:tabs>
        <w:rPr>
          <w:sz w:val="20"/>
          <w:szCs w:val="20"/>
          <w:color w:val="auto"/>
        </w:rPr>
      </w:pPr>
      <w:r>
        <w:rPr>
          <w:rFonts w:ascii="Times New Roman" w:cs="Times New Roman" w:eastAsia="Times New Roman" w:hAnsi="Times New Roman"/>
          <w:sz w:val="14"/>
          <w:szCs w:val="14"/>
          <w:color w:val="808080"/>
        </w:rPr>
        <w:t>*</w:t>
        <w:tab/>
        <w:t>Excludes HomeLink revenue related to HomeLink modules integrated into automotive mirrors.</w:t>
      </w:r>
    </w:p>
    <w:p>
      <w:pPr>
        <w:sectPr>
          <w:pgSz w:w="12240" w:h="15840" w:orient="portrait"/>
          <w:cols w:equalWidth="0" w:num="1">
            <w:col w:w="10760"/>
          </w:cols>
          <w:pgMar w:left="580" w:top="84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90</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846" w:right="900" w:bottom="0" w:gutter="0" w:footer="0" w:header="0"/>
          <w:type w:val="continuous"/>
        </w:sectPr>
      </w:pPr>
    </w:p>
    <w:bookmarkStart w:id="90" w:name="page91"/>
    <w:bookmarkEnd w:id="90"/>
    <w:p>
      <w:pPr>
        <w:ind w:right="360"/>
        <w:spacing w:after="0" w:line="347" w:lineRule="auto"/>
        <w:rPr>
          <w:sz w:val="20"/>
          <w:szCs w:val="20"/>
          <w:color w:val="auto"/>
        </w:rPr>
      </w:pPr>
      <w:r>
        <w:rPr>
          <w:rFonts w:ascii="Times New Roman" w:cs="Times New Roman" w:eastAsia="Times New Roman" w:hAnsi="Times New Roman"/>
          <w:sz w:val="18"/>
          <w:szCs w:val="18"/>
          <w:color w:val="auto"/>
        </w:rPr>
        <w:t>Revenue is recognized when obligations under the terms of a contract with the customer are satisfied. Such recognition generally occurs with the transfer of control of the products at a point in time. The Company’s automotive OEM contracts generally include Long Term Supply Agreements (“LTSA”) entered into in the ordinary course of business and Purchase Orders (“PO”) whereby the LTSA sometimes stipulates the pricing and delivery terms and is evaluated together with a PO, which identifies the quantity, timing, and the type of product to be transferred. Certain customer contracts do not always have an LTSA, in which case, the contracts are governed by the PO from the customer in conjunction with other mutually agreed upon terms and conditions.</w:t>
      </w:r>
    </w:p>
    <w:p>
      <w:pPr>
        <w:spacing w:after="0" w:line="65" w:lineRule="exact"/>
        <w:rPr>
          <w:sz w:val="20"/>
          <w:szCs w:val="20"/>
          <w:color w:val="auto"/>
        </w:rPr>
      </w:pPr>
    </w:p>
    <w:p>
      <w:pPr>
        <w:ind w:right="400"/>
        <w:spacing w:after="0" w:line="362" w:lineRule="auto"/>
        <w:rPr>
          <w:sz w:val="20"/>
          <w:szCs w:val="20"/>
          <w:color w:val="auto"/>
        </w:rPr>
      </w:pPr>
      <w:r>
        <w:rPr>
          <w:rFonts w:ascii="Times New Roman" w:cs="Times New Roman" w:eastAsia="Times New Roman" w:hAnsi="Times New Roman"/>
          <w:sz w:val="18"/>
          <w:szCs w:val="18"/>
          <w:color w:val="auto"/>
        </w:rPr>
        <w:t>The Company does not generate revenue from arrangements with multiple deliverables. Revenue is measured as the amount of consideration the Company expects to receive in exchange for transferring goods excluding revenue amounts that are transferred to third parties, such as sales, value add, and other taxes the Company collects concurrently with revenue-producing activities. Costs are incurred to fulfill contracts with the OEM. However, such costs are accounted for under ASC 340-10, and are not treated as fulfillment costs under ASC 340-40.</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4CA5CD"/>
        </w:rPr>
        <w:t>Automotive Products Segment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F4494E"/>
        </w:rPr>
        <w:t>AUTOMOTIVE REARVIEW MIRRORS AND ELECTRONICS</w:t>
      </w:r>
    </w:p>
    <w:p>
      <w:pPr>
        <w:spacing w:after="0" w:line="176" w:lineRule="exact"/>
        <w:rPr>
          <w:sz w:val="20"/>
          <w:szCs w:val="20"/>
          <w:color w:val="auto"/>
        </w:rPr>
      </w:pPr>
    </w:p>
    <w:p>
      <w:pPr>
        <w:ind w:right="400"/>
        <w:spacing w:after="0" w:line="358" w:lineRule="auto"/>
        <w:rPr>
          <w:sz w:val="20"/>
          <w:szCs w:val="20"/>
          <w:color w:val="auto"/>
        </w:rPr>
      </w:pPr>
      <w:r>
        <w:rPr>
          <w:rFonts w:ascii="Times New Roman" w:cs="Times New Roman" w:eastAsia="Times New Roman" w:hAnsi="Times New Roman"/>
          <w:sz w:val="17"/>
          <w:szCs w:val="17"/>
          <w:color w:val="auto"/>
        </w:rPr>
        <w:t>The Company manufactures interior electrochromic automatic-dimming rearview mirrors that darken to reduce glare and improve visibility for the driver. These electronic interior mirrors can also include additional electronic features such as compass, microphones, HomeLink®, lighting assist and driver assist forward safety camera systems, various lighting systems, various telematics systems, Integrated Toll Module® systems, and a wide variety of displays. The Company also ships interior non-automatic-dimming rearview mirrors with features. 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also include additional features such as turn signal indicators, side blind zone indicators, and courtesy lighting. The Company also ships exterior non-automatic-dimming rearview mirrors with similar electronic features as what is available in its automatic-dimming applications. The Company manufactures other automotive electronics products both inside and outside of the rearview mirror through HomeLink® applications in the vehicle including the rearview mirror, interior visor, overhead console, or center console.</w:t>
      </w:r>
    </w:p>
    <w:p>
      <w:pPr>
        <w:spacing w:after="0" w:line="65"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8"/>
          <w:szCs w:val="18"/>
          <w:color w:val="auto"/>
        </w:rPr>
        <w:t>For the majority of automotive products, transfer of control and revenue recognition occurs when the Company ships the product from the manufacturing facility to the customer. The Company generally receives payment equal to the price that applies at the time of invoice for most automotive product sales.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Payment terms on automotive part sales to customers range from 15 days to 90 days. Estimated revenue is adjusted at the earlier of when the most likely amount of consideration expected to be received changes or when the consideration becomes fixed.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F4494E"/>
        </w:rPr>
        <w:t>HOMELINK® MODULES</w:t>
      </w:r>
    </w:p>
    <w:p>
      <w:pPr>
        <w:spacing w:after="0" w:line="176" w:lineRule="exact"/>
        <w:rPr>
          <w:sz w:val="20"/>
          <w:szCs w:val="20"/>
          <w:color w:val="auto"/>
        </w:rPr>
      </w:pPr>
    </w:p>
    <w:p>
      <w:pPr>
        <w:ind w:right="640"/>
        <w:spacing w:after="0" w:line="382" w:lineRule="auto"/>
        <w:rPr>
          <w:sz w:val="20"/>
          <w:szCs w:val="20"/>
          <w:color w:val="auto"/>
        </w:rPr>
      </w:pPr>
      <w:r>
        <w:rPr>
          <w:rFonts w:ascii="Times New Roman" w:cs="Times New Roman" w:eastAsia="Times New Roman" w:hAnsi="Times New Roman"/>
          <w:sz w:val="18"/>
          <w:szCs w:val="18"/>
          <w:color w:val="auto"/>
        </w:rPr>
        <w:t>The Company manufactures and sells HomeLink® Modules individually, as well as in combination with the automotive mirrors and other advanced features, as described above. For the majority of automotive products, transfer of control and revenue recognition occurs when the Company ships the product from the manufacturing facility to the customer.</w:t>
      </w:r>
    </w:p>
    <w:p>
      <w:pPr>
        <w:sectPr>
          <w:pgSz w:w="12240" w:h="15840" w:orient="portrait"/>
          <w:cols w:equalWidth="0" w:num="1">
            <w:col w:w="10760"/>
          </w:cols>
          <w:pgMar w:left="900" w:top="8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91</w:t>
      </w:r>
    </w:p>
    <w:p>
      <w:pPr>
        <w:sectPr>
          <w:pgSz w:w="12240" w:h="15840" w:orient="portrait"/>
          <w:cols w:equalWidth="0" w:num="1">
            <w:col w:w="10760"/>
          </w:cols>
          <w:pgMar w:left="900" w:top="852" w:right="580" w:bottom="0" w:gutter="0" w:footer="0" w:header="0"/>
          <w:type w:val="continuous"/>
        </w:sectPr>
      </w:pPr>
    </w:p>
    <w:bookmarkStart w:id="91" w:name="page92"/>
    <w:bookmarkEnd w:id="91"/>
    <w:p>
      <w:pPr>
        <w:ind w:left="320"/>
        <w:spacing w:after="0"/>
        <w:rPr>
          <w:sz w:val="20"/>
          <w:szCs w:val="20"/>
          <w:color w:val="auto"/>
        </w:rPr>
      </w:pPr>
      <w:r>
        <w:rPr>
          <w:rFonts w:ascii="Arial" w:cs="Arial" w:eastAsia="Arial" w:hAnsi="Arial"/>
          <w:sz w:val="22"/>
          <w:szCs w:val="22"/>
          <w:b w:val="1"/>
          <w:bCs w:val="1"/>
          <w:color w:val="4CA5CD"/>
        </w:rPr>
        <w:t>Other Segment</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4494E"/>
        </w:rPr>
        <w:t>DIMMABLE AIRCRAFT WINDOWS</w:t>
      </w:r>
    </w:p>
    <w:p>
      <w:pPr>
        <w:spacing w:after="0" w:line="176" w:lineRule="exact"/>
        <w:rPr>
          <w:sz w:val="20"/>
          <w:szCs w:val="20"/>
          <w:color w:val="auto"/>
        </w:rPr>
      </w:pPr>
    </w:p>
    <w:p>
      <w:pPr>
        <w:ind w:left="320" w:right="220"/>
        <w:spacing w:after="0" w:line="381" w:lineRule="auto"/>
        <w:rPr>
          <w:sz w:val="20"/>
          <w:szCs w:val="20"/>
          <w:color w:val="auto"/>
        </w:rPr>
      </w:pPr>
      <w:r>
        <w:rPr>
          <w:rFonts w:ascii="Times New Roman" w:cs="Times New Roman" w:eastAsia="Times New Roman" w:hAnsi="Times New Roman"/>
          <w:sz w:val="18"/>
          <w:szCs w:val="18"/>
          <w:color w:val="auto"/>
        </w:rPr>
        <w:t>The Company supplies variable dimmable windows for the passenger compartment on the Boeing 787 Dreamliner Series of Aircraft. For dimmable aircraft windows, transfer of control and revenue recognition occurs when the Company ships the product from the manufacturing facility to the customer. Payment terms on dimmable aircraft window sales range from 30 days to 45 days.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4494E"/>
        </w:rPr>
        <w:t>FIRE PROTECTION PRODUCTS</w:t>
      </w:r>
    </w:p>
    <w:p>
      <w:pPr>
        <w:spacing w:after="0" w:line="176" w:lineRule="exact"/>
        <w:rPr>
          <w:sz w:val="20"/>
          <w:szCs w:val="20"/>
          <w:color w:val="auto"/>
        </w:rPr>
      </w:pPr>
    </w:p>
    <w:p>
      <w:pPr>
        <w:ind w:left="320" w:right="80"/>
        <w:spacing w:after="0" w:line="388" w:lineRule="auto"/>
        <w:rPr>
          <w:sz w:val="20"/>
          <w:szCs w:val="20"/>
          <w:color w:val="auto"/>
        </w:rPr>
      </w:pPr>
      <w:r>
        <w:rPr>
          <w:rFonts w:ascii="Times New Roman" w:cs="Times New Roman" w:eastAsia="Times New Roman" w:hAnsi="Times New Roman"/>
          <w:sz w:val="17"/>
          <w:szCs w:val="17"/>
          <w:color w:val="auto"/>
        </w:rPr>
        <w:t>The Company manufactures photoelectric smoke detectors and alarms, visual signaling alarms, electrochemical carbon monoxide detectors and alarms, audible and visual signaling alarms, and bells and speakers for use in fire detection systems in office buildings, hotels, and other commercial and residential buildings. For fire protection parts, transfer of control and revenue recognition occurs when the Company ships the product from the manufacturing facility to the customer. Payment terms on fire protection part sales to customers range from 30 days to 75 days.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4494E"/>
        </w:rPr>
        <w:t>NANOFIBER</w:t>
      </w:r>
    </w:p>
    <w:p>
      <w:pPr>
        <w:spacing w:after="0" w:line="176" w:lineRule="exact"/>
        <w:rPr>
          <w:sz w:val="20"/>
          <w:szCs w:val="20"/>
          <w:color w:val="auto"/>
        </w:rPr>
      </w:pPr>
    </w:p>
    <w:p>
      <w:pPr>
        <w:ind w:left="320" w:right="460"/>
        <w:spacing w:after="0" w:line="479" w:lineRule="auto"/>
        <w:rPr>
          <w:sz w:val="20"/>
          <w:szCs w:val="20"/>
          <w:color w:val="auto"/>
        </w:rPr>
      </w:pPr>
      <w:r>
        <w:rPr>
          <w:rFonts w:ascii="Times New Roman" w:cs="Times New Roman" w:eastAsia="Times New Roman" w:hAnsi="Times New Roman"/>
          <w:sz w:val="17"/>
          <w:szCs w:val="17"/>
          <w:color w:val="auto"/>
        </w:rPr>
        <w:t>The Company acquired Vaporsens in early 2020, which specializes in nanofiber chemical sensing research and development. Vaporsens is primarily involved with research and development of technology related to nanofibers sensing a variety of chemicals and/or compounds.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4494E"/>
        </w:rPr>
        <w:t>MEDICAL</w:t>
      </w:r>
    </w:p>
    <w:p>
      <w:pPr>
        <w:spacing w:after="0" w:line="176" w:lineRule="exact"/>
        <w:rPr>
          <w:sz w:val="20"/>
          <w:szCs w:val="20"/>
          <w:color w:val="auto"/>
        </w:rPr>
      </w:pPr>
    </w:p>
    <w:p>
      <w:pPr>
        <w:ind w:left="320"/>
        <w:spacing w:after="0" w:line="340" w:lineRule="auto"/>
        <w:rPr>
          <w:sz w:val="20"/>
          <w:szCs w:val="20"/>
          <w:color w:val="auto"/>
        </w:rPr>
      </w:pPr>
      <w:r>
        <w:rPr>
          <w:rFonts w:ascii="Times New Roman" w:cs="Times New Roman" w:eastAsia="Times New Roman" w:hAnsi="Times New Roman"/>
          <w:sz w:val="18"/>
          <w:szCs w:val="18"/>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The Company continues to further develop and work on the intelligent medical lighting system in order to assess system performance and work toward obtaining any necessary approvals.</w:t>
      </w:r>
    </w:p>
    <w:p>
      <w:pPr>
        <w:spacing w:after="0" w:line="75" w:lineRule="exact"/>
        <w:rPr>
          <w:sz w:val="20"/>
          <w:szCs w:val="20"/>
          <w:color w:val="auto"/>
        </w:rPr>
      </w:pPr>
    </w:p>
    <w:p>
      <w:pPr>
        <w:jc w:val="both"/>
        <w:ind w:left="320" w:right="20"/>
        <w:spacing w:after="0" w:line="363" w:lineRule="auto"/>
        <w:rPr>
          <w:sz w:val="20"/>
          <w:szCs w:val="20"/>
          <w:color w:val="auto"/>
        </w:rPr>
      </w:pPr>
      <w:r>
        <w:rPr>
          <w:rFonts w:ascii="Times New Roman" w:cs="Times New Roman" w:eastAsia="Times New Roman" w:hAnsi="Times New Roman"/>
          <w:sz w:val="18"/>
          <w:szCs w:val="18"/>
          <w:color w:val="auto"/>
        </w:rPr>
        <w:t>On November 2, 2023, the Company acquired certain technology assets from eSight for approximately $18.9 million in cash, in addition to the 20% equity the Company previously held in the assets, as well as an earn out provision. The technology acquired from eSight provides advanced and versatile low-vision smart glasses for those with visual impairments and is compatible with more than 20 eye conditions including Macular Degeneration, Diabetic Retinopathy, and Stargardt disease.</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12, “Acquisitions”, for further information.</w:t>
      </w:r>
    </w:p>
    <w:p>
      <w:pPr>
        <w:sectPr>
          <w:pgSz w:w="12240" w:h="15840" w:orient="portrait"/>
          <w:cols w:equalWidth="0" w:num="1">
            <w:col w:w="10720"/>
          </w:cols>
          <w:pgMar w:left="580" w:top="83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92</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20"/>
          </w:cols>
          <w:pgMar w:left="580" w:top="830" w:right="940" w:bottom="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color w:val="404040"/>
        </w:rPr>
        <w:t>( 1 2 )  A C Q U I S I T I O N 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 2023, the Company acquired certain technology assets from eSight for approximately $18.9 million in cash, the assumption of</w:t>
      </w:r>
    </w:p>
    <w:p>
      <w:pPr>
        <w:spacing w:after="0" w:line="97" w:lineRule="exact"/>
        <w:rPr>
          <w:sz w:val="20"/>
          <w:szCs w:val="20"/>
          <w:color w:val="auto"/>
        </w:rPr>
      </w:pPr>
    </w:p>
    <w:p>
      <w:pPr>
        <w:ind w:right="420"/>
        <w:spacing w:after="0" w:line="341" w:lineRule="auto"/>
        <w:rPr>
          <w:sz w:val="20"/>
          <w:szCs w:val="20"/>
          <w:color w:val="auto"/>
        </w:rPr>
      </w:pPr>
      <w:r>
        <w:rPr>
          <w:rFonts w:ascii="Times New Roman" w:cs="Times New Roman" w:eastAsia="Times New Roman" w:hAnsi="Times New Roman"/>
          <w:sz w:val="18"/>
          <w:szCs w:val="18"/>
          <w:color w:val="auto"/>
        </w:rPr>
        <w:t>a $9.4 million promissory note given in exchange for the 20% equity the Company previously held in the assets, as well as an earn out provision over a ten year period. The earn out provision consists of multiple potential payments based on the revenue over the next ten calendar years, with the total earn out not to exceed $70 million. The Company funded the acquisition with cash on hand. The technology acquired from eSight provides advanced and versatile low-vision smart glasses for those with visual impairments and is compatible with more than 20 eye conditions including Macular Degeneration, Diabetic Retinopathy, and Stargardt disease. These assets will be classified within the Company’s Other segment.</w:t>
      </w:r>
    </w:p>
    <w:p>
      <w:pPr>
        <w:spacing w:after="0" w:line="72" w:lineRule="exact"/>
        <w:rPr>
          <w:sz w:val="20"/>
          <w:szCs w:val="20"/>
          <w:color w:val="auto"/>
        </w:rPr>
      </w:pPr>
    </w:p>
    <w:p>
      <w:pPr>
        <w:ind w:right="320"/>
        <w:spacing w:after="0" w:line="347" w:lineRule="auto"/>
        <w:rPr>
          <w:sz w:val="20"/>
          <w:szCs w:val="20"/>
          <w:color w:val="auto"/>
        </w:rPr>
      </w:pPr>
      <w:r>
        <w:rPr>
          <w:rFonts w:ascii="Times New Roman" w:cs="Times New Roman" w:eastAsia="Times New Roman" w:hAnsi="Times New Roman"/>
          <w:sz w:val="18"/>
          <w:szCs w:val="18"/>
          <w:color w:val="auto"/>
        </w:rPr>
        <w:t>The Company will account for the acquisition under the provisions of FASB ASC Topic 805, Business Combinations. The Company is still in the process of verifying data and finalizing information related to the valuation and recording of identifiable intangible assets, net working capital, contingent liabilities, and the resulting effects on the amount of recorded goodwill. The Company expects to finalize these matters within the measurement period, which is currently expected to remain open through the third quarter of 2023. Less than $0.1 million of revenue of the business of eSight was included in the Company’s consolidated statement of income and comprehensive income for the year ended December 31, 2023.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fair values of the assets acquired, and the liabilities assumed, as of the acquisition date of November 2, 2023:</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7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345"/>
        </w:trPr>
        <w:tc>
          <w:tcPr>
            <w:tcW w:w="7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60" w:type="dxa"/>
            <w:vAlign w:val="bottom"/>
            <w:tcBorders>
              <w:bottom w:val="single" w:sz="8" w:color="808080"/>
            </w:tcBorders>
          </w:tcPr>
          <w:p>
            <w:pPr>
              <w:jc w:val="right"/>
              <w:ind w:right="895"/>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441,228</w:t>
            </w:r>
          </w:p>
        </w:tc>
      </w:tr>
      <w:tr>
        <w:trPr>
          <w:trHeight w:val="340"/>
        </w:trPr>
        <w:tc>
          <w:tcPr>
            <w:tcW w:w="7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Personal Property</w:t>
            </w:r>
          </w:p>
        </w:tc>
        <w:tc>
          <w:tcPr>
            <w:tcW w:w="10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340"/>
        </w:trPr>
        <w:tc>
          <w:tcPr>
            <w:tcW w:w="7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Right of Use Asset (Lease)</w:t>
            </w:r>
          </w:p>
        </w:tc>
        <w:tc>
          <w:tcPr>
            <w:tcW w:w="10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116,562</w:t>
            </w:r>
          </w:p>
        </w:tc>
      </w:tr>
      <w:tr>
        <w:trPr>
          <w:trHeight w:val="340"/>
        </w:trPr>
        <w:tc>
          <w:tcPr>
            <w:tcW w:w="7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ESight Technology</w:t>
            </w:r>
          </w:p>
        </w:tc>
        <w:tc>
          <w:tcPr>
            <w:tcW w:w="10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12,000,000</w:t>
            </w:r>
          </w:p>
        </w:tc>
      </w:tr>
      <w:tr>
        <w:trPr>
          <w:trHeight w:val="340"/>
        </w:trPr>
        <w:tc>
          <w:tcPr>
            <w:tcW w:w="7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0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870,000</w:t>
            </w:r>
          </w:p>
        </w:tc>
      </w:tr>
      <w:tr>
        <w:trPr>
          <w:trHeight w:val="355"/>
        </w:trPr>
        <w:tc>
          <w:tcPr>
            <w:tcW w:w="7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1060" w:type="dxa"/>
            <w:vAlign w:val="bottom"/>
            <w:tcBorders>
              <w:bottom w:val="single" w:sz="8" w:color="4CA5CD"/>
            </w:tcBorders>
          </w:tcPr>
          <w:p>
            <w:pPr>
              <w:spacing w:after="0"/>
              <w:rPr>
                <w:sz w:val="24"/>
                <w:szCs w:val="24"/>
                <w:color w:val="auto"/>
              </w:rPr>
            </w:pPr>
          </w:p>
        </w:tc>
        <w:tc>
          <w:tcPr>
            <w:tcW w:w="18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26,696,012</w:t>
            </w:r>
          </w:p>
        </w:tc>
      </w:tr>
      <w:tr>
        <w:trPr>
          <w:trHeight w:val="325"/>
        </w:trPr>
        <w:tc>
          <w:tcPr>
            <w:tcW w:w="7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bottom w:val="single" w:sz="8" w:color="808080"/>
            </w:tcBorders>
          </w:tcPr>
          <w:p>
            <w:pPr>
              <w:jc w:val="right"/>
              <w:ind w:right="895"/>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40,198,802</w:t>
            </w:r>
          </w:p>
        </w:tc>
      </w:tr>
      <w:tr>
        <w:trPr>
          <w:trHeight w:val="340"/>
        </w:trPr>
        <w:tc>
          <w:tcPr>
            <w:tcW w:w="7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060" w:type="dxa"/>
            <w:vAlign w:val="bottom"/>
            <w:tcBorders>
              <w:bottom w:val="single" w:sz="8" w:color="808080"/>
            </w:tcBorders>
          </w:tcPr>
          <w:p>
            <w:pPr>
              <w:jc w:val="right"/>
              <w:ind w:right="895"/>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116,562</w:t>
            </w:r>
          </w:p>
        </w:tc>
      </w:tr>
      <w:tr>
        <w:trPr>
          <w:trHeight w:val="355"/>
        </w:trPr>
        <w:tc>
          <w:tcPr>
            <w:tcW w:w="75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Contingent Earn Out Liability</w:t>
            </w:r>
          </w:p>
        </w:tc>
        <w:tc>
          <w:tcPr>
            <w:tcW w:w="1060" w:type="dxa"/>
            <w:vAlign w:val="bottom"/>
            <w:tcBorders>
              <w:bottom w:val="single" w:sz="8" w:color="4CA5CD"/>
            </w:tcBorders>
          </w:tcPr>
          <w:p>
            <w:pPr>
              <w:spacing w:after="0"/>
              <w:rPr>
                <w:sz w:val="24"/>
                <w:szCs w:val="24"/>
                <w:color w:val="auto"/>
              </w:rPr>
            </w:pPr>
          </w:p>
        </w:tc>
        <w:tc>
          <w:tcPr>
            <w:tcW w:w="1820" w:type="dxa"/>
            <w:vAlign w:val="bottom"/>
            <w:tcBorders>
              <w:bottom w:val="single" w:sz="8" w:color="4CA5CD"/>
            </w:tcBorders>
          </w:tcPr>
          <w:p>
            <w:pPr>
              <w:jc w:val="right"/>
              <w:spacing w:after="0"/>
              <w:rPr>
                <w:sz w:val="20"/>
                <w:szCs w:val="20"/>
                <w:color w:val="auto"/>
              </w:rPr>
            </w:pPr>
            <w:r>
              <w:rPr>
                <w:rFonts w:ascii="Times New Roman" w:cs="Times New Roman" w:eastAsia="Times New Roman" w:hAnsi="Times New Roman"/>
                <w:sz w:val="18"/>
                <w:szCs w:val="18"/>
                <w:color w:val="auto"/>
              </w:rPr>
              <w:t>12,000,000</w:t>
            </w:r>
          </w:p>
        </w:tc>
      </w:tr>
      <w:tr>
        <w:trPr>
          <w:trHeight w:val="34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60" w:type="dxa"/>
            <w:vAlign w:val="bottom"/>
          </w:tcPr>
          <w:p>
            <w:pPr>
              <w:jc w:val="right"/>
              <w:ind w:right="895"/>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12,116,562</w:t>
            </w:r>
          </w:p>
        </w:tc>
      </w:tr>
    </w:tbl>
    <w:p>
      <w:pPr>
        <w:spacing w:after="0" w:line="200" w:lineRule="exact"/>
        <w:rPr>
          <w:sz w:val="20"/>
          <w:szCs w:val="20"/>
          <w:color w:val="auto"/>
        </w:rPr>
      </w:pPr>
    </w:p>
    <w:p>
      <w:pPr>
        <w:sectPr>
          <w:pgSz w:w="12240" w:h="15840" w:orient="portrait"/>
          <w:cols w:equalWidth="0" w:num="1">
            <w:col w:w="10760"/>
          </w:cols>
          <w:pgMar w:left="900" w:top="84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93</w:t>
      </w:r>
    </w:p>
    <w:p>
      <w:pPr>
        <w:sectPr>
          <w:pgSz w:w="12240" w:h="15840" w:orient="portrait"/>
          <w:cols w:equalWidth="0" w:num="1">
            <w:col w:w="10760"/>
          </w:cols>
          <w:pgMar w:left="900" w:top="846" w:right="580" w:bottom="0" w:gutter="0" w:footer="0" w:header="0"/>
          <w:type w:val="continuous"/>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2408555</wp:posOffset>
            </wp:positionH>
            <wp:positionV relativeFrom="page">
              <wp:posOffset>4408805</wp:posOffset>
            </wp:positionV>
            <wp:extent cx="5217795" cy="39833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4">
                      <a:extLst>
                        <a:ext uri="{28A0092B-C50C-407E-A947-70E740481C1C}"/>
                      </a:extLst>
                    </a:blip>
                    <a:srcRect/>
                    <a:stretch>
                      <a:fillRect/>
                    </a:stretch>
                  </pic:blipFill>
                  <pic:spPr bwMode="auto">
                    <a:xfrm>
                      <a:off x="0" y="0"/>
                      <a:ext cx="5217795" cy="3983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780"/>
        <w:spacing w:after="0"/>
        <w:rPr>
          <w:sz w:val="20"/>
          <w:szCs w:val="20"/>
          <w:color w:val="auto"/>
        </w:rPr>
      </w:pPr>
      <w:r>
        <w:rPr>
          <w:rFonts w:ascii="Arial" w:cs="Arial" w:eastAsia="Arial" w:hAnsi="Arial"/>
          <w:sz w:val="20"/>
          <w:szCs w:val="20"/>
          <w:color w:val="FFFFFF"/>
        </w:rPr>
        <w:t>this page Intentionally left mostly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7390765</wp:posOffset>
            </wp:positionH>
            <wp:positionV relativeFrom="paragraph">
              <wp:posOffset>-132080</wp:posOffset>
            </wp:positionV>
            <wp:extent cx="12700" cy="36537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35">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6806565</wp:posOffset>
            </wp:positionH>
            <wp:positionV relativeFrom="paragraph">
              <wp:posOffset>495300</wp:posOffset>
            </wp:positionV>
            <wp:extent cx="12700" cy="36537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36">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6660515</wp:posOffset>
            </wp:positionH>
            <wp:positionV relativeFrom="paragraph">
              <wp:posOffset>925195</wp:posOffset>
            </wp:positionV>
            <wp:extent cx="12700" cy="36537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37">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18415</wp:posOffset>
            </wp:positionV>
            <wp:extent cx="12700" cy="36537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38">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712470</wp:posOffset>
            </wp:positionV>
            <wp:extent cx="12700" cy="36537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39">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537210</wp:posOffset>
            </wp:positionV>
            <wp:extent cx="12700" cy="36537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40">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6076315</wp:posOffset>
            </wp:positionH>
            <wp:positionV relativeFrom="paragraph">
              <wp:posOffset>146050</wp:posOffset>
            </wp:positionV>
            <wp:extent cx="12700" cy="36537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41">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-95885</wp:posOffset>
            </wp:positionV>
            <wp:extent cx="12700" cy="36537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42">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1559560</wp:posOffset>
            </wp:positionV>
            <wp:extent cx="12700" cy="35204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43">
                      <a:extLst>
                        <a:ext uri="{28A0092B-C50C-407E-A947-70E740481C1C}"/>
                      </a:extLst>
                    </a:blip>
                    <a:srcRect/>
                    <a:stretch>
                      <a:fillRect/>
                    </a:stretch>
                  </pic:blipFill>
                  <pic:spPr bwMode="auto">
                    <a:xfrm>
                      <a:off x="0" y="0"/>
                      <a:ext cx="12700" cy="3520440"/>
                    </a:xfrm>
                    <a:prstGeom prst="rect">
                      <a:avLst/>
                    </a:prstGeom>
                    <a:noFill/>
                  </pic:spPr>
                </pic:pic>
              </a:graphicData>
            </a:graphic>
          </wp:anchor>
        </w:drawing>
        <w:drawing>
          <wp:anchor simplePos="0" relativeHeight="251657728" behindDoc="1" locked="0" layoutInCell="0" allowOverlap="1">
            <wp:simplePos x="0" y="0"/>
            <wp:positionH relativeFrom="column">
              <wp:posOffset>5492115</wp:posOffset>
            </wp:positionH>
            <wp:positionV relativeFrom="paragraph">
              <wp:posOffset>22225</wp:posOffset>
            </wp:positionV>
            <wp:extent cx="12700" cy="36537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44">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1175385</wp:posOffset>
            </wp:positionV>
            <wp:extent cx="12700" cy="36537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45">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179070</wp:posOffset>
            </wp:positionV>
            <wp:extent cx="12700" cy="36537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46">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981075</wp:posOffset>
            </wp:positionV>
            <wp:extent cx="12700" cy="36537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47">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593725</wp:posOffset>
            </wp:positionV>
            <wp:extent cx="12700" cy="36537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48">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4761865</wp:posOffset>
            </wp:positionH>
            <wp:positionV relativeFrom="paragraph">
              <wp:posOffset>145415</wp:posOffset>
            </wp:positionV>
            <wp:extent cx="12700" cy="3056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49">
                      <a:extLst>
                        <a:ext uri="{28A0092B-C50C-407E-A947-70E740481C1C}"/>
                      </a:extLst>
                    </a:blip>
                    <a:srcRect/>
                    <a:stretch>
                      <a:fillRect/>
                    </a:stretch>
                  </pic:blipFill>
                  <pic:spPr bwMode="auto">
                    <a:xfrm>
                      <a:off x="0" y="0"/>
                      <a:ext cx="12700" cy="3056255"/>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145415</wp:posOffset>
            </wp:positionV>
            <wp:extent cx="12700" cy="32321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50">
                      <a:extLst>
                        <a:ext uri="{28A0092B-C50C-407E-A947-70E740481C1C}"/>
                      </a:extLst>
                    </a:blip>
                    <a:srcRect/>
                    <a:stretch>
                      <a:fillRect/>
                    </a:stretch>
                  </pic:blipFill>
                  <pic:spPr bwMode="auto">
                    <a:xfrm>
                      <a:off x="0" y="0"/>
                      <a:ext cx="12700" cy="3232150"/>
                    </a:xfrm>
                    <a:prstGeom prst="rect">
                      <a:avLst/>
                    </a:prstGeom>
                    <a:noFill/>
                  </pic:spPr>
                </pic:pic>
              </a:graphicData>
            </a:graphic>
          </wp:anchor>
        </w:drawing>
        <w:drawing>
          <wp:anchor simplePos="0" relativeHeight="251657728" behindDoc="1" locked="0" layoutInCell="0" allowOverlap="1">
            <wp:simplePos x="0" y="0"/>
            <wp:positionH relativeFrom="column">
              <wp:posOffset>4469765</wp:posOffset>
            </wp:positionH>
            <wp:positionV relativeFrom="paragraph">
              <wp:posOffset>443865</wp:posOffset>
            </wp:positionV>
            <wp:extent cx="12700" cy="36537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51">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145415</wp:posOffset>
            </wp:positionV>
            <wp:extent cx="12700" cy="29946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52">
                      <a:extLst>
                        <a:ext uri="{28A0092B-C50C-407E-A947-70E740481C1C}"/>
                      </a:extLst>
                    </a:blip>
                    <a:srcRect/>
                    <a:stretch>
                      <a:fillRect/>
                    </a:stretch>
                  </pic:blipFill>
                  <pic:spPr bwMode="auto">
                    <a:xfrm>
                      <a:off x="0" y="0"/>
                      <a:ext cx="12700" cy="299466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145415</wp:posOffset>
            </wp:positionV>
            <wp:extent cx="12700" cy="3343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53">
                      <a:extLst>
                        <a:ext uri="{28A0092B-C50C-407E-A947-70E740481C1C}"/>
                      </a:extLst>
                    </a:blip>
                    <a:srcRect/>
                    <a:stretch>
                      <a:fillRect/>
                    </a:stretch>
                  </pic:blipFill>
                  <pic:spPr bwMode="auto">
                    <a:xfrm>
                      <a:off x="0" y="0"/>
                      <a:ext cx="12700" cy="334327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145415</wp:posOffset>
            </wp:positionV>
            <wp:extent cx="12700" cy="35236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54">
                      <a:extLst>
                        <a:ext uri="{28A0092B-C50C-407E-A947-70E740481C1C}"/>
                      </a:extLst>
                    </a:blip>
                    <a:srcRect/>
                    <a:stretch>
                      <a:fillRect/>
                    </a:stretch>
                  </pic:blipFill>
                  <pic:spPr bwMode="auto">
                    <a:xfrm>
                      <a:off x="0" y="0"/>
                      <a:ext cx="12700" cy="352361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700405</wp:posOffset>
            </wp:positionV>
            <wp:extent cx="12700" cy="36537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55">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3739515</wp:posOffset>
            </wp:positionH>
            <wp:positionV relativeFrom="paragraph">
              <wp:posOffset>145415</wp:posOffset>
            </wp:positionV>
            <wp:extent cx="12700" cy="36074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56">
                      <a:extLst>
                        <a:ext uri="{28A0092B-C50C-407E-A947-70E740481C1C}"/>
                      </a:extLst>
                    </a:blip>
                    <a:srcRect/>
                    <a:stretch>
                      <a:fillRect/>
                    </a:stretch>
                  </pic:blipFill>
                  <pic:spPr bwMode="auto">
                    <a:xfrm>
                      <a:off x="0" y="0"/>
                      <a:ext cx="12700" cy="3607435"/>
                    </a:xfrm>
                    <a:prstGeom prst="rect">
                      <a:avLst/>
                    </a:prstGeom>
                    <a:noFill/>
                  </pic:spPr>
                </pic:pic>
              </a:graphicData>
            </a:graphic>
          </wp:anchor>
        </w:drawing>
        <w:drawing>
          <wp:anchor simplePos="0" relativeHeight="251657728" behindDoc="1" locked="0" layoutInCell="0" allowOverlap="1">
            <wp:simplePos x="0" y="0"/>
            <wp:positionH relativeFrom="column">
              <wp:posOffset>3593465</wp:posOffset>
            </wp:positionH>
            <wp:positionV relativeFrom="paragraph">
              <wp:posOffset>958215</wp:posOffset>
            </wp:positionV>
            <wp:extent cx="12700" cy="36537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57">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691515</wp:posOffset>
            </wp:positionV>
            <wp:extent cx="12700" cy="36537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58">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1057910</wp:posOffset>
            </wp:positionV>
            <wp:extent cx="12700" cy="36537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59">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3155315</wp:posOffset>
            </wp:positionH>
            <wp:positionV relativeFrom="paragraph">
              <wp:posOffset>580390</wp:posOffset>
            </wp:positionV>
            <wp:extent cx="12700" cy="36537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60">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3009265</wp:posOffset>
            </wp:positionH>
            <wp:positionV relativeFrom="paragraph">
              <wp:posOffset>762000</wp:posOffset>
            </wp:positionV>
            <wp:extent cx="12700" cy="36537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61">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2863215</wp:posOffset>
            </wp:positionH>
            <wp:positionV relativeFrom="paragraph">
              <wp:posOffset>1461770</wp:posOffset>
            </wp:positionV>
            <wp:extent cx="12700" cy="36182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62">
                      <a:extLst>
                        <a:ext uri="{28A0092B-C50C-407E-A947-70E740481C1C}"/>
                      </a:extLst>
                    </a:blip>
                    <a:srcRect/>
                    <a:stretch>
                      <a:fillRect/>
                    </a:stretch>
                  </pic:blipFill>
                  <pic:spPr bwMode="auto">
                    <a:xfrm>
                      <a:off x="0" y="0"/>
                      <a:ext cx="12700" cy="3618230"/>
                    </a:xfrm>
                    <a:prstGeom prst="rect">
                      <a:avLst/>
                    </a:prstGeom>
                    <a:noFill/>
                  </pic:spPr>
                </pic:pic>
              </a:graphicData>
            </a:graphic>
          </wp:anchor>
        </w:drawing>
        <w:drawing>
          <wp:anchor simplePos="0" relativeHeight="251657728" behindDoc="1" locked="0" layoutInCell="0" allowOverlap="1">
            <wp:simplePos x="0" y="0"/>
            <wp:positionH relativeFrom="column">
              <wp:posOffset>2717165</wp:posOffset>
            </wp:positionH>
            <wp:positionV relativeFrom="paragraph">
              <wp:posOffset>1586865</wp:posOffset>
            </wp:positionV>
            <wp:extent cx="12700" cy="34931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63">
                      <a:extLst>
                        <a:ext uri="{28A0092B-C50C-407E-A947-70E740481C1C}"/>
                      </a:extLst>
                    </a:blip>
                    <a:srcRect/>
                    <a:stretch>
                      <a:fillRect/>
                    </a:stretch>
                  </pic:blipFill>
                  <pic:spPr bwMode="auto">
                    <a:xfrm>
                      <a:off x="0" y="0"/>
                      <a:ext cx="12700" cy="3493135"/>
                    </a:xfrm>
                    <a:prstGeom prst="rect">
                      <a:avLst/>
                    </a:prstGeom>
                    <a:noFill/>
                  </pic:spPr>
                </pic:pic>
              </a:graphicData>
            </a:graphic>
          </wp:anchor>
        </w:drawing>
        <w:drawing>
          <wp:anchor simplePos="0" relativeHeight="251657728" behindDoc="1" locked="0" layoutInCell="0" allowOverlap="1">
            <wp:simplePos x="0" y="0"/>
            <wp:positionH relativeFrom="column">
              <wp:posOffset>2571115</wp:posOffset>
            </wp:positionH>
            <wp:positionV relativeFrom="paragraph">
              <wp:posOffset>645160</wp:posOffset>
            </wp:positionV>
            <wp:extent cx="12700" cy="36537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64">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2425065</wp:posOffset>
            </wp:positionH>
            <wp:positionV relativeFrom="paragraph">
              <wp:posOffset>1811655</wp:posOffset>
            </wp:positionV>
            <wp:extent cx="12700" cy="32683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65">
                      <a:extLst>
                        <a:ext uri="{28A0092B-C50C-407E-A947-70E740481C1C}"/>
                      </a:extLst>
                    </a:blip>
                    <a:srcRect/>
                    <a:stretch>
                      <a:fillRect/>
                    </a:stretch>
                  </pic:blipFill>
                  <pic:spPr bwMode="auto">
                    <a:xfrm>
                      <a:off x="0" y="0"/>
                      <a:ext cx="12700" cy="3268345"/>
                    </a:xfrm>
                    <a:prstGeom prst="rect">
                      <a:avLst/>
                    </a:prstGeom>
                    <a:noFill/>
                  </pic:spPr>
                </pic:pic>
              </a:graphicData>
            </a:graphic>
          </wp:anchor>
        </w:drawing>
        <w:drawing>
          <wp:anchor simplePos="0" relativeHeight="251657728" behindDoc="1" locked="0" layoutInCell="0" allowOverlap="1">
            <wp:simplePos x="0" y="0"/>
            <wp:positionH relativeFrom="column">
              <wp:posOffset>2279015</wp:posOffset>
            </wp:positionH>
            <wp:positionV relativeFrom="paragraph">
              <wp:posOffset>2164080</wp:posOffset>
            </wp:positionV>
            <wp:extent cx="12700" cy="29159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66">
                      <a:extLst>
                        <a:ext uri="{28A0092B-C50C-407E-A947-70E740481C1C}"/>
                      </a:extLst>
                    </a:blip>
                    <a:srcRect/>
                    <a:stretch>
                      <a:fillRect/>
                    </a:stretch>
                  </pic:blipFill>
                  <pic:spPr bwMode="auto">
                    <a:xfrm>
                      <a:off x="0" y="0"/>
                      <a:ext cx="12700" cy="2915920"/>
                    </a:xfrm>
                    <a:prstGeom prst="rect">
                      <a:avLst/>
                    </a:prstGeom>
                    <a:noFill/>
                  </pic:spPr>
                </pic:pic>
              </a:graphicData>
            </a:graphic>
          </wp:anchor>
        </w:drawing>
        <w:drawing>
          <wp:anchor simplePos="0" relativeHeight="251657728" behindDoc="1" locked="0" layoutInCell="0" allowOverlap="1">
            <wp:simplePos x="0" y="0"/>
            <wp:positionH relativeFrom="column">
              <wp:posOffset>2132965</wp:posOffset>
            </wp:positionH>
            <wp:positionV relativeFrom="paragraph">
              <wp:posOffset>748665</wp:posOffset>
            </wp:positionV>
            <wp:extent cx="12700" cy="36537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67">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1986915</wp:posOffset>
            </wp:positionH>
            <wp:positionV relativeFrom="paragraph">
              <wp:posOffset>84455</wp:posOffset>
            </wp:positionV>
            <wp:extent cx="12700" cy="36537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68">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1840865</wp:posOffset>
            </wp:positionH>
            <wp:positionV relativeFrom="paragraph">
              <wp:posOffset>74930</wp:posOffset>
            </wp:positionV>
            <wp:extent cx="12700" cy="36537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69">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603885</wp:posOffset>
            </wp:positionV>
            <wp:extent cx="12700" cy="36537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70">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-62230</wp:posOffset>
            </wp:positionV>
            <wp:extent cx="12700" cy="36537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71">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869950</wp:posOffset>
            </wp:positionV>
            <wp:extent cx="12700" cy="36537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72">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735965</wp:posOffset>
            </wp:positionV>
            <wp:extent cx="12700" cy="36537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73">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967105</wp:posOffset>
            </wp:positionV>
            <wp:extent cx="12700" cy="36537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74">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1527810</wp:posOffset>
            </wp:positionV>
            <wp:extent cx="12700" cy="35521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75">
                      <a:extLst>
                        <a:ext uri="{28A0092B-C50C-407E-A947-70E740481C1C}"/>
                      </a:extLst>
                    </a:blip>
                    <a:srcRect/>
                    <a:stretch>
                      <a:fillRect/>
                    </a:stretch>
                  </pic:blipFill>
                  <pic:spPr bwMode="auto">
                    <a:xfrm>
                      <a:off x="0" y="0"/>
                      <a:ext cx="12700" cy="3552190"/>
                    </a:xfrm>
                    <a:prstGeom prst="rect">
                      <a:avLst/>
                    </a:prstGeom>
                    <a:noFill/>
                  </pic:spPr>
                </pic:pic>
              </a:graphicData>
            </a:graphic>
          </wp:anchor>
        </w:drawing>
        <w:drawing>
          <wp:anchor simplePos="0" relativeHeight="251657728" behindDoc="1" locked="0" layoutInCell="0" allowOverlap="1">
            <wp:simplePos x="0" y="0"/>
            <wp:positionH relativeFrom="column">
              <wp:posOffset>818515</wp:posOffset>
            </wp:positionH>
            <wp:positionV relativeFrom="paragraph">
              <wp:posOffset>706120</wp:posOffset>
            </wp:positionV>
            <wp:extent cx="12700" cy="36537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76">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620395</wp:posOffset>
            </wp:positionV>
            <wp:extent cx="12700" cy="36537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77">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1069975</wp:posOffset>
            </wp:positionV>
            <wp:extent cx="12700" cy="36537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78">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803910</wp:posOffset>
            </wp:positionV>
            <wp:extent cx="12700" cy="36537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79">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234315</wp:posOffset>
            </wp:positionH>
            <wp:positionV relativeFrom="paragraph">
              <wp:posOffset>2141220</wp:posOffset>
            </wp:positionV>
            <wp:extent cx="12700" cy="29387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80">
                      <a:extLst>
                        <a:ext uri="{28A0092B-C50C-407E-A947-70E740481C1C}"/>
                      </a:extLst>
                    </a:blip>
                    <a:srcRect/>
                    <a:stretch>
                      <a:fillRect/>
                    </a:stretch>
                  </pic:blipFill>
                  <pic:spPr bwMode="auto">
                    <a:xfrm>
                      <a:off x="0" y="0"/>
                      <a:ext cx="12700" cy="2938780"/>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1916430</wp:posOffset>
            </wp:positionV>
            <wp:extent cx="12700" cy="31635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81">
                      <a:extLst>
                        <a:ext uri="{28A0092B-C50C-407E-A947-70E740481C1C}"/>
                      </a:extLst>
                    </a:blip>
                    <a:srcRect/>
                    <a:stretch>
                      <a:fillRect/>
                    </a:stretch>
                  </pic:blipFill>
                  <pic:spPr bwMode="auto">
                    <a:xfrm>
                      <a:off x="0" y="0"/>
                      <a:ext cx="12700" cy="3163570"/>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2146935</wp:posOffset>
            </wp:positionV>
            <wp:extent cx="12700" cy="2933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82">
                      <a:extLst>
                        <a:ext uri="{28A0092B-C50C-407E-A947-70E740481C1C}"/>
                      </a:extLst>
                    </a:blip>
                    <a:srcRect/>
                    <a:stretch>
                      <a:fillRect/>
                    </a:stretch>
                  </pic:blipFill>
                  <pic:spPr bwMode="auto">
                    <a:xfrm>
                      <a:off x="0" y="0"/>
                      <a:ext cx="12700" cy="2933700"/>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1553845</wp:posOffset>
            </wp:positionV>
            <wp:extent cx="12700" cy="35261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83">
                      <a:extLst>
                        <a:ext uri="{28A0092B-C50C-407E-A947-70E740481C1C}"/>
                      </a:extLst>
                    </a:blip>
                    <a:srcRect/>
                    <a:stretch>
                      <a:fillRect/>
                    </a:stretch>
                  </pic:blipFill>
                  <pic:spPr bwMode="auto">
                    <a:xfrm>
                      <a:off x="0" y="0"/>
                      <a:ext cx="12700" cy="3526155"/>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1727200</wp:posOffset>
            </wp:positionV>
            <wp:extent cx="12700" cy="33528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84">
                      <a:extLst>
                        <a:ext uri="{28A0092B-C50C-407E-A947-70E740481C1C}"/>
                      </a:extLst>
                    </a:blip>
                    <a:srcRect/>
                    <a:stretch>
                      <a:fillRect/>
                    </a:stretch>
                  </pic:blipFill>
                  <pic:spPr bwMode="auto">
                    <a:xfrm>
                      <a:off x="0" y="0"/>
                      <a:ext cx="12700" cy="3352800"/>
                    </a:xfrm>
                    <a:prstGeom prst="rect">
                      <a:avLst/>
                    </a:prstGeom>
                    <a:noFill/>
                  </pic:spPr>
                </pic:pic>
              </a:graphicData>
            </a:graphic>
          </wp:anchor>
        </w:drawing>
      </w:r>
    </w:p>
    <w:p>
      <w:pPr>
        <w:sectPr>
          <w:pgSz w:w="12240" w:h="15840" w:orient="portrait"/>
          <w:cols w:equalWidth="0" w:num="1">
            <w:col w:w="10220"/>
          </w:cols>
          <w:pgMar w:left="58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94</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220"/>
          </w:cols>
          <w:pgMar w:left="580" w:top="1440" w:right="1440" w:bottom="0" w:gutter="0" w:footer="0" w:header="0"/>
          <w:type w:val="continuous"/>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1828800</wp:posOffset>
            </wp:positionV>
            <wp:extent cx="7461250" cy="6623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85">
                      <a:extLst>
                        <a:ext uri="{28A0092B-C50C-407E-A947-70E740481C1C}"/>
                      </a:extLst>
                    </a:blip>
                    <a:srcRect/>
                    <a:stretch>
                      <a:fillRect/>
                    </a:stretch>
                  </pic:blipFill>
                  <pic:spPr bwMode="auto">
                    <a:xfrm>
                      <a:off x="0" y="0"/>
                      <a:ext cx="7461250" cy="662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920"/>
        <w:spacing w:after="0"/>
        <w:rPr>
          <w:sz w:val="20"/>
          <w:szCs w:val="20"/>
          <w:color w:val="auto"/>
        </w:rPr>
      </w:pPr>
      <w:r>
        <w:rPr>
          <w:rFonts w:ascii="Arial" w:cs="Arial" w:eastAsia="Arial" w:hAnsi="Arial"/>
          <w:sz w:val="20"/>
          <w:szCs w:val="20"/>
          <w:color w:val="FFFFFF"/>
        </w:rPr>
        <w:t>this page Intentionally left mostly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145415</wp:posOffset>
            </wp:positionV>
            <wp:extent cx="6350" cy="417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86">
                      <a:extLst>
                        <a:ext uri="{28A0092B-C50C-407E-A947-70E740481C1C}"/>
                      </a:extLst>
                    </a:blip>
                    <a:srcRect/>
                    <a:stretch>
                      <a:fillRect/>
                    </a:stretch>
                  </pic:blipFill>
                  <pic:spPr bwMode="auto">
                    <a:xfrm>
                      <a:off x="0" y="0"/>
                      <a:ext cx="6350" cy="417195"/>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-127635</wp:posOffset>
            </wp:positionV>
            <wp:extent cx="12700" cy="36537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87">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145415</wp:posOffset>
            </wp:positionV>
            <wp:extent cx="12700" cy="22225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88">
                      <a:extLst>
                        <a:ext uri="{28A0092B-C50C-407E-A947-70E740481C1C}"/>
                      </a:extLst>
                    </a:blip>
                    <a:srcRect/>
                    <a:stretch>
                      <a:fillRect/>
                    </a:stretch>
                  </pic:blipFill>
                  <pic:spPr bwMode="auto">
                    <a:xfrm>
                      <a:off x="0" y="0"/>
                      <a:ext cx="12700" cy="2222500"/>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145415</wp:posOffset>
            </wp:positionV>
            <wp:extent cx="12700" cy="25171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89">
                      <a:extLst>
                        <a:ext uri="{28A0092B-C50C-407E-A947-70E740481C1C}"/>
                      </a:extLst>
                    </a:blip>
                    <a:srcRect/>
                    <a:stretch>
                      <a:fillRect/>
                    </a:stretch>
                  </pic:blipFill>
                  <pic:spPr bwMode="auto">
                    <a:xfrm>
                      <a:off x="0" y="0"/>
                      <a:ext cx="12700" cy="2517140"/>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145415</wp:posOffset>
            </wp:positionV>
            <wp:extent cx="12700" cy="27597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90">
                      <a:extLst>
                        <a:ext uri="{28A0092B-C50C-407E-A947-70E740481C1C}"/>
                      </a:extLst>
                    </a:blip>
                    <a:srcRect/>
                    <a:stretch>
                      <a:fillRect/>
                    </a:stretch>
                  </pic:blipFill>
                  <pic:spPr bwMode="auto">
                    <a:xfrm>
                      <a:off x="0" y="0"/>
                      <a:ext cx="12700" cy="2759710"/>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145415</wp:posOffset>
            </wp:positionV>
            <wp:extent cx="12700" cy="2188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91">
                      <a:extLst>
                        <a:ext uri="{28A0092B-C50C-407E-A947-70E740481C1C}"/>
                      </a:extLst>
                    </a:blip>
                    <a:srcRect/>
                    <a:stretch>
                      <a:fillRect/>
                    </a:stretch>
                  </pic:blipFill>
                  <pic:spPr bwMode="auto">
                    <a:xfrm>
                      <a:off x="0" y="0"/>
                      <a:ext cx="12700" cy="2188845"/>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145415</wp:posOffset>
            </wp:positionV>
            <wp:extent cx="12700" cy="24650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92">
                      <a:extLst>
                        <a:ext uri="{28A0092B-C50C-407E-A947-70E740481C1C}"/>
                      </a:extLst>
                    </a:blip>
                    <a:srcRect/>
                    <a:stretch>
                      <a:fillRect/>
                    </a:stretch>
                  </pic:blipFill>
                  <pic:spPr bwMode="auto">
                    <a:xfrm>
                      <a:off x="0" y="0"/>
                      <a:ext cx="12700" cy="2465070"/>
                    </a:xfrm>
                    <a:prstGeom prst="rect">
                      <a:avLst/>
                    </a:prstGeom>
                    <a:noFill/>
                  </pic:spPr>
                </pic:pic>
              </a:graphicData>
            </a:graphic>
          </wp:anchor>
        </w:drawing>
        <w:drawing>
          <wp:anchor simplePos="0" relativeHeight="251657728" behindDoc="1" locked="0" layoutInCell="0" allowOverlap="1">
            <wp:simplePos x="0" y="0"/>
            <wp:positionH relativeFrom="column">
              <wp:posOffset>3599815</wp:posOffset>
            </wp:positionH>
            <wp:positionV relativeFrom="paragraph">
              <wp:posOffset>145415</wp:posOffset>
            </wp:positionV>
            <wp:extent cx="12700" cy="24987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93">
                      <a:extLst>
                        <a:ext uri="{28A0092B-C50C-407E-A947-70E740481C1C}"/>
                      </a:extLst>
                    </a:blip>
                    <a:srcRect/>
                    <a:stretch>
                      <a:fillRect/>
                    </a:stretch>
                  </pic:blipFill>
                  <pic:spPr bwMode="auto">
                    <a:xfrm>
                      <a:off x="0" y="0"/>
                      <a:ext cx="12700" cy="2498725"/>
                    </a:xfrm>
                    <a:prstGeom prst="rect">
                      <a:avLst/>
                    </a:prstGeom>
                    <a:noFill/>
                  </pic:spPr>
                </pic:pic>
              </a:graphicData>
            </a:graphic>
          </wp:anchor>
        </w:drawing>
        <w:drawing>
          <wp:anchor simplePos="0" relativeHeight="251657728" behindDoc="1" locked="0" layoutInCell="0" allowOverlap="1">
            <wp:simplePos x="0" y="0"/>
            <wp:positionH relativeFrom="column">
              <wp:posOffset>3453765</wp:posOffset>
            </wp:positionH>
            <wp:positionV relativeFrom="paragraph">
              <wp:posOffset>145415</wp:posOffset>
            </wp:positionV>
            <wp:extent cx="12700" cy="22415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94">
                      <a:extLst>
                        <a:ext uri="{28A0092B-C50C-407E-A947-70E740481C1C}"/>
                      </a:extLst>
                    </a:blip>
                    <a:srcRect/>
                    <a:stretch>
                      <a:fillRect/>
                    </a:stretch>
                  </pic:blipFill>
                  <pic:spPr bwMode="auto">
                    <a:xfrm>
                      <a:off x="0" y="0"/>
                      <a:ext cx="12700" cy="2241550"/>
                    </a:xfrm>
                    <a:prstGeom prst="rect">
                      <a:avLst/>
                    </a:prstGeom>
                    <a:noFill/>
                  </pic:spPr>
                </pic:pic>
              </a:graphicData>
            </a:graphic>
          </wp:anchor>
        </w:drawing>
        <w:drawing>
          <wp:anchor simplePos="0" relativeHeight="251657728" behindDoc="1" locked="0" layoutInCell="0" allowOverlap="1">
            <wp:simplePos x="0" y="0"/>
            <wp:positionH relativeFrom="column">
              <wp:posOffset>3307715</wp:posOffset>
            </wp:positionH>
            <wp:positionV relativeFrom="paragraph">
              <wp:posOffset>145415</wp:posOffset>
            </wp:positionV>
            <wp:extent cx="12700" cy="22320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95">
                      <a:extLst>
                        <a:ext uri="{28A0092B-C50C-407E-A947-70E740481C1C}"/>
                      </a:extLst>
                    </a:blip>
                    <a:srcRect/>
                    <a:stretch>
                      <a:fillRect/>
                    </a:stretch>
                  </pic:blipFill>
                  <pic:spPr bwMode="auto">
                    <a:xfrm>
                      <a:off x="0" y="0"/>
                      <a:ext cx="12700" cy="2232025"/>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145415</wp:posOffset>
            </wp:positionV>
            <wp:extent cx="12700" cy="26981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96">
                      <a:extLst>
                        <a:ext uri="{28A0092B-C50C-407E-A947-70E740481C1C}"/>
                      </a:extLst>
                    </a:blip>
                    <a:srcRect/>
                    <a:stretch>
                      <a:fillRect/>
                    </a:stretch>
                  </pic:blipFill>
                  <pic:spPr bwMode="auto">
                    <a:xfrm>
                      <a:off x="0" y="0"/>
                      <a:ext cx="12700" cy="269811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145415</wp:posOffset>
            </wp:positionV>
            <wp:extent cx="12700" cy="18237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97">
                      <a:extLst>
                        <a:ext uri="{28A0092B-C50C-407E-A947-70E740481C1C}"/>
                      </a:extLst>
                    </a:blip>
                    <a:srcRect/>
                    <a:stretch>
                      <a:fillRect/>
                    </a:stretch>
                  </pic:blipFill>
                  <pic:spPr bwMode="auto">
                    <a:xfrm>
                      <a:off x="0" y="0"/>
                      <a:ext cx="12700" cy="182372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145415</wp:posOffset>
            </wp:positionV>
            <wp:extent cx="12700" cy="15252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98">
                      <a:extLst>
                        <a:ext uri="{28A0092B-C50C-407E-A947-70E740481C1C}"/>
                      </a:extLst>
                    </a:blip>
                    <a:srcRect/>
                    <a:stretch>
                      <a:fillRect/>
                    </a:stretch>
                  </pic:blipFill>
                  <pic:spPr bwMode="auto">
                    <a:xfrm>
                      <a:off x="0" y="0"/>
                      <a:ext cx="12700" cy="152527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145415</wp:posOffset>
            </wp:positionV>
            <wp:extent cx="12700" cy="18878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99">
                      <a:extLst>
                        <a:ext uri="{28A0092B-C50C-407E-A947-70E740481C1C}"/>
                      </a:extLst>
                    </a:blip>
                    <a:srcRect/>
                    <a:stretch>
                      <a:fillRect/>
                    </a:stretch>
                  </pic:blipFill>
                  <pic:spPr bwMode="auto">
                    <a:xfrm>
                      <a:off x="0" y="0"/>
                      <a:ext cx="12700" cy="188785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145415</wp:posOffset>
            </wp:positionV>
            <wp:extent cx="12700" cy="2550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00">
                      <a:extLst>
                        <a:ext uri="{28A0092B-C50C-407E-A947-70E740481C1C}"/>
                      </a:extLst>
                    </a:blip>
                    <a:srcRect/>
                    <a:stretch>
                      <a:fillRect/>
                    </a:stretch>
                  </pic:blipFill>
                  <pic:spPr bwMode="auto">
                    <a:xfrm>
                      <a:off x="0" y="0"/>
                      <a:ext cx="12700" cy="2550160"/>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145415</wp:posOffset>
            </wp:positionV>
            <wp:extent cx="12700" cy="24244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01">
                      <a:extLst>
                        <a:ext uri="{28A0092B-C50C-407E-A947-70E740481C1C}"/>
                      </a:extLst>
                    </a:blip>
                    <a:srcRect/>
                    <a:stretch>
                      <a:fillRect/>
                    </a:stretch>
                  </pic:blipFill>
                  <pic:spPr bwMode="auto">
                    <a:xfrm>
                      <a:off x="0" y="0"/>
                      <a:ext cx="12700" cy="242443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145415</wp:posOffset>
            </wp:positionV>
            <wp:extent cx="12700" cy="28829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02">
                      <a:extLst>
                        <a:ext uri="{28A0092B-C50C-407E-A947-70E740481C1C}"/>
                      </a:extLst>
                    </a:blip>
                    <a:srcRect/>
                    <a:stretch>
                      <a:fillRect/>
                    </a:stretch>
                  </pic:blipFill>
                  <pic:spPr bwMode="auto">
                    <a:xfrm>
                      <a:off x="0" y="0"/>
                      <a:ext cx="12700" cy="288290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145415</wp:posOffset>
            </wp:positionV>
            <wp:extent cx="12700" cy="26638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03">
                      <a:extLst>
                        <a:ext uri="{28A0092B-C50C-407E-A947-70E740481C1C}"/>
                      </a:extLst>
                    </a:blip>
                    <a:srcRect/>
                    <a:stretch>
                      <a:fillRect/>
                    </a:stretch>
                  </pic:blipFill>
                  <pic:spPr bwMode="auto">
                    <a:xfrm>
                      <a:off x="0" y="0"/>
                      <a:ext cx="12700" cy="266382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145415</wp:posOffset>
            </wp:positionV>
            <wp:extent cx="12700" cy="24168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04">
                      <a:extLst>
                        <a:ext uri="{28A0092B-C50C-407E-A947-70E740481C1C}"/>
                      </a:extLst>
                    </a:blip>
                    <a:srcRect/>
                    <a:stretch>
                      <a:fillRect/>
                    </a:stretch>
                  </pic:blipFill>
                  <pic:spPr bwMode="auto">
                    <a:xfrm>
                      <a:off x="0" y="0"/>
                      <a:ext cx="12700" cy="2416810"/>
                    </a:xfrm>
                    <a:prstGeom prst="rect">
                      <a:avLst/>
                    </a:prstGeom>
                    <a:noFill/>
                  </pic:spPr>
                </pic:pic>
              </a:graphicData>
            </a:graphic>
          </wp:anchor>
        </w:drawing>
        <w:drawing>
          <wp:anchor simplePos="0" relativeHeight="251657728" behindDoc="1" locked="0" layoutInCell="0" allowOverlap="1">
            <wp:simplePos x="0" y="0"/>
            <wp:positionH relativeFrom="column">
              <wp:posOffset>1847215</wp:posOffset>
            </wp:positionH>
            <wp:positionV relativeFrom="paragraph">
              <wp:posOffset>145415</wp:posOffset>
            </wp:positionV>
            <wp:extent cx="12700" cy="13265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05">
                      <a:extLst>
                        <a:ext uri="{28A0092B-C50C-407E-A947-70E740481C1C}"/>
                      </a:extLst>
                    </a:blip>
                    <a:srcRect/>
                    <a:stretch>
                      <a:fillRect/>
                    </a:stretch>
                  </pic:blipFill>
                  <pic:spPr bwMode="auto">
                    <a:xfrm>
                      <a:off x="0" y="0"/>
                      <a:ext cx="12700" cy="132651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145415</wp:posOffset>
            </wp:positionV>
            <wp:extent cx="12700" cy="17386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06">
                      <a:extLst>
                        <a:ext uri="{28A0092B-C50C-407E-A947-70E740481C1C}"/>
                      </a:extLst>
                    </a:blip>
                    <a:srcRect/>
                    <a:stretch>
                      <a:fillRect/>
                    </a:stretch>
                  </pic:blipFill>
                  <pic:spPr bwMode="auto">
                    <a:xfrm>
                      <a:off x="0" y="0"/>
                      <a:ext cx="12700" cy="1738630"/>
                    </a:xfrm>
                    <a:prstGeom prst="rect">
                      <a:avLst/>
                    </a:prstGeom>
                    <a:noFill/>
                  </pic:spPr>
                </pic:pic>
              </a:graphicData>
            </a:graphic>
          </wp:anchor>
        </w:drawing>
        <w:drawing>
          <wp:anchor simplePos="0" relativeHeight="251657728" behindDoc="1" locked="0" layoutInCell="0" allowOverlap="1">
            <wp:simplePos x="0" y="0"/>
            <wp:positionH relativeFrom="column">
              <wp:posOffset>240665</wp:posOffset>
            </wp:positionH>
            <wp:positionV relativeFrom="paragraph">
              <wp:posOffset>-85725</wp:posOffset>
            </wp:positionV>
            <wp:extent cx="12700" cy="36537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07">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-781050</wp:posOffset>
            </wp:positionH>
            <wp:positionV relativeFrom="paragraph">
              <wp:posOffset>-106680</wp:posOffset>
            </wp:positionV>
            <wp:extent cx="12700" cy="36537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08">
                      <a:extLst>
                        <a:ext uri="{28A0092B-C50C-407E-A947-70E740481C1C}"/>
                      </a:extLst>
                    </a:blip>
                    <a:srcRect/>
                    <a:stretch>
                      <a:fillRect/>
                    </a:stretch>
                  </pic:blipFill>
                  <pic:spPr bwMode="auto">
                    <a:xfrm>
                      <a:off x="0" y="0"/>
                      <a:ext cx="12700" cy="365379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866775</wp:posOffset>
            </wp:positionV>
            <wp:extent cx="6350" cy="16560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09">
                      <a:extLst>
                        <a:ext uri="{28A0092B-C50C-407E-A947-70E740481C1C}"/>
                      </a:extLst>
                    </a:blip>
                    <a:srcRect/>
                    <a:stretch>
                      <a:fillRect/>
                    </a:stretch>
                  </pic:blipFill>
                  <pic:spPr bwMode="auto">
                    <a:xfrm>
                      <a:off x="0" y="0"/>
                      <a:ext cx="6350" cy="1656080"/>
                    </a:xfrm>
                    <a:prstGeom prst="rect">
                      <a:avLst/>
                    </a:prstGeom>
                    <a:noFill/>
                  </pic:spPr>
                </pic:pic>
              </a:graphicData>
            </a:graphic>
          </wp:anchor>
        </w:drawing>
      </w:r>
    </w:p>
    <w:p>
      <w:pPr>
        <w:sectPr>
          <w:pgSz w:w="12240" w:h="15840" w:orient="portrait"/>
          <w:cols w:equalWidth="0" w:num="1">
            <w:col w:w="10220"/>
          </w:cols>
          <w:pgMar w:left="1440" w:top="144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500"/>
        <w:spacing w:after="0"/>
        <w:tabs>
          <w:tab w:leader="none" w:pos="1006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95</w:t>
      </w:r>
    </w:p>
    <w:p>
      <w:pPr>
        <w:sectPr>
          <w:pgSz w:w="12240" w:h="15840" w:orient="portrait"/>
          <w:cols w:equalWidth="0" w:num="1">
            <w:col w:w="10220"/>
          </w:cols>
          <w:pgMar w:left="1440" w:top="1440" w:right="580" w:bottom="0" w:gutter="0" w:footer="0" w:header="0"/>
          <w:type w:val="continuous"/>
        </w:sectPr>
      </w:pPr>
    </w:p>
    <w:bookmarkStart w:id="95" w:name="page96"/>
    <w:bookmarkEnd w:id="95"/>
    <w:p>
      <w:pPr>
        <w:ind w:left="340"/>
        <w:spacing w:after="0"/>
        <w:rPr>
          <w:sz w:val="20"/>
          <w:szCs w:val="20"/>
          <w:color w:val="auto"/>
        </w:rPr>
      </w:pPr>
      <w:r>
        <w:rPr>
          <w:rFonts w:ascii="Arial" w:cs="Arial" w:eastAsia="Arial" w:hAnsi="Arial"/>
          <w:sz w:val="32"/>
          <w:szCs w:val="32"/>
          <w:color w:val="auto"/>
        </w:rPr>
        <w:t>15-Year Summary of Financial Data</w:t>
      </w:r>
    </w:p>
    <w:p>
      <w:pPr>
        <w:spacing w:after="0" w:line="98" w:lineRule="exact"/>
        <w:rPr>
          <w:sz w:val="20"/>
          <w:szCs w:val="20"/>
          <w:color w:val="auto"/>
        </w:rPr>
      </w:pPr>
    </w:p>
    <w:tbl>
      <w:tblPr>
        <w:tblLayout w:type="fixed"/>
        <w:tblInd w:w="340" w:type="dxa"/>
        <w:tblCellMar>
          <w:top w:w="0" w:type="dxa"/>
          <w:left w:w="0" w:type="dxa"/>
          <w:bottom w:w="0" w:type="dxa"/>
          <w:right w:w="0" w:type="dxa"/>
        </w:tblCellMar>
      </w:tblPr>
      <w:tr>
        <w:trPr>
          <w:trHeight w:val="308"/>
        </w:trPr>
        <w:tc>
          <w:tcPr>
            <w:tcW w:w="3660" w:type="dxa"/>
            <w:vAlign w:val="bottom"/>
          </w:tcPr>
          <w:p>
            <w:pPr>
              <w:spacing w:after="0"/>
              <w:rPr>
                <w:sz w:val="20"/>
                <w:szCs w:val="20"/>
                <w:color w:val="auto"/>
              </w:rPr>
            </w:pPr>
            <w:r>
              <w:rPr>
                <w:rFonts w:ascii="Arial" w:cs="Arial" w:eastAsia="Arial" w:hAnsi="Arial"/>
                <w:sz w:val="17"/>
                <w:szCs w:val="17"/>
                <w:b w:val="1"/>
                <w:bCs w:val="1"/>
                <w:color w:val="808080"/>
                <w:w w:val="99"/>
              </w:rPr>
              <w:t>SUMMARY OF OPERATIONS FOR THE YEAR</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2,299,215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1,918,958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1,731,170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1,688,189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1,858,897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1,834,064</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1,536,585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1,309,144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1,111,462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1,082,746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1,170,589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1,143,597</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762,630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609,814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619,708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605,444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688,308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690,467</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154,360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133,309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117,764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115,935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114,687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107,135</w:t>
            </w:r>
          </w:p>
        </w:tc>
        <w:tc>
          <w:tcPr>
            <w:tcW w:w="0" w:type="dxa"/>
            <w:vAlign w:val="bottom"/>
          </w:tcPr>
          <w:p>
            <w:pPr>
              <w:spacing w:after="0"/>
              <w:rPr>
                <w:sz w:val="1"/>
                <w:szCs w:val="1"/>
                <w:color w:val="auto"/>
              </w:rPr>
            </w:pPr>
          </w:p>
        </w:tc>
      </w:tr>
      <w:tr>
        <w:trPr>
          <w:trHeight w:val="365"/>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&amp; administrative expenses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112,539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106,499</w:t>
            </w:r>
            <w:r>
              <w:rPr>
                <w:rFonts w:ascii="Times New Roman" w:cs="Times New Roman" w:eastAsia="Times New Roman" w:hAnsi="Times New Roman"/>
                <w:sz w:val="20"/>
                <w:szCs w:val="20"/>
                <w:color w:val="auto"/>
                <w:vertAlign w:val="superscript"/>
              </w:rPr>
              <w:t>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92,162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89,952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85,083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75,206</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495,731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370,006</w:t>
            </w:r>
            <w:r>
              <w:rPr>
                <w:rFonts w:ascii="Times New Roman" w:cs="Times New Roman" w:eastAsia="Times New Roman" w:hAnsi="Times New Roman"/>
                <w:sz w:val="20"/>
                <w:szCs w:val="20"/>
                <w:color w:val="auto"/>
                <w:vertAlign w:val="superscript"/>
              </w:rPr>
              <w:t>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409,782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399,556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488,538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508,126</w:t>
            </w:r>
          </w:p>
        </w:tc>
        <w:tc>
          <w:tcPr>
            <w:tcW w:w="0" w:type="dxa"/>
            <w:vAlign w:val="bottom"/>
          </w:tcPr>
          <w:p>
            <w:pPr>
              <w:spacing w:after="0"/>
              <w:rPr>
                <w:sz w:val="1"/>
                <w:szCs w:val="1"/>
                <w:color w:val="auto"/>
              </w:rPr>
            </w:pPr>
          </w:p>
        </w:tc>
      </w:tr>
      <w:tr>
        <w:trPr>
          <w:trHeight w:val="357"/>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 of net sales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9,619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6,750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12,898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12,174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14,849</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504,981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369,723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416,352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411,813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500,415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522,047</w:t>
            </w:r>
          </w:p>
        </w:tc>
        <w:tc>
          <w:tcPr>
            <w:tcW w:w="0" w:type="dxa"/>
            <w:vAlign w:val="bottom"/>
          </w:tcPr>
          <w:p>
            <w:pPr>
              <w:spacing w:after="0"/>
              <w:rPr>
                <w:sz w:val="1"/>
                <w:szCs w:val="1"/>
                <w:color w:val="auto"/>
              </w:rPr>
            </w:pPr>
          </w:p>
        </w:tc>
      </w:tr>
      <w:tr>
        <w:trPr>
          <w:trHeight w:val="360"/>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 of net sales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76,578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50,965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55,555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64,249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75,731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84,164</w:t>
            </w:r>
          </w:p>
        </w:tc>
        <w:tc>
          <w:tcPr>
            <w:tcW w:w="0" w:type="dxa"/>
            <w:vAlign w:val="bottom"/>
          </w:tcPr>
          <w:p>
            <w:pPr>
              <w:spacing w:after="0"/>
              <w:rPr>
                <w:sz w:val="1"/>
                <w:szCs w:val="1"/>
                <w:color w:val="auto"/>
              </w:rPr>
            </w:pPr>
          </w:p>
        </w:tc>
      </w:tr>
      <w:tr>
        <w:trPr>
          <w:trHeight w:val="360"/>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rate</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428,403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318,757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360,797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347,564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424,684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437,883</w:t>
            </w:r>
          </w:p>
        </w:tc>
        <w:tc>
          <w:tcPr>
            <w:tcW w:w="0" w:type="dxa"/>
            <w:vAlign w:val="bottom"/>
          </w:tcPr>
          <w:p>
            <w:pPr>
              <w:spacing w:after="0"/>
              <w:rPr>
                <w:sz w:val="1"/>
                <w:szCs w:val="1"/>
                <w:color w:val="auto"/>
              </w:rPr>
            </w:pPr>
          </w:p>
        </w:tc>
      </w:tr>
      <w:tr>
        <w:trPr>
          <w:trHeight w:val="360"/>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 of net sales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Return on average equity</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360"/>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Price/earnings ratio range</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27-18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25-20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229,720</w:t>
            </w: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231,219</w:t>
            </w: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236,604</w:t>
            </w: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243,682</w:t>
            </w: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253,273</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269,877</w:t>
            </w:r>
          </w:p>
        </w:tc>
        <w:tc>
          <w:tcPr>
            <w:tcW w:w="0" w:type="dxa"/>
            <w:vAlign w:val="bottom"/>
          </w:tcPr>
          <w:p>
            <w:pPr>
              <w:spacing w:after="0"/>
              <w:rPr>
                <w:sz w:val="1"/>
                <w:szCs w:val="1"/>
                <w:color w:val="auto"/>
              </w:rPr>
            </w:pPr>
          </w:p>
        </w:tc>
      </w:tr>
      <w:tr>
        <w:trPr>
          <w:trHeight w:val="180"/>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diluted</w:t>
            </w:r>
          </w:p>
        </w:tc>
        <w:tc>
          <w:tcPr>
            <w:tcW w:w="11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6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183,678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146,433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68,835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51,707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84,580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85,991</w:t>
            </w:r>
          </w:p>
        </w:tc>
        <w:tc>
          <w:tcPr>
            <w:tcW w:w="0" w:type="dxa"/>
            <w:vAlign w:val="bottom"/>
          </w:tcPr>
          <w:p>
            <w:pPr>
              <w:spacing w:after="0"/>
              <w:rPr>
                <w:sz w:val="1"/>
                <w:szCs w:val="1"/>
                <w:color w:val="auto"/>
              </w:rPr>
            </w:pPr>
          </w:p>
        </w:tc>
      </w:tr>
      <w:tr>
        <w:trPr>
          <w:trHeight w:val="276"/>
        </w:trPr>
        <w:tc>
          <w:tcPr>
            <w:tcW w:w="3660" w:type="dxa"/>
            <w:vAlign w:val="bottom"/>
          </w:tcPr>
          <w:p>
            <w:pPr>
              <w:spacing w:after="0"/>
              <w:rPr>
                <w:sz w:val="20"/>
                <w:szCs w:val="20"/>
                <w:color w:val="auto"/>
              </w:rPr>
            </w:pPr>
            <w:r>
              <w:rPr>
                <w:rFonts w:ascii="Arial" w:cs="Arial" w:eastAsia="Arial" w:hAnsi="Arial"/>
                <w:sz w:val="17"/>
                <w:szCs w:val="17"/>
                <w:b w:val="1"/>
                <w:bCs w:val="1"/>
                <w:color w:val="808080"/>
              </w:rPr>
              <w:t>FINANCIAL POSITION AT YEAR-END</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Cash and short-term investments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240,791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241,762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267,735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450,535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436,706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386,438</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Long-term and Equity Method investments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299,081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202,332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207,693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162,028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139,909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137,979</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997,738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948,652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872,976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979,331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950,377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850,930</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271,609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250,553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181,656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177,737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171,847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169,161</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726,129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698,100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691,320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801,594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778,530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681,769</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Plant and equipment - net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652,878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550,033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464,122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468,135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498,316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498,474</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2,611,438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2,327,230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2,131,391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2,197,941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2,168,803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2,085,434</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including current maturities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investment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2,312,517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2,065,793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1,937,988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1,963,943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1,938,088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1,861,752</w:t>
            </w:r>
          </w:p>
        </w:tc>
        <w:tc>
          <w:tcPr>
            <w:tcW w:w="0" w:type="dxa"/>
            <w:vAlign w:val="bottom"/>
          </w:tcPr>
          <w:p>
            <w:pPr>
              <w:spacing w:after="0"/>
              <w:rPr>
                <w:sz w:val="1"/>
                <w:szCs w:val="1"/>
                <w:color w:val="auto"/>
              </w:rPr>
            </w:pPr>
          </w:p>
        </w:tc>
      </w:tr>
      <w:tr>
        <w:trPr>
          <w:trHeight w:val="36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Debt/equity ratio (including current maturities)</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231,455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234,169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236,441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243,693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251,278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259,329</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 declared per share</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440" w:hanging="120"/>
        <w:spacing w:after="0"/>
        <w:tabs>
          <w:tab w:leader="none" w:pos="440" w:val="left"/>
        </w:tabs>
        <w:numPr>
          <w:ilvl w:val="0"/>
          <w:numId w:val="20"/>
        </w:numPr>
        <w:rPr>
          <w:rFonts w:ascii="Times New Roman" w:cs="Times New Roman" w:eastAsia="Times New Roman" w:hAnsi="Times New Roman"/>
          <w:sz w:val="16"/>
          <w:szCs w:val="16"/>
          <w:color w:val="808080"/>
          <w:vertAlign w:val="superscript"/>
        </w:rPr>
      </w:pPr>
      <w:r>
        <w:rPr>
          <w:rFonts w:ascii="Times New Roman" w:cs="Times New Roman" w:eastAsia="Times New Roman" w:hAnsi="Times New Roman"/>
          <w:sz w:val="14"/>
          <w:szCs w:val="14"/>
          <w:color w:val="808080"/>
        </w:rPr>
        <w:t>Includes litigation settlement of $5,000,000 (pre tax) in 2012.</w:t>
      </w:r>
    </w:p>
    <w:p>
      <w:pPr>
        <w:spacing w:after="0" w:line="30" w:lineRule="exact"/>
        <w:rPr>
          <w:rFonts w:ascii="Times New Roman" w:cs="Times New Roman" w:eastAsia="Times New Roman" w:hAnsi="Times New Roman"/>
          <w:sz w:val="16"/>
          <w:szCs w:val="16"/>
          <w:color w:val="808080"/>
          <w:vertAlign w:val="superscript"/>
        </w:rPr>
      </w:pPr>
    </w:p>
    <w:p>
      <w:pPr>
        <w:ind w:left="440" w:hanging="120"/>
        <w:spacing w:after="0"/>
        <w:tabs>
          <w:tab w:leader="none" w:pos="440" w:val="left"/>
        </w:tabs>
        <w:numPr>
          <w:ilvl w:val="0"/>
          <w:numId w:val="20"/>
        </w:numPr>
        <w:rPr>
          <w:rFonts w:ascii="Times New Roman" w:cs="Times New Roman" w:eastAsia="Times New Roman" w:hAnsi="Times New Roman"/>
          <w:sz w:val="16"/>
          <w:szCs w:val="16"/>
          <w:color w:val="808080"/>
          <w:vertAlign w:val="superscript"/>
        </w:rPr>
      </w:pPr>
      <w:r>
        <w:rPr>
          <w:rFonts w:ascii="Times New Roman" w:cs="Times New Roman" w:eastAsia="Times New Roman" w:hAnsi="Times New Roman"/>
          <w:sz w:val="14"/>
          <w:szCs w:val="14"/>
          <w:color w:val="808080"/>
        </w:rPr>
        <w:t>Includes SEC settlement of $4,000,000 (pre tax) in 2022.</w:t>
      </w:r>
    </w:p>
    <w:p>
      <w:pPr>
        <w:sectPr>
          <w:pgSz w:w="12240" w:h="15840" w:orient="portrait"/>
          <w:cols w:equalWidth="0" w:num="1">
            <w:col w:w="10740"/>
          </w:cols>
          <w:pgMar w:left="580" w:top="945" w:right="920" w:bottom="0" w:gutter="0" w:footer="0" w:header="0"/>
        </w:sectPr>
      </w:pPr>
    </w:p>
    <w:p>
      <w:pPr>
        <w:spacing w:after="0" w:line="110"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96</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40"/>
          </w:cols>
          <w:pgMar w:left="580" w:top="945" w:right="920" w:bottom="0" w:gutter="0" w:footer="0" w:header="0"/>
          <w:type w:val="continuous"/>
        </w:sectPr>
      </w:pPr>
    </w:p>
    <w:bookmarkStart w:id="96" w:name="page97"/>
    <w:bookmarkEnd w:id="96"/>
    <w:tbl>
      <w:tblPr>
        <w:tblLayout w:type="fixed"/>
        <w:tblInd w:w="420" w:type="dxa"/>
        <w:tblCellMar>
          <w:top w:w="0" w:type="dxa"/>
          <w:left w:w="0" w:type="dxa"/>
          <w:bottom w:w="0" w:type="dxa"/>
          <w:right w:w="0" w:type="dxa"/>
        </w:tblCellMar>
      </w:tblPr>
      <w:tr>
        <w:trPr>
          <w:trHeight w:val="302"/>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2009</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1,794,873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1,678,925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1,543,618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1,375,501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1,171,864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1,099,560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1,023,762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544,523</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1,100,344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1,010,473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939,842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836,611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741,131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726,741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662,182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520,573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366,968</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694,528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668,452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603,776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538,890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430,733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372,819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361,580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295,690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177,555</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99,726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94,238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88,393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84,176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47,128</w:t>
            </w:r>
          </w:p>
        </w:tc>
      </w:tr>
      <w:tr>
        <w:trPr>
          <w:trHeight w:val="365"/>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71,443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62,471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56,617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55,880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53,3604</w:t>
            </w:r>
            <w:r>
              <w:rPr>
                <w:rFonts w:ascii="Times New Roman" w:cs="Times New Roman" w:eastAsia="Times New Roman" w:hAnsi="Times New Roman"/>
                <w:sz w:val="20"/>
                <w:szCs w:val="20"/>
                <w:color w:val="auto"/>
                <w:vertAlign w:val="superscript"/>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35,808</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523,358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511,743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458,766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398,834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304,742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234,4554</w:t>
            </w:r>
            <w:r>
              <w:rPr>
                <w:rFonts w:ascii="Times New Roman" w:cs="Times New Roman" w:eastAsia="Times New Roman" w:hAnsi="Times New Roman"/>
                <w:sz w:val="20"/>
                <w:szCs w:val="20"/>
                <w:color w:val="auto"/>
                <w:vertAlign w:val="superscript"/>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231,368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190,972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94,619</w:t>
            </w:r>
          </w:p>
        </w:tc>
      </w:tr>
      <w:tr>
        <w:trPr>
          <w:trHeight w:val="357"/>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4,371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5,684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4,439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3,501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12,809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4,501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9,264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19,993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531,797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510,561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463,591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415,326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328,064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249,626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244,432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203,440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96,352</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125,005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162,969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145,122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126,722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79,764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31,715</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406,792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347,591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318,470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288,605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222,930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168,587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137,734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64,637</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r>
      <w:tr>
        <w:trPr>
          <w:trHeight w:val="45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288,226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291,072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296,238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294,300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288,548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287,936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288,554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281,472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275,291</w:t>
            </w:r>
          </w:p>
        </w:tc>
      </w:tr>
      <w:tr>
        <w:trPr>
          <w:trHeight w:val="45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104,041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120,956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97,942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72,519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117,474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120,178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21,131</w:t>
            </w:r>
          </w:p>
        </w:tc>
      </w:tr>
      <w:tr>
        <w:trPr>
          <w:trHeight w:val="72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722,273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723,498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556,105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497,431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309,592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450,482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418,795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434,797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353,232</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57,782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49,894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95,157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114,643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141,834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128,168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129,091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109,155</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1,184,564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1,154,989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984,009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856,638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601,186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744,663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752,293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655,269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505,414</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243,647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149,858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131,007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133,431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119,980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58,638</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940,917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1,005,131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853,002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723,207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481,206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656,706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651,598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583,181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446,776</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492,479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465,822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412,720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373,391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357,021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349,938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282,542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197,530</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2,352,054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2,309,620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2,148,673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2,022,540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1,764,088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1,265,691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1,163,772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1,002,691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822,603</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78,000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185,625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225,625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258,125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265,625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2,049,518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1,910,424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1,722,517</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1,571,412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1,120,961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1,027,119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893,531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735,929</w:t>
            </w:r>
          </w:p>
        </w:tc>
      </w:tr>
      <w:tr>
        <w:trPr>
          <w:trHeight w:val="358"/>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280,281</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287,738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291,338</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295,248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291,156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286,152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288,140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284,584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276,678</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60"/>
        </w:trPr>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0.39</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0.36</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bl>
    <w:p>
      <w:pPr>
        <w:spacing w:after="0" w:line="122" w:lineRule="exact"/>
        <w:rPr>
          <w:sz w:val="20"/>
          <w:szCs w:val="20"/>
          <w:color w:val="auto"/>
        </w:rPr>
      </w:pPr>
    </w:p>
    <w:p>
      <w:pPr>
        <w:jc w:val="both"/>
        <w:ind w:right="300"/>
        <w:spacing w:after="0" w:line="305" w:lineRule="auto"/>
        <w:rPr>
          <w:sz w:val="20"/>
          <w:szCs w:val="20"/>
          <w:color w:val="auto"/>
        </w:rPr>
      </w:pPr>
      <w:r>
        <w:rPr>
          <w:rFonts w:ascii="Times New Roman" w:cs="Times New Roman" w:eastAsia="Times New Roman" w:hAnsi="Times New Roman"/>
          <w:sz w:val="14"/>
          <w:szCs w:val="14"/>
          <w:color w:val="808080"/>
        </w:rPr>
        <w:t>In thousands, except Gross profit margin, Percent of net sales on Income and Net Income, Tax rate, Return on average equity, Per share data, Price/earnings ratio and Debt/Equity ratio. All per share data has been adjusted to reflect the two-for-one stock splits effected in the form of 100 percent common stock dividends issued to shareholders in June 1993, June 1996, June 1998, May 2005 and December 2014.</w:t>
      </w:r>
    </w:p>
    <w:p>
      <w:pPr>
        <w:sectPr>
          <w:pgSz w:w="12240" w:h="15840" w:orient="portrait"/>
          <w:cols w:equalWidth="0" w:num="1">
            <w:col w:w="10760"/>
          </w:cols>
          <w:pgMar w:left="900" w:top="1416" w:right="580" w:bottom="0" w:gutter="0" w:footer="0" w:header="0"/>
        </w:sectPr>
      </w:pPr>
    </w:p>
    <w:p>
      <w:pPr>
        <w:spacing w:after="0" w:line="2" w:lineRule="exact"/>
        <w:rPr>
          <w:sz w:val="20"/>
          <w:szCs w:val="20"/>
          <w:color w:val="auto"/>
        </w:rPr>
      </w:pPr>
    </w:p>
    <w:p>
      <w:pPr>
        <w:ind w:left="9040"/>
        <w:spacing w:after="0"/>
        <w:tabs>
          <w:tab w:leader="none" w:pos="10600" w:val="left"/>
        </w:tabs>
        <w:rPr>
          <w:sz w:val="20"/>
          <w:szCs w:val="20"/>
          <w:color w:val="auto"/>
        </w:rPr>
      </w:pPr>
      <w:r>
        <w:rPr>
          <w:rFonts w:ascii="Times New Roman" w:cs="Times New Roman" w:eastAsia="Times New Roman" w:hAnsi="Times New Roman"/>
          <w:sz w:val="10"/>
          <w:szCs w:val="10"/>
          <w:color w:val="auto"/>
        </w:rPr>
        <w:t>2023 ANNUAL REPORT</w:t>
      </w:r>
      <w:r>
        <w:rPr>
          <w:sz w:val="20"/>
          <w:szCs w:val="20"/>
          <w:color w:val="auto"/>
        </w:rPr>
        <w:tab/>
      </w:r>
      <w:r>
        <w:rPr>
          <w:rFonts w:ascii="Arial" w:cs="Arial" w:eastAsia="Arial" w:hAnsi="Arial"/>
          <w:sz w:val="12"/>
          <w:szCs w:val="12"/>
          <w:b w:val="1"/>
          <w:bCs w:val="1"/>
          <w:color w:val="auto"/>
        </w:rPr>
        <w:t>97</w:t>
      </w:r>
    </w:p>
    <w:p>
      <w:pPr>
        <w:sectPr>
          <w:pgSz w:w="12240" w:h="15840" w:orient="portrait"/>
          <w:cols w:equalWidth="0" w:num="1">
            <w:col w:w="10760"/>
          </w:cols>
          <w:pgMar w:left="900" w:top="1416" w:right="580" w:bottom="0" w:gutter="0" w:footer="0" w:header="0"/>
          <w:type w:val="continuous"/>
        </w:sectPr>
      </w:pPr>
    </w:p>
    <w:bookmarkStart w:id="97" w:name="page98"/>
    <w:bookmarkEnd w:id="97"/>
    <w:p>
      <w:pPr>
        <w:ind w:left="360"/>
        <w:spacing w:after="0"/>
        <w:rPr>
          <w:sz w:val="20"/>
          <w:szCs w:val="20"/>
          <w:color w:val="auto"/>
        </w:rPr>
      </w:pPr>
      <w:r>
        <w:rPr>
          <w:rFonts w:ascii="Arial" w:cs="Arial" w:eastAsia="Arial" w:hAnsi="Arial"/>
          <w:sz w:val="24"/>
          <w:szCs w:val="24"/>
          <w:b w:val="1"/>
          <w:bCs w:val="1"/>
          <w:color w:val="auto"/>
        </w:rPr>
        <w:t>CORPORATE DATA</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CORPORATE HEADQUARTERS</w:t>
      </w:r>
    </w:p>
    <w:p>
      <w:pPr>
        <w:spacing w:after="0" w:line="171" w:lineRule="exact"/>
        <w:rPr>
          <w:sz w:val="20"/>
          <w:szCs w:val="20"/>
          <w:color w:val="auto"/>
        </w:rPr>
      </w:pPr>
    </w:p>
    <w:p>
      <w:pPr>
        <w:ind w:left="140" w:right="2700" w:firstLine="1"/>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GENTEX CORPORATION </w:t>
      </w:r>
      <w:r>
        <w:rPr>
          <w:rFonts w:ascii="Times New Roman" w:cs="Times New Roman" w:eastAsia="Times New Roman" w:hAnsi="Times New Roman"/>
          <w:sz w:val="18"/>
          <w:szCs w:val="18"/>
          <w:color w:val="auto"/>
        </w:rPr>
        <w:t>600 N. Centennial Street Zeeland, Michigan 49464 gentex.com</w:t>
      </w:r>
    </w:p>
    <w:p>
      <w:pPr>
        <w:spacing w:after="0" w:line="384"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TRANSFER AGENT</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BROADRIDGE SHAREHOLDER SERVICES</w:t>
      </w:r>
    </w:p>
    <w:p>
      <w:pPr>
        <w:spacing w:after="0" w:line="95" w:lineRule="exact"/>
        <w:rPr>
          <w:sz w:val="20"/>
          <w:szCs w:val="20"/>
          <w:color w:val="auto"/>
        </w:rPr>
      </w:pPr>
    </w:p>
    <w:p>
      <w:pPr>
        <w:ind w:left="140" w:right="2120"/>
        <w:spacing w:after="0" w:line="324" w:lineRule="auto"/>
        <w:rPr>
          <w:sz w:val="20"/>
          <w:szCs w:val="20"/>
          <w:color w:val="auto"/>
        </w:rPr>
      </w:pPr>
      <w:r>
        <w:rPr>
          <w:rFonts w:ascii="Times New Roman" w:cs="Times New Roman" w:eastAsia="Times New Roman" w:hAnsi="Times New Roman"/>
          <w:sz w:val="18"/>
          <w:szCs w:val="18"/>
          <w:color w:val="auto"/>
        </w:rPr>
        <w:t>c/o Broadridge Corporate Issuer Solutions Attn: IWS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1155 Long Island Avenue</w:t>
      </w:r>
    </w:p>
    <w:p>
      <w:pPr>
        <w:spacing w:after="0" w:line="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Edgewood, NY 11717-8309</w:t>
      </w:r>
    </w:p>
    <w:p>
      <w:pPr>
        <w:spacing w:after="0" w:line="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shareholder.broadridge.com</w:t>
      </w:r>
    </w:p>
    <w:p>
      <w:pPr>
        <w:spacing w:after="0" w:line="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Dedicated Toll Free Line - 844-943-0718</w:t>
      </w:r>
    </w:p>
    <w:p>
      <w:pPr>
        <w:spacing w:after="0" w:line="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International Support - 303-558-4039</w:t>
      </w:r>
    </w:p>
    <w:p>
      <w:pPr>
        <w:spacing w:after="0" w:line="287"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GENTEX COMMON STOCK</w:t>
      </w:r>
    </w:p>
    <w:p>
      <w:pPr>
        <w:spacing w:after="0" w:line="170" w:lineRule="exact"/>
        <w:rPr>
          <w:sz w:val="20"/>
          <w:szCs w:val="20"/>
          <w:color w:val="auto"/>
        </w:rPr>
      </w:pPr>
    </w:p>
    <w:p>
      <w:pPr>
        <w:ind w:left="140"/>
        <w:spacing w:after="0" w:line="352" w:lineRule="auto"/>
        <w:rPr>
          <w:sz w:val="20"/>
          <w:szCs w:val="20"/>
          <w:color w:val="auto"/>
        </w:rPr>
      </w:pPr>
      <w:r>
        <w:rPr>
          <w:rFonts w:ascii="Times New Roman" w:cs="Times New Roman" w:eastAsia="Times New Roman" w:hAnsi="Times New Roman"/>
          <w:sz w:val="18"/>
          <w:szCs w:val="18"/>
          <w:color w:val="auto"/>
        </w:rPr>
        <w:t>The Company’s stock trades on The NASDAQ Global Select Market under the symbol GNTX. The Company does not have a direct stock purchase plan or dividend reinvestment policy. Shares of the Company’s stock may be purchased through a stock broker or other registered securities representative.</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IR AND MEDIA CONTACT</w:t>
      </w:r>
    </w:p>
    <w:p>
      <w:pPr>
        <w:spacing w:after="0" w:line="1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Josh O’Berski, </w:t>
      </w:r>
      <w:r>
        <w:rPr>
          <w:rFonts w:ascii="Arial" w:cs="Arial" w:eastAsia="Arial" w:hAnsi="Arial"/>
          <w:sz w:val="18"/>
          <w:szCs w:val="18"/>
          <w:i w:val="1"/>
          <w:iCs w:val="1"/>
          <w:color w:val="auto"/>
        </w:rPr>
        <w:t>Director of Investor Relations</w:t>
      </w:r>
    </w:p>
    <w:p>
      <w:pPr>
        <w:spacing w:after="0" w:line="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616.772.1590 x5814</w:t>
      </w:r>
    </w:p>
    <w:p>
      <w:pPr>
        <w:spacing w:after="0" w:line="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ir.gentex.com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-1061085</wp:posOffset>
            </wp:positionV>
            <wp:extent cx="7772400" cy="10058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10">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150" w:lineRule="exact"/>
        <w:rPr>
          <w:sz w:val="20"/>
          <w:szCs w:val="20"/>
          <w:color w:val="auto"/>
        </w:rPr>
      </w:pPr>
    </w:p>
    <w:p>
      <w:pPr>
        <w:ind w:right="1480"/>
        <w:spacing w:after="0" w:line="337" w:lineRule="auto"/>
        <w:rPr>
          <w:sz w:val="20"/>
          <w:szCs w:val="20"/>
          <w:color w:val="auto"/>
        </w:rPr>
      </w:pPr>
      <w:r>
        <w:rPr>
          <w:rFonts w:ascii="Times New Roman" w:cs="Times New Roman" w:eastAsia="Times New Roman" w:hAnsi="Times New Roman"/>
          <w:sz w:val="18"/>
          <w:szCs w:val="18"/>
          <w:color w:val="auto"/>
        </w:rPr>
        <w:t xml:space="preserve">Steve Downing, </w:t>
      </w:r>
      <w:r>
        <w:rPr>
          <w:rFonts w:ascii="Arial" w:cs="Arial" w:eastAsia="Arial" w:hAnsi="Arial"/>
          <w:sz w:val="18"/>
          <w:szCs w:val="18"/>
          <w:i w:val="1"/>
          <w:iCs w:val="1"/>
          <w:color w:val="auto"/>
        </w:rPr>
        <w:t>President &amp; Chief Executive Officer</w:t>
      </w:r>
      <w:r>
        <w:rPr>
          <w:rFonts w:ascii="Times New Roman" w:cs="Times New Roman" w:eastAsia="Times New Roman" w:hAnsi="Times New Roman"/>
          <w:sz w:val="18"/>
          <w:szCs w:val="18"/>
          <w:color w:val="auto"/>
        </w:rPr>
        <w:t xml:space="preserve"> Neil Boehm, </w:t>
      </w:r>
      <w:r>
        <w:rPr>
          <w:rFonts w:ascii="Arial" w:cs="Arial" w:eastAsia="Arial" w:hAnsi="Arial"/>
          <w:sz w:val="18"/>
          <w:szCs w:val="18"/>
          <w:i w:val="1"/>
          <w:iCs w:val="1"/>
          <w:color w:val="auto"/>
        </w:rPr>
        <w:t>Chief Technology Officer</w:t>
      </w:r>
    </w:p>
    <w:p>
      <w:pPr>
        <w:spacing w:after="0" w:line="1" w:lineRule="exact"/>
        <w:rPr>
          <w:sz w:val="20"/>
          <w:szCs w:val="20"/>
          <w:color w:val="auto"/>
        </w:rPr>
      </w:pPr>
    </w:p>
    <w:p>
      <w:pPr>
        <w:ind w:right="620"/>
        <w:spacing w:after="0" w:line="388" w:lineRule="auto"/>
        <w:rPr>
          <w:sz w:val="20"/>
          <w:szCs w:val="20"/>
          <w:color w:val="auto"/>
        </w:rPr>
      </w:pPr>
      <w:r>
        <w:rPr>
          <w:rFonts w:ascii="Times New Roman" w:cs="Times New Roman" w:eastAsia="Times New Roman" w:hAnsi="Times New Roman"/>
          <w:sz w:val="15"/>
          <w:szCs w:val="15"/>
          <w:color w:val="auto"/>
        </w:rPr>
        <w:t xml:space="preserve">Matt Chiodo, </w:t>
      </w:r>
      <w:r>
        <w:rPr>
          <w:rFonts w:ascii="Arial" w:cs="Arial" w:eastAsia="Arial" w:hAnsi="Arial"/>
          <w:sz w:val="15"/>
          <w:szCs w:val="15"/>
          <w:i w:val="1"/>
          <w:iCs w:val="1"/>
          <w:color w:val="auto"/>
        </w:rPr>
        <w:t>Chief Sales Officer &amp; Senior Vice President of Sales</w:t>
      </w:r>
      <w:r>
        <w:rPr>
          <w:rFonts w:ascii="Times New Roman" w:cs="Times New Roman" w:eastAsia="Times New Roman" w:hAnsi="Times New Roman"/>
          <w:sz w:val="15"/>
          <w:szCs w:val="15"/>
          <w:color w:val="auto"/>
        </w:rPr>
        <w:t xml:space="preserve"> Kevin Nash, </w:t>
      </w:r>
      <w:r>
        <w:rPr>
          <w:rFonts w:ascii="Arial" w:cs="Arial" w:eastAsia="Arial" w:hAnsi="Arial"/>
          <w:sz w:val="15"/>
          <w:szCs w:val="15"/>
          <w:i w:val="1"/>
          <w:iCs w:val="1"/>
          <w:color w:val="auto"/>
        </w:rPr>
        <w:t>Chief Financial Officer, Chief Accounting Officer,</w:t>
      </w:r>
    </w:p>
    <w:p>
      <w:pPr>
        <w:jc w:val="center"/>
        <w:ind w:right="640"/>
        <w:spacing w:after="0"/>
        <w:rPr>
          <w:sz w:val="20"/>
          <w:szCs w:val="20"/>
          <w:color w:val="auto"/>
        </w:rPr>
      </w:pPr>
      <w:r>
        <w:rPr>
          <w:rFonts w:ascii="Arial" w:cs="Arial" w:eastAsia="Arial" w:hAnsi="Arial"/>
          <w:sz w:val="18"/>
          <w:szCs w:val="18"/>
          <w:i w:val="1"/>
          <w:iCs w:val="1"/>
          <w:color w:val="auto"/>
        </w:rPr>
        <w:t>Vice President of Finance, &amp; Treasurer</w:t>
      </w:r>
    </w:p>
    <w:p>
      <w:pPr>
        <w:spacing w:after="0" w:line="73" w:lineRule="exact"/>
        <w:rPr>
          <w:sz w:val="20"/>
          <w:szCs w:val="20"/>
          <w:color w:val="auto"/>
        </w:rPr>
      </w:pPr>
    </w:p>
    <w:p>
      <w:pPr>
        <w:ind w:left="860" w:right="640" w:hanging="858"/>
        <w:spacing w:after="0" w:line="323" w:lineRule="auto"/>
        <w:rPr>
          <w:sz w:val="20"/>
          <w:szCs w:val="20"/>
          <w:color w:val="auto"/>
        </w:rPr>
      </w:pPr>
      <w:r>
        <w:rPr>
          <w:rFonts w:ascii="Times New Roman" w:cs="Times New Roman" w:eastAsia="Times New Roman" w:hAnsi="Times New Roman"/>
          <w:sz w:val="18"/>
          <w:szCs w:val="18"/>
          <w:color w:val="auto"/>
        </w:rPr>
        <w:t xml:space="preserve">Scott Ryan, </w:t>
      </w:r>
      <w:r>
        <w:rPr>
          <w:rFonts w:ascii="Arial" w:cs="Arial" w:eastAsia="Arial" w:hAnsi="Arial"/>
          <w:sz w:val="18"/>
          <w:szCs w:val="18"/>
          <w:i w:val="1"/>
          <w:iCs w:val="1"/>
          <w:color w:val="auto"/>
        </w:rPr>
        <w:t>Vice President, General Counsel, Corporate Secretary,</w:t>
      </w:r>
      <w:r>
        <w:rPr>
          <w:rFonts w:ascii="Times New Roman" w:cs="Times New Roman" w:eastAsia="Times New Roman" w:hAnsi="Times New Roman"/>
          <w:sz w:val="18"/>
          <w:szCs w:val="18"/>
          <w:color w:val="auto"/>
        </w:rPr>
        <w:t xml:space="preserve"> </w:t>
      </w:r>
      <w:r>
        <w:rPr>
          <w:rFonts w:ascii="Arial" w:cs="Arial" w:eastAsia="Arial" w:hAnsi="Arial"/>
          <w:sz w:val="18"/>
          <w:szCs w:val="18"/>
          <w:i w:val="1"/>
          <w:iCs w:val="1"/>
          <w:color w:val="auto"/>
        </w:rPr>
        <w:t>&amp; Sustainability Officer</w:t>
      </w:r>
    </w:p>
    <w:p>
      <w:pPr>
        <w:spacing w:after="0" w:line="1" w:lineRule="exact"/>
        <w:rPr>
          <w:sz w:val="20"/>
          <w:szCs w:val="20"/>
          <w:color w:val="auto"/>
        </w:rPr>
      </w:pPr>
    </w:p>
    <w:p>
      <w:pPr>
        <w:ind w:right="2340"/>
        <w:spacing w:after="0" w:line="389" w:lineRule="auto"/>
        <w:rPr>
          <w:sz w:val="20"/>
          <w:szCs w:val="20"/>
          <w:color w:val="auto"/>
        </w:rPr>
      </w:pPr>
      <w:r>
        <w:rPr>
          <w:rFonts w:ascii="Times New Roman" w:cs="Times New Roman" w:eastAsia="Times New Roman" w:hAnsi="Times New Roman"/>
          <w:sz w:val="15"/>
          <w:szCs w:val="15"/>
          <w:color w:val="auto"/>
        </w:rPr>
        <w:t xml:space="preserve">Paul Flynn, </w:t>
      </w:r>
      <w:r>
        <w:rPr>
          <w:rFonts w:ascii="Arial" w:cs="Arial" w:eastAsia="Arial" w:hAnsi="Arial"/>
          <w:sz w:val="15"/>
          <w:szCs w:val="15"/>
          <w:i w:val="1"/>
          <w:iCs w:val="1"/>
          <w:color w:val="auto"/>
        </w:rPr>
        <w:t>Vice President of Operations</w:t>
      </w:r>
      <w:r>
        <w:rPr>
          <w:rFonts w:ascii="Times New Roman" w:cs="Times New Roman" w:eastAsia="Times New Roman" w:hAnsi="Times New Roman"/>
          <w:sz w:val="15"/>
          <w:szCs w:val="15"/>
          <w:color w:val="auto"/>
        </w:rPr>
        <w:t xml:space="preserve"> Ken Horner, </w:t>
      </w:r>
      <w:r>
        <w:rPr>
          <w:rFonts w:ascii="Arial" w:cs="Arial" w:eastAsia="Arial" w:hAnsi="Arial"/>
          <w:sz w:val="15"/>
          <w:szCs w:val="15"/>
          <w:i w:val="1"/>
          <w:iCs w:val="1"/>
          <w:color w:val="auto"/>
        </w:rPr>
        <w:t>Vice President of Quality</w:t>
      </w:r>
      <w:r>
        <w:rPr>
          <w:rFonts w:ascii="Times New Roman" w:cs="Times New Roman" w:eastAsia="Times New Roman" w:hAnsi="Times New Roman"/>
          <w:sz w:val="15"/>
          <w:szCs w:val="15"/>
          <w:color w:val="auto"/>
        </w:rPr>
        <w:t xml:space="preserve"> Brian Lorence, </w:t>
      </w:r>
      <w:r>
        <w:rPr>
          <w:rFonts w:ascii="Arial" w:cs="Arial" w:eastAsia="Arial" w:hAnsi="Arial"/>
          <w:sz w:val="15"/>
          <w:szCs w:val="15"/>
          <w:i w:val="1"/>
          <w:iCs w:val="1"/>
          <w:color w:val="auto"/>
        </w:rPr>
        <w:t>Vice President of Sales</w:t>
      </w:r>
    </w:p>
    <w:p>
      <w:pPr>
        <w:ind w:right="780"/>
        <w:spacing w:after="0" w:line="404" w:lineRule="auto"/>
        <w:rPr>
          <w:sz w:val="20"/>
          <w:szCs w:val="20"/>
          <w:color w:val="auto"/>
        </w:rPr>
      </w:pPr>
      <w:r>
        <w:rPr>
          <w:rFonts w:ascii="Times New Roman" w:cs="Times New Roman" w:eastAsia="Times New Roman" w:hAnsi="Times New Roman"/>
          <w:sz w:val="16"/>
          <w:szCs w:val="16"/>
          <w:color w:val="auto"/>
        </w:rPr>
        <w:t xml:space="preserve">Joe Matthews, </w:t>
      </w:r>
      <w:r>
        <w:rPr>
          <w:rFonts w:ascii="Arial" w:cs="Arial" w:eastAsia="Arial" w:hAnsi="Arial"/>
          <w:sz w:val="16"/>
          <w:szCs w:val="16"/>
          <w:i w:val="1"/>
          <w:iCs w:val="1"/>
          <w:color w:val="auto"/>
        </w:rPr>
        <w:t>Vice President of Diversity, Equity, &amp; Inclusion</w:t>
      </w:r>
      <w:r>
        <w:rPr>
          <w:rFonts w:ascii="Times New Roman" w:cs="Times New Roman" w:eastAsia="Times New Roman" w:hAnsi="Times New Roman"/>
          <w:sz w:val="16"/>
          <w:szCs w:val="16"/>
          <w:color w:val="auto"/>
        </w:rPr>
        <w:t xml:space="preserve"> Angela Nadeau, </w:t>
      </w:r>
      <w:r>
        <w:rPr>
          <w:rFonts w:ascii="Arial" w:cs="Arial" w:eastAsia="Arial" w:hAnsi="Arial"/>
          <w:sz w:val="16"/>
          <w:szCs w:val="16"/>
          <w:i w:val="1"/>
          <w:iCs w:val="1"/>
          <w:color w:val="auto"/>
        </w:rPr>
        <w:t>Vice President of Commercial Management</w:t>
      </w:r>
      <w:r>
        <w:rPr>
          <w:rFonts w:ascii="Times New Roman" w:cs="Times New Roman" w:eastAsia="Times New Roman" w:hAnsi="Times New Roman"/>
          <w:sz w:val="16"/>
          <w:szCs w:val="16"/>
          <w:color w:val="auto"/>
        </w:rPr>
        <w:t xml:space="preserve"> Randy Pappal, </w:t>
      </w:r>
      <w:r>
        <w:rPr>
          <w:rFonts w:ascii="Arial" w:cs="Arial" w:eastAsia="Arial" w:hAnsi="Arial"/>
          <w:sz w:val="16"/>
          <w:szCs w:val="16"/>
          <w:i w:val="1"/>
          <w:iCs w:val="1"/>
          <w:color w:val="auto"/>
        </w:rPr>
        <w:t>Vice President of Purchasing &amp; Supply Chain</w:t>
      </w:r>
      <w:r>
        <w:rPr>
          <w:rFonts w:ascii="Times New Roman" w:cs="Times New Roman" w:eastAsia="Times New Roman" w:hAnsi="Times New Roman"/>
          <w:sz w:val="16"/>
          <w:szCs w:val="16"/>
          <w:color w:val="auto"/>
        </w:rPr>
        <w:t xml:space="preserve"> Robert Vance, </w:t>
      </w:r>
      <w:r>
        <w:rPr>
          <w:rFonts w:ascii="Arial" w:cs="Arial" w:eastAsia="Arial" w:hAnsi="Arial"/>
          <w:sz w:val="16"/>
          <w:szCs w:val="16"/>
          <w:i w:val="1"/>
          <w:iCs w:val="1"/>
          <w:color w:val="auto"/>
        </w:rPr>
        <w:t>Vice President of New Markets</w:t>
      </w:r>
    </w:p>
    <w:p>
      <w:pPr>
        <w:spacing w:after="0" w:line="8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EXECUTIVE MANAGEMENT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Brad Bosma, </w:t>
      </w:r>
      <w:r>
        <w:rPr>
          <w:rFonts w:ascii="Arial" w:cs="Arial" w:eastAsia="Arial" w:hAnsi="Arial"/>
          <w:sz w:val="18"/>
          <w:szCs w:val="18"/>
          <w:i w:val="1"/>
          <w:iCs w:val="1"/>
          <w:color w:val="auto"/>
        </w:rPr>
        <w:t>Vice President of Products</w:t>
      </w:r>
    </w:p>
    <w:p>
      <w:pPr>
        <w:spacing w:after="0" w:line="99" w:lineRule="exact"/>
        <w:rPr>
          <w:sz w:val="20"/>
          <w:szCs w:val="20"/>
          <w:color w:val="auto"/>
        </w:rPr>
      </w:pPr>
    </w:p>
    <w:p>
      <w:pPr>
        <w:ind w:left="1000" w:right="1320" w:hanging="995"/>
        <w:spacing w:after="0" w:line="387" w:lineRule="auto"/>
        <w:rPr>
          <w:sz w:val="20"/>
          <w:szCs w:val="20"/>
          <w:color w:val="auto"/>
        </w:rPr>
      </w:pPr>
      <w:r>
        <w:rPr>
          <w:rFonts w:ascii="Times New Roman" w:cs="Times New Roman" w:eastAsia="Times New Roman" w:hAnsi="Times New Roman"/>
          <w:sz w:val="15"/>
          <w:szCs w:val="15"/>
          <w:color w:val="auto"/>
        </w:rPr>
        <w:t xml:space="preserve">Cliff Burgess, </w:t>
      </w:r>
      <w:r>
        <w:rPr>
          <w:rFonts w:ascii="Arial" w:cs="Arial" w:eastAsia="Arial" w:hAnsi="Arial"/>
          <w:sz w:val="15"/>
          <w:szCs w:val="15"/>
          <w:i w:val="1"/>
          <w:iCs w:val="1"/>
          <w:color w:val="auto"/>
        </w:rPr>
        <w:t>Vice President of Information Technology</w:t>
      </w:r>
      <w:r>
        <w:rPr>
          <w:rFonts w:ascii="Times New Roman" w:cs="Times New Roman" w:eastAsia="Times New Roman" w:hAnsi="Times New Roman"/>
          <w:sz w:val="15"/>
          <w:szCs w:val="15"/>
          <w:color w:val="auto"/>
        </w:rPr>
        <w:t xml:space="preserve"> </w:t>
      </w:r>
      <w:r>
        <w:rPr>
          <w:rFonts w:ascii="Arial" w:cs="Arial" w:eastAsia="Arial" w:hAnsi="Arial"/>
          <w:sz w:val="15"/>
          <w:szCs w:val="15"/>
          <w:i w:val="1"/>
          <w:iCs w:val="1"/>
          <w:color w:val="auto"/>
        </w:rPr>
        <w:t>&amp; Information Security Officer</w:t>
      </w:r>
    </w:p>
    <w:p>
      <w:pPr>
        <w:spacing w:after="0" w:line="1" w:lineRule="exact"/>
        <w:rPr>
          <w:sz w:val="20"/>
          <w:szCs w:val="20"/>
          <w:color w:val="auto"/>
        </w:rPr>
      </w:pPr>
    </w:p>
    <w:p>
      <w:pPr>
        <w:ind w:right="720"/>
        <w:spacing w:after="0" w:line="363" w:lineRule="auto"/>
        <w:rPr>
          <w:sz w:val="20"/>
          <w:szCs w:val="20"/>
          <w:color w:val="auto"/>
        </w:rPr>
      </w:pPr>
      <w:r>
        <w:rPr>
          <w:rFonts w:ascii="Times New Roman" w:cs="Times New Roman" w:eastAsia="Times New Roman" w:hAnsi="Times New Roman"/>
          <w:sz w:val="16"/>
          <w:szCs w:val="16"/>
          <w:color w:val="auto"/>
        </w:rPr>
        <w:t xml:space="preserve">Matt Fox, </w:t>
      </w:r>
      <w:r>
        <w:rPr>
          <w:rFonts w:ascii="Arial" w:cs="Arial" w:eastAsia="Arial" w:hAnsi="Arial"/>
          <w:sz w:val="16"/>
          <w:szCs w:val="16"/>
          <w:i w:val="1"/>
          <w:iCs w:val="1"/>
          <w:color w:val="auto"/>
        </w:rPr>
        <w:t>Vice President of Materials, Research &amp; Development</w:t>
      </w:r>
      <w:r>
        <w:rPr>
          <w:rFonts w:ascii="Times New Roman" w:cs="Times New Roman" w:eastAsia="Times New Roman" w:hAnsi="Times New Roman"/>
          <w:sz w:val="16"/>
          <w:szCs w:val="16"/>
          <w:color w:val="auto"/>
        </w:rPr>
        <w:t xml:space="preserve"> Sue Franz, </w:t>
      </w:r>
      <w:r>
        <w:rPr>
          <w:rFonts w:ascii="Arial" w:cs="Arial" w:eastAsia="Arial" w:hAnsi="Arial"/>
          <w:sz w:val="16"/>
          <w:szCs w:val="16"/>
          <w:i w:val="1"/>
          <w:iCs w:val="1"/>
          <w:color w:val="auto"/>
        </w:rPr>
        <w:t>Vice President of Chemical Technologies</w:t>
      </w:r>
      <w:r>
        <w:rPr>
          <w:rFonts w:ascii="Times New Roman" w:cs="Times New Roman" w:eastAsia="Times New Roman" w:hAnsi="Times New Roman"/>
          <w:sz w:val="16"/>
          <w:szCs w:val="16"/>
          <w:color w:val="auto"/>
        </w:rPr>
        <w:t xml:space="preserve"> Dave Hiemstra, </w:t>
      </w:r>
      <w:r>
        <w:rPr>
          <w:rFonts w:ascii="Arial" w:cs="Arial" w:eastAsia="Arial" w:hAnsi="Arial"/>
          <w:sz w:val="16"/>
          <w:szCs w:val="16"/>
          <w:i w:val="1"/>
          <w:iCs w:val="1"/>
          <w:color w:val="auto"/>
        </w:rPr>
        <w:t>Vice President of Engineering</w:t>
      </w:r>
    </w:p>
    <w:p>
      <w:pPr>
        <w:spacing w:after="0" w:line="2" w:lineRule="exact"/>
        <w:rPr>
          <w:sz w:val="20"/>
          <w:szCs w:val="20"/>
          <w:color w:val="auto"/>
        </w:rPr>
      </w:pPr>
    </w:p>
    <w:p>
      <w:pPr>
        <w:spacing w:after="0" w:line="407" w:lineRule="auto"/>
        <w:rPr>
          <w:sz w:val="20"/>
          <w:szCs w:val="20"/>
          <w:color w:val="auto"/>
        </w:rPr>
      </w:pPr>
      <w:r>
        <w:rPr>
          <w:rFonts w:ascii="Times New Roman" w:cs="Times New Roman" w:eastAsia="Times New Roman" w:hAnsi="Times New Roman"/>
          <w:sz w:val="18"/>
          <w:szCs w:val="18"/>
          <w:color w:val="auto"/>
        </w:rPr>
        <w:t xml:space="preserve">Craig Piersma, </w:t>
      </w:r>
      <w:r>
        <w:rPr>
          <w:rFonts w:ascii="Arial" w:cs="Arial" w:eastAsia="Arial" w:hAnsi="Arial"/>
          <w:sz w:val="18"/>
          <w:szCs w:val="18"/>
          <w:i w:val="1"/>
          <w:iCs w:val="1"/>
          <w:color w:val="auto"/>
        </w:rPr>
        <w:t>Vice President of Marketing &amp; Corporate Communications</w:t>
      </w:r>
      <w:r>
        <w:rPr>
          <w:rFonts w:ascii="Times New Roman" w:cs="Times New Roman" w:eastAsia="Times New Roman" w:hAnsi="Times New Roman"/>
          <w:sz w:val="18"/>
          <w:szCs w:val="18"/>
          <w:color w:val="auto"/>
        </w:rPr>
        <w:t xml:space="preserve"> Robert Steel, </w:t>
      </w:r>
      <w:r>
        <w:rPr>
          <w:rFonts w:ascii="Arial" w:cs="Arial" w:eastAsia="Arial" w:hAnsi="Arial"/>
          <w:sz w:val="18"/>
          <w:szCs w:val="18"/>
          <w:i w:val="1"/>
          <w:iCs w:val="1"/>
          <w:color w:val="auto"/>
        </w:rPr>
        <w:t>Vice President of Sales - Europe</w:t>
      </w:r>
    </w:p>
    <w:p>
      <w:pPr>
        <w:spacing w:after="0" w:line="881" w:lineRule="exact"/>
        <w:rPr>
          <w:sz w:val="20"/>
          <w:szCs w:val="20"/>
          <w:color w:val="auto"/>
        </w:rPr>
      </w:pPr>
    </w:p>
    <w:p>
      <w:pPr>
        <w:sectPr>
          <w:pgSz w:w="12240" w:h="15840" w:orient="portrait"/>
          <w:cols w:equalWidth="0" w:num="2">
            <w:col w:w="5320" w:space="340"/>
            <w:col w:w="5100"/>
          </w:cols>
          <w:pgMar w:left="580" w:top="45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auto"/>
        </w:rPr>
        <w:t>ANNUAL MEETING OF SHAREHOLDERS</w:t>
      </w:r>
    </w:p>
    <w:p>
      <w:pPr>
        <w:spacing w:after="0" w:line="20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THURSDAY, MAY 16, 2024 @ 4:30 PM</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Pinnacle Center</w:t>
      </w:r>
    </w:p>
    <w:p>
      <w:pPr>
        <w:spacing w:after="0" w:line="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3330 Highland Drive, Hudsonville, Michigan</w:t>
      </w:r>
    </w:p>
    <w:p>
      <w:pPr>
        <w:spacing w:after="0" w:line="137" w:lineRule="exact"/>
        <w:rPr>
          <w:sz w:val="20"/>
          <w:szCs w:val="20"/>
          <w:color w:val="auto"/>
        </w:rPr>
      </w:pPr>
    </w:p>
    <w:p>
      <w:pPr>
        <w:ind w:left="140" w:right="6900"/>
        <w:spacing w:after="0" w:line="439" w:lineRule="auto"/>
        <w:rPr>
          <w:sz w:val="20"/>
          <w:szCs w:val="20"/>
          <w:color w:val="auto"/>
        </w:rPr>
      </w:pPr>
      <w:r>
        <w:rPr>
          <w:rFonts w:ascii="Times New Roman" w:cs="Times New Roman" w:eastAsia="Times New Roman" w:hAnsi="Times New Roman"/>
          <w:sz w:val="18"/>
          <w:szCs w:val="18"/>
          <w:color w:val="auto"/>
        </w:rPr>
        <w:t>Please refer to the Gentex IR site for updated event information at ir.gentex.com.</w:t>
      </w:r>
    </w:p>
    <w:p>
      <w:pPr>
        <w:spacing w:after="0" w:line="217" w:lineRule="exact"/>
        <w:rPr>
          <w:sz w:val="20"/>
          <w:szCs w:val="20"/>
          <w:color w:val="auto"/>
        </w:rPr>
      </w:pPr>
    </w:p>
    <w:p>
      <w:pPr>
        <w:ind w:left="1320"/>
        <w:spacing w:after="0"/>
        <w:rPr>
          <w:sz w:val="20"/>
          <w:szCs w:val="20"/>
          <w:color w:val="auto"/>
        </w:rPr>
      </w:pPr>
      <w:r>
        <w:rPr>
          <w:rFonts w:ascii="Arial" w:cs="Arial" w:eastAsia="Arial" w:hAnsi="Arial"/>
          <w:sz w:val="24"/>
          <w:szCs w:val="24"/>
          <w:color w:val="auto"/>
        </w:rPr>
        <w:t>Vote Your Shares</w:t>
      </w:r>
    </w:p>
    <w:p>
      <w:pPr>
        <w:spacing w:after="0" w:line="24" w:lineRule="exact"/>
        <w:rPr>
          <w:sz w:val="20"/>
          <w:szCs w:val="20"/>
          <w:color w:val="auto"/>
        </w:rPr>
      </w:pPr>
    </w:p>
    <w:p>
      <w:pPr>
        <w:ind w:left="1320"/>
        <w:spacing w:after="0"/>
        <w:rPr>
          <w:sz w:val="20"/>
          <w:szCs w:val="20"/>
          <w:color w:val="auto"/>
        </w:rPr>
      </w:pPr>
      <w:r>
        <w:rPr>
          <w:rFonts w:ascii="Arial" w:cs="Arial" w:eastAsia="Arial" w:hAnsi="Arial"/>
          <w:sz w:val="24"/>
          <w:szCs w:val="24"/>
          <w:color w:val="auto"/>
        </w:rPr>
        <w:t>Online @ proxyvote.com</w:t>
      </w:r>
    </w:p>
    <w:p>
      <w:pPr>
        <w:spacing w:after="0" w:line="24" w:lineRule="exact"/>
        <w:rPr>
          <w:sz w:val="20"/>
          <w:szCs w:val="20"/>
          <w:color w:val="auto"/>
        </w:rPr>
      </w:pPr>
    </w:p>
    <w:p>
      <w:pPr>
        <w:ind w:left="1320"/>
        <w:spacing w:after="0"/>
        <w:rPr>
          <w:sz w:val="20"/>
          <w:szCs w:val="20"/>
          <w:color w:val="auto"/>
        </w:rPr>
      </w:pPr>
      <w:r>
        <w:rPr>
          <w:rFonts w:ascii="Arial" w:cs="Arial" w:eastAsia="Arial" w:hAnsi="Arial"/>
          <w:sz w:val="24"/>
          <w:szCs w:val="24"/>
          <w:color w:val="auto"/>
        </w:rPr>
        <w:t>or Scan this COde</w:t>
      </w:r>
    </w:p>
    <w:p>
      <w:pPr>
        <w:sectPr>
          <w:pgSz w:w="12240" w:h="15840" w:orient="portrait"/>
          <w:cols w:equalWidth="0" w:num="1">
            <w:col w:w="10760"/>
          </w:cols>
          <w:pgMar w:left="580" w:top="454"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24"/>
          <w:szCs w:val="24"/>
          <w:b w:val="1"/>
          <w:bCs w:val="1"/>
          <w:color w:val="auto"/>
        </w:rPr>
        <w:t>98</w:t>
      </w:r>
      <w:r>
        <w:rPr>
          <w:sz w:val="20"/>
          <w:szCs w:val="20"/>
          <w:color w:val="auto"/>
        </w:rPr>
        <w:tab/>
      </w:r>
      <w:r>
        <w:rPr>
          <w:rFonts w:ascii="Times New Roman" w:cs="Times New Roman" w:eastAsia="Times New Roman" w:hAnsi="Times New Roman"/>
          <w:sz w:val="10"/>
          <w:szCs w:val="10"/>
          <w:color w:val="auto"/>
        </w:rPr>
        <w:t>GENTEX CORPORATION</w:t>
      </w:r>
    </w:p>
    <w:p>
      <w:pPr>
        <w:sectPr>
          <w:pgSz w:w="12240" w:h="15840" w:orient="portrait"/>
          <w:cols w:equalWidth="0" w:num="1">
            <w:col w:w="10760"/>
          </w:cols>
          <w:pgMar w:left="580" w:top="454" w:right="900" w:bottom="0" w:gutter="0" w:footer="0" w:header="0"/>
          <w:type w:val="continuous"/>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1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Nominating</w:t>
            </w: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580" w:type="dxa"/>
            <w:vAlign w:val="bottom"/>
          </w:tcPr>
          <w:p>
            <w:pPr>
              <w:spacing w:after="0"/>
              <w:rPr>
                <w:sz w:val="20"/>
                <w:szCs w:val="2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and Corporate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Audit</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5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Governance</w:t>
            </w:r>
          </w:p>
        </w:tc>
        <w:tc>
          <w:tcPr>
            <w:tcW w:w="9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580" w:type="dxa"/>
            <w:vAlign w:val="bottom"/>
            <w:tcBorders>
              <w:bottom w:val="single" w:sz="8" w:color="404040"/>
            </w:tcBorders>
          </w:tcPr>
          <w:p>
            <w:pPr>
              <w:spacing w:after="0"/>
              <w:rPr>
                <w:sz w:val="24"/>
                <w:szCs w:val="24"/>
                <w:color w:val="auto"/>
              </w:rPr>
            </w:pPr>
          </w:p>
        </w:tc>
        <w:tc>
          <w:tcPr>
            <w:tcW w:w="76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122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Committee</w:t>
            </w:r>
            <w:r>
              <w:rPr>
                <w:rFonts w:ascii="Times New Roman" w:cs="Times New Roman" w:eastAsia="Times New Roman" w:hAnsi="Times New Roman"/>
                <w:sz w:val="14"/>
                <w:szCs w:val="14"/>
                <w:color w:val="auto"/>
                <w:w w:val="93"/>
              </w:rPr>
              <w:t>*</w:t>
            </w:r>
          </w:p>
        </w:tc>
        <w:tc>
          <w:tcPr>
            <w:tcW w:w="124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Committee</w:t>
            </w:r>
            <w:r>
              <w:rPr>
                <w:rFonts w:ascii="Times New Roman" w:cs="Times New Roman" w:eastAsia="Times New Roman" w:hAnsi="Times New Roman"/>
                <w:sz w:val="14"/>
                <w:szCs w:val="14"/>
                <w:color w:val="auto"/>
                <w:w w:val="99"/>
              </w:rPr>
              <w:t>*</w:t>
            </w:r>
          </w:p>
        </w:tc>
        <w:tc>
          <w:tcPr>
            <w:tcW w:w="1440" w:type="dxa"/>
            <w:vAlign w:val="bottom"/>
            <w:tcBorders>
              <w:bottom w:val="single" w:sz="8" w:color="404040"/>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Committee</w:t>
            </w: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8"/>
                <w:szCs w:val="18"/>
                <w:b w:val="1"/>
                <w:bCs w:val="1"/>
                <w:color w:val="auto"/>
                <w:w w:val="99"/>
              </w:rPr>
              <w:t xml:space="preserve"> Age</w:t>
            </w: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6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Mr. Richard Schaum</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Chair</w:t>
            </w:r>
          </w:p>
        </w:tc>
        <w:tc>
          <w:tcPr>
            <w:tcW w:w="1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80"/>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(Chair)</w:t>
            </w:r>
          </w:p>
        </w:tc>
        <w:tc>
          <w:tcPr>
            <w:tcW w:w="7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580" w:type="dxa"/>
            <w:vAlign w:val="bottom"/>
            <w:tcBorders>
              <w:bottom w:val="single" w:sz="8" w:color="404040"/>
            </w:tcBorders>
            <w:vMerge w:val="continue"/>
          </w:tcPr>
          <w:p>
            <w:pPr>
              <w:spacing w:after="0"/>
              <w:rPr>
                <w:sz w:val="6"/>
                <w:szCs w:val="6"/>
                <w:color w:val="auto"/>
              </w:rPr>
            </w:pPr>
          </w:p>
        </w:tc>
        <w:tc>
          <w:tcPr>
            <w:tcW w:w="760" w:type="dxa"/>
            <w:vAlign w:val="bottom"/>
            <w:tcBorders>
              <w:bottom w:val="single" w:sz="8" w:color="404040"/>
            </w:tcBorders>
          </w:tcPr>
          <w:p>
            <w:pPr>
              <w:spacing w:after="0"/>
              <w:rPr>
                <w:sz w:val="6"/>
                <w:szCs w:val="6"/>
                <w:color w:val="auto"/>
              </w:rPr>
            </w:pPr>
          </w:p>
        </w:tc>
        <w:tc>
          <w:tcPr>
            <w:tcW w:w="1220" w:type="dxa"/>
            <w:vAlign w:val="bottom"/>
            <w:tcBorders>
              <w:bottom w:val="single" w:sz="8" w:color="404040"/>
            </w:tcBorders>
          </w:tcPr>
          <w:p>
            <w:pPr>
              <w:spacing w:after="0"/>
              <w:rPr>
                <w:sz w:val="6"/>
                <w:szCs w:val="6"/>
                <w:color w:val="auto"/>
              </w:rPr>
            </w:pPr>
          </w:p>
        </w:tc>
        <w:tc>
          <w:tcPr>
            <w:tcW w:w="1240" w:type="dxa"/>
            <w:vAlign w:val="bottom"/>
            <w:tcBorders>
              <w:bottom w:val="single" w:sz="8" w:color="404040"/>
            </w:tcBorders>
          </w:tcPr>
          <w:p>
            <w:pPr>
              <w:spacing w:after="0"/>
              <w:rPr>
                <w:sz w:val="6"/>
                <w:szCs w:val="6"/>
                <w:color w:val="auto"/>
              </w:rPr>
            </w:pPr>
          </w:p>
        </w:tc>
        <w:tc>
          <w:tcPr>
            <w:tcW w:w="980" w:type="dxa"/>
            <w:vAlign w:val="bottom"/>
            <w:tcBorders>
              <w:bottom w:val="single" w:sz="8" w:color="404040"/>
            </w:tcBorders>
          </w:tcPr>
          <w:p>
            <w:pPr>
              <w:spacing w:after="0"/>
              <w:rPr>
                <w:sz w:val="6"/>
                <w:szCs w:val="6"/>
                <w:color w:val="auto"/>
              </w:rPr>
            </w:pPr>
          </w:p>
        </w:tc>
        <w:tc>
          <w:tcPr>
            <w:tcW w:w="460" w:type="dxa"/>
            <w:vAlign w:val="bottom"/>
            <w:tcBorders>
              <w:bottom w:val="single" w:sz="8" w:color="40404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158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Mr. Joseph Anderson</w:t>
            </w:r>
          </w:p>
        </w:tc>
        <w:tc>
          <w:tcPr>
            <w:tcW w:w="76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20" w:type="dxa"/>
            <w:vAlign w:val="bottom"/>
            <w:tcBorders>
              <w:bottom w:val="single" w:sz="8" w:color="404040"/>
            </w:tcBorders>
          </w:tcPr>
          <w:p>
            <w:pPr>
              <w:spacing w:after="0"/>
              <w:rPr>
                <w:sz w:val="24"/>
                <w:szCs w:val="24"/>
                <w:color w:val="auto"/>
              </w:rPr>
            </w:pPr>
          </w:p>
        </w:tc>
        <w:tc>
          <w:tcPr>
            <w:tcW w:w="124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980" w:type="dxa"/>
            <w:vAlign w:val="bottom"/>
            <w:tcBorders>
              <w:bottom w:val="single" w:sz="8" w:color="404040"/>
            </w:tcBorders>
          </w:tcPr>
          <w:p>
            <w:pPr>
              <w:spacing w:after="0"/>
              <w:rPr>
                <w:sz w:val="24"/>
                <w:szCs w:val="24"/>
                <w:color w:val="auto"/>
              </w:rPr>
            </w:pPr>
          </w:p>
        </w:tc>
        <w:tc>
          <w:tcPr>
            <w:tcW w:w="460" w:type="dxa"/>
            <w:vAlign w:val="bottom"/>
            <w:tcBorders>
              <w:bottom w:val="single" w:sz="8" w:color="404040"/>
            </w:tcBorders>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340"/>
        </w:trPr>
        <w:tc>
          <w:tcPr>
            <w:tcW w:w="158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Ms. Leslie Brown</w:t>
            </w:r>
          </w:p>
        </w:tc>
        <w:tc>
          <w:tcPr>
            <w:tcW w:w="76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20" w:type="dxa"/>
            <w:vAlign w:val="bottom"/>
            <w:tcBorders>
              <w:bottom w:val="single" w:sz="8" w:color="404040"/>
            </w:tcBorders>
          </w:tcPr>
          <w:p>
            <w:pPr>
              <w:spacing w:after="0"/>
              <w:rPr>
                <w:sz w:val="24"/>
                <w:szCs w:val="24"/>
                <w:color w:val="auto"/>
              </w:rPr>
            </w:pPr>
          </w:p>
        </w:tc>
        <w:tc>
          <w:tcPr>
            <w:tcW w:w="124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980" w:type="dxa"/>
            <w:vAlign w:val="bottom"/>
            <w:tcBorders>
              <w:bottom w:val="single" w:sz="8" w:color="404040"/>
            </w:tcBorders>
          </w:tcPr>
          <w:p>
            <w:pPr>
              <w:spacing w:after="0"/>
              <w:rPr>
                <w:sz w:val="24"/>
                <w:szCs w:val="24"/>
                <w:color w:val="auto"/>
              </w:rPr>
            </w:pPr>
          </w:p>
        </w:tc>
        <w:tc>
          <w:tcPr>
            <w:tcW w:w="460" w:type="dxa"/>
            <w:vAlign w:val="bottom"/>
            <w:tcBorders>
              <w:bottom w:val="single" w:sz="8" w:color="404040"/>
            </w:tcBorders>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340"/>
        </w:trPr>
        <w:tc>
          <w:tcPr>
            <w:tcW w:w="158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Mr. Garth Deur</w:t>
            </w:r>
          </w:p>
        </w:tc>
        <w:tc>
          <w:tcPr>
            <w:tcW w:w="76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2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240" w:type="dxa"/>
            <w:vAlign w:val="bottom"/>
            <w:tcBorders>
              <w:bottom w:val="single" w:sz="8" w:color="404040"/>
            </w:tcBorders>
          </w:tcPr>
          <w:p>
            <w:pPr>
              <w:spacing w:after="0"/>
              <w:rPr>
                <w:sz w:val="24"/>
                <w:szCs w:val="24"/>
                <w:color w:val="auto"/>
              </w:rPr>
            </w:pPr>
          </w:p>
        </w:tc>
        <w:tc>
          <w:tcPr>
            <w:tcW w:w="98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460" w:type="dxa"/>
            <w:vAlign w:val="bottom"/>
            <w:tcBorders>
              <w:bottom w:val="single" w:sz="8" w:color="404040"/>
            </w:tcBorders>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340"/>
        </w:trPr>
        <w:tc>
          <w:tcPr>
            <w:tcW w:w="158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Mr. Steve Downing</w:t>
            </w:r>
          </w:p>
        </w:tc>
        <w:tc>
          <w:tcPr>
            <w:tcW w:w="76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20" w:type="dxa"/>
            <w:vAlign w:val="bottom"/>
            <w:tcBorders>
              <w:bottom w:val="single" w:sz="8" w:color="404040"/>
            </w:tcBorders>
          </w:tcPr>
          <w:p>
            <w:pPr>
              <w:spacing w:after="0"/>
              <w:rPr>
                <w:sz w:val="24"/>
                <w:szCs w:val="24"/>
                <w:color w:val="auto"/>
              </w:rPr>
            </w:pPr>
          </w:p>
        </w:tc>
        <w:tc>
          <w:tcPr>
            <w:tcW w:w="1240" w:type="dxa"/>
            <w:vAlign w:val="bottom"/>
            <w:tcBorders>
              <w:bottom w:val="single" w:sz="8" w:color="404040"/>
            </w:tcBorders>
          </w:tcPr>
          <w:p>
            <w:pPr>
              <w:spacing w:after="0"/>
              <w:rPr>
                <w:sz w:val="24"/>
                <w:szCs w:val="24"/>
                <w:color w:val="auto"/>
              </w:rPr>
            </w:pPr>
          </w:p>
        </w:tc>
        <w:tc>
          <w:tcPr>
            <w:tcW w:w="980" w:type="dxa"/>
            <w:vAlign w:val="bottom"/>
            <w:tcBorders>
              <w:bottom w:val="single" w:sz="8" w:color="404040"/>
            </w:tcBorders>
          </w:tcPr>
          <w:p>
            <w:pPr>
              <w:spacing w:after="0"/>
              <w:rPr>
                <w:sz w:val="24"/>
                <w:szCs w:val="24"/>
                <w:color w:val="auto"/>
              </w:rPr>
            </w:pPr>
          </w:p>
        </w:tc>
        <w:tc>
          <w:tcPr>
            <w:tcW w:w="460" w:type="dxa"/>
            <w:vAlign w:val="bottom"/>
            <w:tcBorders>
              <w:bottom w:val="single" w:sz="8" w:color="404040"/>
            </w:tcBorders>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40"/>
        </w:trPr>
        <w:tc>
          <w:tcPr>
            <w:tcW w:w="158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Mr. Gary Goode***</w:t>
            </w:r>
          </w:p>
        </w:tc>
        <w:tc>
          <w:tcPr>
            <w:tcW w:w="76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c>
          <w:tcPr>
            <w:tcW w:w="122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24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98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460" w:type="dxa"/>
            <w:vAlign w:val="bottom"/>
            <w:tcBorders>
              <w:bottom w:val="single" w:sz="8" w:color="404040"/>
            </w:tcBorders>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Dr. Bill Pink</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80"/>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(Nominee)</w:t>
            </w:r>
          </w:p>
        </w:tc>
        <w:tc>
          <w:tcPr>
            <w:tcW w:w="76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580" w:type="dxa"/>
            <w:vAlign w:val="bottom"/>
            <w:tcBorders>
              <w:bottom w:val="single" w:sz="8" w:color="404040"/>
            </w:tcBorders>
            <w:vMerge w:val="continue"/>
          </w:tcPr>
          <w:p>
            <w:pPr>
              <w:spacing w:after="0"/>
              <w:rPr>
                <w:sz w:val="6"/>
                <w:szCs w:val="6"/>
                <w:color w:val="auto"/>
              </w:rPr>
            </w:pPr>
          </w:p>
        </w:tc>
        <w:tc>
          <w:tcPr>
            <w:tcW w:w="760" w:type="dxa"/>
            <w:vAlign w:val="bottom"/>
            <w:tcBorders>
              <w:bottom w:val="single" w:sz="8" w:color="404040"/>
            </w:tcBorders>
          </w:tcPr>
          <w:p>
            <w:pPr>
              <w:spacing w:after="0"/>
              <w:rPr>
                <w:sz w:val="6"/>
                <w:szCs w:val="6"/>
                <w:color w:val="auto"/>
              </w:rPr>
            </w:pPr>
          </w:p>
        </w:tc>
        <w:tc>
          <w:tcPr>
            <w:tcW w:w="1220" w:type="dxa"/>
            <w:vAlign w:val="bottom"/>
            <w:tcBorders>
              <w:bottom w:val="single" w:sz="8" w:color="404040"/>
            </w:tcBorders>
          </w:tcPr>
          <w:p>
            <w:pPr>
              <w:spacing w:after="0"/>
              <w:rPr>
                <w:sz w:val="6"/>
                <w:szCs w:val="6"/>
                <w:color w:val="auto"/>
              </w:rPr>
            </w:pPr>
          </w:p>
        </w:tc>
        <w:tc>
          <w:tcPr>
            <w:tcW w:w="1240" w:type="dxa"/>
            <w:vAlign w:val="bottom"/>
            <w:tcBorders>
              <w:bottom w:val="single" w:sz="8" w:color="404040"/>
            </w:tcBorders>
          </w:tcPr>
          <w:p>
            <w:pPr>
              <w:spacing w:after="0"/>
              <w:rPr>
                <w:sz w:val="6"/>
                <w:szCs w:val="6"/>
                <w:color w:val="auto"/>
              </w:rPr>
            </w:pPr>
          </w:p>
        </w:tc>
        <w:tc>
          <w:tcPr>
            <w:tcW w:w="980" w:type="dxa"/>
            <w:vAlign w:val="bottom"/>
            <w:tcBorders>
              <w:bottom w:val="single" w:sz="8" w:color="404040"/>
            </w:tcBorders>
          </w:tcPr>
          <w:p>
            <w:pPr>
              <w:spacing w:after="0"/>
              <w:rPr>
                <w:sz w:val="6"/>
                <w:szCs w:val="6"/>
                <w:color w:val="auto"/>
              </w:rPr>
            </w:pPr>
          </w:p>
        </w:tc>
        <w:tc>
          <w:tcPr>
            <w:tcW w:w="460" w:type="dxa"/>
            <w:vAlign w:val="bottom"/>
            <w:tcBorders>
              <w:bottom w:val="single" w:sz="8" w:color="40404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158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Ms. Kathy Starkoff</w:t>
            </w:r>
          </w:p>
        </w:tc>
        <w:tc>
          <w:tcPr>
            <w:tcW w:w="76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20" w:type="dxa"/>
            <w:vAlign w:val="bottom"/>
            <w:tcBorders>
              <w:bottom w:val="single" w:sz="8" w:color="404040"/>
            </w:tcBorders>
          </w:tcPr>
          <w:p>
            <w:pPr>
              <w:spacing w:after="0"/>
              <w:rPr>
                <w:sz w:val="24"/>
                <w:szCs w:val="24"/>
                <w:color w:val="auto"/>
              </w:rPr>
            </w:pPr>
          </w:p>
        </w:tc>
        <w:tc>
          <w:tcPr>
            <w:tcW w:w="1240" w:type="dxa"/>
            <w:vAlign w:val="bottom"/>
            <w:tcBorders>
              <w:bottom w:val="single" w:sz="8" w:color="404040"/>
            </w:tcBorders>
          </w:tcPr>
          <w:p>
            <w:pPr>
              <w:spacing w:after="0"/>
              <w:rPr>
                <w:sz w:val="24"/>
                <w:szCs w:val="24"/>
                <w:color w:val="auto"/>
              </w:rPr>
            </w:pPr>
          </w:p>
        </w:tc>
        <w:tc>
          <w:tcPr>
            <w:tcW w:w="98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460" w:type="dxa"/>
            <w:vAlign w:val="bottom"/>
            <w:tcBorders>
              <w:bottom w:val="single" w:sz="8" w:color="404040"/>
            </w:tcBorders>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40"/>
        </w:trPr>
        <w:tc>
          <w:tcPr>
            <w:tcW w:w="1580" w:type="dxa"/>
            <w:vAlign w:val="bottom"/>
            <w:tcBorders>
              <w:bottom w:val="single" w:sz="8" w:color="404040"/>
            </w:tcBorders>
          </w:tcPr>
          <w:p>
            <w:pPr>
              <w:spacing w:after="0"/>
              <w:rPr>
                <w:sz w:val="20"/>
                <w:szCs w:val="20"/>
                <w:color w:val="auto"/>
              </w:rPr>
            </w:pPr>
            <w:r>
              <w:rPr>
                <w:rFonts w:ascii="Times New Roman" w:cs="Times New Roman" w:eastAsia="Times New Roman" w:hAnsi="Times New Roman"/>
                <w:sz w:val="18"/>
                <w:szCs w:val="18"/>
                <w:color w:val="auto"/>
              </w:rPr>
              <w:t>Mr. Brian Walker</w:t>
            </w:r>
          </w:p>
        </w:tc>
        <w:tc>
          <w:tcPr>
            <w:tcW w:w="76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2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1240" w:type="dxa"/>
            <w:vAlign w:val="bottom"/>
            <w:tcBorders>
              <w:bottom w:val="single" w:sz="8" w:color="404040"/>
            </w:tcBorders>
          </w:tcPr>
          <w:p>
            <w:pPr>
              <w:spacing w:after="0"/>
              <w:rPr>
                <w:sz w:val="24"/>
                <w:szCs w:val="24"/>
                <w:color w:val="auto"/>
              </w:rPr>
            </w:pPr>
          </w:p>
        </w:tc>
        <w:tc>
          <w:tcPr>
            <w:tcW w:w="980" w:type="dxa"/>
            <w:vAlign w:val="bottom"/>
            <w:tcBorders>
              <w:bottom w:val="single" w:sz="8" w:color="404040"/>
            </w:tcBorders>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460" w:type="dxa"/>
            <w:vAlign w:val="bottom"/>
            <w:tcBorders>
              <w:bottom w:val="single" w:sz="8" w:color="404040"/>
            </w:tcBorders>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57"/>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Mr. Dr. Ling Zang</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980" w:type="dxa"/>
            <w:vAlign w:val="bottom"/>
          </w:tcPr>
          <w:p>
            <w:pPr>
              <w:spacing w:after="0"/>
              <w:rPr>
                <w:sz w:val="24"/>
                <w:szCs w:val="24"/>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right="1880"/>
        <w:spacing w:after="0" w:line="367" w:lineRule="auto"/>
        <w:tabs>
          <w:tab w:leader="none" w:pos="1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Identity, Demographics, and Committee memberships as of Aug 21, 2023. ** Ages as of Feb 16,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Not standing for re-election.</w:t>
      </w:r>
    </w:p>
    <w:p>
      <w:pPr>
        <w:spacing w:after="0" w:line="20" w:lineRule="exact"/>
        <w:rPr>
          <w:sz w:val="20"/>
          <w:szCs w:val="20"/>
          <w:color w:val="auto"/>
        </w:rPr>
      </w:pPr>
      <w:r>
        <w:rPr>
          <w:sz w:val="20"/>
          <w:szCs w:val="20"/>
          <w:color w:val="auto"/>
        </w:rPr>
        <w:br w:type="column"/>
      </w:r>
    </w:p>
    <w:p>
      <w:pPr>
        <w:ind w:left="2760"/>
        <w:spacing w:after="0"/>
        <w:rPr>
          <w:sz w:val="20"/>
          <w:szCs w:val="20"/>
          <w:color w:val="auto"/>
        </w:rPr>
      </w:pPr>
      <w:r>
        <w:rPr>
          <w:rFonts w:ascii="Arial" w:cs="Arial" w:eastAsia="Arial" w:hAnsi="Arial"/>
          <w:sz w:val="13"/>
          <w:szCs w:val="13"/>
          <w:b w:val="1"/>
          <w:bCs w:val="1"/>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Non-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Did not</w:t>
            </w:r>
          </w:p>
        </w:tc>
        <w:tc>
          <w:tcPr>
            <w:tcW w:w="0" w:type="dxa"/>
            <w:vAlign w:val="bottom"/>
          </w:tcPr>
          <w:p>
            <w:pPr>
              <w:spacing w:after="0"/>
              <w:rPr>
                <w:sz w:val="1"/>
                <w:szCs w:val="1"/>
                <w:color w:val="auto"/>
              </w:rPr>
            </w:pPr>
          </w:p>
        </w:tc>
      </w:tr>
      <w:tr>
        <w:trPr>
          <w:trHeight w:val="240"/>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720" w:type="dxa"/>
            <w:vAlign w:val="bottom"/>
            <w:vMerge w:val="continue"/>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Disclose</w:t>
            </w:r>
          </w:p>
        </w:tc>
        <w:tc>
          <w:tcPr>
            <w:tcW w:w="0" w:type="dxa"/>
            <w:vAlign w:val="bottom"/>
          </w:tcPr>
          <w:p>
            <w:pPr>
              <w:spacing w:after="0"/>
              <w:rPr>
                <w:sz w:val="1"/>
                <w:szCs w:val="1"/>
                <w:color w:val="auto"/>
              </w:rPr>
            </w:pPr>
          </w:p>
        </w:tc>
      </w:tr>
      <w:tr>
        <w:trPr>
          <w:trHeight w:val="310"/>
        </w:trPr>
        <w:tc>
          <w:tcPr>
            <w:tcW w:w="1480" w:type="dxa"/>
            <w:vAlign w:val="bottom"/>
            <w:tcBorders>
              <w:bottom w:val="single" w:sz="8" w:color="808080"/>
            </w:tcBorders>
            <w:vMerge w:val="continue"/>
          </w:tcPr>
          <w:p>
            <w:pPr>
              <w:spacing w:after="0"/>
              <w:rPr>
                <w:sz w:val="24"/>
                <w:szCs w:val="24"/>
                <w:color w:val="auto"/>
              </w:rPr>
            </w:pPr>
          </w:p>
        </w:tc>
        <w:tc>
          <w:tcPr>
            <w:tcW w:w="720" w:type="dxa"/>
            <w:vAlign w:val="bottom"/>
            <w:tcBorders>
              <w:bottom w:val="single" w:sz="8" w:color="808080"/>
            </w:tcBorders>
            <w:vMerge w:val="continue"/>
          </w:tcPr>
          <w:p>
            <w:pPr>
              <w:spacing w:after="0"/>
              <w:rPr>
                <w:sz w:val="24"/>
                <w:szCs w:val="24"/>
                <w:color w:val="auto"/>
              </w:rPr>
            </w:pPr>
          </w:p>
        </w:tc>
        <w:tc>
          <w:tcPr>
            <w:tcW w:w="660" w:type="dxa"/>
            <w:vAlign w:val="bottom"/>
            <w:tcBorders>
              <w:bottom w:val="single" w:sz="8" w:color="808080"/>
            </w:tcBorders>
            <w:vMerge w:val="continue"/>
          </w:tcPr>
          <w:p>
            <w:pPr>
              <w:spacing w:after="0"/>
              <w:rPr>
                <w:sz w:val="24"/>
                <w:szCs w:val="24"/>
                <w:color w:val="auto"/>
              </w:rPr>
            </w:pPr>
          </w:p>
        </w:tc>
        <w:tc>
          <w:tcPr>
            <w:tcW w:w="72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Binary</w:t>
            </w:r>
          </w:p>
        </w:tc>
        <w:tc>
          <w:tcPr>
            <w:tcW w:w="74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c>
          <w:tcPr>
            <w:tcW w:w="0" w:type="dxa"/>
            <w:vAlign w:val="bottom"/>
          </w:tcPr>
          <w:p>
            <w:pPr>
              <w:spacing w:after="0"/>
              <w:rPr>
                <w:sz w:val="1"/>
                <w:szCs w:val="1"/>
                <w:color w:val="auto"/>
              </w:rPr>
            </w:pPr>
          </w:p>
        </w:tc>
      </w:tr>
      <w:tr>
        <w:trPr>
          <w:trHeight w:val="449"/>
        </w:trPr>
        <w:tc>
          <w:tcPr>
            <w:tcW w:w="14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2"/>
        </w:trPr>
        <w:tc>
          <w:tcPr>
            <w:tcW w:w="2200" w:type="dxa"/>
            <w:vAlign w:val="bottom"/>
            <w:tcBorders>
              <w:bottom w:val="single" w:sz="8" w:color="808080"/>
            </w:tcBorders>
            <w:gridSpan w:val="2"/>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2200" w:type="dxa"/>
            <w:vAlign w:val="bottom"/>
            <w:tcBorders>
              <w:bottom w:val="single" w:sz="8" w:color="808080"/>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Demographic Background*</w:t>
            </w:r>
          </w:p>
        </w:tc>
        <w:tc>
          <w:tcPr>
            <w:tcW w:w="6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or Black</w:t>
            </w:r>
          </w:p>
        </w:tc>
        <w:tc>
          <w:tcPr>
            <w:tcW w:w="7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480" w:type="dxa"/>
            <w:vAlign w:val="bottom"/>
            <w:tcBorders>
              <w:bottom w:val="single" w:sz="8" w:color="808080"/>
            </w:tcBorders>
            <w:vMerge w:val="continue"/>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Alaskan Native or</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Native American</w:t>
            </w:r>
          </w:p>
        </w:tc>
        <w:tc>
          <w:tcPr>
            <w:tcW w:w="7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480" w:type="dxa"/>
            <w:vAlign w:val="bottom"/>
            <w:tcBorders>
              <w:bottom w:val="single" w:sz="8" w:color="808080"/>
            </w:tcBorders>
            <w:vMerge w:val="continue"/>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14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Asian</w:t>
            </w:r>
          </w:p>
        </w:tc>
        <w:tc>
          <w:tcPr>
            <w:tcW w:w="72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Hispanic</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or Latinx</w:t>
            </w:r>
          </w:p>
        </w:tc>
        <w:tc>
          <w:tcPr>
            <w:tcW w:w="7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480" w:type="dxa"/>
            <w:vAlign w:val="bottom"/>
            <w:tcBorders>
              <w:bottom w:val="single" w:sz="8" w:color="808080"/>
            </w:tcBorders>
            <w:vMerge w:val="continue"/>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Native Hawaiian or</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Pacific Islander</w:t>
            </w:r>
          </w:p>
        </w:tc>
        <w:tc>
          <w:tcPr>
            <w:tcW w:w="7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480" w:type="dxa"/>
            <w:vAlign w:val="bottom"/>
            <w:tcBorders>
              <w:bottom w:val="single" w:sz="8" w:color="808080"/>
            </w:tcBorders>
            <w:vMerge w:val="continue"/>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White or</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Caucasian</w:t>
            </w:r>
          </w:p>
        </w:tc>
        <w:tc>
          <w:tcPr>
            <w:tcW w:w="7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480" w:type="dxa"/>
            <w:vAlign w:val="bottom"/>
            <w:tcBorders>
              <w:bottom w:val="single" w:sz="8" w:color="808080"/>
            </w:tcBorders>
            <w:vMerge w:val="continue"/>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Two or</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More Races</w:t>
            </w:r>
          </w:p>
        </w:tc>
        <w:tc>
          <w:tcPr>
            <w:tcW w:w="7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or Ethnicities</w:t>
            </w:r>
          </w:p>
        </w:tc>
        <w:tc>
          <w:tcPr>
            <w:tcW w:w="72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72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14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LGBTQ+</w:t>
            </w:r>
          </w:p>
        </w:tc>
        <w:tc>
          <w:tcPr>
            <w:tcW w:w="72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Demographic</w:t>
            </w:r>
          </w:p>
        </w:tc>
        <w:tc>
          <w:tcPr>
            <w:tcW w:w="7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80" w:type="dxa"/>
            <w:vAlign w:val="bottom"/>
            <w:tcBorders>
              <w:bottom w:val="single" w:sz="8" w:color="808080"/>
            </w:tcBorders>
          </w:tcPr>
          <w:p>
            <w:pPr>
              <w:spacing w:after="0"/>
              <w:rPr>
                <w:sz w:val="20"/>
                <w:szCs w:val="20"/>
                <w:color w:val="auto"/>
              </w:rPr>
            </w:pPr>
            <w:r>
              <w:rPr>
                <w:rFonts w:ascii="Times New Roman" w:cs="Times New Roman" w:eastAsia="Times New Roman" w:hAnsi="Times New Roman"/>
                <w:sz w:val="18"/>
                <w:szCs w:val="18"/>
                <w:color w:val="auto"/>
              </w:rPr>
              <w:t>Background</w:t>
            </w:r>
          </w:p>
        </w:tc>
        <w:tc>
          <w:tcPr>
            <w:tcW w:w="72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72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2">
            <w:col w:w="6240" w:space="240"/>
            <w:col w:w="4460"/>
          </w:cols>
          <w:pgMar w:left="720" w:top="454"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220"/>
        <w:spacing w:after="0"/>
        <w:tabs>
          <w:tab w:leader="none" w:pos="10780" w:val="left"/>
        </w:tabs>
        <w:rPr>
          <w:sz w:val="20"/>
          <w:szCs w:val="20"/>
          <w:color w:val="auto"/>
        </w:rPr>
      </w:pPr>
      <w:r>
        <w:rPr>
          <w:rFonts w:ascii="Times New Roman" w:cs="Times New Roman" w:eastAsia="Times New Roman" w:hAnsi="Times New Roman"/>
          <w:sz w:val="10"/>
          <w:szCs w:val="10"/>
          <w:color w:val="FFFFFF"/>
        </w:rPr>
        <w:t>2023 ANNUAL REPORT</w:t>
      </w:r>
      <w:r>
        <w:rPr>
          <w:sz w:val="20"/>
          <w:szCs w:val="20"/>
          <w:color w:val="auto"/>
        </w:rPr>
        <w:tab/>
      </w:r>
      <w:r>
        <w:rPr>
          <w:rFonts w:ascii="Arial" w:cs="Arial" w:eastAsia="Arial" w:hAnsi="Arial"/>
          <w:sz w:val="12"/>
          <w:szCs w:val="12"/>
          <w:b w:val="1"/>
          <w:bCs w:val="1"/>
          <w:color w:val="FFFFFF"/>
        </w:rPr>
        <w:t>99</w:t>
      </w:r>
    </w:p>
    <w:p>
      <w:pPr>
        <w:sectPr>
          <w:pgSz w:w="12240" w:h="15840" w:orient="portrait"/>
          <w:cols w:equalWidth="0" w:num="1">
            <w:col w:w="10940"/>
          </w:cols>
          <w:pgMar w:left="720" w:top="454" w:right="580" w:bottom="0" w:gutter="0" w:footer="0" w:header="0"/>
          <w:type w:val="continuous"/>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336" w:lineRule="auto"/>
        <w:rPr>
          <w:sz w:val="20"/>
          <w:szCs w:val="20"/>
          <w:color w:val="auto"/>
        </w:rPr>
      </w:pPr>
      <w:r>
        <w:rPr>
          <w:rFonts w:ascii="Arial" w:cs="Arial" w:eastAsia="Arial" w:hAnsi="Arial"/>
          <w:sz w:val="17"/>
          <w:szCs w:val="17"/>
          <w:color w:val="FFFFFF"/>
          <w:highlight w:val="white"/>
        </w:rPr>
        <w:t xml:space="preserve">600 N. Centennial Street, Zeeland, Michigan 49464 gentex.com | ir.gentex.com </w:t>
      </w:r>
      <w:r>
        <w:rPr>
          <w:rFonts w:ascii="Arial" w:cs="Arial" w:eastAsia="Arial" w:hAnsi="Arial"/>
          <w:sz w:val="17"/>
          <w:szCs w:val="17"/>
          <w:color w:val="FFFFFF"/>
          <w:highlight w:val="white"/>
          <w:shd w:val="clear" w:color="auto" w:fill="3E3E3E"/>
        </w:rPr>
        <w:t>616.772.1800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FFFFFF"/>
          <w:shd w:val="clear" w:color="auto" w:fill="3E3E3E"/>
        </w:rPr>
        <w:t>© 2024 Gentex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-2094865</wp:posOffset>
            </wp:positionH>
            <wp:positionV relativeFrom="paragraph">
              <wp:posOffset>-894080</wp:posOffset>
            </wp:positionV>
            <wp:extent cx="7772400" cy="10058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12">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358" w:lineRule="exact"/>
        <w:rPr>
          <w:sz w:val="20"/>
          <w:szCs w:val="20"/>
          <w:color w:val="auto"/>
        </w:rPr>
      </w:pPr>
    </w:p>
    <w:p>
      <w:pPr>
        <w:ind w:right="2120"/>
        <w:spacing w:after="0" w:line="360" w:lineRule="auto"/>
        <w:rPr>
          <w:sz w:val="20"/>
          <w:szCs w:val="20"/>
          <w:color w:val="auto"/>
        </w:rPr>
      </w:pPr>
      <w:r>
        <w:rPr>
          <w:rFonts w:ascii="Times New Roman" w:cs="Times New Roman" w:eastAsia="Times New Roman" w:hAnsi="Times New Roman"/>
          <w:sz w:val="12"/>
          <w:szCs w:val="12"/>
          <w:color w:val="FFFFFF"/>
          <w:shd w:val="clear" w:color="auto" w:fill="3E3E3E"/>
        </w:rPr>
        <w:t>Gentex®, A Smarter Vision®, eSight®, eSight Go™, Full Display Mirror®, FDM®, ITM®, Integrated Toll Module®, ITM (design)®, HomeLink®, HomeLink (house design)®, HomeLink Connect®, SmartBeam®,</w:t>
      </w:r>
    </w:p>
    <w:p>
      <w:pPr>
        <w:ind w:right="2020"/>
        <w:spacing w:after="0" w:line="397" w:lineRule="auto"/>
        <w:rPr>
          <w:sz w:val="20"/>
          <w:szCs w:val="20"/>
          <w:color w:val="auto"/>
        </w:rPr>
      </w:pPr>
      <w:r>
        <w:rPr>
          <w:rFonts w:ascii="Times New Roman" w:cs="Times New Roman" w:eastAsia="Times New Roman" w:hAnsi="Times New Roman"/>
          <w:sz w:val="12"/>
          <w:szCs w:val="12"/>
          <w:color w:val="FFFFFF"/>
        </w:rPr>
        <w:t xml:space="preserve">and Vaporsens® are all trademarks of Gentex Corporation. The products referenced in this report may not </w:t>
      </w:r>
      <w:r>
        <w:rPr>
          <w:rFonts w:ascii="Times New Roman" w:cs="Times New Roman" w:eastAsia="Times New Roman" w:hAnsi="Times New Roman"/>
          <w:sz w:val="12"/>
          <w:szCs w:val="12"/>
          <w:color w:val="FFFFFF"/>
          <w:highlight w:val="white"/>
        </w:rPr>
        <w:t xml:space="preserve">be approved in all jurisdictions. “Mayo,” “Mayo Clinic,” “MayoClinic.org,” “Mayo Clinic Healthy Living,” </w:t>
      </w:r>
      <w:r>
        <w:rPr>
          <w:rFonts w:ascii="Times New Roman" w:cs="Times New Roman" w:eastAsia="Times New Roman" w:hAnsi="Times New Roman"/>
          <w:sz w:val="12"/>
          <w:szCs w:val="12"/>
          <w:color w:val="FFFFFF"/>
          <w:highlight w:val="white"/>
          <w:shd w:val="clear" w:color="auto" w:fill="3E3E3E"/>
        </w:rPr>
        <w:t>and the triple-shield Mayo Clinic logo are trademarks of Mayo Foundation for Medical Education and Research. “Simplenight” is a registered trademark of Simplenight Inc.</w:t>
      </w:r>
    </w:p>
    <w:sectPr>
      <w:pgSz w:w="12240" w:h="15840" w:orient="portrait"/>
      <w:cols w:equalWidth="0" w:num="2">
        <w:col w:w="2100" w:space="640"/>
        <w:col w:w="7500"/>
      </w:cols>
      <w:pgMar w:left="560" w:top="1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
      <w:numFmt w:val="bullet"/>
      <w:start w:val="1"/>
    </w:lvl>
  </w:abstractNum>
  <w:abstractNum w:abstractNumId="2">
    <w:nsid w:val="66EF438D"/>
    <w:multiLevelType w:val="hybridMultilevel"/>
    <w:lvl w:ilvl="0">
      <w:lvlJc w:val="left"/>
      <w:lvlText w:val=" "/>
      <w:numFmt w:val="bullet"/>
      <w:start w:val="1"/>
    </w:lvl>
  </w:abstractNum>
  <w:abstractNum w:abstractNumId="3">
    <w:nsid w:val="140E0F76"/>
    <w:multiLevelType w:val="hybridMultilevel"/>
    <w:lvl w:ilvl="0">
      <w:lvlJc w:val="left"/>
      <w:lvlText w:val=" "/>
      <w:numFmt w:val="bullet"/>
      <w:start w:val="1"/>
    </w:lvl>
  </w:abstractNum>
  <w:abstractNum w:abstractNumId="4">
    <w:nsid w:val="3352255A"/>
    <w:multiLevelType w:val="hybridMultilevel"/>
    <w:lvl w:ilvl="0">
      <w:lvlJc w:val="left"/>
      <w:lvlText w:val=" "/>
      <w:numFmt w:val="bullet"/>
      <w:start w:val="1"/>
    </w:lvl>
  </w:abstractNum>
  <w:abstractNum w:abstractNumId="5">
    <w:nsid w:val="109CF92E"/>
    <w:multiLevelType w:val="hybridMultilevel"/>
    <w:lvl w:ilvl="0">
      <w:lvlJc w:val="left"/>
      <w:lvlText w:val=" "/>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upperLetter"/>
      <w:start w:val="1"/>
    </w:lvl>
  </w:abstractNum>
  <w:abstractNum w:abstractNumId="8">
    <w:nsid w:val="1BEFD79F"/>
    <w:multiLevelType w:val="hybridMultilevel"/>
    <w:lvl w:ilvl="0">
      <w:lvlJc w:val="left"/>
      <w:lvlText w:val="(%1)"/>
      <w:numFmt w:val="upperLetter"/>
      <w:start w:val="2"/>
    </w:lvl>
  </w:abstractNum>
  <w:abstractNum w:abstractNumId="9">
    <w:nsid w:val="41A7C4C9"/>
    <w:multiLevelType w:val="hybridMultilevel"/>
    <w:lvl w:ilvl="0">
      <w:lvlJc w:val="left"/>
      <w:lvlText w:val=" "/>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endash "/>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2"/>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309"/>
    </w:lvl>
  </w:abstractNum>
  <w:abstractNum w:abstractNumId="16">
    <w:nsid w:val="7C83E458"/>
    <w:multiLevelType w:val="hybridMultilevel"/>
    <w:lvl w:ilvl="0">
      <w:lvlJc w:val="left"/>
      <w:lvlText w:val="(%1)"/>
      <w:numFmt w:val="decimal"/>
      <w:start w:val="24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2024-04-06T07:24:47Z</dcterms:created>
  <dcterms:modified xsi:type="dcterms:W3CDTF">2024-04-06T07:24:47Z</dcterms:modified>
</cp:coreProperties>
</file>