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jc w:val="center"/>
        <w:ind w:right="309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090"/>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10-K</w:t>
      </w:r>
    </w:p>
    <w:p>
      <w:pPr>
        <w:spacing w:after="0" w:line="174" w:lineRule="exact"/>
        <w:rPr>
          <w:sz w:val="24"/>
          <w:szCs w:val="24"/>
          <w:color w:val="auto"/>
        </w:rPr>
      </w:pPr>
    </w:p>
    <w:p>
      <w:pPr>
        <w:ind w:left="450" w:right="3359" w:hanging="450"/>
        <w:spacing w:after="0" w:line="235"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FOR FISCAL YEAR ENDED DECEMBER 31, 1999.</w:t>
      </w:r>
    </w:p>
    <w:p>
      <w:pPr>
        <w:spacing w:after="0" w:line="175" w:lineRule="exact"/>
        <w:rPr>
          <w:sz w:val="24"/>
          <w:szCs w:val="24"/>
          <w:color w:val="auto"/>
        </w:rPr>
      </w:pPr>
    </w:p>
    <w:p>
      <w:pPr>
        <w:ind w:left="450" w:right="3799" w:hanging="439"/>
        <w:spacing w:after="0" w:line="235" w:lineRule="auto"/>
        <w:tabs>
          <w:tab w:leader="none" w:pos="429" w:val="left"/>
        </w:tabs>
        <w:rPr>
          <w:sz w:val="20"/>
          <w:szCs w:val="20"/>
          <w:color w:val="auto"/>
        </w:rPr>
      </w:pPr>
      <w:r>
        <w:rPr>
          <w:rFonts w:ascii="Courier New" w:cs="Courier New" w:eastAsia="Courier New" w:hAnsi="Courier New"/>
          <w:sz w:val="15"/>
          <w:szCs w:val="15"/>
          <w:color w:val="auto"/>
        </w:rPr>
        <w:t>( )</w:t>
        <w:tab/>
        <w:t>TRANSITION REPORT PURSUANT TO SECTION 13 OR 15(d) OF THE SECURITIES EXCHANGE ACT OF 1934 (NO FEE REQUIRED)</w:t>
      </w:r>
    </w:p>
    <w:p>
      <w:pPr>
        <w:sectPr>
          <w:pgSz w:w="11900" w:h="16838" w:orient="portrait"/>
          <w:cols w:equalWidth="0" w:num="1">
            <w:col w:w="10149"/>
          </w:cols>
          <w:pgMar w:left="310" w:top="226" w:right="1440" w:bottom="1440" w:gutter="0" w:footer="0" w:header="0"/>
        </w:sectPr>
      </w:pPr>
    </w:p>
    <w:p>
      <w:pPr>
        <w:spacing w:after="0" w:line="6" w:lineRule="exact"/>
        <w:rPr>
          <w:sz w:val="24"/>
          <w:szCs w:val="24"/>
          <w:color w:val="auto"/>
        </w:rPr>
      </w:pPr>
    </w:p>
    <w:p>
      <w:pPr>
        <w:ind w:left="45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to</w:t>
      </w:r>
    </w:p>
    <w:p>
      <w:pPr>
        <w:spacing w:after="0" w:line="5" w:lineRule="exact"/>
        <w:rPr>
          <w:sz w:val="24"/>
          <w:szCs w:val="24"/>
          <w:color w:val="auto"/>
        </w:rPr>
      </w:pPr>
    </w:p>
    <w:p>
      <w:pPr>
        <w:sectPr>
          <w:pgSz w:w="11900" w:h="16838" w:orient="portrait"/>
          <w:cols w:equalWidth="0" w:num="2">
            <w:col w:w="4210" w:space="720"/>
            <w:col w:w="5219"/>
          </w:cols>
          <w:pgMar w:left="310" w:top="226" w:right="1440" w:bottom="1440" w:gutter="0" w:footer="0" w:header="0"/>
          <w:type w:val="continuous"/>
        </w:sectPr>
      </w:pPr>
    </w:p>
    <w:p>
      <w:pPr>
        <w:ind w:left="317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4850" w:space="340"/>
            <w:col w:w="4959"/>
          </w:cols>
          <w:pgMar w:left="310" w:top="226"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Commission 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0-10235</w:t>
      </w:r>
    </w:p>
    <w:p>
      <w:pPr>
        <w:spacing w:after="0" w:line="174" w:lineRule="exact"/>
        <w:rPr>
          <w:sz w:val="24"/>
          <w:szCs w:val="24"/>
          <w:color w:val="auto"/>
        </w:rPr>
      </w:pPr>
    </w:p>
    <w:p>
      <w:pPr>
        <w:sectPr>
          <w:pgSz w:w="11900" w:h="16838" w:orient="portrait"/>
          <w:cols w:equalWidth="0" w:num="2">
            <w:col w:w="1770" w:space="340"/>
            <w:col w:w="8039"/>
          </w:cols>
          <w:pgMar w:left="310" w:top="226" w:right="1440" w:bottom="1440" w:gutter="0" w:footer="0" w:header="0"/>
          <w:type w:val="continuous"/>
        </w:sectPr>
      </w:pPr>
    </w:p>
    <w:p>
      <w:pPr>
        <w:jc w:val="center"/>
        <w:ind w:right="3090"/>
        <w:spacing w:after="0"/>
        <w:rPr>
          <w:sz w:val="20"/>
          <w:szCs w:val="20"/>
          <w:color w:val="auto"/>
        </w:rPr>
      </w:pPr>
      <w:r>
        <w:rPr>
          <w:rFonts w:ascii="Courier New" w:cs="Courier New" w:eastAsia="Courier New" w:hAnsi="Courier New"/>
          <w:sz w:val="15"/>
          <w:szCs w:val="15"/>
          <w:color w:val="auto"/>
        </w:rPr>
        <w:t>GENTEX CORPORATION</w:t>
      </w:r>
    </w:p>
    <w:p>
      <w:pPr>
        <w:jc w:val="center"/>
        <w:ind w:right="309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8"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4560" w:type="dxa"/>
            <w:vAlign w:val="bottom"/>
          </w:tcPr>
          <w:p>
            <w:pPr>
              <w:ind w:left="780"/>
              <w:spacing w:after="0"/>
              <w:rPr>
                <w:sz w:val="20"/>
                <w:szCs w:val="20"/>
                <w:color w:val="auto"/>
              </w:rPr>
            </w:pPr>
            <w:r>
              <w:rPr>
                <w:rFonts w:ascii="Courier New" w:cs="Courier New" w:eastAsia="Courier New" w:hAnsi="Courier New"/>
                <w:sz w:val="15"/>
                <w:szCs w:val="15"/>
                <w:color w:val="auto"/>
              </w:rPr>
              <w:t>MICHIGAN</w:t>
            </w:r>
          </w:p>
        </w:tc>
        <w:tc>
          <w:tcPr>
            <w:tcW w:w="248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7"/>
              </w:rPr>
              <w:t>38-2030505</w:t>
            </w:r>
          </w:p>
        </w:tc>
      </w:tr>
      <w:tr>
        <w:trPr>
          <w:trHeight w:val="169"/>
        </w:trPr>
        <w:tc>
          <w:tcPr>
            <w:tcW w:w="456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248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7"/>
              </w:rPr>
              <w:t>(I.R.S. Employer</w:t>
            </w:r>
          </w:p>
        </w:tc>
      </w:tr>
      <w:tr>
        <w:trPr>
          <w:trHeight w:val="169"/>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Identification No.)</w:t>
            </w:r>
          </w:p>
        </w:tc>
      </w:tr>
      <w:tr>
        <w:trPr>
          <w:trHeight w:val="508"/>
        </w:trPr>
        <w:tc>
          <w:tcPr>
            <w:tcW w:w="4560" w:type="dxa"/>
            <w:vAlign w:val="bottom"/>
          </w:tcPr>
          <w:p>
            <w:pPr>
              <w:spacing w:after="0"/>
              <w:rPr>
                <w:sz w:val="20"/>
                <w:szCs w:val="20"/>
                <w:color w:val="auto"/>
              </w:rPr>
            </w:pPr>
            <w:r>
              <w:rPr>
                <w:rFonts w:ascii="Courier New" w:cs="Courier New" w:eastAsia="Courier New" w:hAnsi="Courier New"/>
                <w:sz w:val="15"/>
                <w:szCs w:val="15"/>
                <w:color w:val="auto"/>
              </w:rPr>
              <w:t>600 N. CENTENNIAL STREET, ZEELAND, MICHIGAN</w:t>
            </w:r>
          </w:p>
        </w:tc>
        <w:tc>
          <w:tcPr>
            <w:tcW w:w="2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49464</w:t>
            </w:r>
          </w:p>
        </w:tc>
      </w:tr>
      <w:tr>
        <w:trPr>
          <w:trHeight w:val="169"/>
        </w:trPr>
        <w:tc>
          <w:tcPr>
            <w:tcW w:w="4560" w:type="dxa"/>
            <w:vAlign w:val="bottom"/>
          </w:tcPr>
          <w:p>
            <w:pPr>
              <w:ind w:left="160"/>
              <w:spacing w:after="0"/>
              <w:rPr>
                <w:sz w:val="20"/>
                <w:szCs w:val="20"/>
                <w:color w:val="auto"/>
              </w:rPr>
            </w:pPr>
            <w:r>
              <w:rPr>
                <w:rFonts w:ascii="Courier New" w:cs="Courier New" w:eastAsia="Courier New" w:hAnsi="Courier New"/>
                <w:sz w:val="15"/>
                <w:szCs w:val="15"/>
                <w:color w:val="auto"/>
              </w:rPr>
              <w:t>(Address of principal executive offices)</w:t>
            </w:r>
          </w:p>
        </w:tc>
        <w:tc>
          <w:tcPr>
            <w:tcW w:w="248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7"/>
              </w:rPr>
              <w:t>(Zip Code)</w:t>
            </w:r>
          </w:p>
        </w:tc>
      </w:tr>
    </w:tbl>
    <w:p>
      <w:pPr>
        <w:spacing w:after="0" w:line="338"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(616) 772-1800</w:t>
      </w:r>
    </w:p>
    <w:p>
      <w:pPr>
        <w:jc w:val="center"/>
        <w:ind w:right="309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38"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149"/>
          </w:cols>
          <w:pgMar w:left="310" w:top="226" w:right="1440" w:bottom="1440" w:gutter="0" w:footer="0" w:header="0"/>
          <w:type w:val="continuous"/>
        </w:sectPr>
      </w:pPr>
    </w:p>
    <w:p>
      <w:pPr>
        <w:spacing w:after="0" w:line="344"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Title of each Class</w:t>
      </w:r>
    </w:p>
    <w:p>
      <w:pPr>
        <w:spacing w:after="0" w:line="5" w:lineRule="exact"/>
        <w:rPr>
          <w:sz w:val="24"/>
          <w:szCs w:val="24"/>
          <w:color w:val="auto"/>
        </w:rPr>
      </w:pPr>
    </w:p>
    <w:p>
      <w:pPr>
        <w:ind w:left="530"/>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5" w:lineRule="exact"/>
        <w:rPr>
          <w:sz w:val="24"/>
          <w:szCs w:val="24"/>
          <w:color w:val="auto"/>
        </w:rPr>
      </w:pPr>
    </w:p>
    <w:p>
      <w:pPr>
        <w:sectPr>
          <w:pgSz w:w="11900" w:h="16838" w:orient="portrait"/>
          <w:cols w:equalWidth="0" w:num="2">
            <w:col w:w="2710" w:space="720"/>
            <w:col w:w="6719"/>
          </w:cols>
          <w:pgMar w:left="310" w:top="226" w:right="1440" w:bottom="1440" w:gutter="0" w:footer="0" w:header="0"/>
          <w:type w:val="continuous"/>
        </w:sectPr>
      </w:pPr>
    </w:p>
    <w:p>
      <w:pPr>
        <w:spacing w:after="0" w:line="138"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COMMON STOCK, PAR VALUE $.06 PER SHARE</w:t>
      </w:r>
    </w:p>
    <w:p>
      <w:pPr>
        <w:jc w:val="center"/>
        <w:ind w:right="3090"/>
        <w:spacing w:after="0"/>
        <w:rPr>
          <w:sz w:val="20"/>
          <w:szCs w:val="20"/>
          <w:color w:val="auto"/>
        </w:rPr>
      </w:pPr>
      <w:r>
        <w:rPr>
          <w:rFonts w:ascii="Courier New" w:cs="Courier New" w:eastAsia="Courier New" w:hAnsi="Courier New"/>
          <w:sz w:val="15"/>
          <w:szCs w:val="15"/>
          <w:color w:val="auto"/>
        </w:rPr>
        <w:t>(Title of Class)</w:t>
      </w:r>
    </w:p>
    <w:p>
      <w:pPr>
        <w:spacing w:after="0" w:line="343" w:lineRule="exact"/>
        <w:rPr>
          <w:sz w:val="24"/>
          <w:szCs w:val="24"/>
          <w:color w:val="auto"/>
        </w:rPr>
      </w:pPr>
    </w:p>
    <w:p>
      <w:pPr>
        <w:ind w:left="10" w:right="309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149"/>
          </w:cols>
          <w:pgMar w:left="310" w:top="226" w:right="1440" w:bottom="1440" w:gutter="0" w:footer="0" w:header="0"/>
          <w:type w:val="continuous"/>
        </w:sectPr>
      </w:pPr>
    </w:p>
    <w:p>
      <w:pPr>
        <w:spacing w:after="0" w:line="2" w:lineRule="exact"/>
        <w:rPr>
          <w:sz w:val="24"/>
          <w:szCs w:val="24"/>
          <w:color w:val="auto"/>
        </w:rPr>
      </w:pPr>
    </w:p>
    <w:p>
      <w:pPr>
        <w:ind w:left="790"/>
        <w:spacing w:after="0"/>
        <w:tabs>
          <w:tab w:leader="none" w:pos="1309" w:val="left"/>
          <w:tab w:leader="none" w:pos="2349"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p>
    <w:p>
      <w:pPr>
        <w:ind w:left="115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2650" w:space="80"/>
            <w:col w:w="7419"/>
          </w:cols>
          <w:pgMar w:left="310" w:top="226" w:right="1440" w:bottom="1440" w:gutter="0" w:footer="0" w:header="0"/>
          <w:type w:val="continuous"/>
        </w:sectPr>
      </w:pPr>
    </w:p>
    <w:p>
      <w:pPr>
        <w:ind w:left="10" w:right="3099"/>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7" w:lineRule="exact"/>
        <w:rPr>
          <w:sz w:val="24"/>
          <w:szCs w:val="24"/>
          <w:color w:val="auto"/>
        </w:rPr>
      </w:pPr>
    </w:p>
    <w:p>
      <w:pPr>
        <w:ind w:left="10" w:right="3099"/>
        <w:spacing w:after="0" w:line="238" w:lineRule="auto"/>
        <w:rPr>
          <w:sz w:val="20"/>
          <w:szCs w:val="20"/>
          <w:color w:val="auto"/>
        </w:rPr>
      </w:pPr>
      <w:r>
        <w:rPr>
          <w:rFonts w:ascii="Courier New" w:cs="Courier New" w:eastAsia="Courier New" w:hAnsi="Courier New"/>
          <w:sz w:val="15"/>
          <w:szCs w:val="15"/>
          <w:color w:val="auto"/>
        </w:rPr>
        <w:t>As of March 1, 2000, 73,502,298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$2,026,058,199 computed at the closing price on that date.</w:t>
      </w:r>
    </w:p>
    <w:p>
      <w:pPr>
        <w:spacing w:after="0" w:line="174" w:lineRule="exact"/>
        <w:rPr>
          <w:sz w:val="24"/>
          <w:szCs w:val="24"/>
          <w:color w:val="auto"/>
        </w:rPr>
      </w:pPr>
    </w:p>
    <w:p>
      <w:pPr>
        <w:ind w:left="10" w:right="3799"/>
        <w:spacing w:after="0" w:line="235" w:lineRule="auto"/>
        <w:rPr>
          <w:sz w:val="20"/>
          <w:szCs w:val="20"/>
          <w:color w:val="auto"/>
        </w:rPr>
      </w:pPr>
      <w:r>
        <w:rPr>
          <w:rFonts w:ascii="Courier New" w:cs="Courier New" w:eastAsia="Courier New" w:hAnsi="Courier New"/>
          <w:sz w:val="15"/>
          <w:szCs w:val="15"/>
          <w:color w:val="auto"/>
        </w:rPr>
        <w:t>Portions of the Company's Proxy Statement for its 2000 Annual Meeting of Shareholders are incorporated by reference into Part III.</w:t>
      </w:r>
    </w:p>
    <w:p>
      <w:pPr>
        <w:spacing w:after="0" w:line="170"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Exhibit Index located at Page 31</w:t>
      </w:r>
    </w:p>
    <w:p>
      <w:pPr>
        <w:spacing w:after="0" w:line="169" w:lineRule="exact"/>
        <w:rPr>
          <w:sz w:val="24"/>
          <w:szCs w:val="24"/>
          <w:color w:val="auto"/>
        </w:rPr>
      </w:pPr>
    </w:p>
    <w:p>
      <w:pPr>
        <w:ind w:left="2990"/>
        <w:spacing w:after="0"/>
        <w:rPr>
          <w:sz w:val="20"/>
          <w:szCs w:val="20"/>
          <w:color w:val="auto"/>
        </w:rPr>
      </w:pPr>
      <w:r>
        <w:rPr>
          <w:rFonts w:ascii="Courier New" w:cs="Courier New" w:eastAsia="Courier New" w:hAnsi="Courier New"/>
          <w:sz w:val="15"/>
          <w:szCs w:val="15"/>
          <w:color w:val="auto"/>
        </w:rPr>
        <w:t>Page 1 of 35</w:t>
      </w:r>
    </w:p>
    <w:p>
      <w:pPr>
        <w:sectPr>
          <w:pgSz w:w="11900" w:h="16838" w:orient="portrait"/>
          <w:cols w:equalWidth="0" w:num="1">
            <w:col w:w="10149"/>
          </w:cols>
          <w:pgMar w:left="310" w:top="226" w:right="1440" w:bottom="1440" w:gutter="0" w:footer="0" w:header="0"/>
          <w:type w:val="continuous"/>
        </w:sectPr>
      </w:pPr>
    </w:p>
    <w:bookmarkStart w:id="1" w:name="page2"/>
    <w:bookmarkEnd w:id="1"/>
    <w:p>
      <w:pPr>
        <w:ind w:left="270"/>
        <w:spacing w:after="0"/>
        <w:rPr>
          <w:sz w:val="20"/>
          <w:szCs w:val="20"/>
          <w:color w:val="auto"/>
        </w:rPr>
      </w:pPr>
      <w:r>
        <w:rPr>
          <w:rFonts w:ascii="Courier New" w:cs="Courier New" w:eastAsia="Courier New" w:hAnsi="Courier New"/>
          <w:sz w:val="15"/>
          <w:szCs w:val="15"/>
          <w:color w:val="auto"/>
        </w:rPr>
        <w:t>2</w:t>
      </w:r>
    </w:p>
    <w:p>
      <w:pPr>
        <w:spacing w:after="0" w:line="344" w:lineRule="exact"/>
        <w:rPr>
          <w:sz w:val="20"/>
          <w:szCs w:val="20"/>
          <w:color w:val="auto"/>
        </w:rPr>
      </w:pPr>
    </w:p>
    <w:p>
      <w:pPr>
        <w:ind w:left="10" w:right="3279"/>
        <w:spacing w:after="0" w:line="238" w:lineRule="auto"/>
        <w:rPr>
          <w:sz w:val="20"/>
          <w:szCs w:val="20"/>
          <w:color w:val="auto"/>
        </w:rPr>
      </w:pPr>
      <w:r>
        <w:rPr>
          <w:rFonts w:ascii="Courier New" w:cs="Courier New" w:eastAsia="Courier New" w:hAnsi="Courier New"/>
          <w:sz w:val="15"/>
          <w:szCs w:val="15"/>
          <w:color w:val="auto"/>
        </w:rPr>
        <w:t>Statements in this Annual Report on Form 10-K which express "belief", "anticipation" or "expectation" as well as other statements which are not historical fact, are forward-looking statements and involve risks and uncertainties described below under the headings "Business" and "Management's Discussion and Analysis of Results of Operations and Financial Condition" that could cause actual results to differ materially from those projected. All forward-looking statements in this Annual Report are based on information available to the Company on the date hereof, and the Company assumes no obligation to update any such forward-looking statements.</w:t>
      </w:r>
    </w:p>
    <w:p>
      <w:pPr>
        <w:spacing w:after="0" w:line="200" w:lineRule="exact"/>
        <w:rPr>
          <w:sz w:val="20"/>
          <w:szCs w:val="20"/>
          <w:color w:val="auto"/>
        </w:rPr>
      </w:pPr>
    </w:p>
    <w:p>
      <w:pPr>
        <w:spacing w:after="0" w:line="310" w:lineRule="exact"/>
        <w:rPr>
          <w:sz w:val="20"/>
          <w:szCs w:val="20"/>
          <w:color w:val="auto"/>
        </w:rPr>
      </w:pPr>
    </w:p>
    <w:p>
      <w:pPr>
        <w:ind w:left="325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9" w:lineRule="exact"/>
        <w:rPr>
          <w:sz w:val="20"/>
          <w:szCs w:val="20"/>
          <w:color w:val="auto"/>
        </w:rPr>
      </w:pPr>
    </w:p>
    <w:p>
      <w:pPr>
        <w:ind w:left="450" w:hanging="450"/>
        <w:spacing w:after="0"/>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DEVELOPMENT OF BUSINESS</w:t>
      </w:r>
    </w:p>
    <w:p>
      <w:pPr>
        <w:spacing w:after="0" w:line="174" w:lineRule="exact"/>
        <w:rPr>
          <w:sz w:val="20"/>
          <w:szCs w:val="20"/>
          <w:color w:val="auto"/>
        </w:rPr>
      </w:pPr>
    </w:p>
    <w:p>
      <w:pPr>
        <w:ind w:left="10" w:right="3199" w:firstLine="792"/>
        <w:spacing w:after="0" w:line="236" w:lineRule="auto"/>
        <w:rPr>
          <w:sz w:val="20"/>
          <w:szCs w:val="20"/>
          <w:color w:val="auto"/>
        </w:rPr>
      </w:pPr>
      <w:r>
        <w:rPr>
          <w:rFonts w:ascii="Courier New" w:cs="Courier New" w:eastAsia="Courier New" w:hAnsi="Courier New"/>
          <w:sz w:val="15"/>
          <w:szCs w:val="15"/>
          <w:color w:val="auto"/>
        </w:rPr>
        <w:t>Gentex Corporation (the "Company") designs, develops, manufactures and markets proprietary products employing electro-optic technology: automatic-dimming rearview mirrors and fire protection products.</w:t>
      </w:r>
    </w:p>
    <w:p>
      <w:pPr>
        <w:spacing w:after="0" w:line="7" w:lineRule="exact"/>
        <w:rPr>
          <w:sz w:val="20"/>
          <w:szCs w:val="20"/>
          <w:color w:val="auto"/>
        </w:rPr>
      </w:pPr>
    </w:p>
    <w:p>
      <w:pPr>
        <w:ind w:left="10" w:right="3099" w:firstLine="792"/>
        <w:spacing w:after="0" w:line="238" w:lineRule="auto"/>
        <w:rPr>
          <w:sz w:val="20"/>
          <w:szCs w:val="20"/>
          <w:color w:val="auto"/>
        </w:rPr>
      </w:pPr>
      <w:r>
        <w:rPr>
          <w:rFonts w:ascii="Courier New" w:cs="Courier New" w:eastAsia="Courier New" w:hAnsi="Courier New"/>
          <w:sz w:val="15"/>
          <w:szCs w:val="15"/>
          <w:color w:val="auto"/>
        </w:rPr>
        <w:t>The Company was organized in 1974 to manufacture residential smoke detectors, a product line that has since evolved into a more sophisticated group of fire protection products for commercial applications. In 1982, the Company introduced an automatic interior rearview mirror that was the first commercially successful glare-control product offered as an alternative to the conventional, manual day/night mirror. In 1987, the Company introduced its interior Night Vision Safety(TM) (NVS(R)) Mirror, an electrochromic automatic-dimming interior rearview mirror, providing the first successful commercial application of electrochromic technology in the automotive industry and world. Through the use of electrochromic technology, this mirror is continually variable and automatically darkens to the degree required to eliminate rearview headlight glare. In 1991, the Company introduced its exterior Night Vision Safety(TM) Mirror Sub-Assembly, which works as a complete glare-control system with the interior NVS(R) Mirror. In 1997, the Company began making volume shipments of three new exterior mirror sub-assembly products: thin glass flat, convex and aspheric.</w:t>
      </w:r>
    </w:p>
    <w:p>
      <w:pPr>
        <w:spacing w:after="0" w:line="14" w:lineRule="exact"/>
        <w:rPr>
          <w:sz w:val="20"/>
          <w:szCs w:val="20"/>
          <w:color w:val="auto"/>
        </w:rPr>
      </w:pPr>
    </w:p>
    <w:p>
      <w:pPr>
        <w:ind w:left="10" w:right="3199" w:firstLine="792"/>
        <w:spacing w:after="0" w:line="236" w:lineRule="auto"/>
        <w:rPr>
          <w:sz w:val="20"/>
          <w:szCs w:val="20"/>
          <w:color w:val="auto"/>
        </w:rPr>
      </w:pPr>
      <w:r>
        <w:rPr>
          <w:rFonts w:ascii="Courier New" w:cs="Courier New" w:eastAsia="Courier New" w:hAnsi="Courier New"/>
          <w:sz w:val="15"/>
          <w:szCs w:val="15"/>
          <w:color w:val="auto"/>
        </w:rPr>
        <w:t>At the end of 1999, the Company announced the second generation of its light-emitting diode (LED) technology which could have significant automotive and non-automotive lighting applications.</w:t>
      </w:r>
    </w:p>
    <w:p>
      <w:pPr>
        <w:spacing w:after="0" w:line="170" w:lineRule="exact"/>
        <w:rPr>
          <w:sz w:val="20"/>
          <w:szCs w:val="20"/>
          <w:color w:val="auto"/>
        </w:rPr>
      </w:pPr>
    </w:p>
    <w:p>
      <w:pPr>
        <w:ind w:left="450" w:hanging="450"/>
        <w:spacing w:after="0"/>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ABOUT INDUSTRY SEGMENTS</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See Note (9) to the Consolidated Financial Statements filed with this</w:t>
      </w:r>
    </w:p>
    <w:p>
      <w:pPr>
        <w:ind w:left="10"/>
        <w:spacing w:after="0"/>
        <w:rPr>
          <w:sz w:val="20"/>
          <w:szCs w:val="20"/>
          <w:color w:val="auto"/>
        </w:rPr>
      </w:pPr>
      <w:r>
        <w:rPr>
          <w:rFonts w:ascii="Courier New" w:cs="Courier New" w:eastAsia="Courier New" w:hAnsi="Courier New"/>
          <w:sz w:val="15"/>
          <w:szCs w:val="15"/>
          <w:color w:val="auto"/>
        </w:rPr>
        <w:t>report.</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 ) NARRATIVE DESCRIPTION OF BUSINESS</w:t>
      </w:r>
    </w:p>
    <w:p>
      <w:pPr>
        <w:spacing w:after="0" w:line="174" w:lineRule="exact"/>
        <w:rPr>
          <w:sz w:val="20"/>
          <w:szCs w:val="20"/>
          <w:color w:val="auto"/>
        </w:rPr>
      </w:pPr>
    </w:p>
    <w:p>
      <w:pPr>
        <w:ind w:left="10" w:right="3359" w:firstLine="792"/>
        <w:spacing w:after="0" w:line="236" w:lineRule="auto"/>
        <w:rPr>
          <w:sz w:val="20"/>
          <w:szCs w:val="20"/>
          <w:color w:val="auto"/>
        </w:rPr>
      </w:pPr>
      <w:r>
        <w:rPr>
          <w:rFonts w:ascii="Courier New" w:cs="Courier New" w:eastAsia="Courier New" w:hAnsi="Courier New"/>
          <w:sz w:val="15"/>
          <w:szCs w:val="15"/>
          <w:color w:val="auto"/>
        </w:rPr>
        <w:t>The Company currently manufactures electro-optic products, including automatic-dimming rearview mirrors for the automotive industry and fire protection products for the commercial building industry.</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AUTOMATIC-DIMMING REARVIEW MIRRORS</w:t>
      </w:r>
    </w:p>
    <w:p>
      <w:pPr>
        <w:spacing w:after="0" w:line="5" w:lineRule="exact"/>
        <w:rPr>
          <w:sz w:val="20"/>
          <w:szCs w:val="20"/>
          <w:color w:val="auto"/>
        </w:rPr>
      </w:pPr>
    </w:p>
    <w:p>
      <w:pPr>
        <w:ind w:left="10" w:right="3099" w:firstLine="792"/>
        <w:spacing w:after="0" w:line="256" w:lineRule="auto"/>
        <w:rPr>
          <w:sz w:val="20"/>
          <w:szCs w:val="20"/>
          <w:color w:val="auto"/>
        </w:rPr>
      </w:pPr>
      <w:r>
        <w:rPr>
          <w:rFonts w:ascii="Courier New" w:cs="Courier New" w:eastAsia="Courier New" w:hAnsi="Courier New"/>
          <w:sz w:val="14"/>
          <w:szCs w:val="14"/>
          <w:color w:val="auto"/>
        </w:rPr>
        <w:t>Interior NVS(R) Mirrors. In 1987, the Company achieved a significant technological breakthrough by applying electrochromic technology to the glare-sensing capabilities of its Motorized Mirror. Through the use of this technology, the mirror gradually darkens to the degree necessary to eliminate rearview glare from following vehicle headlights. The NVS(R) Mirror offers all of the continuous reflectance levels between its approximate 75% full-reflectance state and its 7% least-reflectance state, taking just a few seconds to span the entire range. Special electro-optic sensors in the mirror detect glare and electronic circuitry supplies electricity to darken the mirror to only the precise level required to eliminate glare, allowing the driver to maintain maximum vision. This is accomplished by the utilization of two layers of precision glass with special conductive coatings that are separated by the Company's proprietary electrochromic materials. When the appropriate light differential is detected, an electric current causes the electrochromic material to darken, decreasing the mirror's reflectance, thereby eliminating glare.</w:t>
      </w:r>
    </w:p>
    <w:p>
      <w:pPr>
        <w:spacing w:after="0" w:line="16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49"/>
          </w:cols>
          <w:pgMar w:left="31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13" w:lineRule="exact"/>
        <w:rPr>
          <w:sz w:val="20"/>
          <w:szCs w:val="20"/>
          <w:color w:val="auto"/>
        </w:rPr>
      </w:pPr>
    </w:p>
    <w:p>
      <w:pPr>
        <w:ind w:right="3780" w:firstLine="792"/>
        <w:spacing w:after="0" w:line="256" w:lineRule="auto"/>
        <w:rPr>
          <w:sz w:val="20"/>
          <w:szCs w:val="20"/>
          <w:color w:val="auto"/>
        </w:rPr>
      </w:pPr>
      <w:r>
        <w:rPr>
          <w:rFonts w:ascii="Courier New" w:cs="Courier New" w:eastAsia="Courier New" w:hAnsi="Courier New"/>
          <w:sz w:val="14"/>
          <w:szCs w:val="14"/>
          <w:color w:val="auto"/>
        </w:rPr>
        <w:t>During 1991, the Company began shipping the first advanced-feature interior NVS(R) Mirror, the NVS(R) Headlamp Control Mirror, an automatic-dimming mirror that automatically turns car head- and taillamps "on" and "off" in response to the level of light observed. During 1992, the Company began shipping its NVS(R) Lighted Mirror, with map/reading lights, and during 1993, the Company began shipping its NVS(R) Compass Mirror, with an electronic compass that automatically compensates for changes in the earth's magnetic field. During 1997, the Company began shipping a third-generation NVS(R) Headlamp Control Mirror, a second-generation NVS(R) Compass Mirror, and a new interior NVS(R) Mirror that digitally displays either a compass or outside temperature reading. During 1998, the Company began shipping new compass mirrors with integral LED map lamps, a major improvement over mirrors with standard incandescent map lamps. At the beginning of 2000, the Company began shipping interior NVS(R) Mirrors on various GM vehicle models that will serve as the driver interface for the OnStar(R) System, an in-vehicle safety, security and information service using Global Positioning System (GPS) satellite technology.</w:t>
      </w:r>
    </w:p>
    <w:p>
      <w:pPr>
        <w:spacing w:after="0" w:line="3" w:lineRule="exact"/>
        <w:rPr>
          <w:sz w:val="20"/>
          <w:szCs w:val="20"/>
          <w:color w:val="auto"/>
        </w:rPr>
      </w:pPr>
    </w:p>
    <w:p>
      <w:pPr>
        <w:ind w:right="4140" w:firstLine="792"/>
        <w:spacing w:after="0" w:line="256" w:lineRule="auto"/>
        <w:rPr>
          <w:sz w:val="20"/>
          <w:szCs w:val="20"/>
          <w:color w:val="auto"/>
        </w:rPr>
      </w:pPr>
      <w:r>
        <w:rPr>
          <w:rFonts w:ascii="Courier New" w:cs="Courier New" w:eastAsia="Courier New" w:hAnsi="Courier New"/>
          <w:sz w:val="14"/>
          <w:szCs w:val="14"/>
          <w:color w:val="auto"/>
        </w:rPr>
        <w:t>The Company sold approximately 2,799,000 interior NVS(R) Mirrors in 1997, approximately 3,320,000 in 1998, and approximately 4,008,000 in 1999.</w:t>
      </w:r>
    </w:p>
    <w:p>
      <w:pPr>
        <w:ind w:right="4040" w:firstLine="792"/>
        <w:spacing w:after="0" w:line="237" w:lineRule="auto"/>
        <w:rPr>
          <w:sz w:val="20"/>
          <w:szCs w:val="20"/>
          <w:color w:val="auto"/>
        </w:rPr>
      </w:pPr>
      <w:r>
        <w:rPr>
          <w:rFonts w:ascii="Courier New" w:cs="Courier New" w:eastAsia="Courier New" w:hAnsi="Courier New"/>
          <w:sz w:val="15"/>
          <w:szCs w:val="15"/>
          <w:color w:val="auto"/>
        </w:rPr>
        <w:t>During 1999, the unit growth primarily continued as a result of increased penetration of light vehicles manufactured in North America, Europe and Japan. The Company's interior NVS(R) Mirrors are standard equipment or factory or distributor/dealer-installed options on the following 2000 and 2000-1/2 vehicle models: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TABLE 1.</w:t>
      </w:r>
      <w:r>
        <w:rPr>
          <w:sz w:val="20"/>
          <w:szCs w:val="20"/>
          <w:color w:val="auto"/>
        </w:rPr>
        <w:tab/>
      </w:r>
      <w:r>
        <w:rPr>
          <w:rFonts w:ascii="Courier New" w:cs="Courier New" w:eastAsia="Courier New" w:hAnsi="Courier New"/>
          <w:sz w:val="14"/>
          <w:szCs w:val="14"/>
          <w:color w:val="auto"/>
        </w:rPr>
        <w:t>INTERIOR NVS(R) MIRROR AVAILABILITY BY VEHICLE LINE (NORTH AMERICAN MANUFACTURERS)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Catera</w:t>
            </w:r>
          </w:p>
        </w:tc>
        <w:tc>
          <w:tcPr>
            <w:tcW w:w="9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Ford/Lincoln</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Continental</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(ECC/LED) S</w:t>
            </w: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Deville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(ECC/OS)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Navigator</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w:t>
            </w: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Deville DHS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(ECC/OS)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Town Car Cartier</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w:t>
            </w: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Deville DTS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(ECC/OS)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Town Car Executive</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w:t>
            </w: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Eldorado  ESC</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(ECC/OS)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Town Car Signature</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w:t>
            </w: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w w:val="95"/>
              </w:rPr>
              <w:t>Eldorado Touring Coupe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(ECC/OS)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Ford/Mercury</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Grand Marquis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(ECC) O</w:t>
            </w: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Escalade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(EH/ECC/T)</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Mountaineer</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(EH) O</w:t>
            </w: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Seville SLS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(OS)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DaimlerChrysler/</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300M</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w:t>
            </w: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Seville STS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(OS)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Chrysler</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Concorde</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w:t>
            </w:r>
          </w:p>
        </w:tc>
      </w:tr>
      <w:tr>
        <w:trPr>
          <w:trHeight w:val="169"/>
        </w:trPr>
        <w:tc>
          <w:tcPr>
            <w:tcW w:w="1660" w:type="dxa"/>
            <w:vAlign w:val="bottom"/>
          </w:tcPr>
          <w:p>
            <w:pPr>
              <w:spacing w:after="0"/>
              <w:rPr>
                <w:sz w:val="20"/>
                <w:szCs w:val="20"/>
                <w:color w:val="auto"/>
              </w:rPr>
            </w:pPr>
            <w:r>
              <w:rPr>
                <w:rFonts w:ascii="Courier New" w:cs="Courier New" w:eastAsia="Courier New" w:hAnsi="Courier New"/>
                <w:sz w:val="15"/>
                <w:szCs w:val="15"/>
                <w:color w:val="auto"/>
              </w:rPr>
              <w:t>GM/Buick</w:t>
            </w: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LeSabre Custom</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(OS)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w:t>
            </w:r>
          </w:p>
        </w:tc>
        <w:tc>
          <w:tcPr>
            <w:tcW w:w="220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LHS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w:t>
            </w: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LeSabre Limited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(OS)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w w:val="96"/>
              </w:rPr>
              <w:t>Town &amp; Country Limited</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(EH) S</w:t>
            </w: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Park Avenue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(ECC/OS)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w:t>
            </w:r>
          </w:p>
        </w:tc>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DaimlerChrysler/</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Dakota Pickup</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w:t>
            </w: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Park Avenue-Ultra</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(OS)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Dodge</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Durango</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w:t>
            </w:r>
          </w:p>
        </w:tc>
      </w:tr>
      <w:tr>
        <w:trPr>
          <w:trHeight w:val="169"/>
        </w:trPr>
        <w:tc>
          <w:tcPr>
            <w:tcW w:w="1660" w:type="dxa"/>
            <w:vAlign w:val="bottom"/>
          </w:tcPr>
          <w:p>
            <w:pPr>
              <w:spacing w:after="0"/>
              <w:rPr>
                <w:sz w:val="20"/>
                <w:szCs w:val="20"/>
                <w:color w:val="auto"/>
              </w:rPr>
            </w:pPr>
            <w:r>
              <w:rPr>
                <w:rFonts w:ascii="Courier New" w:cs="Courier New" w:eastAsia="Courier New" w:hAnsi="Courier New"/>
                <w:sz w:val="15"/>
                <w:szCs w:val="15"/>
                <w:color w:val="auto"/>
              </w:rPr>
              <w:t>GM/Oldsmobile</w:t>
            </w: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Aurora VI</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(ECC)</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w:t>
            </w:r>
          </w:p>
        </w:tc>
        <w:tc>
          <w:tcPr>
            <w:tcW w:w="220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Grand Caravan ES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(EH) S</w:t>
            </w: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Aurora VII</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(ECC)</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Intrepid</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w:t>
            </w: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Bravada</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(OS)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Ram Pickup</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w:t>
            </w: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Intrigue GLS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(ECC/LED)</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DaimlerChrysler/</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Grand Cherokee Laredo</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w:t>
            </w:r>
          </w:p>
        </w:tc>
      </w:tr>
      <w:tr>
        <w:trPr>
          <w:trHeight w:val="169"/>
        </w:trPr>
        <w:tc>
          <w:tcPr>
            <w:tcW w:w="1660" w:type="dxa"/>
            <w:vAlign w:val="bottom"/>
          </w:tcPr>
          <w:p>
            <w:pPr>
              <w:spacing w:after="0"/>
              <w:rPr>
                <w:sz w:val="20"/>
                <w:szCs w:val="20"/>
                <w:color w:val="auto"/>
              </w:rPr>
            </w:pPr>
            <w:r>
              <w:rPr>
                <w:rFonts w:ascii="Courier New" w:cs="Courier New" w:eastAsia="Courier New" w:hAnsi="Courier New"/>
                <w:sz w:val="15"/>
                <w:szCs w:val="15"/>
                <w:color w:val="auto"/>
              </w:rPr>
              <w:t>GM/Pontiac</w:t>
            </w: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Bonneville SSE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(OS)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ind w:left="800"/>
              <w:spacing w:after="0"/>
              <w:rPr>
                <w:sz w:val="20"/>
                <w:szCs w:val="20"/>
                <w:color w:val="auto"/>
              </w:rPr>
            </w:pPr>
            <w:r>
              <w:rPr>
                <w:rFonts w:ascii="Courier New" w:cs="Courier New" w:eastAsia="Courier New" w:hAnsi="Courier New"/>
                <w:sz w:val="15"/>
                <w:szCs w:val="15"/>
                <w:color w:val="auto"/>
              </w:rPr>
              <w:t>Jeep</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w w:val="96"/>
              </w:rPr>
              <w:t>Grand Cherokee Limited</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w:t>
            </w:r>
          </w:p>
        </w:tc>
      </w:tr>
      <w:tr>
        <w:trPr>
          <w:trHeight w:val="169"/>
        </w:trPr>
        <w:tc>
          <w:tcPr>
            <w:tcW w:w="1660" w:type="dxa"/>
            <w:vAlign w:val="bottom"/>
          </w:tcPr>
          <w:p>
            <w:pPr>
              <w:spacing w:after="0"/>
              <w:rPr>
                <w:sz w:val="20"/>
                <w:szCs w:val="20"/>
                <w:color w:val="auto"/>
              </w:rPr>
            </w:pPr>
            <w:r>
              <w:rPr>
                <w:rFonts w:ascii="Courier New" w:cs="Courier New" w:eastAsia="Courier New" w:hAnsi="Courier New"/>
                <w:sz w:val="15"/>
                <w:szCs w:val="15"/>
                <w:color w:val="auto"/>
              </w:rPr>
              <w:t>GM/Chevrolet</w:t>
            </w: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Blazer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(OS)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w:t>
            </w:r>
          </w:p>
        </w:tc>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DaimlerChrysler/</w:t>
            </w:r>
          </w:p>
        </w:tc>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Prowler</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(ECC/LED) S</w:t>
            </w: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Silverado Pickup</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(ECC)</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w:t>
            </w:r>
          </w:p>
        </w:tc>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Plymouth</w:t>
            </w: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9"/>
        </w:trPr>
        <w:tc>
          <w:tcPr>
            <w:tcW w:w="1660" w:type="dxa"/>
            <w:vAlign w:val="bottom"/>
          </w:tcPr>
          <w:p>
            <w:pPr>
              <w:spacing w:after="0"/>
              <w:rPr>
                <w:sz w:val="14"/>
                <w:szCs w:val="14"/>
                <w:color w:val="auto"/>
              </w:rPr>
            </w:pPr>
          </w:p>
        </w:tc>
        <w:tc>
          <w:tcPr>
            <w:tcW w:w="340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8"/>
              </w:rPr>
              <w:t>Silverado Crew Cab Pickup  (ECC)</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w:t>
            </w:r>
          </w:p>
        </w:tc>
        <w:tc>
          <w:tcPr>
            <w:tcW w:w="2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Suburban</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(ECC/T)</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52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Tahoe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(ECC/T)</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9"/>
        </w:trPr>
        <w:tc>
          <w:tcPr>
            <w:tcW w:w="1660" w:type="dxa"/>
            <w:vAlign w:val="bottom"/>
          </w:tcPr>
          <w:p>
            <w:pPr>
              <w:spacing w:after="0"/>
              <w:rPr>
                <w:sz w:val="20"/>
                <w:szCs w:val="20"/>
                <w:color w:val="auto"/>
              </w:rPr>
            </w:pPr>
            <w:r>
              <w:rPr>
                <w:rFonts w:ascii="Courier New" w:cs="Courier New" w:eastAsia="Courier New" w:hAnsi="Courier New"/>
                <w:sz w:val="15"/>
                <w:szCs w:val="15"/>
                <w:color w:val="auto"/>
              </w:rPr>
              <w:t>GM/GMC</w:t>
            </w: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Denali</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(EH/ECC/T)</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Jimmy</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(OS)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w:t>
            </w:r>
          </w:p>
        </w:tc>
        <w:tc>
          <w:tcPr>
            <w:tcW w:w="42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KEY:   S = Standard equipment</w:t>
            </w:r>
          </w:p>
        </w:tc>
        <w:tc>
          <w:tcPr>
            <w:tcW w:w="1060" w:type="dxa"/>
            <w:vAlign w:val="bottom"/>
          </w:tcPr>
          <w:p>
            <w:pPr>
              <w:spacing w:after="0"/>
              <w:rPr>
                <w:sz w:val="14"/>
                <w:szCs w:val="14"/>
                <w:color w:val="auto"/>
              </w:rPr>
            </w:pP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Sierra Pickup</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(ECC)</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w:t>
            </w:r>
          </w:p>
        </w:tc>
        <w:tc>
          <w:tcPr>
            <w:tcW w:w="422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O = Optional equipment</w:t>
            </w:r>
          </w:p>
        </w:tc>
        <w:tc>
          <w:tcPr>
            <w:tcW w:w="1060" w:type="dxa"/>
            <w:vAlign w:val="bottom"/>
          </w:tcPr>
          <w:p>
            <w:pPr>
              <w:spacing w:after="0"/>
              <w:rPr>
                <w:sz w:val="14"/>
                <w:szCs w:val="14"/>
                <w:color w:val="auto"/>
              </w:rPr>
            </w:pP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w w:val="95"/>
              </w:rPr>
              <w:t>Sierra Crew Cab Pickup</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(ECC)</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w:t>
            </w:r>
          </w:p>
        </w:tc>
        <w:tc>
          <w:tcPr>
            <w:tcW w:w="422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   ECC offered as upgrade option</w:t>
            </w:r>
          </w:p>
        </w:tc>
        <w:tc>
          <w:tcPr>
            <w:tcW w:w="1060" w:type="dxa"/>
            <w:vAlign w:val="bottom"/>
          </w:tcPr>
          <w:p>
            <w:pPr>
              <w:spacing w:after="0"/>
              <w:rPr>
                <w:sz w:val="14"/>
                <w:szCs w:val="14"/>
                <w:color w:val="auto"/>
              </w:rPr>
            </w:pP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Yukon</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(ECC/T)</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Yukon XL</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(ECC/T)</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NVS(R) Mirror with:</w:t>
            </w: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9"/>
        </w:trPr>
        <w:tc>
          <w:tcPr>
            <w:tcW w:w="1660" w:type="dxa"/>
            <w:vAlign w:val="bottom"/>
          </w:tcPr>
          <w:p>
            <w:pPr>
              <w:spacing w:after="0"/>
              <w:rPr>
                <w:sz w:val="20"/>
                <w:szCs w:val="20"/>
                <w:color w:val="auto"/>
              </w:rPr>
            </w:pPr>
            <w:r>
              <w:rPr>
                <w:rFonts w:ascii="Courier New" w:cs="Courier New" w:eastAsia="Courier New" w:hAnsi="Courier New"/>
                <w:sz w:val="15"/>
                <w:szCs w:val="15"/>
                <w:color w:val="auto"/>
              </w:rPr>
              <w:t>Ford</w:t>
            </w: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Crown Victoria</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(ECC)</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w:t>
            </w:r>
          </w:p>
        </w:tc>
        <w:tc>
          <w:tcPr>
            <w:tcW w:w="422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EH = Automatic Headlamp Control</w:t>
            </w:r>
          </w:p>
        </w:tc>
        <w:tc>
          <w:tcPr>
            <w:tcW w:w="1060" w:type="dxa"/>
            <w:vAlign w:val="bottom"/>
          </w:tcPr>
          <w:p>
            <w:pPr>
              <w:spacing w:after="0"/>
              <w:rPr>
                <w:sz w:val="14"/>
                <w:szCs w:val="14"/>
                <w:color w:val="auto"/>
              </w:rPr>
            </w:pP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Expedition</w:t>
            </w:r>
          </w:p>
        </w:tc>
        <w:tc>
          <w:tcPr>
            <w:tcW w:w="9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w:t>
            </w:r>
          </w:p>
        </w:tc>
        <w:tc>
          <w:tcPr>
            <w:tcW w:w="422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ECC = Electronic Compass Display</w:t>
            </w:r>
          </w:p>
        </w:tc>
        <w:tc>
          <w:tcPr>
            <w:tcW w:w="1060" w:type="dxa"/>
            <w:vAlign w:val="bottom"/>
          </w:tcPr>
          <w:p>
            <w:pPr>
              <w:spacing w:after="0"/>
              <w:rPr>
                <w:sz w:val="14"/>
                <w:szCs w:val="14"/>
                <w:color w:val="auto"/>
              </w:rPr>
            </w:pP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w w:val="95"/>
              </w:rPr>
              <w:t>Explorer (Limited, EB)</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(EH)</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5280" w:type="dxa"/>
            <w:vAlign w:val="bottom"/>
            <w:gridSpan w:val="3"/>
          </w:tcPr>
          <w:p>
            <w:pPr>
              <w:ind w:left="880"/>
              <w:spacing w:after="0"/>
              <w:rPr>
                <w:sz w:val="20"/>
                <w:szCs w:val="20"/>
                <w:color w:val="auto"/>
              </w:rPr>
            </w:pPr>
            <w:r>
              <w:rPr>
                <w:rFonts w:ascii="Courier New" w:cs="Courier New" w:eastAsia="Courier New" w:hAnsi="Courier New"/>
                <w:sz w:val="15"/>
                <w:szCs w:val="15"/>
                <w:color w:val="auto"/>
                <w:w w:val="97"/>
              </w:rPr>
              <w:t>ECC/T = Electronic Compass and Temperature Display</w:t>
            </w: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Explorer (Sport, XLT)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(EH)</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w:t>
            </w:r>
          </w:p>
        </w:tc>
        <w:tc>
          <w:tcPr>
            <w:tcW w:w="2200" w:type="dxa"/>
            <w:vAlign w:val="bottom"/>
          </w:tcPr>
          <w:p>
            <w:pPr>
              <w:ind w:left="880"/>
              <w:spacing w:after="0"/>
              <w:rPr>
                <w:sz w:val="20"/>
                <w:szCs w:val="20"/>
                <w:color w:val="auto"/>
              </w:rPr>
            </w:pPr>
            <w:r>
              <w:rPr>
                <w:rFonts w:ascii="Courier New" w:cs="Courier New" w:eastAsia="Courier New" w:hAnsi="Courier New"/>
                <w:sz w:val="15"/>
                <w:szCs w:val="15"/>
                <w:color w:val="auto"/>
              </w:rPr>
              <w:t>OS = OnStar(R)</w:t>
            </w: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F-Series Pickup</w:t>
            </w:r>
          </w:p>
        </w:tc>
        <w:tc>
          <w:tcPr>
            <w:tcW w:w="9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w:t>
            </w:r>
          </w:p>
        </w:tc>
        <w:tc>
          <w:tcPr>
            <w:tcW w:w="422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LED = LED Map Lights</w:t>
            </w:r>
          </w:p>
        </w:tc>
        <w:tc>
          <w:tcPr>
            <w:tcW w:w="1060" w:type="dxa"/>
            <w:vAlign w:val="bottom"/>
          </w:tcPr>
          <w:p>
            <w:pPr>
              <w:spacing w:after="0"/>
              <w:rPr>
                <w:sz w:val="14"/>
                <w:szCs w:val="14"/>
                <w:color w:val="auto"/>
              </w:rPr>
            </w:pP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Windstar SE</w:t>
            </w:r>
          </w:p>
        </w:tc>
        <w:tc>
          <w:tcPr>
            <w:tcW w:w="9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w:t>
            </w:r>
          </w:p>
        </w:tc>
        <w:tc>
          <w:tcPr>
            <w:tcW w:w="2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9"/>
        </w:trPr>
        <w:tc>
          <w:tcPr>
            <w:tcW w:w="16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Windstar SEL</w:t>
            </w:r>
          </w:p>
        </w:tc>
        <w:tc>
          <w:tcPr>
            <w:tcW w:w="9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7"/>
        </w:trPr>
        <w:tc>
          <w:tcPr>
            <w:tcW w:w="1660" w:type="dxa"/>
            <w:vAlign w:val="bottom"/>
          </w:tcPr>
          <w:p>
            <w:pPr>
              <w:spacing w:after="0"/>
              <w:rPr>
                <w:sz w:val="24"/>
                <w:szCs w:val="24"/>
                <w:color w:val="auto"/>
              </w:rPr>
            </w:pPr>
          </w:p>
        </w:tc>
        <w:tc>
          <w:tcPr>
            <w:tcW w:w="2460" w:type="dxa"/>
            <w:vAlign w:val="bottom"/>
          </w:tcPr>
          <w:p>
            <w:pPr>
              <w:ind w:left="1760"/>
              <w:spacing w:after="0"/>
              <w:rPr>
                <w:sz w:val="20"/>
                <w:szCs w:val="20"/>
                <w:color w:val="auto"/>
              </w:rPr>
            </w:pPr>
            <w:r>
              <w:rPr>
                <w:rFonts w:ascii="Courier New" w:cs="Courier New" w:eastAsia="Courier New" w:hAnsi="Courier New"/>
                <w:sz w:val="15"/>
                <w:szCs w:val="15"/>
                <w:color w:val="auto"/>
              </w:rPr>
              <w:t>-3-</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820"/>
          </w:cols>
          <w:pgMar w:left="320" w:top="283" w:right="759"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TABLE 1.</w:t>
      </w:r>
      <w:r>
        <w:rPr>
          <w:sz w:val="20"/>
          <w:szCs w:val="20"/>
          <w:color w:val="auto"/>
        </w:rPr>
        <w:tab/>
      </w:r>
      <w:r>
        <w:rPr>
          <w:rFonts w:ascii="Courier New" w:cs="Courier New" w:eastAsia="Courier New" w:hAnsi="Courier New"/>
          <w:sz w:val="14"/>
          <w:szCs w:val="14"/>
          <w:color w:val="auto"/>
        </w:rPr>
        <w:t>INTERIOR NVS(R) MIRROR AVAILABILITY BY VEHICLE LINE (MANUFACTURERS OUTSIDE OF NORTH AMERICA)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Audi</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A8</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Porsche</w:t>
            </w:r>
          </w:p>
        </w:tc>
        <w:tc>
          <w:tcPr>
            <w:tcW w:w="1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911</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w:t>
            </w:r>
          </w:p>
        </w:tc>
      </w:tr>
      <w:tr>
        <w:trPr>
          <w:trHeight w:val="169"/>
        </w:trPr>
        <w:tc>
          <w:tcPr>
            <w:tcW w:w="1920" w:type="dxa"/>
            <w:vAlign w:val="bottom"/>
          </w:tcPr>
          <w:p>
            <w:pPr>
              <w:spacing w:after="0"/>
              <w:rPr>
                <w:sz w:val="20"/>
                <w:szCs w:val="20"/>
                <w:color w:val="auto"/>
              </w:rPr>
            </w:pPr>
            <w:r>
              <w:rPr>
                <w:rFonts w:ascii="Courier New" w:cs="Courier New" w:eastAsia="Courier New" w:hAnsi="Courier New"/>
                <w:sz w:val="15"/>
                <w:szCs w:val="15"/>
                <w:color w:val="auto"/>
              </w:rPr>
              <w:t>Bentley</w:t>
            </w:r>
          </w:p>
        </w:tc>
        <w:tc>
          <w:tcPr>
            <w:tcW w:w="2200" w:type="dxa"/>
            <w:vAlign w:val="bottom"/>
          </w:tcPr>
          <w:p>
            <w:pPr>
              <w:spacing w:after="0"/>
              <w:rPr>
                <w:sz w:val="14"/>
                <w:szCs w:val="14"/>
                <w:color w:val="auto"/>
              </w:rPr>
            </w:pP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(RKE) S</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Rolls Royce</w:t>
            </w:r>
          </w:p>
        </w:tc>
        <w:tc>
          <w:tcPr>
            <w:tcW w:w="1580" w:type="dxa"/>
            <w:vAlign w:val="bottom"/>
          </w:tcPr>
          <w:p>
            <w:pPr>
              <w:spacing w:after="0"/>
              <w:rPr>
                <w:sz w:val="14"/>
                <w:szCs w:val="14"/>
                <w:color w:val="auto"/>
              </w:rPr>
            </w:pP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(RKE) S</w:t>
            </w:r>
          </w:p>
        </w:tc>
      </w:tr>
      <w:tr>
        <w:trPr>
          <w:trHeight w:val="169"/>
        </w:trPr>
        <w:tc>
          <w:tcPr>
            <w:tcW w:w="1920" w:type="dxa"/>
            <w:vAlign w:val="bottom"/>
          </w:tcPr>
          <w:p>
            <w:pPr>
              <w:spacing w:after="0"/>
              <w:rPr>
                <w:sz w:val="20"/>
                <w:szCs w:val="20"/>
                <w:color w:val="auto"/>
              </w:rPr>
            </w:pPr>
            <w:r>
              <w:rPr>
                <w:rFonts w:ascii="Courier New" w:cs="Courier New" w:eastAsia="Courier New" w:hAnsi="Courier New"/>
                <w:sz w:val="15"/>
                <w:szCs w:val="15"/>
                <w:color w:val="auto"/>
              </w:rPr>
              <w:t>BMW</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800 Series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Samsung</w:t>
            </w:r>
          </w:p>
        </w:tc>
        <w:tc>
          <w:tcPr>
            <w:tcW w:w="1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SM5</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w:t>
            </w: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700 Series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Southeast Toyota/</w:t>
            </w: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4-Runner</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w:t>
            </w: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500 Series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250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Gulf States Toyota</w:t>
            </w: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Avalon XL</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(ECC/T) O</w:t>
            </w: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300 Series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Avalon XLS</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(ECC) O</w:t>
            </w: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X5 SAV</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Camry</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(ECC/T) O</w:t>
            </w:r>
          </w:p>
        </w:tc>
      </w:tr>
      <w:tr>
        <w:trPr>
          <w:trHeight w:val="169"/>
        </w:trPr>
        <w:tc>
          <w:tcPr>
            <w:tcW w:w="1920" w:type="dxa"/>
            <w:vAlign w:val="bottom"/>
          </w:tcPr>
          <w:p>
            <w:pPr>
              <w:spacing w:after="0"/>
              <w:rPr>
                <w:sz w:val="20"/>
                <w:szCs w:val="20"/>
                <w:color w:val="auto"/>
              </w:rPr>
            </w:pPr>
            <w:r>
              <w:rPr>
                <w:rFonts w:ascii="Courier New" w:cs="Courier New" w:eastAsia="Courier New" w:hAnsi="Courier New"/>
                <w:sz w:val="15"/>
                <w:szCs w:val="15"/>
                <w:color w:val="auto"/>
              </w:rPr>
              <w:t>Daewoo</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Brougham</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Celica</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w:t>
            </w: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Chairman</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Land Cruiser</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w:t>
            </w: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Korando</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T-100</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w:t>
            </w: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Musso  SUV</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Tundra</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w:t>
            </w:r>
          </w:p>
        </w:tc>
      </w:tr>
      <w:tr>
        <w:trPr>
          <w:trHeight w:val="169"/>
        </w:trPr>
        <w:tc>
          <w:tcPr>
            <w:tcW w:w="1920" w:type="dxa"/>
            <w:vAlign w:val="bottom"/>
          </w:tcPr>
          <w:p>
            <w:pPr>
              <w:spacing w:after="0"/>
              <w:rPr>
                <w:sz w:val="20"/>
                <w:szCs w:val="20"/>
                <w:color w:val="auto"/>
              </w:rPr>
            </w:pPr>
            <w:r>
              <w:rPr>
                <w:rFonts w:ascii="Courier New" w:cs="Courier New" w:eastAsia="Courier New" w:hAnsi="Courier New"/>
                <w:sz w:val="15"/>
                <w:szCs w:val="15"/>
                <w:color w:val="auto"/>
              </w:rPr>
              <w:t>Fiat</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Alfa Romeo 164</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408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Subaru New England Dist. Forester</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w:t>
            </w: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Lancia Dedra</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Legacy</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w:t>
            </w: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Lancia Kappa</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Outback</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w:t>
            </w:r>
          </w:p>
        </w:tc>
      </w:tr>
      <w:tr>
        <w:trPr>
          <w:trHeight w:val="169"/>
        </w:trPr>
        <w:tc>
          <w:tcPr>
            <w:tcW w:w="1920" w:type="dxa"/>
            <w:vAlign w:val="bottom"/>
          </w:tcPr>
          <w:p>
            <w:pPr>
              <w:spacing w:after="0"/>
              <w:rPr>
                <w:sz w:val="20"/>
                <w:szCs w:val="20"/>
                <w:color w:val="auto"/>
              </w:rPr>
            </w:pPr>
            <w:r>
              <w:rPr>
                <w:rFonts w:ascii="Courier New" w:cs="Courier New" w:eastAsia="Courier New" w:hAnsi="Courier New"/>
                <w:sz w:val="15"/>
                <w:szCs w:val="15"/>
                <w:color w:val="auto"/>
              </w:rPr>
              <w:t>GM China</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Buick Century/Regal</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Toyota</w:t>
            </w:r>
          </w:p>
        </w:tc>
        <w:tc>
          <w:tcPr>
            <w:tcW w:w="1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Avalon</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w:t>
            </w:r>
          </w:p>
        </w:tc>
      </w:tr>
      <w:tr>
        <w:trPr>
          <w:trHeight w:val="169"/>
        </w:trPr>
        <w:tc>
          <w:tcPr>
            <w:tcW w:w="1920" w:type="dxa"/>
            <w:vAlign w:val="bottom"/>
          </w:tcPr>
          <w:p>
            <w:pPr>
              <w:spacing w:after="0"/>
              <w:rPr>
                <w:sz w:val="20"/>
                <w:szCs w:val="20"/>
                <w:color w:val="auto"/>
              </w:rPr>
            </w:pPr>
            <w:r>
              <w:rPr>
                <w:rFonts w:ascii="Courier New" w:cs="Courier New" w:eastAsia="Courier New" w:hAnsi="Courier New"/>
                <w:sz w:val="15"/>
                <w:szCs w:val="15"/>
                <w:color w:val="auto"/>
              </w:rPr>
              <w:t>Hyundai/</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Dynasty</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Camry Solara</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w:t>
            </w:r>
          </w:p>
        </w:tc>
      </w:tr>
      <w:tr>
        <w:trPr>
          <w:trHeight w:val="169"/>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Hyundai Precision</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Grandeur</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Toyota Motor Service</w:t>
            </w: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Avalon</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w:t>
            </w: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Sonata</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Camry</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w:t>
            </w: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Marcia</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Celica</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w:t>
            </w: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Tiburon</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Sienna</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w:t>
            </w:r>
          </w:p>
        </w:tc>
      </w:tr>
      <w:tr>
        <w:trPr>
          <w:trHeight w:val="169"/>
        </w:trPr>
        <w:tc>
          <w:tcPr>
            <w:tcW w:w="1920" w:type="dxa"/>
            <w:vAlign w:val="bottom"/>
          </w:tcPr>
          <w:p>
            <w:pPr>
              <w:spacing w:after="0"/>
              <w:rPr>
                <w:sz w:val="20"/>
                <w:szCs w:val="20"/>
                <w:color w:val="auto"/>
              </w:rPr>
            </w:pPr>
            <w:r>
              <w:rPr>
                <w:rFonts w:ascii="Courier New" w:cs="Courier New" w:eastAsia="Courier New" w:hAnsi="Courier New"/>
                <w:sz w:val="15"/>
                <w:szCs w:val="15"/>
                <w:color w:val="auto"/>
              </w:rPr>
              <w:t>Infiniti</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Q45</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Tundra</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w:t>
            </w: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I30</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20"/>
                <w:szCs w:val="20"/>
                <w:color w:val="auto"/>
              </w:rPr>
            </w:pPr>
            <w:r>
              <w:rPr>
                <w:rFonts w:ascii="Courier New" w:cs="Courier New" w:eastAsia="Courier New" w:hAnsi="Courier New"/>
                <w:sz w:val="15"/>
                <w:szCs w:val="15"/>
                <w:color w:val="auto"/>
              </w:rPr>
              <w:t>KIA Motors Corp.</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Potentia (3.0 L)</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Potentia (2.2 L)</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Credos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Enterprise</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20"/>
                <w:szCs w:val="20"/>
                <w:color w:val="auto"/>
              </w:rPr>
            </w:pPr>
            <w:r>
              <w:rPr>
                <w:rFonts w:ascii="Courier New" w:cs="Courier New" w:eastAsia="Courier New" w:hAnsi="Courier New"/>
                <w:sz w:val="15"/>
                <w:szCs w:val="15"/>
                <w:color w:val="auto"/>
              </w:rPr>
              <w:t>Land Rover</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Discovery</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(ECC) 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Range Rover</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20"/>
                <w:szCs w:val="20"/>
                <w:color w:val="auto"/>
              </w:rPr>
            </w:pPr>
            <w:r>
              <w:rPr>
                <w:rFonts w:ascii="Courier New" w:cs="Courier New" w:eastAsia="Courier New" w:hAnsi="Courier New"/>
                <w:sz w:val="15"/>
                <w:szCs w:val="15"/>
                <w:color w:val="auto"/>
              </w:rPr>
              <w:t>Lexus</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GS300</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GS400</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LS400</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RX300</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SC300</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LX470</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SC400</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20"/>
                <w:szCs w:val="20"/>
                <w:color w:val="auto"/>
              </w:rPr>
            </w:pPr>
            <w:r>
              <w:rPr>
                <w:rFonts w:ascii="Courier New" w:cs="Courier New" w:eastAsia="Courier New" w:hAnsi="Courier New"/>
                <w:sz w:val="15"/>
                <w:szCs w:val="15"/>
                <w:color w:val="auto"/>
              </w:rPr>
              <w:t>DaimlerChrysler/</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C Class Sedan</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Mercedes-Benz</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CLK Coupe</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CLK Convertible</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E Class Convertible</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E Class Sedan</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ML320 SUV</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ML430 SUV</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ind w:left="740"/>
              <w:spacing w:after="0"/>
              <w:rPr>
                <w:sz w:val="20"/>
                <w:szCs w:val="20"/>
                <w:color w:val="auto"/>
              </w:rPr>
            </w:pPr>
            <w:r>
              <w:rPr>
                <w:rFonts w:ascii="Courier New" w:cs="Courier New" w:eastAsia="Courier New" w:hAnsi="Courier New"/>
                <w:sz w:val="15"/>
                <w:szCs w:val="15"/>
                <w:color w:val="auto"/>
                <w:w w:val="94"/>
              </w:rPr>
              <w:t>KEY:</w:t>
            </w:r>
          </w:p>
        </w:tc>
        <w:tc>
          <w:tcPr>
            <w:tcW w:w="29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 = Standard equipment</w:t>
            </w: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ML55 SUV</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spacing w:after="0"/>
              <w:rPr>
                <w:sz w:val="14"/>
                <w:szCs w:val="14"/>
                <w:color w:val="auto"/>
              </w:rPr>
            </w:pPr>
          </w:p>
        </w:tc>
        <w:tc>
          <w:tcPr>
            <w:tcW w:w="29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 = Optional equipment</w:t>
            </w: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S Class Coupe</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S Class Sedan</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5840" w:type="dxa"/>
            <w:vAlign w:val="bottom"/>
            <w:gridSpan w:val="4"/>
          </w:tcPr>
          <w:p>
            <w:pPr>
              <w:ind w:left="740"/>
              <w:spacing w:after="0"/>
              <w:rPr>
                <w:sz w:val="20"/>
                <w:szCs w:val="20"/>
                <w:color w:val="auto"/>
              </w:rPr>
            </w:pPr>
            <w:r>
              <w:rPr>
                <w:rFonts w:ascii="Courier New" w:cs="Courier New" w:eastAsia="Courier New" w:hAnsi="Courier New"/>
                <w:sz w:val="15"/>
                <w:szCs w:val="15"/>
                <w:color w:val="auto"/>
              </w:rPr>
              <w:t>EH = NVS(R) Mirror with Automatic Headlamp Control</w:t>
            </w: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SL Roadster</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4080" w:type="dxa"/>
            <w:vAlign w:val="bottom"/>
            <w:gridSpan w:val="3"/>
          </w:tcPr>
          <w:p>
            <w:pPr>
              <w:ind w:left="740"/>
              <w:spacing w:after="0"/>
              <w:rPr>
                <w:sz w:val="20"/>
                <w:szCs w:val="20"/>
                <w:color w:val="auto"/>
              </w:rPr>
            </w:pPr>
            <w:r>
              <w:rPr>
                <w:rFonts w:ascii="Courier New" w:cs="Courier New" w:eastAsia="Courier New" w:hAnsi="Courier New"/>
                <w:sz w:val="15"/>
                <w:szCs w:val="15"/>
                <w:color w:val="auto"/>
              </w:rPr>
              <w:t>EL = NVS(R) Mirror with Map Lights</w:t>
            </w: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20"/>
                <w:szCs w:val="20"/>
                <w:color w:val="auto"/>
              </w:rPr>
            </w:pPr>
            <w:r>
              <w:rPr>
                <w:rFonts w:ascii="Courier New" w:cs="Courier New" w:eastAsia="Courier New" w:hAnsi="Courier New"/>
                <w:sz w:val="15"/>
                <w:szCs w:val="15"/>
                <w:color w:val="auto"/>
              </w:rPr>
              <w:t>Mitsubishi</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Montero Sport SUV</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(ECC/T) O</w:t>
            </w:r>
          </w:p>
        </w:tc>
        <w:tc>
          <w:tcPr>
            <w:tcW w:w="5840" w:type="dxa"/>
            <w:vAlign w:val="bottom"/>
            <w:gridSpan w:val="4"/>
          </w:tcPr>
          <w:p>
            <w:pPr>
              <w:ind w:left="740"/>
              <w:spacing w:after="0"/>
              <w:rPr>
                <w:sz w:val="20"/>
                <w:szCs w:val="20"/>
                <w:color w:val="auto"/>
              </w:rPr>
            </w:pPr>
            <w:r>
              <w:rPr>
                <w:rFonts w:ascii="Courier New" w:cs="Courier New" w:eastAsia="Courier New" w:hAnsi="Courier New"/>
                <w:sz w:val="15"/>
                <w:szCs w:val="15"/>
                <w:color w:val="auto"/>
              </w:rPr>
              <w:t>ECC = NVS(R)Mirror with Electronic Compass Display</w:t>
            </w:r>
          </w:p>
        </w:tc>
      </w:tr>
      <w:tr>
        <w:trPr>
          <w:trHeight w:val="169"/>
        </w:trPr>
        <w:tc>
          <w:tcPr>
            <w:tcW w:w="1920" w:type="dxa"/>
            <w:vAlign w:val="bottom"/>
          </w:tcPr>
          <w:p>
            <w:pPr>
              <w:spacing w:after="0"/>
              <w:rPr>
                <w:sz w:val="20"/>
                <w:szCs w:val="20"/>
                <w:color w:val="auto"/>
              </w:rPr>
            </w:pPr>
            <w:r>
              <w:rPr>
                <w:rFonts w:ascii="Courier New" w:cs="Courier New" w:eastAsia="Courier New" w:hAnsi="Courier New"/>
                <w:sz w:val="15"/>
                <w:szCs w:val="15"/>
                <w:color w:val="auto"/>
              </w:rPr>
              <w:t>Nissan</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Cima</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5840" w:type="dxa"/>
            <w:vAlign w:val="bottom"/>
            <w:gridSpan w:val="4"/>
          </w:tcPr>
          <w:p>
            <w:pPr>
              <w:ind w:left="740"/>
              <w:spacing w:after="0"/>
              <w:rPr>
                <w:sz w:val="20"/>
                <w:szCs w:val="20"/>
                <w:color w:val="auto"/>
              </w:rPr>
            </w:pPr>
            <w:r>
              <w:rPr>
                <w:rFonts w:ascii="Courier New" w:cs="Courier New" w:eastAsia="Courier New" w:hAnsi="Courier New"/>
                <w:sz w:val="15"/>
                <w:szCs w:val="15"/>
                <w:color w:val="auto"/>
                <w:w w:val="97"/>
              </w:rPr>
              <w:t>ECC/T = NVS(R) Mirror w/Electronic Compass and Temperature</w:t>
            </w:r>
          </w:p>
        </w:tc>
      </w:tr>
      <w:tr>
        <w:trPr>
          <w:trHeight w:val="169"/>
        </w:trPr>
        <w:tc>
          <w:tcPr>
            <w:tcW w:w="19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Courier New" w:cs="Courier New" w:eastAsia="Courier New" w:hAnsi="Courier New"/>
                <w:sz w:val="15"/>
                <w:szCs w:val="15"/>
                <w:color w:val="auto"/>
              </w:rPr>
              <w:t>Display</w:t>
            </w: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Cedric</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250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RKE = NVS(R) Mirror</w:t>
            </w: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with Remote Keyless Entry</w:t>
            </w: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Cefiro</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2500" w:type="dxa"/>
            <w:vAlign w:val="bottom"/>
            <w:gridSpan w:val="2"/>
          </w:tcPr>
          <w:p>
            <w:pPr>
              <w:ind w:left="740"/>
              <w:spacing w:after="0"/>
              <w:rPr>
                <w:sz w:val="20"/>
                <w:szCs w:val="20"/>
                <w:color w:val="auto"/>
              </w:rPr>
            </w:pPr>
            <w:r>
              <w:rPr>
                <w:rFonts w:ascii="Courier New" w:cs="Courier New" w:eastAsia="Courier New" w:hAnsi="Courier New"/>
                <w:sz w:val="15"/>
                <w:szCs w:val="15"/>
                <w:color w:val="auto"/>
                <w:w w:val="96"/>
              </w:rPr>
              <w:t>LED = LED Map Lights</w:t>
            </w: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Gloria</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Leopard</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Laurel</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920" w:type="dxa"/>
            <w:vAlign w:val="bottom"/>
          </w:tcPr>
          <w:p>
            <w:pPr>
              <w:spacing w:after="0"/>
              <w:rPr>
                <w:sz w:val="20"/>
                <w:szCs w:val="20"/>
                <w:color w:val="auto"/>
              </w:rPr>
            </w:pPr>
            <w:r>
              <w:rPr>
                <w:rFonts w:ascii="Courier New" w:cs="Courier New" w:eastAsia="Courier New" w:hAnsi="Courier New"/>
                <w:sz w:val="15"/>
                <w:szCs w:val="15"/>
                <w:color w:val="auto"/>
              </w:rPr>
              <w:t>Opel</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Omega</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340"/>
          </w:cols>
          <w:pgMar w:left="320" w:top="28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2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8"/>
        </w:trPr>
        <w:tc>
          <w:tcPr>
            <w:tcW w:w="6420" w:type="dxa"/>
            <w:vAlign w:val="bottom"/>
            <w:gridSpan w:val="4"/>
          </w:tcPr>
          <w:p>
            <w:pPr>
              <w:ind w:left="780"/>
              <w:spacing w:after="0"/>
              <w:rPr>
                <w:sz w:val="20"/>
                <w:szCs w:val="20"/>
                <w:color w:val="auto"/>
              </w:rPr>
            </w:pPr>
            <w:r>
              <w:rPr>
                <w:rFonts w:ascii="Courier New" w:cs="Courier New" w:eastAsia="Courier New" w:hAnsi="Courier New"/>
                <w:sz w:val="15"/>
                <w:szCs w:val="15"/>
                <w:color w:val="auto"/>
              </w:rPr>
              <w:t>Exterior NVS(R) Mirror Sub-Assemblies. The Company has devoted</w:t>
            </w:r>
          </w:p>
        </w:tc>
        <w:tc>
          <w:tcPr>
            <w:tcW w:w="1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9"/>
        </w:trPr>
        <w:tc>
          <w:tcPr>
            <w:tcW w:w="6420" w:type="dxa"/>
            <w:vAlign w:val="bottom"/>
            <w:gridSpan w:val="4"/>
          </w:tcPr>
          <w:p>
            <w:pPr>
              <w:spacing w:after="0"/>
              <w:rPr>
                <w:sz w:val="20"/>
                <w:szCs w:val="20"/>
                <w:color w:val="auto"/>
              </w:rPr>
            </w:pPr>
            <w:r>
              <w:rPr>
                <w:rFonts w:ascii="Courier New" w:cs="Courier New" w:eastAsia="Courier New" w:hAnsi="Courier New"/>
                <w:sz w:val="15"/>
                <w:szCs w:val="15"/>
                <w:color w:val="auto"/>
              </w:rPr>
              <w:t>substantial research and development efforts to the development of its</w:t>
            </w:r>
          </w:p>
        </w:tc>
        <w:tc>
          <w:tcPr>
            <w:tcW w:w="1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6420" w:type="dxa"/>
            <w:vAlign w:val="bottom"/>
            <w:gridSpan w:val="4"/>
          </w:tcPr>
          <w:p>
            <w:pPr>
              <w:spacing w:after="0"/>
              <w:rPr>
                <w:sz w:val="20"/>
                <w:szCs w:val="20"/>
                <w:color w:val="auto"/>
              </w:rPr>
            </w:pPr>
            <w:r>
              <w:rPr>
                <w:rFonts w:ascii="Courier New" w:cs="Courier New" w:eastAsia="Courier New" w:hAnsi="Courier New"/>
                <w:sz w:val="15"/>
                <w:szCs w:val="15"/>
                <w:color w:val="auto"/>
                <w:w w:val="97"/>
              </w:rPr>
              <w:t>electrochromic technology to permit its use in exterior rearview mirrors.</w:t>
            </w:r>
          </w:p>
        </w:tc>
        <w:tc>
          <w:tcPr>
            <w:tcW w:w="1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8360" w:type="dxa"/>
            <w:vAlign w:val="bottom"/>
            <w:gridSpan w:val="5"/>
          </w:tcPr>
          <w:p>
            <w:pPr>
              <w:spacing w:after="0"/>
              <w:rPr>
                <w:sz w:val="20"/>
                <w:szCs w:val="20"/>
                <w:color w:val="auto"/>
              </w:rPr>
            </w:pPr>
            <w:r>
              <w:rPr>
                <w:rFonts w:ascii="Courier New" w:cs="Courier New" w:eastAsia="Courier New" w:hAnsi="Courier New"/>
                <w:sz w:val="15"/>
                <w:szCs w:val="15"/>
                <w:color w:val="auto"/>
              </w:rPr>
              <w:t>Exterior NVS(R) mirrors are controlled by the sensors and electronic circuitry</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8360" w:type="dxa"/>
            <w:vAlign w:val="bottom"/>
            <w:gridSpan w:val="5"/>
          </w:tcPr>
          <w:p>
            <w:pPr>
              <w:spacing w:after="0"/>
              <w:rPr>
                <w:sz w:val="20"/>
                <w:szCs w:val="20"/>
                <w:color w:val="auto"/>
              </w:rPr>
            </w:pPr>
            <w:r>
              <w:rPr>
                <w:rFonts w:ascii="Courier New" w:cs="Courier New" w:eastAsia="Courier New" w:hAnsi="Courier New"/>
                <w:sz w:val="15"/>
                <w:szCs w:val="15"/>
                <w:color w:val="auto"/>
              </w:rPr>
              <w:t>in the interior NVS(R) Mirror, and both the interior and exterior mirrors dim</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5460" w:type="dxa"/>
            <w:vAlign w:val="bottom"/>
            <w:gridSpan w:val="3"/>
          </w:tcPr>
          <w:p>
            <w:pPr>
              <w:spacing w:after="0"/>
              <w:rPr>
                <w:sz w:val="20"/>
                <w:szCs w:val="20"/>
                <w:color w:val="auto"/>
              </w:rPr>
            </w:pPr>
            <w:r>
              <w:rPr>
                <w:rFonts w:ascii="Courier New" w:cs="Courier New" w:eastAsia="Courier New" w:hAnsi="Courier New"/>
                <w:sz w:val="15"/>
                <w:szCs w:val="15"/>
                <w:color w:val="auto"/>
                <w:w w:val="99"/>
              </w:rPr>
              <w:t>simultaneously. During 1991, the Company's efforts culminated</w:t>
            </w:r>
          </w:p>
        </w:tc>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in a design that</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8360" w:type="dxa"/>
            <w:vAlign w:val="bottom"/>
            <w:gridSpan w:val="5"/>
          </w:tcPr>
          <w:p>
            <w:pPr>
              <w:spacing w:after="0"/>
              <w:rPr>
                <w:sz w:val="20"/>
                <w:szCs w:val="20"/>
                <w:color w:val="auto"/>
              </w:rPr>
            </w:pPr>
            <w:r>
              <w:rPr>
                <w:rFonts w:ascii="Courier New" w:cs="Courier New" w:eastAsia="Courier New" w:hAnsi="Courier New"/>
                <w:sz w:val="15"/>
                <w:szCs w:val="15"/>
                <w:color w:val="auto"/>
              </w:rPr>
              <w:t>is intended to provide acceptable long-term performance in all environments</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8360" w:type="dxa"/>
            <w:vAlign w:val="bottom"/>
            <w:gridSpan w:val="5"/>
          </w:tcPr>
          <w:p>
            <w:pPr>
              <w:spacing w:after="0"/>
              <w:rPr>
                <w:sz w:val="20"/>
                <w:szCs w:val="20"/>
                <w:color w:val="auto"/>
              </w:rPr>
            </w:pPr>
            <w:r>
              <w:rPr>
                <w:rFonts w:ascii="Courier New" w:cs="Courier New" w:eastAsia="Courier New" w:hAnsi="Courier New"/>
                <w:sz w:val="15"/>
                <w:szCs w:val="15"/>
                <w:color w:val="auto"/>
              </w:rPr>
              <w:t>likely to be encountered. In 1994, the Company began shipments of its complete</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8360" w:type="dxa"/>
            <w:vAlign w:val="bottom"/>
            <w:gridSpan w:val="5"/>
          </w:tcPr>
          <w:p>
            <w:pPr>
              <w:spacing w:after="0"/>
              <w:rPr>
                <w:sz w:val="20"/>
                <w:szCs w:val="20"/>
                <w:color w:val="auto"/>
              </w:rPr>
            </w:pPr>
            <w:r>
              <w:rPr>
                <w:rFonts w:ascii="Courier New" w:cs="Courier New" w:eastAsia="Courier New" w:hAnsi="Courier New"/>
                <w:sz w:val="15"/>
                <w:szCs w:val="15"/>
                <w:color w:val="auto"/>
              </w:rPr>
              <w:t>three-mirror system, including the convex (curved glass) wide-angle NVS(R)</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8360" w:type="dxa"/>
            <w:vAlign w:val="bottom"/>
            <w:gridSpan w:val="5"/>
          </w:tcPr>
          <w:p>
            <w:pPr>
              <w:spacing w:after="0"/>
              <w:rPr>
                <w:sz w:val="20"/>
                <w:szCs w:val="20"/>
                <w:color w:val="auto"/>
              </w:rPr>
            </w:pPr>
            <w:r>
              <w:rPr>
                <w:rFonts w:ascii="Courier New" w:cs="Courier New" w:eastAsia="Courier New" w:hAnsi="Courier New"/>
                <w:sz w:val="15"/>
                <w:szCs w:val="15"/>
                <w:color w:val="auto"/>
              </w:rPr>
              <w:t>Mirror to BMW. During 1997, the Company began making volume shipments of three</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8360" w:type="dxa"/>
            <w:vAlign w:val="bottom"/>
            <w:gridSpan w:val="5"/>
          </w:tcPr>
          <w:p>
            <w:pPr>
              <w:spacing w:after="0"/>
              <w:rPr>
                <w:sz w:val="20"/>
                <w:szCs w:val="20"/>
                <w:color w:val="auto"/>
              </w:rPr>
            </w:pPr>
            <w:r>
              <w:rPr>
                <w:rFonts w:ascii="Courier New" w:cs="Courier New" w:eastAsia="Courier New" w:hAnsi="Courier New"/>
                <w:sz w:val="15"/>
                <w:szCs w:val="15"/>
                <w:color w:val="auto"/>
              </w:rPr>
              <w:t>new exterior mirror products - - thin glass flat, convex and aspheric. The</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6420" w:type="dxa"/>
            <w:vAlign w:val="bottom"/>
            <w:gridSpan w:val="4"/>
          </w:tcPr>
          <w:p>
            <w:pPr>
              <w:spacing w:after="0"/>
              <w:rPr>
                <w:sz w:val="20"/>
                <w:szCs w:val="20"/>
                <w:color w:val="auto"/>
              </w:rPr>
            </w:pPr>
            <w:r>
              <w:rPr>
                <w:rFonts w:ascii="Courier New" w:cs="Courier New" w:eastAsia="Courier New" w:hAnsi="Courier New"/>
                <w:sz w:val="15"/>
                <w:szCs w:val="15"/>
                <w:color w:val="auto"/>
                <w:w w:val="98"/>
              </w:rPr>
              <w:t>Company currently sells its exterior NVS(R) Mirror Sub-Assemblies to ten</w:t>
            </w:r>
          </w:p>
        </w:tc>
        <w:tc>
          <w:tcPr>
            <w:tcW w:w="1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5460" w:type="dxa"/>
            <w:vAlign w:val="bottom"/>
            <w:gridSpan w:val="3"/>
          </w:tcPr>
          <w:p>
            <w:pPr>
              <w:spacing w:after="0"/>
              <w:rPr>
                <w:sz w:val="20"/>
                <w:szCs w:val="20"/>
                <w:color w:val="auto"/>
              </w:rPr>
            </w:pPr>
            <w:r>
              <w:rPr>
                <w:rFonts w:ascii="Courier New" w:cs="Courier New" w:eastAsia="Courier New" w:hAnsi="Courier New"/>
                <w:sz w:val="15"/>
                <w:szCs w:val="15"/>
                <w:color w:val="auto"/>
                <w:w w:val="99"/>
              </w:rPr>
              <w:t>exterior mirror suppliers of General Motors, DaimlerChrysler,</w:t>
            </w:r>
          </w:p>
        </w:tc>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Ford, Audi, BMW,</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8360" w:type="dxa"/>
            <w:vAlign w:val="bottom"/>
            <w:gridSpan w:val="5"/>
          </w:tcPr>
          <w:p>
            <w:pPr>
              <w:spacing w:after="0"/>
              <w:rPr>
                <w:sz w:val="20"/>
                <w:szCs w:val="20"/>
                <w:color w:val="auto"/>
              </w:rPr>
            </w:pPr>
            <w:r>
              <w:rPr>
                <w:rFonts w:ascii="Courier New" w:cs="Courier New" w:eastAsia="Courier New" w:hAnsi="Courier New"/>
                <w:sz w:val="15"/>
                <w:szCs w:val="15"/>
                <w:color w:val="auto"/>
              </w:rPr>
              <w:t>Land Rover and Jaguar, who assemble the exterior NVS(R) Mirror Sub-Assemblies</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6420" w:type="dxa"/>
            <w:vAlign w:val="bottom"/>
            <w:gridSpan w:val="4"/>
          </w:tcPr>
          <w:p>
            <w:pPr>
              <w:spacing w:after="0"/>
              <w:rPr>
                <w:sz w:val="20"/>
                <w:szCs w:val="20"/>
                <w:color w:val="auto"/>
              </w:rPr>
            </w:pPr>
            <w:r>
              <w:rPr>
                <w:rFonts w:ascii="Courier New" w:cs="Courier New" w:eastAsia="Courier New" w:hAnsi="Courier New"/>
                <w:sz w:val="15"/>
                <w:szCs w:val="15"/>
                <w:color w:val="auto"/>
              </w:rPr>
              <w:t>into full mirror units for subsequent resale to the automakers.</w:t>
            </w:r>
          </w:p>
        </w:tc>
        <w:tc>
          <w:tcPr>
            <w:tcW w:w="1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6420" w:type="dxa"/>
            <w:vAlign w:val="bottom"/>
            <w:gridSpan w:val="4"/>
          </w:tcPr>
          <w:p>
            <w:pPr>
              <w:ind w:left="780"/>
              <w:spacing w:after="0"/>
              <w:rPr>
                <w:sz w:val="20"/>
                <w:szCs w:val="20"/>
                <w:color w:val="auto"/>
              </w:rPr>
            </w:pPr>
            <w:r>
              <w:rPr>
                <w:rFonts w:ascii="Courier New" w:cs="Courier New" w:eastAsia="Courier New" w:hAnsi="Courier New"/>
                <w:sz w:val="15"/>
                <w:szCs w:val="15"/>
                <w:color w:val="auto"/>
                <w:w w:val="99"/>
              </w:rPr>
              <w:t>The Company sold approximately 1,079,000 exterior NVS(R) Mirror</w:t>
            </w:r>
          </w:p>
        </w:tc>
        <w:tc>
          <w:tcPr>
            <w:tcW w:w="1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8360" w:type="dxa"/>
            <w:vAlign w:val="bottom"/>
            <w:gridSpan w:val="5"/>
          </w:tcPr>
          <w:p>
            <w:pPr>
              <w:spacing w:after="0"/>
              <w:rPr>
                <w:sz w:val="20"/>
                <w:szCs w:val="20"/>
                <w:color w:val="auto"/>
              </w:rPr>
            </w:pPr>
            <w:r>
              <w:rPr>
                <w:rFonts w:ascii="Courier New" w:cs="Courier New" w:eastAsia="Courier New" w:hAnsi="Courier New"/>
                <w:sz w:val="15"/>
                <w:szCs w:val="15"/>
                <w:color w:val="auto"/>
              </w:rPr>
              <w:t>Sub-Assemblies during 1997, approximately 1,582,000 in 1998, and approximately</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8360" w:type="dxa"/>
            <w:vAlign w:val="bottom"/>
            <w:gridSpan w:val="5"/>
          </w:tcPr>
          <w:p>
            <w:pPr>
              <w:spacing w:after="0"/>
              <w:rPr>
                <w:sz w:val="20"/>
                <w:szCs w:val="20"/>
                <w:color w:val="auto"/>
              </w:rPr>
            </w:pPr>
            <w:r>
              <w:rPr>
                <w:rFonts w:ascii="Courier New" w:cs="Courier New" w:eastAsia="Courier New" w:hAnsi="Courier New"/>
                <w:sz w:val="15"/>
                <w:szCs w:val="15"/>
                <w:color w:val="auto"/>
              </w:rPr>
              <w:t>1,952,000 in 1999. During 1999, unit growth continued primarily as a result of</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Company's three newer exterior mirror products.</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8360" w:type="dxa"/>
            <w:vAlign w:val="bottom"/>
            <w:gridSpan w:val="5"/>
          </w:tcPr>
          <w:p>
            <w:pPr>
              <w:ind w:left="780"/>
              <w:spacing w:after="0"/>
              <w:rPr>
                <w:sz w:val="20"/>
                <w:szCs w:val="20"/>
                <w:color w:val="auto"/>
              </w:rPr>
            </w:pPr>
            <w:r>
              <w:rPr>
                <w:rFonts w:ascii="Courier New" w:cs="Courier New" w:eastAsia="Courier New" w:hAnsi="Courier New"/>
                <w:sz w:val="15"/>
                <w:szCs w:val="15"/>
                <w:color w:val="auto"/>
              </w:rPr>
              <w:t>The exterior NVS(R) Mirror is standard equipment or a factory-installed</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5460" w:type="dxa"/>
            <w:vAlign w:val="bottom"/>
            <w:gridSpan w:val="3"/>
          </w:tcPr>
          <w:p>
            <w:pPr>
              <w:spacing w:after="0"/>
              <w:rPr>
                <w:sz w:val="20"/>
                <w:szCs w:val="20"/>
                <w:color w:val="auto"/>
              </w:rPr>
            </w:pPr>
            <w:r>
              <w:rPr>
                <w:rFonts w:ascii="Courier New" w:cs="Courier New" w:eastAsia="Courier New" w:hAnsi="Courier New"/>
                <w:sz w:val="15"/>
                <w:szCs w:val="15"/>
                <w:color w:val="auto"/>
              </w:rPr>
              <w:t>option on the following 2000 and 2000-1/2 vehicle models:</w:t>
            </w:r>
          </w:p>
        </w:tc>
        <w:tc>
          <w:tcPr>
            <w:tcW w:w="9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5460" w:type="dxa"/>
            <w:vAlign w:val="bottom"/>
            <w:gridSpan w:val="3"/>
          </w:tcPr>
          <w:p>
            <w:pPr>
              <w:spacing w:after="0"/>
              <w:rPr>
                <w:sz w:val="20"/>
                <w:szCs w:val="20"/>
                <w:color w:val="auto"/>
              </w:rPr>
            </w:pPr>
            <w:r>
              <w:rPr>
                <w:rFonts w:ascii="Courier New" w:cs="Courier New" w:eastAsia="Courier New" w:hAnsi="Courier New"/>
                <w:sz w:val="15"/>
                <w:szCs w:val="15"/>
                <w:color w:val="auto"/>
                <w:w w:val="97"/>
              </w:rPr>
              <w:t>TABLE 2.   EXTERIOR NVS(R) MIRROR AVAILABILITY BY VEHICLE LINE</w:t>
            </w:r>
          </w:p>
        </w:tc>
        <w:tc>
          <w:tcPr>
            <w:tcW w:w="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47"/>
        </w:trPr>
        <w:tc>
          <w:tcPr>
            <w:tcW w:w="242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Deville</w:t>
            </w:r>
          </w:p>
        </w:tc>
        <w:tc>
          <w:tcPr>
            <w:tcW w:w="9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Audi</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A4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(F/TC/A) O</w:t>
            </w: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Deville DHS</w:t>
            </w:r>
          </w:p>
        </w:tc>
        <w:tc>
          <w:tcPr>
            <w:tcW w:w="9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A6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(F/TC/A) O</w:t>
            </w: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Deville DTS</w:t>
            </w:r>
          </w:p>
        </w:tc>
        <w:tc>
          <w:tcPr>
            <w:tcW w:w="9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A8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(F/TC/A) S</w:t>
            </w: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Eldorado ESC</w:t>
            </w:r>
          </w:p>
        </w:tc>
        <w:tc>
          <w:tcPr>
            <w:tcW w:w="9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BMW</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700 Series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(F&amp;TC)O</w:t>
            </w:r>
          </w:p>
        </w:tc>
      </w:tr>
      <w:tr>
        <w:trPr>
          <w:trHeight w:val="169"/>
        </w:trPr>
        <w:tc>
          <w:tcPr>
            <w:tcW w:w="2420" w:type="dxa"/>
            <w:vAlign w:val="bottom"/>
          </w:tcPr>
          <w:p>
            <w:pPr>
              <w:spacing w:after="0"/>
              <w:rPr>
                <w:sz w:val="14"/>
                <w:szCs w:val="14"/>
                <w:color w:val="auto"/>
              </w:rPr>
            </w:pPr>
          </w:p>
        </w:tc>
        <w:tc>
          <w:tcPr>
            <w:tcW w:w="30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Eldorado Touring Coupe</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X5 SAV</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(F&amp;C)O</w:t>
            </w: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Escalade</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(TF &amp; TC)</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DaimlerChrysler/</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C Class Sedan</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 or A) O</w:t>
            </w: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Seville SLS</w:t>
            </w:r>
          </w:p>
        </w:tc>
        <w:tc>
          <w:tcPr>
            <w:tcW w:w="9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Mercedes-Benz</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CLK Convertible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 or A) O</w:t>
            </w: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Seville STS</w:t>
            </w:r>
          </w:p>
        </w:tc>
        <w:tc>
          <w:tcPr>
            <w:tcW w:w="9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CLK Coupe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 or A) O</w:t>
            </w:r>
          </w:p>
        </w:tc>
      </w:tr>
      <w:tr>
        <w:trPr>
          <w:trHeight w:val="169"/>
        </w:trPr>
        <w:tc>
          <w:tcPr>
            <w:tcW w:w="2420" w:type="dxa"/>
            <w:vAlign w:val="bottom"/>
          </w:tcPr>
          <w:p>
            <w:pPr>
              <w:spacing w:after="0"/>
              <w:rPr>
                <w:sz w:val="20"/>
                <w:szCs w:val="20"/>
                <w:color w:val="auto"/>
              </w:rPr>
            </w:pPr>
            <w:r>
              <w:rPr>
                <w:rFonts w:ascii="Courier New" w:cs="Courier New" w:eastAsia="Courier New" w:hAnsi="Courier New"/>
                <w:sz w:val="15"/>
                <w:szCs w:val="15"/>
                <w:color w:val="auto"/>
              </w:rPr>
              <w:t>GM/Buick</w:t>
            </w: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Century</w:t>
            </w:r>
          </w:p>
        </w:tc>
        <w:tc>
          <w:tcPr>
            <w:tcW w:w="9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9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E Class Convertible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 or A) O</w:t>
            </w: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LeSabre Limited</w:t>
            </w:r>
          </w:p>
        </w:tc>
        <w:tc>
          <w:tcPr>
            <w:tcW w:w="9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9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E Class Sedan</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 or A) O</w:t>
            </w: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Park Avenue</w:t>
            </w:r>
          </w:p>
        </w:tc>
        <w:tc>
          <w:tcPr>
            <w:tcW w:w="9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9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ML320 SUV</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 or A) O</w:t>
            </w: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Park Avenue Ultra</w:t>
            </w:r>
          </w:p>
        </w:tc>
        <w:tc>
          <w:tcPr>
            <w:tcW w:w="9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ML430 SUV</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 or A) S</w:t>
            </w: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Regal</w:t>
            </w:r>
          </w:p>
        </w:tc>
        <w:tc>
          <w:tcPr>
            <w:tcW w:w="9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9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ML55 SUV</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 or A) S</w:t>
            </w:r>
          </w:p>
        </w:tc>
      </w:tr>
      <w:tr>
        <w:trPr>
          <w:trHeight w:val="169"/>
        </w:trPr>
        <w:tc>
          <w:tcPr>
            <w:tcW w:w="2420" w:type="dxa"/>
            <w:vAlign w:val="bottom"/>
          </w:tcPr>
          <w:p>
            <w:pPr>
              <w:spacing w:after="0"/>
              <w:rPr>
                <w:sz w:val="20"/>
                <w:szCs w:val="20"/>
                <w:color w:val="auto"/>
              </w:rPr>
            </w:pPr>
            <w:r>
              <w:rPr>
                <w:rFonts w:ascii="Courier New" w:cs="Courier New" w:eastAsia="Courier New" w:hAnsi="Courier New"/>
                <w:sz w:val="15"/>
                <w:szCs w:val="15"/>
                <w:color w:val="auto"/>
              </w:rPr>
              <w:t>GM/Chevrolet</w:t>
            </w: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Blazer</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(TF)</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9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S Class Coupe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 or A) S</w:t>
            </w: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Suburban</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(TF)</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9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S Class Sedan</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 or A) S</w:t>
            </w: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Tahoe</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(TF)</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9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SL Roadster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 or A) O</w:t>
            </w:r>
          </w:p>
        </w:tc>
      </w:tr>
      <w:tr>
        <w:trPr>
          <w:trHeight w:val="169"/>
        </w:trPr>
        <w:tc>
          <w:tcPr>
            <w:tcW w:w="2420" w:type="dxa"/>
            <w:vAlign w:val="bottom"/>
          </w:tcPr>
          <w:p>
            <w:pPr>
              <w:spacing w:after="0"/>
              <w:rPr>
                <w:sz w:val="20"/>
                <w:szCs w:val="20"/>
                <w:color w:val="auto"/>
              </w:rPr>
            </w:pPr>
            <w:r>
              <w:rPr>
                <w:rFonts w:ascii="Courier New" w:cs="Courier New" w:eastAsia="Courier New" w:hAnsi="Courier New"/>
                <w:sz w:val="15"/>
                <w:szCs w:val="15"/>
                <w:color w:val="auto"/>
              </w:rPr>
              <w:t>GM/GMC</w:t>
            </w: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Denali</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(TF &amp;TC)</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Jaguar</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XJ8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(TC) O</w:t>
            </w: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Jimmy</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(TF)</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94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XK8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(TC) O</w:t>
            </w: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Yukon</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(TF)</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Land Rover</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Range Rover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(F&amp;TC)O</w:t>
            </w: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Yukon XL</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(TF)</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2420" w:type="dxa"/>
            <w:vAlign w:val="bottom"/>
          </w:tcPr>
          <w:p>
            <w:pPr>
              <w:spacing w:after="0"/>
              <w:rPr>
                <w:sz w:val="20"/>
                <w:szCs w:val="20"/>
                <w:color w:val="auto"/>
              </w:rPr>
            </w:pPr>
            <w:r>
              <w:rPr>
                <w:rFonts w:ascii="Courier New" w:cs="Courier New" w:eastAsia="Courier New" w:hAnsi="Courier New"/>
                <w:sz w:val="15"/>
                <w:szCs w:val="15"/>
                <w:color w:val="auto"/>
              </w:rPr>
              <w:t>GM/Oldsmobile</w:t>
            </w: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Bravada</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(TF)</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KEY:  S = Standard Equipment</w:t>
            </w:r>
          </w:p>
        </w:tc>
        <w:tc>
          <w:tcPr>
            <w:tcW w:w="1100" w:type="dxa"/>
            <w:vAlign w:val="bottom"/>
          </w:tcPr>
          <w:p>
            <w:pPr>
              <w:spacing w:after="0"/>
              <w:rPr>
                <w:sz w:val="14"/>
                <w:szCs w:val="14"/>
                <w:color w:val="auto"/>
              </w:rPr>
            </w:pPr>
          </w:p>
        </w:tc>
      </w:tr>
      <w:tr>
        <w:trPr>
          <w:trHeight w:val="169"/>
        </w:trPr>
        <w:tc>
          <w:tcPr>
            <w:tcW w:w="2420" w:type="dxa"/>
            <w:vAlign w:val="bottom"/>
          </w:tcPr>
          <w:p>
            <w:pPr>
              <w:spacing w:after="0"/>
              <w:rPr>
                <w:sz w:val="20"/>
                <w:szCs w:val="20"/>
                <w:color w:val="auto"/>
              </w:rPr>
            </w:pPr>
            <w:r>
              <w:rPr>
                <w:rFonts w:ascii="Courier New" w:cs="Courier New" w:eastAsia="Courier New" w:hAnsi="Courier New"/>
                <w:sz w:val="15"/>
                <w:szCs w:val="15"/>
                <w:color w:val="auto"/>
              </w:rPr>
              <w:t>Ford/Lincoln</w:t>
            </w: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Continental</w:t>
            </w:r>
          </w:p>
        </w:tc>
        <w:tc>
          <w:tcPr>
            <w:tcW w:w="9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8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O = Optional Equipment</w:t>
            </w:r>
          </w:p>
        </w:tc>
        <w:tc>
          <w:tcPr>
            <w:tcW w:w="1100" w:type="dxa"/>
            <w:vAlign w:val="bottom"/>
          </w:tcPr>
          <w:p>
            <w:pPr>
              <w:spacing w:after="0"/>
              <w:rPr>
                <w:sz w:val="14"/>
                <w:szCs w:val="14"/>
                <w:color w:val="auto"/>
              </w:rPr>
            </w:pP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Town Car Cartier</w:t>
            </w:r>
          </w:p>
        </w:tc>
        <w:tc>
          <w:tcPr>
            <w:tcW w:w="9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Town Car Executive</w:t>
            </w:r>
          </w:p>
        </w:tc>
        <w:tc>
          <w:tcPr>
            <w:tcW w:w="9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TF = Thin Flat</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242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Town Car Signature</w:t>
            </w:r>
          </w:p>
        </w:tc>
        <w:tc>
          <w:tcPr>
            <w:tcW w:w="9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w w:val="97"/>
              </w:rPr>
              <w:t>TC = Thin Convex</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2420" w:type="dxa"/>
            <w:vAlign w:val="bottom"/>
          </w:tcPr>
          <w:p>
            <w:pPr>
              <w:spacing w:after="0"/>
              <w:rPr>
                <w:sz w:val="20"/>
                <w:szCs w:val="20"/>
                <w:color w:val="auto"/>
              </w:rPr>
            </w:pPr>
            <w:r>
              <w:rPr>
                <w:rFonts w:ascii="Courier New" w:cs="Courier New" w:eastAsia="Courier New" w:hAnsi="Courier New"/>
                <w:sz w:val="15"/>
                <w:szCs w:val="15"/>
                <w:color w:val="auto"/>
              </w:rPr>
              <w:t>DaimlerChrysler/Chrysler</w:t>
            </w:r>
          </w:p>
        </w:tc>
        <w:tc>
          <w:tcPr>
            <w:tcW w:w="30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Town &amp; Country Limited</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38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A = Aspheric Glass</w:t>
            </w:r>
          </w:p>
        </w:tc>
        <w:tc>
          <w:tcPr>
            <w:tcW w:w="1100" w:type="dxa"/>
            <w:vAlign w:val="bottom"/>
          </w:tcPr>
          <w:p>
            <w:pPr>
              <w:spacing w:after="0"/>
              <w:rPr>
                <w:sz w:val="14"/>
                <w:szCs w:val="14"/>
                <w:color w:val="auto"/>
              </w:rPr>
            </w:pPr>
          </w:p>
        </w:tc>
      </w:tr>
      <w:tr>
        <w:trPr>
          <w:trHeight w:val="169"/>
        </w:trPr>
        <w:tc>
          <w:tcPr>
            <w:tcW w:w="2420" w:type="dxa"/>
            <w:vAlign w:val="bottom"/>
          </w:tcPr>
          <w:p>
            <w:pPr>
              <w:spacing w:after="0"/>
              <w:rPr>
                <w:sz w:val="20"/>
                <w:szCs w:val="20"/>
                <w:color w:val="auto"/>
              </w:rPr>
            </w:pPr>
            <w:r>
              <w:rPr>
                <w:rFonts w:ascii="Courier New" w:cs="Courier New" w:eastAsia="Courier New" w:hAnsi="Courier New"/>
                <w:sz w:val="15"/>
                <w:szCs w:val="15"/>
                <w:color w:val="auto"/>
              </w:rPr>
              <w:t>DaimlerChrysler/Dodge</w:t>
            </w: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Grand Caravan ES</w:t>
            </w:r>
          </w:p>
        </w:tc>
        <w:tc>
          <w:tcPr>
            <w:tcW w:w="9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F = Flat Glass</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2420" w:type="dxa"/>
            <w:vAlign w:val="bottom"/>
          </w:tcPr>
          <w:p>
            <w:pPr>
              <w:spacing w:after="0"/>
              <w:rPr>
                <w:sz w:val="20"/>
                <w:szCs w:val="20"/>
                <w:color w:val="auto"/>
              </w:rPr>
            </w:pPr>
            <w:r>
              <w:rPr>
                <w:rFonts w:ascii="Courier New" w:cs="Courier New" w:eastAsia="Courier New" w:hAnsi="Courier New"/>
                <w:sz w:val="15"/>
                <w:szCs w:val="15"/>
                <w:color w:val="auto"/>
              </w:rPr>
              <w:t>DaimlerChrysler/Jeep</w:t>
            </w:r>
          </w:p>
        </w:tc>
        <w:tc>
          <w:tcPr>
            <w:tcW w:w="2100" w:type="dxa"/>
            <w:vAlign w:val="bottom"/>
          </w:tcPr>
          <w:p>
            <w:pPr>
              <w:ind w:left="300"/>
              <w:spacing w:after="0"/>
              <w:rPr>
                <w:sz w:val="20"/>
                <w:szCs w:val="20"/>
                <w:color w:val="auto"/>
              </w:rPr>
            </w:pPr>
            <w:r>
              <w:rPr>
                <w:rFonts w:ascii="Courier New" w:cs="Courier New" w:eastAsia="Courier New" w:hAnsi="Courier New"/>
                <w:sz w:val="15"/>
                <w:szCs w:val="15"/>
                <w:color w:val="auto"/>
              </w:rPr>
              <w:t>Grand Cherokee Ltd.</w:t>
            </w:r>
          </w:p>
        </w:tc>
        <w:tc>
          <w:tcPr>
            <w:tcW w:w="9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w w:val="97"/>
              </w:rPr>
              <w:t>C = Convex Glass</w:t>
            </w:r>
          </w:p>
        </w:tc>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right="4480" w:firstLine="792"/>
        <w:spacing w:after="0" w:line="256" w:lineRule="auto"/>
        <w:rPr>
          <w:sz w:val="20"/>
          <w:szCs w:val="20"/>
          <w:color w:val="auto"/>
        </w:rPr>
      </w:pPr>
      <w:r>
        <w:rPr>
          <w:rFonts w:ascii="Courier New" w:cs="Courier New" w:eastAsia="Courier New" w:hAnsi="Courier New"/>
          <w:sz w:val="14"/>
          <w:szCs w:val="14"/>
          <w:color w:val="auto"/>
        </w:rPr>
        <w:t>Product Development. The Company plans to continue introducing additional advanced-feature NVS(R) Mirrors. Advanced-feature NVS(R) Mirrors currently being offered by the Company include the third-generation NVS(R) Headlamp Control Mirror, the NVS(R) Lighted Mirror with LED map lamps, the third-generation NVS(R) Compass Mirror, the NVS(R) Mirror with Remote Keyless Entry, the NVS(R) Compass/Temperature Mirror, the NVS(R) Dual Display Compass/Temperature Mirror, and the NVS(R) OnStar(R) Mirror. Also, the Company has introduced an NVS(R) Base Feature Mirror to target the high-volume, mid-priced vehicle segments, and larger-size interior and exterior NVS(R) Mirrors for use on vans and light trucks. In 1996, Gentex introduced the first automatic-dimming "aspheric" exterior mirror. Aspheric mirrors are wide-angle exterior mirrors that virtually eliminate the "blind spot." During 1997, the Company introduced thin glass flat and convex exterior mirrors.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340"/>
          </w:cols>
          <w:pgMar w:left="320" w:top="283" w:right="23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right="3099" w:firstLine="792"/>
        <w:spacing w:after="0" w:line="238" w:lineRule="auto"/>
        <w:rPr>
          <w:sz w:val="20"/>
          <w:szCs w:val="20"/>
          <w:color w:val="auto"/>
        </w:rPr>
      </w:pPr>
      <w:r>
        <w:rPr>
          <w:rFonts w:ascii="Courier New" w:cs="Courier New" w:eastAsia="Courier New" w:hAnsi="Courier New"/>
          <w:sz w:val="15"/>
          <w:szCs w:val="15"/>
          <w:color w:val="auto"/>
        </w:rPr>
        <w:t>Of particular importance to the Company has been the development of its electrochromic technology for use in complete 3-mirror systems. In these systems, both the driver and passenger-side exterior NVS(R) Mirrors are controlled by the sensors and electronic circuitry in the interior rearview mirror, and the interior and both exterior mirrors dim simultaneously. At the end of 1996, the Company began shipping NVS(R) aspheric exterior mirrors to Mercedes-Benz, followed by volume shipments during 1997.</w:t>
      </w:r>
    </w:p>
    <w:p>
      <w:pPr>
        <w:spacing w:after="0" w:line="175" w:lineRule="exact"/>
        <w:rPr>
          <w:sz w:val="20"/>
          <w:szCs w:val="20"/>
          <w:color w:val="auto"/>
        </w:rPr>
      </w:pPr>
    </w:p>
    <w:p>
      <w:pPr>
        <w:ind w:right="3099" w:firstLine="792"/>
        <w:spacing w:after="0" w:line="238" w:lineRule="auto"/>
        <w:rPr>
          <w:sz w:val="20"/>
          <w:szCs w:val="20"/>
          <w:color w:val="auto"/>
        </w:rPr>
      </w:pPr>
      <w:r>
        <w:rPr>
          <w:rFonts w:ascii="Courier New" w:cs="Courier New" w:eastAsia="Courier New" w:hAnsi="Courier New"/>
          <w:sz w:val="15"/>
          <w:szCs w:val="15"/>
          <w:color w:val="auto"/>
        </w:rPr>
        <w:t>The Company's success with electrochromic technology provides an opportunity for other potential commercial applications, which the Company expects to explore in the future as resources permit. Examples of possible applications of electrochromic technology include windows for both the automotive and architectural markets, sunroofs and sunglasses. Progress in adapting electrochromic technology to the specialized requirements of the window market continued in 1999. However, achieving the rigorous performance standards needed for launching a commercial product still could require several years of additional development work.</w:t>
      </w:r>
    </w:p>
    <w:p>
      <w:pPr>
        <w:spacing w:after="0" w:line="177" w:lineRule="exact"/>
        <w:rPr>
          <w:sz w:val="20"/>
          <w:szCs w:val="20"/>
          <w:color w:val="auto"/>
        </w:rPr>
      </w:pPr>
    </w:p>
    <w:p>
      <w:pPr>
        <w:ind w:right="3099" w:firstLine="792"/>
        <w:spacing w:after="0" w:line="257" w:lineRule="auto"/>
        <w:rPr>
          <w:sz w:val="20"/>
          <w:szCs w:val="20"/>
          <w:color w:val="auto"/>
        </w:rPr>
      </w:pPr>
      <w:r>
        <w:rPr>
          <w:rFonts w:ascii="Courier New" w:cs="Courier New" w:eastAsia="Courier New" w:hAnsi="Courier New"/>
          <w:sz w:val="14"/>
          <w:szCs w:val="14"/>
          <w:color w:val="auto"/>
        </w:rPr>
        <w:t>At the end of 1999, the Company announced the development of the second generation of its LED technology, which represents the first time that white light for illumination purposes can be achieved using high intensity LEDs on a cost-effective basis. LEDs as illuminators could have significant automotive and non-automotive lighting applications as they have many advantages over incandescent lamps, including extremely long life, low heat generation, lower current draw, more resistance to shock, and lower total cost of ownership.</w:t>
      </w:r>
    </w:p>
    <w:p>
      <w:pPr>
        <w:spacing w:after="0" w:line="166" w:lineRule="exact"/>
        <w:rPr>
          <w:sz w:val="20"/>
          <w:szCs w:val="20"/>
          <w:color w:val="auto"/>
        </w:rPr>
      </w:pPr>
    </w:p>
    <w:p>
      <w:pPr>
        <w:ind w:right="3199" w:firstLine="792"/>
        <w:spacing w:after="0" w:line="257" w:lineRule="auto"/>
        <w:rPr>
          <w:sz w:val="20"/>
          <w:szCs w:val="20"/>
          <w:color w:val="auto"/>
        </w:rPr>
      </w:pPr>
      <w:r>
        <w:rPr>
          <w:rFonts w:ascii="Courier New" w:cs="Courier New" w:eastAsia="Courier New" w:hAnsi="Courier New"/>
          <w:sz w:val="14"/>
          <w:szCs w:val="14"/>
          <w:color w:val="auto"/>
        </w:rPr>
        <w:t>Markets and Marketing. The Company markets its automatic rearview mirrors to domestic and foreign automotive manufacturers under the trademarks "Night Vision Safety(TM)" or NVS(R) Mirrors. In North America, the Company markets these products primarily through a direct sales force. The Company currently supplies NVS(R) Mirrors to General Motors Corporation and DaimlerChrysler AG (North America) under long-term agreements. During 1997, the Company negotiated a new five-year contract for inside mirrors with General Motors through the 2002 model year. The long-term supply agreement with DaimlerChrysler AG has been extended through the 2003 model year. The Company's exterior NVS(R) Mirror Sub-Assemblies are supplied to General Motors, Ford and DaimlerChrysler AG by means of sales to exterior mirror suppliers.</w:t>
      </w:r>
    </w:p>
    <w:p>
      <w:pPr>
        <w:spacing w:after="0" w:line="164" w:lineRule="exact"/>
        <w:rPr>
          <w:sz w:val="20"/>
          <w:szCs w:val="20"/>
          <w:color w:val="auto"/>
        </w:rPr>
      </w:pPr>
    </w:p>
    <w:p>
      <w:pPr>
        <w:ind w:right="3099" w:firstLine="792"/>
        <w:spacing w:after="0" w:line="238" w:lineRule="auto"/>
        <w:rPr>
          <w:sz w:val="20"/>
          <w:szCs w:val="20"/>
          <w:color w:val="auto"/>
        </w:rPr>
      </w:pPr>
      <w:r>
        <w:rPr>
          <w:rFonts w:ascii="Courier New" w:cs="Courier New" w:eastAsia="Courier New" w:hAnsi="Courier New"/>
          <w:sz w:val="15"/>
          <w:szCs w:val="15"/>
          <w:color w:val="auto"/>
        </w:rPr>
        <w:t>During 1993, the Company established a sales and engineering office in Germany and the following year, the Company formed a German limited liability company, Gentex GmbH, to expand its sales and engineering support activities in Europe. During 1999, the Company established Gentex Mirrors, Ltd., as a sales and engineering office in the United Kingdom. The Company's marketing efforts in Europe are conducted through Gentex GmbH and Gentex Mirrors, Ltd., with the assistance of independent manufacturers' representatives. The Company is currently supplying mirrors to Audi, Bavarian Motor Works, A.G. (BMW), Fiat, DaimlerChrysler, Opel, Porsche and Rolls Royce.</w:t>
      </w:r>
    </w:p>
    <w:p>
      <w:pPr>
        <w:spacing w:after="0" w:line="177" w:lineRule="exact"/>
        <w:rPr>
          <w:sz w:val="20"/>
          <w:szCs w:val="20"/>
          <w:color w:val="auto"/>
        </w:rPr>
      </w:pPr>
    </w:p>
    <w:p>
      <w:pPr>
        <w:ind w:right="3099" w:firstLine="792"/>
        <w:spacing w:after="0" w:line="238" w:lineRule="auto"/>
        <w:rPr>
          <w:sz w:val="20"/>
          <w:szCs w:val="20"/>
          <w:color w:val="auto"/>
        </w:rPr>
      </w:pPr>
      <w:r>
        <w:rPr>
          <w:rFonts w:ascii="Courier New" w:cs="Courier New" w:eastAsia="Courier New" w:hAnsi="Courier New"/>
          <w:sz w:val="15"/>
          <w:szCs w:val="15"/>
          <w:color w:val="auto"/>
        </w:rPr>
        <w:t>Since 1991, the Company has been shipping electrochromic mirror assemblies for Nissan Motor Co., Ltd. under a reciprocal distribution agreement with Ichikoh Industries, Ltd. (Ichikoh), a major Japanese supplier of automotive products. Under this agreement, Ichikoh markets the Company's automatic mirrors to certain Japanese automakers and their subsidiaries with manufacturing facilities in Asia. The arrangement involves very limited technology transfer by the Company and does not include the Company's proprietary electrochromic gel formulation.</w:t>
      </w:r>
    </w:p>
    <w:p>
      <w:pPr>
        <w:spacing w:after="0" w:line="176" w:lineRule="exact"/>
        <w:rPr>
          <w:sz w:val="20"/>
          <w:szCs w:val="20"/>
          <w:color w:val="auto"/>
        </w:rPr>
      </w:pPr>
    </w:p>
    <w:p>
      <w:pPr>
        <w:ind w:right="3099" w:firstLine="792"/>
        <w:spacing w:after="0" w:line="238" w:lineRule="auto"/>
        <w:rPr>
          <w:sz w:val="20"/>
          <w:szCs w:val="20"/>
          <w:color w:val="auto"/>
        </w:rPr>
      </w:pPr>
      <w:r>
        <w:rPr>
          <w:rFonts w:ascii="Courier New" w:cs="Courier New" w:eastAsia="Courier New" w:hAnsi="Courier New"/>
          <w:sz w:val="15"/>
          <w:szCs w:val="15"/>
          <w:color w:val="auto"/>
        </w:rPr>
        <w:t>During 1993, the Company hired sales agent, Continental Far East, to market NVS(R) Mirrors to other Japanese automakers beyond Nissan. During 1998, the Company established Gentex Japan, Inc., as a sales and engineering office to expand its sales and engineering support in Japan. During 1999, the Company signed an agreement with Murakami Corporation, a major Japanese mirror manufacturer, to cooperate in expanding sales of automatic-dimming mirrors using the Gentex electrochromic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344" w:lineRule="exact"/>
        <w:rPr>
          <w:sz w:val="20"/>
          <w:szCs w:val="20"/>
          <w:color w:val="auto"/>
        </w:rPr>
      </w:pPr>
    </w:p>
    <w:p>
      <w:pPr>
        <w:ind w:right="3099" w:firstLine="792"/>
        <w:spacing w:after="0" w:line="257" w:lineRule="auto"/>
        <w:rPr>
          <w:sz w:val="20"/>
          <w:szCs w:val="20"/>
          <w:color w:val="auto"/>
        </w:rPr>
      </w:pPr>
      <w:r>
        <w:rPr>
          <w:rFonts w:ascii="Courier New" w:cs="Courier New" w:eastAsia="Courier New" w:hAnsi="Courier New"/>
          <w:sz w:val="14"/>
          <w:szCs w:val="14"/>
          <w:color w:val="auto"/>
        </w:rPr>
        <w:t>Historically, new safety and comfort options have entered the original equipment automotive market at relatively low rates on "top of the line" or luxury model automobiles. As the selection rates for the options on the luxury models increase, they generally become available on more models throughout the product line and may become standard equipment. The recent trend of domestic and foreign automakers is to offer several options as a package. As consumer demand increases for a particular option, the mirror tends to be offered on more vehicles and in higher option rate packages. The Company anticipates that its NVS(R) Mirrors will be offered as standard equipment, in higher option rate packages and on more models as consumer awareness of the safety and comfort features becomes more well-known and acceptance grows.</w:t>
      </w:r>
    </w:p>
    <w:p>
      <w:pPr>
        <w:spacing w:after="0" w:line="164" w:lineRule="exact"/>
        <w:rPr>
          <w:sz w:val="20"/>
          <w:szCs w:val="20"/>
          <w:color w:val="auto"/>
        </w:rPr>
      </w:pPr>
    </w:p>
    <w:p>
      <w:pPr>
        <w:ind w:right="3099" w:firstLine="792"/>
        <w:spacing w:after="0" w:line="238" w:lineRule="auto"/>
        <w:rPr>
          <w:sz w:val="20"/>
          <w:szCs w:val="20"/>
          <w:color w:val="auto"/>
        </w:rPr>
      </w:pPr>
      <w:r>
        <w:rPr>
          <w:rFonts w:ascii="Courier New" w:cs="Courier New" w:eastAsia="Courier New" w:hAnsi="Courier New"/>
          <w:sz w:val="15"/>
          <w:szCs w:val="15"/>
          <w:color w:val="auto"/>
        </w:rPr>
        <w:t>Since 1998, Gentex Corporation has contracted with MITO Corporation to sell several of its most popular automatic-dimming mirrors directly to consumers in the automotive aftermarket; however, currently the Company directs no other efforts to the sale of NVS(R) mirrors to the automotive aftermarket. It is management's belief that such efforts are of limited value until the Company achieves a significantly higher penetration of the original equipment manufacturing market.</w:t>
      </w:r>
    </w:p>
    <w:p>
      <w:pPr>
        <w:spacing w:after="0" w:line="175" w:lineRule="exact"/>
        <w:rPr>
          <w:sz w:val="20"/>
          <w:szCs w:val="20"/>
          <w:color w:val="auto"/>
        </w:rPr>
      </w:pPr>
    </w:p>
    <w:p>
      <w:pPr>
        <w:ind w:right="3279" w:firstLine="792"/>
        <w:spacing w:after="0" w:line="238" w:lineRule="auto"/>
        <w:rPr>
          <w:sz w:val="20"/>
          <w:szCs w:val="20"/>
          <w:color w:val="auto"/>
        </w:rPr>
      </w:pPr>
      <w:r>
        <w:rPr>
          <w:rFonts w:ascii="Courier New" w:cs="Courier New" w:eastAsia="Courier New" w:hAnsi="Courier New"/>
          <w:sz w:val="15"/>
          <w:szCs w:val="15"/>
          <w:color w:val="auto"/>
        </w:rPr>
        <w:t>Competition. Gentex is the leading producer of automatic rearview mirrors in the world and currently is the dominant supplier to the automotive industry with an approximate 86% market share worldwide. While the Company believes it will retain a dominant position, one other U.S. manufacturer (Donnelly Corporation) is competing for sales to domestic and foreign vehicle manufacturers and is supplying a number of domestic and foreign vehicle models with its hybrid version of electrochromic mirrors. In addition, two Japanese manufacturers are currently supplying a number of vehicle models in Japan with solid-state electrochromic mirrors.</w:t>
      </w:r>
    </w:p>
    <w:p>
      <w:pPr>
        <w:spacing w:after="0" w:line="177" w:lineRule="exact"/>
        <w:rPr>
          <w:sz w:val="20"/>
          <w:szCs w:val="20"/>
          <w:color w:val="auto"/>
        </w:rPr>
      </w:pPr>
    </w:p>
    <w:p>
      <w:pPr>
        <w:ind w:right="3199" w:firstLine="792"/>
        <w:spacing w:after="0" w:line="258" w:lineRule="auto"/>
        <w:rPr>
          <w:sz w:val="20"/>
          <w:szCs w:val="20"/>
          <w:color w:val="auto"/>
        </w:rPr>
      </w:pPr>
      <w:r>
        <w:rPr>
          <w:rFonts w:ascii="Courier New" w:cs="Courier New" w:eastAsia="Courier New" w:hAnsi="Courier New"/>
          <w:sz w:val="14"/>
          <w:szCs w:val="14"/>
          <w:color w:val="auto"/>
        </w:rPr>
        <w:t>The Company believes its electrochromic automatic mirrors offer significant performance advantages over competing products. However, Gentex recognizes that Donnelly Corporation, a competitor, is considerably larger than the Company and presents a significant competitive threat by using pricing as its primary means to attempt to gain additional electrochromic mirror business.</w:t>
      </w:r>
    </w:p>
    <w:p>
      <w:pPr>
        <w:spacing w:after="0" w:line="164" w:lineRule="exact"/>
        <w:rPr>
          <w:sz w:val="20"/>
          <w:szCs w:val="20"/>
          <w:color w:val="auto"/>
        </w:rPr>
      </w:pPr>
    </w:p>
    <w:p>
      <w:pPr>
        <w:ind w:right="3199" w:firstLine="792"/>
        <w:spacing w:after="0" w:line="238" w:lineRule="auto"/>
        <w:rPr>
          <w:sz w:val="20"/>
          <w:szCs w:val="20"/>
          <w:color w:val="auto"/>
        </w:rPr>
      </w:pPr>
      <w:r>
        <w:rPr>
          <w:rFonts w:ascii="Courier New" w:cs="Courier New" w:eastAsia="Courier New" w:hAnsi="Courier New"/>
          <w:sz w:val="15"/>
          <w:szCs w:val="15"/>
          <w:color w:val="auto"/>
        </w:rPr>
        <w:t>There are numerous other companies in the world conducting research on various technologies, including electrochromics, for controlling light transmission and reflection. Gentex believes that the electrochromic materials and manufacturing process it uses for automotive mirrors remains the most efficient and cost-effective way to produce such products. While automatic-dimming mirrors using other technologies may eliminate glare, each of these technologies have inherent cost or performance limitations.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FIRE PROTECTION PRODUCTS</w:t>
      </w:r>
    </w:p>
    <w:p>
      <w:pPr>
        <w:spacing w:after="0" w:line="174" w:lineRule="exact"/>
        <w:rPr>
          <w:sz w:val="20"/>
          <w:szCs w:val="20"/>
          <w:color w:val="auto"/>
        </w:rPr>
      </w:pPr>
    </w:p>
    <w:p>
      <w:pPr>
        <w:ind w:right="3099" w:firstLine="792"/>
        <w:spacing w:after="0" w:line="256" w:lineRule="auto"/>
        <w:rPr>
          <w:sz w:val="20"/>
          <w:szCs w:val="20"/>
          <w:color w:val="auto"/>
        </w:rPr>
      </w:pPr>
      <w:r>
        <w:rPr>
          <w:rFonts w:ascii="Courier New" w:cs="Courier New" w:eastAsia="Courier New" w:hAnsi="Courier New"/>
          <w:sz w:val="14"/>
          <w:szCs w:val="14"/>
          <w:color w:val="auto"/>
        </w:rPr>
        <w:t>The Company manufactures over 60 different models of smoke alarms and smoke detectors, combined with over 160 different models of signaling appliances. All of the smoke detectors/alarms operate on a photoelectric principle to detect smoke. While the use of photoelectric technology entails greater manufacturing costs, the Company believes that these detectors/alarms are superior in performance to competitive devices that operate through an ionization process, and are preferred in most commercial residential occupancies. Photoelectric detectors/alarms feature low light-level detection, while ionization detectors utilize an ionized atmosphere, the electrical conductivity of which varies with changes in the composition of the atmosphere. Photoelectric detectors/alarms are widely recognized to respond more quickly to slow, smoldering fires, a common form of dwelling unit fire and a frequent cause of fire-related deaths. In addition, photoelectric detectors are less prone to nuisance alarms and do not require the use of radioactive materials necessary for ionization detectors. Photoelectric smoke detectors/alarms are now being required by an increasing number of city and state laws, and national codes.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44" w:lineRule="exact"/>
        <w:rPr>
          <w:sz w:val="20"/>
          <w:szCs w:val="20"/>
          <w:color w:val="auto"/>
        </w:rPr>
      </w:pPr>
    </w:p>
    <w:p>
      <w:pPr>
        <w:ind w:right="3279" w:firstLine="792"/>
        <w:spacing w:after="0" w:line="257" w:lineRule="auto"/>
        <w:rPr>
          <w:sz w:val="20"/>
          <w:szCs w:val="20"/>
          <w:color w:val="auto"/>
        </w:rPr>
      </w:pPr>
      <w:r>
        <w:rPr>
          <w:rFonts w:ascii="Courier New" w:cs="Courier New" w:eastAsia="Courier New" w:hAnsi="Courier New"/>
          <w:sz w:val="14"/>
          <w:szCs w:val="14"/>
          <w:color w:val="auto"/>
        </w:rPr>
        <w:t>The Company's fire protection products provide the flexibility to be wired as part of multiple-function systems and consequently are generally used in fire detection systems common to large office buildings, hotels, motels, military bases, college dormitories and other commercial establishments. However, the Company also offers single-station alarms for both commercial and residential applications. While the Company does not emphasize the residential market, some of its fire protection products are used in single-family residences that utilize fire protection and security systems. The Company's detectors emit audible and/or visual signals in the immediate location of the device and/or communicate with monitored remote stations.</w:t>
      </w:r>
    </w:p>
    <w:p>
      <w:pPr>
        <w:spacing w:after="0" w:line="165" w:lineRule="exact"/>
        <w:rPr>
          <w:sz w:val="20"/>
          <w:szCs w:val="20"/>
          <w:color w:val="auto"/>
        </w:rPr>
      </w:pPr>
    </w:p>
    <w:p>
      <w:pPr>
        <w:ind w:right="3099" w:firstLine="792"/>
        <w:spacing w:after="0" w:line="257" w:lineRule="auto"/>
        <w:rPr>
          <w:sz w:val="20"/>
          <w:szCs w:val="20"/>
          <w:color w:val="auto"/>
        </w:rPr>
      </w:pPr>
      <w:r>
        <w:rPr>
          <w:rFonts w:ascii="Courier New" w:cs="Courier New" w:eastAsia="Courier New" w:hAnsi="Courier New"/>
          <w:sz w:val="14"/>
          <w:szCs w:val="14"/>
          <w:color w:val="auto"/>
        </w:rPr>
        <w:t>In recent years, the Company introduced further improvements to its line of smoke detectors/alarms, including submersibility to enhance maintenance, and a new design feature that permits greater ease in sensitivity testing. The Company offers the only detection device that may be completely submersed in water for cleaning purposes. This feature permits more effective and convenient cleaning of the product, thereby enhancing reliability. In addition, the patented sensitivity test feature permits the user to check the calibration of the least and most sensitive detection levels of the detector with the simple turn of a knob. In 1995, the National Fire Protection Association changed their code to require that all single station smoke alarms installed in dwellings larger than 1-2 family must annually conduct this sensitivity test.</w:t>
      </w:r>
    </w:p>
    <w:p>
      <w:pPr>
        <w:spacing w:after="0" w:line="164" w:lineRule="exact"/>
        <w:rPr>
          <w:sz w:val="20"/>
          <w:szCs w:val="20"/>
          <w:color w:val="auto"/>
        </w:rPr>
      </w:pPr>
    </w:p>
    <w:p>
      <w:pPr>
        <w:ind w:right="3459" w:firstLine="792"/>
        <w:spacing w:after="0" w:line="258" w:lineRule="auto"/>
        <w:rPr>
          <w:sz w:val="20"/>
          <w:szCs w:val="20"/>
          <w:color w:val="auto"/>
        </w:rPr>
      </w:pPr>
      <w:r>
        <w:rPr>
          <w:rFonts w:ascii="Courier New" w:cs="Courier New" w:eastAsia="Courier New" w:hAnsi="Courier New"/>
          <w:sz w:val="14"/>
          <w:szCs w:val="14"/>
          <w:color w:val="auto"/>
        </w:rPr>
        <w:t>During 1996, the Company made numerous revisions to its products to include weather-proofing the mechanical horn and strobe for outdoor use, increasing the power taps on their speaker series, adding three new candela ratings to their visual signals (strobe warning lights), and adding terminal blocks to the remote signaling appliances to meet new code requirements.</w:t>
      </w:r>
    </w:p>
    <w:p>
      <w:pPr>
        <w:spacing w:after="0" w:line="164" w:lineRule="exact"/>
        <w:rPr>
          <w:sz w:val="20"/>
          <w:szCs w:val="20"/>
          <w:color w:val="auto"/>
        </w:rPr>
      </w:pPr>
    </w:p>
    <w:p>
      <w:pPr>
        <w:ind w:right="3099" w:firstLine="792"/>
        <w:spacing w:after="0" w:line="238" w:lineRule="auto"/>
        <w:rPr>
          <w:sz w:val="20"/>
          <w:szCs w:val="20"/>
          <w:color w:val="auto"/>
        </w:rPr>
      </w:pPr>
      <w:r>
        <w:rPr>
          <w:rFonts w:ascii="Courier New" w:cs="Courier New" w:eastAsia="Courier New" w:hAnsi="Courier New"/>
          <w:sz w:val="15"/>
          <w:szCs w:val="15"/>
          <w:color w:val="auto"/>
        </w:rPr>
        <w:t>During 1997, the Company introduced a new visual and audible signaling line. The visual (strobe) was designed to meet the Underwriters Laboratories standard without any loss of efficiency. This product draws one of the lowest amounts of current consumption in the industry. It is also available with the largest array of visual intensities offered to meet virtually all room sizes and configurations.</w:t>
      </w:r>
    </w:p>
    <w:p>
      <w:pPr>
        <w:spacing w:after="0" w:line="174" w:lineRule="exact"/>
        <w:rPr>
          <w:sz w:val="20"/>
          <w:szCs w:val="20"/>
          <w:color w:val="auto"/>
        </w:rPr>
      </w:pPr>
    </w:p>
    <w:p>
      <w:pPr>
        <w:ind w:right="3099" w:firstLine="792"/>
        <w:spacing w:after="0" w:line="236" w:lineRule="auto"/>
        <w:rPr>
          <w:sz w:val="20"/>
          <w:szCs w:val="20"/>
          <w:color w:val="auto"/>
        </w:rPr>
      </w:pPr>
      <w:r>
        <w:rPr>
          <w:rFonts w:ascii="Courier New" w:cs="Courier New" w:eastAsia="Courier New" w:hAnsi="Courier New"/>
          <w:sz w:val="15"/>
          <w:szCs w:val="15"/>
          <w:color w:val="auto"/>
        </w:rPr>
        <w:t>Also, during 1997, the Company became one of the first companies in the fire alarm market to implement the temporal code 3 pattern on the smoke detection/alarm products.</w:t>
      </w:r>
    </w:p>
    <w:p>
      <w:pPr>
        <w:spacing w:after="0" w:line="176" w:lineRule="exact"/>
        <w:rPr>
          <w:sz w:val="20"/>
          <w:szCs w:val="20"/>
          <w:color w:val="auto"/>
        </w:rPr>
      </w:pPr>
    </w:p>
    <w:p>
      <w:pPr>
        <w:ind w:right="3199" w:firstLine="792"/>
        <w:spacing w:after="0" w:line="237" w:lineRule="auto"/>
        <w:rPr>
          <w:sz w:val="20"/>
          <w:szCs w:val="20"/>
          <w:color w:val="auto"/>
        </w:rPr>
      </w:pPr>
      <w:r>
        <w:rPr>
          <w:rFonts w:ascii="Courier New" w:cs="Courier New" w:eastAsia="Courier New" w:hAnsi="Courier New"/>
          <w:sz w:val="15"/>
          <w:szCs w:val="15"/>
          <w:color w:val="auto"/>
        </w:rPr>
        <w:t>In 1999, the Company introduced a new low current visual signaling appliance for general evacuation purposes. The new audible/visual series offers the widest array of light intensities in the industry and is one of the lowest current consumption appliances available.</w:t>
      </w:r>
    </w:p>
    <w:p>
      <w:pPr>
        <w:spacing w:after="0" w:line="176" w:lineRule="exact"/>
        <w:rPr>
          <w:sz w:val="20"/>
          <w:szCs w:val="20"/>
          <w:color w:val="auto"/>
        </w:rPr>
      </w:pPr>
    </w:p>
    <w:p>
      <w:pPr>
        <w:ind w:right="3099" w:firstLine="792"/>
        <w:spacing w:after="0" w:line="238" w:lineRule="auto"/>
        <w:rPr>
          <w:sz w:val="20"/>
          <w:szCs w:val="20"/>
          <w:color w:val="auto"/>
        </w:rPr>
      </w:pPr>
      <w:r>
        <w:rPr>
          <w:rFonts w:ascii="Courier New" w:cs="Courier New" w:eastAsia="Courier New" w:hAnsi="Courier New"/>
          <w:sz w:val="15"/>
          <w:szCs w:val="15"/>
          <w:color w:val="auto"/>
        </w:rPr>
        <w:t>Markets and Marketing. The Company's fire protection products are sold directly to fire protection and security product distributors under the Company's brand name, electrical wholesale houses, and to original equipment manufacturers of fire protection systems under both the Company's brand name and private labels. The Company markets its fire protection products throughout the United States through regional sales managers and manufacturer representative organizations.</w:t>
      </w:r>
    </w:p>
    <w:p>
      <w:pPr>
        <w:spacing w:after="0" w:line="175" w:lineRule="exact"/>
        <w:rPr>
          <w:sz w:val="20"/>
          <w:szCs w:val="20"/>
          <w:color w:val="auto"/>
        </w:rPr>
      </w:pPr>
    </w:p>
    <w:p>
      <w:pPr>
        <w:ind w:right="3099" w:firstLine="792"/>
        <w:spacing w:after="0" w:line="257" w:lineRule="auto"/>
        <w:rPr>
          <w:sz w:val="20"/>
          <w:szCs w:val="20"/>
          <w:color w:val="auto"/>
        </w:rPr>
      </w:pPr>
      <w:r>
        <w:rPr>
          <w:rFonts w:ascii="Courier New" w:cs="Courier New" w:eastAsia="Courier New" w:hAnsi="Courier New"/>
          <w:sz w:val="14"/>
          <w:szCs w:val="14"/>
          <w:color w:val="auto"/>
        </w:rPr>
        <w:t>Competition. The fire protection products industry is highly competitive in terms of both the smoke detectors and signaling device markets. The Company estimates that it competes principally with eleven manufacturers of smoke detection products for commercial use and approximately four manufacturers within the residential market, three of which produce photoelectric smoke detectors. In the signaling device markets, the Company estimates it competes with approximately eight manufacturers. While the Company faces significant competition in the sale of smoke detectors and signaling devices, it believes that the recent introduction of new products, improvements to its existing products, its diversified product line, and the availability of special features will permit the Company to maintain its competitive position.</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 AND PATENTS</w:t>
      </w:r>
    </w:p>
    <w:p>
      <w:pPr>
        <w:spacing w:after="0" w:line="174" w:lineRule="exact"/>
        <w:rPr>
          <w:sz w:val="20"/>
          <w:szCs w:val="20"/>
          <w:color w:val="auto"/>
        </w:rPr>
      </w:pPr>
    </w:p>
    <w:p>
      <w:pPr>
        <w:ind w:right="3099" w:firstLine="792"/>
        <w:spacing w:after="0" w:line="238" w:lineRule="auto"/>
        <w:rPr>
          <w:sz w:val="20"/>
          <w:szCs w:val="20"/>
          <w:color w:val="auto"/>
        </w:rPr>
      </w:pPr>
      <w:r>
        <w:rPr>
          <w:rFonts w:ascii="Courier New" w:cs="Courier New" w:eastAsia="Courier New" w:hAnsi="Courier New"/>
          <w:sz w:val="15"/>
          <w:szCs w:val="15"/>
          <w:color w:val="auto"/>
        </w:rPr>
        <w:t>The Company owns 5 trademarks and 53 U.S. patents, 50 of which relate to electrochromic technology and/or automotive rearview mirrors. These patents expire between 2002 and 2018. The Company believes that these patents provide the Company a significant competitive advantage in the automotive rearview mirror market; however, none of these patents is required for the success of any of the Company's products.</w:t>
      </w:r>
    </w:p>
    <w:p>
      <w:pPr>
        <w:spacing w:after="0" w:line="174" w:lineRule="exact"/>
        <w:rPr>
          <w:sz w:val="20"/>
          <w:szCs w:val="20"/>
          <w:color w:val="auto"/>
        </w:rPr>
      </w:pPr>
    </w:p>
    <w:p>
      <w:pPr>
        <w:ind w:right="3199" w:firstLine="792"/>
        <w:spacing w:after="0" w:line="237" w:lineRule="auto"/>
        <w:rPr>
          <w:sz w:val="20"/>
          <w:szCs w:val="20"/>
          <w:color w:val="auto"/>
        </w:rPr>
      </w:pPr>
      <w:r>
        <w:rPr>
          <w:rFonts w:ascii="Courier New" w:cs="Courier New" w:eastAsia="Courier New" w:hAnsi="Courier New"/>
          <w:sz w:val="15"/>
          <w:szCs w:val="15"/>
          <w:color w:val="auto"/>
        </w:rPr>
        <w:t>The Company also owns 36 foreign patents, 35 of which relate to automotive rearview mirrors. These patents expire at various times between 2002 and 2018. The Company believes that the competitive advantage derived in the relevant foreign markets for these patents is comparable to that experienced in the U.S. market.</w:t>
      </w:r>
    </w:p>
    <w:p>
      <w:pPr>
        <w:spacing w:after="0" w:line="177" w:lineRule="exact"/>
        <w:rPr>
          <w:sz w:val="20"/>
          <w:szCs w:val="20"/>
          <w:color w:val="auto"/>
        </w:rPr>
      </w:pPr>
    </w:p>
    <w:p>
      <w:pPr>
        <w:ind w:right="3799" w:firstLine="792"/>
        <w:spacing w:after="0" w:line="260" w:lineRule="auto"/>
        <w:rPr>
          <w:sz w:val="20"/>
          <w:szCs w:val="20"/>
          <w:color w:val="auto"/>
        </w:rPr>
      </w:pPr>
      <w:r>
        <w:rPr>
          <w:rFonts w:ascii="Courier New" w:cs="Courier New" w:eastAsia="Courier New" w:hAnsi="Courier New"/>
          <w:sz w:val="14"/>
          <w:szCs w:val="14"/>
          <w:color w:val="auto"/>
        </w:rPr>
        <w:t>The remaining 3 U.S. patents and 1 foreign patent relate to the Company's fire protection products, and the Company believes that the competitive advantage provided by these patents is relatively small.</w:t>
      </w:r>
    </w:p>
    <w:p>
      <w:pPr>
        <w:spacing w:after="0" w:line="162" w:lineRule="exact"/>
        <w:rPr>
          <w:sz w:val="20"/>
          <w:szCs w:val="20"/>
          <w:color w:val="auto"/>
        </w:rPr>
      </w:pPr>
    </w:p>
    <w:p>
      <w:pPr>
        <w:ind w:right="3099" w:firstLine="792"/>
        <w:spacing w:after="0" w:line="237" w:lineRule="auto"/>
        <w:rPr>
          <w:sz w:val="20"/>
          <w:szCs w:val="20"/>
          <w:color w:val="auto"/>
        </w:rPr>
      </w:pPr>
      <w:r>
        <w:rPr>
          <w:rFonts w:ascii="Courier New" w:cs="Courier New" w:eastAsia="Courier New" w:hAnsi="Courier New"/>
          <w:sz w:val="15"/>
          <w:szCs w:val="15"/>
          <w:color w:val="auto"/>
        </w:rPr>
        <w:t>The Company also has in process 91 U.S. patent applications, 47 foreign patent applications, and 2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177" w:lineRule="exact"/>
        <w:rPr>
          <w:sz w:val="20"/>
          <w:szCs w:val="20"/>
          <w:color w:val="auto"/>
        </w:rPr>
      </w:pPr>
    </w:p>
    <w:p>
      <w:pPr>
        <w:ind w:right="3099" w:firstLine="792"/>
        <w:spacing w:after="0" w:line="264" w:lineRule="auto"/>
        <w:rPr>
          <w:sz w:val="20"/>
          <w:szCs w:val="20"/>
          <w:color w:val="auto"/>
        </w:rPr>
      </w:pPr>
      <w:r>
        <w:rPr>
          <w:rFonts w:ascii="Courier New" w:cs="Courier New" w:eastAsia="Courier New" w:hAnsi="Courier New"/>
          <w:sz w:val="14"/>
          <w:szCs w:val="14"/>
          <w:color w:val="auto"/>
        </w:rPr>
        <w:t>"Night Vision Safety(TM)" and "A Smarter Vision(TM)" are trademarks of Gentex Corporation and "NVS(R)" is a registered trademark of Gentex Corporation.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099" w:firstLine="792"/>
        <w:spacing w:after="0" w:line="257" w:lineRule="auto"/>
        <w:rPr>
          <w:sz w:val="20"/>
          <w:szCs w:val="20"/>
          <w:color w:val="auto"/>
        </w:rPr>
      </w:pPr>
      <w:r>
        <w:rPr>
          <w:rFonts w:ascii="Courier New" w:cs="Courier New" w:eastAsia="Courier New" w:hAnsi="Courier New"/>
          <w:sz w:val="14"/>
          <w:szCs w:val="14"/>
          <w:color w:val="auto"/>
        </w:rPr>
        <w:t>The Company considers itself to be engaged in the manufacture and sale of automatic rearview mirrors for the automotive industry and fire protection products for the commercial building industry. The Company has three important customers within the automotive industry, each of which accounts for 10% or more of the Company's annual sales: General Motors Corporation, DaimlerChrysler AG and Ford Motor Company. The loss of any of these customers could have a material adverse effect on the Company. The Company's backlog of unshipped orders was $68,976,000 and $63,735,000 at March 1, 2000 and 1999, respectively.</w:t>
      </w:r>
    </w:p>
    <w:p>
      <w:pPr>
        <w:spacing w:after="0" w:line="165" w:lineRule="exact"/>
        <w:rPr>
          <w:sz w:val="20"/>
          <w:szCs w:val="20"/>
          <w:color w:val="auto"/>
        </w:rPr>
      </w:pPr>
    </w:p>
    <w:p>
      <w:pPr>
        <w:ind w:right="3359" w:firstLine="792"/>
        <w:spacing w:after="0" w:line="237" w:lineRule="auto"/>
        <w:rPr>
          <w:sz w:val="20"/>
          <w:szCs w:val="20"/>
          <w:color w:val="auto"/>
        </w:rPr>
      </w:pPr>
      <w:r>
        <w:rPr>
          <w:rFonts w:ascii="Courier New" w:cs="Courier New" w:eastAsia="Courier New" w:hAnsi="Courier New"/>
          <w:sz w:val="15"/>
          <w:szCs w:val="15"/>
          <w:color w:val="auto"/>
        </w:rPr>
        <w:t>At March 1, 2000, the Company had 1,347 full-time employees. None of the Company's employees are represented by a labor union or other collective bargaining representative. The Company believes that its relations with its employees are good.</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4" w:lineRule="exact"/>
        <w:rPr>
          <w:sz w:val="20"/>
          <w:szCs w:val="20"/>
          <w:color w:val="auto"/>
        </w:rPr>
      </w:pPr>
    </w:p>
    <w:p>
      <w:pPr>
        <w:ind w:right="3199" w:firstLine="792"/>
        <w:spacing w:after="0" w:line="236" w:lineRule="auto"/>
        <w:rPr>
          <w:sz w:val="20"/>
          <w:szCs w:val="20"/>
          <w:color w:val="auto"/>
        </w:rPr>
      </w:pPr>
      <w:r>
        <w:rPr>
          <w:rFonts w:ascii="Courier New" w:cs="Courier New" w:eastAsia="Courier New" w:hAnsi="Courier New"/>
          <w:sz w:val="15"/>
          <w:szCs w:val="15"/>
          <w:color w:val="auto"/>
        </w:rPr>
        <w:t>The Company operates out of three office/manufacturing facilities in Zeeland, Michigan, approximately 25 miles southwest of Grand Rapids. The office and production facility for the Fire Protection Products Group is a</w:t>
      </w:r>
    </w:p>
    <w:p>
      <w:pPr>
        <w:spacing w:after="0" w:line="7" w:lineRule="exact"/>
        <w:rPr>
          <w:sz w:val="20"/>
          <w:szCs w:val="20"/>
          <w:color w:val="auto"/>
        </w:rPr>
      </w:pPr>
    </w:p>
    <w:p>
      <w:pPr>
        <w:ind w:right="3459"/>
        <w:spacing w:after="0" w:line="235" w:lineRule="auto"/>
        <w:rPr>
          <w:sz w:val="20"/>
          <w:szCs w:val="20"/>
          <w:color w:val="auto"/>
        </w:rPr>
      </w:pPr>
      <w:r>
        <w:rPr>
          <w:rFonts w:ascii="Courier New" w:cs="Courier New" w:eastAsia="Courier New" w:hAnsi="Courier New"/>
          <w:sz w:val="15"/>
          <w:szCs w:val="15"/>
          <w:color w:val="auto"/>
        </w:rPr>
        <w:t>25,000-square-foot, one-story building leased by the Company since 1978 from related parties (see Part III, Item 13, of this report).</w:t>
      </w:r>
    </w:p>
    <w:p>
      <w:pPr>
        <w:spacing w:after="0" w:line="175" w:lineRule="exact"/>
        <w:rPr>
          <w:sz w:val="20"/>
          <w:szCs w:val="20"/>
          <w:color w:val="auto"/>
        </w:rPr>
      </w:pPr>
    </w:p>
    <w:p>
      <w:pPr>
        <w:ind w:right="3279" w:firstLine="792"/>
        <w:spacing w:after="0" w:line="256" w:lineRule="auto"/>
        <w:rPr>
          <w:sz w:val="20"/>
          <w:szCs w:val="20"/>
          <w:color w:val="auto"/>
        </w:rPr>
      </w:pPr>
      <w:r>
        <w:rPr>
          <w:rFonts w:ascii="Courier New" w:cs="Courier New" w:eastAsia="Courier New" w:hAnsi="Courier New"/>
          <w:sz w:val="14"/>
          <w:szCs w:val="14"/>
          <w:color w:val="auto"/>
        </w:rPr>
        <w:t>The corporate office and production facility for the Company's Automotive Products Group is a modern, two-story, 130,000-square-foot building of steel and masonry construction situated on a 40-acre site in a well-kept industrial park, providing ample opportunity for expansion. An additional</w:t>
      </w:r>
    </w:p>
    <w:p>
      <w:pPr>
        <w:spacing w:after="0" w:line="1" w:lineRule="exact"/>
        <w:rPr>
          <w:sz w:val="20"/>
          <w:szCs w:val="20"/>
          <w:color w:val="auto"/>
        </w:rPr>
      </w:pPr>
    </w:p>
    <w:p>
      <w:pPr>
        <w:ind w:right="3099"/>
        <w:spacing w:after="0" w:line="258" w:lineRule="auto"/>
        <w:rPr>
          <w:sz w:val="20"/>
          <w:szCs w:val="20"/>
          <w:color w:val="auto"/>
        </w:rPr>
      </w:pPr>
      <w:r>
        <w:rPr>
          <w:rFonts w:ascii="Courier New" w:cs="Courier New" w:eastAsia="Courier New" w:hAnsi="Courier New"/>
          <w:sz w:val="14"/>
          <w:szCs w:val="14"/>
          <w:color w:val="auto"/>
        </w:rPr>
        <w:t>128,000-square-foot office/manufacturing facility on this site was opened during 1996, to meet the Company's current and near term future automotive production needs. The Company has expanded its automotive production facilities by constructing a third 170,000 square-foot facility at a cost of approximately $13,000,000 on its current site which will open in the second quarter of 2000.</w:t>
      </w:r>
    </w:p>
    <w:p>
      <w:pPr>
        <w:spacing w:after="0" w:line="15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None that are material.</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4" w:lineRule="exact"/>
        <w:rPr>
          <w:sz w:val="20"/>
          <w:szCs w:val="20"/>
          <w:color w:val="auto"/>
        </w:rPr>
      </w:pPr>
    </w:p>
    <w:p>
      <w:pPr>
        <w:ind w:right="3360" w:firstLine="792"/>
        <w:spacing w:after="0" w:line="236" w:lineRule="auto"/>
        <w:rPr>
          <w:sz w:val="20"/>
          <w:szCs w:val="20"/>
          <w:color w:val="auto"/>
        </w:rPr>
      </w:pPr>
      <w:r>
        <w:rPr>
          <w:rFonts w:ascii="Courier New" w:cs="Courier New" w:eastAsia="Courier New" w:hAnsi="Courier New"/>
          <w:sz w:val="15"/>
          <w:szCs w:val="15"/>
          <w:color w:val="auto"/>
        </w:rPr>
        <w:t>The following table lists the names, ages, and positions of all of the Company's executive officers. Officers are elected at the first meeting of the Board of Directors following the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2260" w:val="left"/>
          <w:tab w:leader="none" w:pos="4460" w:val="left"/>
          <w:tab w:leader="none" w:pos="78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5"/>
          <w:szCs w:val="15"/>
          <w:color w:val="auto"/>
        </w:rPr>
        <w:t>POSITION</w:t>
      </w:r>
      <w:r>
        <w:rPr>
          <w:sz w:val="20"/>
          <w:szCs w:val="20"/>
          <w:color w:val="auto"/>
        </w:rPr>
        <w:tab/>
      </w:r>
      <w:r>
        <w:rPr>
          <w:rFonts w:ascii="Courier New" w:cs="Courier New" w:eastAsia="Courier New" w:hAnsi="Courier New"/>
          <w:sz w:val="14"/>
          <w:szCs w:val="14"/>
          <w:color w:val="auto"/>
        </w:rPr>
        <w:t>POSITION HELD SINCE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Fred Bauer</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57</w:t>
            </w:r>
          </w:p>
        </w:tc>
        <w:tc>
          <w:tcPr>
            <w:tcW w:w="4800" w:type="dxa"/>
            <w:vAlign w:val="bottom"/>
          </w:tcPr>
          <w:p>
            <w:pPr>
              <w:ind w:left="620"/>
              <w:spacing w:after="0"/>
              <w:rPr>
                <w:sz w:val="20"/>
                <w:szCs w:val="20"/>
                <w:color w:val="auto"/>
              </w:rPr>
            </w:pPr>
            <w:r>
              <w:rPr>
                <w:rFonts w:ascii="Courier New" w:cs="Courier New" w:eastAsia="Courier New" w:hAnsi="Courier New"/>
                <w:sz w:val="15"/>
                <w:szCs w:val="15"/>
                <w:color w:val="auto"/>
              </w:rPr>
              <w:t>Chief Executive Officer</w:t>
            </w:r>
          </w:p>
        </w:tc>
        <w:tc>
          <w:tcPr>
            <w:tcW w:w="1620" w:type="dxa"/>
            <w:vAlign w:val="bottom"/>
          </w:tcPr>
          <w:p>
            <w:pPr>
              <w:ind w:left="400"/>
              <w:spacing w:after="0"/>
              <w:rPr>
                <w:sz w:val="20"/>
                <w:szCs w:val="20"/>
                <w:color w:val="auto"/>
              </w:rPr>
            </w:pPr>
            <w:r>
              <w:rPr>
                <w:rFonts w:ascii="Courier New" w:cs="Courier New" w:eastAsia="Courier New" w:hAnsi="Courier New"/>
                <w:sz w:val="15"/>
                <w:szCs w:val="15"/>
                <w:color w:val="auto"/>
              </w:rPr>
              <w:t>May 1986</w:t>
            </w: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Kenneth La Grand</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59</w:t>
            </w:r>
          </w:p>
        </w:tc>
        <w:tc>
          <w:tcPr>
            <w:tcW w:w="4800" w:type="dxa"/>
            <w:vAlign w:val="bottom"/>
          </w:tcPr>
          <w:p>
            <w:pPr>
              <w:ind w:left="620"/>
              <w:spacing w:after="0"/>
              <w:rPr>
                <w:sz w:val="20"/>
                <w:szCs w:val="20"/>
                <w:color w:val="auto"/>
              </w:rPr>
            </w:pPr>
            <w:r>
              <w:rPr>
                <w:rFonts w:ascii="Courier New" w:cs="Courier New" w:eastAsia="Courier New" w:hAnsi="Courier New"/>
                <w:sz w:val="15"/>
                <w:szCs w:val="15"/>
                <w:color w:val="auto"/>
              </w:rPr>
              <w:t>Executive Vice President</w:t>
            </w:r>
          </w:p>
        </w:tc>
        <w:tc>
          <w:tcPr>
            <w:tcW w:w="1620" w:type="dxa"/>
            <w:vAlign w:val="bottom"/>
          </w:tcPr>
          <w:p>
            <w:pPr>
              <w:ind w:left="400"/>
              <w:spacing w:after="0"/>
              <w:rPr>
                <w:sz w:val="20"/>
                <w:szCs w:val="20"/>
                <w:color w:val="auto"/>
              </w:rPr>
            </w:pPr>
            <w:r>
              <w:rPr>
                <w:rFonts w:ascii="Courier New" w:cs="Courier New" w:eastAsia="Courier New" w:hAnsi="Courier New"/>
                <w:sz w:val="15"/>
                <w:szCs w:val="15"/>
                <w:color w:val="auto"/>
                <w:w w:val="95"/>
              </w:rPr>
              <w:t>September 1987</w:t>
            </w: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John Mulder</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63</w:t>
            </w:r>
          </w:p>
        </w:tc>
        <w:tc>
          <w:tcPr>
            <w:tcW w:w="4800" w:type="dxa"/>
            <w:vAlign w:val="bottom"/>
          </w:tcPr>
          <w:p>
            <w:pPr>
              <w:ind w:left="620"/>
              <w:spacing w:after="0"/>
              <w:rPr>
                <w:sz w:val="20"/>
                <w:szCs w:val="20"/>
                <w:color w:val="auto"/>
              </w:rPr>
            </w:pPr>
            <w:r>
              <w:rPr>
                <w:rFonts w:ascii="Courier New" w:cs="Courier New" w:eastAsia="Courier New" w:hAnsi="Courier New"/>
                <w:sz w:val="15"/>
                <w:szCs w:val="15"/>
                <w:color w:val="auto"/>
              </w:rPr>
              <w:t>Senior Vice President, Automotive Marketing</w:t>
            </w:r>
          </w:p>
        </w:tc>
        <w:tc>
          <w:tcPr>
            <w:tcW w:w="1620" w:type="dxa"/>
            <w:vAlign w:val="bottom"/>
          </w:tcPr>
          <w:p>
            <w:pPr>
              <w:ind w:left="400"/>
              <w:spacing w:after="0"/>
              <w:rPr>
                <w:sz w:val="20"/>
                <w:szCs w:val="20"/>
                <w:color w:val="auto"/>
              </w:rPr>
            </w:pPr>
            <w:r>
              <w:rPr>
                <w:rFonts w:ascii="Courier New" w:cs="Courier New" w:eastAsia="Courier New" w:hAnsi="Courier New"/>
                <w:sz w:val="15"/>
                <w:szCs w:val="15"/>
                <w:color w:val="auto"/>
                <w:w w:val="95"/>
              </w:rPr>
              <w:t>September 1998</w:t>
            </w: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Enoch Jen</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48</w:t>
            </w:r>
          </w:p>
        </w:tc>
        <w:tc>
          <w:tcPr>
            <w:tcW w:w="4800" w:type="dxa"/>
            <w:vAlign w:val="bottom"/>
          </w:tcPr>
          <w:p>
            <w:pPr>
              <w:ind w:left="620"/>
              <w:spacing w:after="0"/>
              <w:rPr>
                <w:sz w:val="20"/>
                <w:szCs w:val="20"/>
                <w:color w:val="auto"/>
              </w:rPr>
            </w:pPr>
            <w:r>
              <w:rPr>
                <w:rFonts w:ascii="Courier New" w:cs="Courier New" w:eastAsia="Courier New" w:hAnsi="Courier New"/>
                <w:sz w:val="15"/>
                <w:szCs w:val="15"/>
                <w:color w:val="auto"/>
              </w:rPr>
              <w:t>Vice President-Finance, Treasurer</w:t>
            </w:r>
          </w:p>
        </w:tc>
        <w:tc>
          <w:tcPr>
            <w:tcW w:w="1620" w:type="dxa"/>
            <w:vAlign w:val="bottom"/>
          </w:tcPr>
          <w:p>
            <w:pPr>
              <w:ind w:left="400"/>
              <w:spacing w:after="0"/>
              <w:rPr>
                <w:sz w:val="20"/>
                <w:szCs w:val="20"/>
                <w:color w:val="auto"/>
              </w:rPr>
            </w:pPr>
            <w:r>
              <w:rPr>
                <w:rFonts w:ascii="Courier New" w:cs="Courier New" w:eastAsia="Courier New" w:hAnsi="Courier New"/>
                <w:sz w:val="15"/>
                <w:szCs w:val="15"/>
                <w:color w:val="auto"/>
              </w:rPr>
              <w:t>February 1991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9" w:lineRule="exact"/>
        <w:rPr>
          <w:sz w:val="20"/>
          <w:szCs w:val="20"/>
          <w:color w:val="auto"/>
        </w:rPr>
      </w:pPr>
    </w:p>
    <w:p>
      <w:pPr>
        <w:ind w:right="3700" w:firstLine="792"/>
        <w:spacing w:after="0" w:line="235" w:lineRule="auto"/>
        <w:rPr>
          <w:sz w:val="20"/>
          <w:szCs w:val="20"/>
          <w:color w:val="auto"/>
        </w:rPr>
      </w:pPr>
      <w:r>
        <w:rPr>
          <w:rFonts w:ascii="Courier New" w:cs="Courier New" w:eastAsia="Courier New" w:hAnsi="Courier New"/>
          <w:sz w:val="15"/>
          <w:szCs w:val="15"/>
          <w:color w:val="auto"/>
        </w:rPr>
        <w:t>There are no family relationships among the officers listed in the preceding table.</w:t>
      </w:r>
    </w:p>
    <w:p>
      <w:pPr>
        <w:spacing w:after="0" w:line="175" w:lineRule="exact"/>
        <w:rPr>
          <w:sz w:val="20"/>
          <w:szCs w:val="20"/>
          <w:color w:val="auto"/>
        </w:rPr>
      </w:pPr>
    </w:p>
    <w:p>
      <w:pPr>
        <w:ind w:right="3440" w:firstLine="792"/>
        <w:spacing w:after="0" w:line="260" w:lineRule="auto"/>
        <w:rPr>
          <w:sz w:val="20"/>
          <w:szCs w:val="20"/>
          <w:color w:val="auto"/>
        </w:rPr>
      </w:pPr>
      <w:r>
        <w:rPr>
          <w:rFonts w:ascii="Courier New" w:cs="Courier New" w:eastAsia="Courier New" w:hAnsi="Courier New"/>
          <w:sz w:val="14"/>
          <w:szCs w:val="14"/>
          <w:color w:val="auto"/>
        </w:rPr>
        <w:t>John Mulder has served as Senior Vice President, Automotive Marketing of the Company since September 1998. Prior to that time, Mr. Mulder served as Vice President, Automotive Marketing, of the Company since July 1988.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344" w:lineRule="exact"/>
        <w:rPr>
          <w:sz w:val="20"/>
          <w:szCs w:val="20"/>
          <w:color w:val="auto"/>
        </w:rPr>
      </w:pPr>
    </w:p>
    <w:p>
      <w:pPr>
        <w:ind w:right="3800"/>
        <w:spacing w:after="0" w:line="235" w:lineRule="auto"/>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5" w:lineRule="exact"/>
        <w:rPr>
          <w:sz w:val="20"/>
          <w:szCs w:val="20"/>
          <w:color w:val="auto"/>
        </w:rPr>
      </w:pPr>
    </w:p>
    <w:p>
      <w:pPr>
        <w:ind w:right="3360" w:firstLine="792"/>
        <w:spacing w:after="0" w:line="258" w:lineRule="auto"/>
        <w:rPr>
          <w:sz w:val="20"/>
          <w:szCs w:val="20"/>
          <w:color w:val="auto"/>
        </w:rPr>
      </w:pPr>
      <w:r>
        <w:rPr>
          <w:rFonts w:ascii="Courier New" w:cs="Courier New" w:eastAsia="Courier New" w:hAnsi="Courier New"/>
          <w:sz w:val="14"/>
          <w:szCs w:val="14"/>
          <w:color w:val="auto"/>
        </w:rPr>
        <w:t>The Company's common stock trades on The Nasdaq Stock Market(R). As of March 1, 2000, there were 3,493 record holders of the Company's common stock. Ranges of high and low sale prices of the Company's common stock (adjusted for the 2-for-1 stock split in June 1998) reported through The Nasdaq Stock Market for the past two fiscal years appear in the following table.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760"/>
        <w:spacing w:after="0"/>
        <w:tabs>
          <w:tab w:leader="none" w:pos="2880" w:val="left"/>
          <w:tab w:leader="none" w:pos="5080" w:val="left"/>
          <w:tab w:leader="none" w:pos="6660"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4"/>
          <w:szCs w:val="14"/>
          <w:color w:val="auto"/>
        </w:rPr>
        <w:t>LOW</w:t>
      </w:r>
    </w:p>
    <w:p>
      <w:pPr>
        <w:ind w:left="158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88"/>
              </w:rPr>
              <w:t>1998</w:t>
            </w:r>
          </w:p>
        </w:tc>
        <w:tc>
          <w:tcPr>
            <w:tcW w:w="1840" w:type="dxa"/>
            <w:vAlign w:val="bottom"/>
          </w:tcPr>
          <w:p>
            <w:pPr>
              <w:ind w:left="480"/>
              <w:spacing w:after="0"/>
              <w:rPr>
                <w:sz w:val="20"/>
                <w:szCs w:val="20"/>
                <w:color w:val="auto"/>
              </w:rPr>
            </w:pPr>
            <w:r>
              <w:rPr>
                <w:rFonts w:ascii="Courier New" w:cs="Courier New" w:eastAsia="Courier New" w:hAnsi="Courier New"/>
                <w:sz w:val="15"/>
                <w:szCs w:val="15"/>
                <w:color w:val="auto"/>
              </w:rPr>
              <w:t>First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1/16</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29/32</w:t>
            </w:r>
          </w:p>
        </w:tc>
      </w:tr>
      <w:tr>
        <w:trPr>
          <w:trHeight w:val="169"/>
        </w:trPr>
        <w:tc>
          <w:tcPr>
            <w:tcW w:w="840" w:type="dxa"/>
            <w:vAlign w:val="bottom"/>
          </w:tcPr>
          <w:p>
            <w:pPr>
              <w:spacing w:after="0"/>
              <w:rPr>
                <w:sz w:val="14"/>
                <w:szCs w:val="14"/>
                <w:color w:val="auto"/>
              </w:rPr>
            </w:pPr>
          </w:p>
        </w:tc>
        <w:tc>
          <w:tcPr>
            <w:tcW w:w="1840" w:type="dxa"/>
            <w:vAlign w:val="bottom"/>
          </w:tcPr>
          <w:p>
            <w:pPr>
              <w:ind w:left="480"/>
              <w:spacing w:after="0"/>
              <w:rPr>
                <w:sz w:val="20"/>
                <w:szCs w:val="20"/>
                <w:color w:val="auto"/>
              </w:rPr>
            </w:pPr>
            <w:r>
              <w:rPr>
                <w:rFonts w:ascii="Courier New" w:cs="Courier New" w:eastAsia="Courier New" w:hAnsi="Courier New"/>
                <w:sz w:val="15"/>
                <w:szCs w:val="15"/>
                <w:color w:val="auto"/>
              </w:rPr>
              <w:t>Second</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1/2</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1/2</w:t>
            </w:r>
          </w:p>
        </w:tc>
      </w:tr>
      <w:tr>
        <w:trPr>
          <w:trHeight w:val="169"/>
        </w:trPr>
        <w:tc>
          <w:tcPr>
            <w:tcW w:w="840" w:type="dxa"/>
            <w:vAlign w:val="bottom"/>
          </w:tcPr>
          <w:p>
            <w:pPr>
              <w:spacing w:after="0"/>
              <w:rPr>
                <w:sz w:val="14"/>
                <w:szCs w:val="14"/>
                <w:color w:val="auto"/>
              </w:rPr>
            </w:pPr>
          </w:p>
        </w:tc>
        <w:tc>
          <w:tcPr>
            <w:tcW w:w="1840" w:type="dxa"/>
            <w:vAlign w:val="bottom"/>
          </w:tcPr>
          <w:p>
            <w:pPr>
              <w:ind w:left="480"/>
              <w:spacing w:after="0"/>
              <w:rPr>
                <w:sz w:val="20"/>
                <w:szCs w:val="20"/>
                <w:color w:val="auto"/>
              </w:rPr>
            </w:pPr>
            <w:r>
              <w:rPr>
                <w:rFonts w:ascii="Courier New" w:cs="Courier New" w:eastAsia="Courier New" w:hAnsi="Courier New"/>
                <w:sz w:val="15"/>
                <w:szCs w:val="15"/>
                <w:color w:val="auto"/>
              </w:rPr>
              <w:t>Third</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3/4</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3/4</w:t>
            </w:r>
          </w:p>
        </w:tc>
      </w:tr>
      <w:tr>
        <w:trPr>
          <w:trHeight w:val="169"/>
        </w:trPr>
        <w:tc>
          <w:tcPr>
            <w:tcW w:w="840" w:type="dxa"/>
            <w:vAlign w:val="bottom"/>
          </w:tcPr>
          <w:p>
            <w:pPr>
              <w:spacing w:after="0"/>
              <w:rPr>
                <w:sz w:val="14"/>
                <w:szCs w:val="14"/>
                <w:color w:val="auto"/>
              </w:rPr>
            </w:pPr>
          </w:p>
        </w:tc>
        <w:tc>
          <w:tcPr>
            <w:tcW w:w="1840" w:type="dxa"/>
            <w:vAlign w:val="bottom"/>
          </w:tcPr>
          <w:p>
            <w:pPr>
              <w:ind w:left="480"/>
              <w:spacing w:after="0"/>
              <w:rPr>
                <w:sz w:val="20"/>
                <w:szCs w:val="20"/>
                <w:color w:val="auto"/>
              </w:rPr>
            </w:pPr>
            <w:r>
              <w:rPr>
                <w:rFonts w:ascii="Courier New" w:cs="Courier New" w:eastAsia="Courier New" w:hAnsi="Courier New"/>
                <w:sz w:val="15"/>
                <w:szCs w:val="15"/>
                <w:color w:val="auto"/>
              </w:rPr>
              <w:t>Fourth</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84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1/2</w:t>
            </w:r>
          </w:p>
        </w:tc>
      </w:tr>
      <w:tr>
        <w:trPr>
          <w:trHeight w:val="169"/>
        </w:trPr>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88"/>
              </w:rPr>
              <w:t>1999</w:t>
            </w:r>
          </w:p>
        </w:tc>
        <w:tc>
          <w:tcPr>
            <w:tcW w:w="1840" w:type="dxa"/>
            <w:vAlign w:val="bottom"/>
          </w:tcPr>
          <w:p>
            <w:pPr>
              <w:ind w:left="480"/>
              <w:spacing w:after="0"/>
              <w:rPr>
                <w:sz w:val="20"/>
                <w:szCs w:val="20"/>
                <w:color w:val="auto"/>
              </w:rPr>
            </w:pPr>
            <w:r>
              <w:rPr>
                <w:rFonts w:ascii="Courier New" w:cs="Courier New" w:eastAsia="Courier New" w:hAnsi="Courier New"/>
                <w:sz w:val="15"/>
                <w:szCs w:val="15"/>
                <w:color w:val="auto"/>
              </w:rPr>
              <w:t>First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3/4</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3/4</w:t>
            </w:r>
          </w:p>
        </w:tc>
      </w:tr>
      <w:tr>
        <w:trPr>
          <w:trHeight w:val="169"/>
        </w:trPr>
        <w:tc>
          <w:tcPr>
            <w:tcW w:w="840" w:type="dxa"/>
            <w:vAlign w:val="bottom"/>
          </w:tcPr>
          <w:p>
            <w:pPr>
              <w:spacing w:after="0"/>
              <w:rPr>
                <w:sz w:val="14"/>
                <w:szCs w:val="14"/>
                <w:color w:val="auto"/>
              </w:rPr>
            </w:pPr>
          </w:p>
        </w:tc>
        <w:tc>
          <w:tcPr>
            <w:tcW w:w="1840" w:type="dxa"/>
            <w:vAlign w:val="bottom"/>
          </w:tcPr>
          <w:p>
            <w:pPr>
              <w:ind w:left="480"/>
              <w:spacing w:after="0"/>
              <w:rPr>
                <w:sz w:val="20"/>
                <w:szCs w:val="20"/>
                <w:color w:val="auto"/>
              </w:rPr>
            </w:pPr>
            <w:r>
              <w:rPr>
                <w:rFonts w:ascii="Courier New" w:cs="Courier New" w:eastAsia="Courier New" w:hAnsi="Courier New"/>
                <w:sz w:val="15"/>
                <w:szCs w:val="15"/>
                <w:color w:val="auto"/>
              </w:rPr>
              <w:t>Second</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7/8</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1/2</w:t>
            </w:r>
          </w:p>
        </w:tc>
      </w:tr>
      <w:tr>
        <w:trPr>
          <w:trHeight w:val="169"/>
        </w:trPr>
        <w:tc>
          <w:tcPr>
            <w:tcW w:w="840" w:type="dxa"/>
            <w:vAlign w:val="bottom"/>
          </w:tcPr>
          <w:p>
            <w:pPr>
              <w:spacing w:after="0"/>
              <w:rPr>
                <w:sz w:val="14"/>
                <w:szCs w:val="14"/>
                <w:color w:val="auto"/>
              </w:rPr>
            </w:pPr>
          </w:p>
        </w:tc>
        <w:tc>
          <w:tcPr>
            <w:tcW w:w="1840" w:type="dxa"/>
            <w:vAlign w:val="bottom"/>
          </w:tcPr>
          <w:p>
            <w:pPr>
              <w:ind w:left="480"/>
              <w:spacing w:after="0"/>
              <w:rPr>
                <w:sz w:val="20"/>
                <w:szCs w:val="20"/>
                <w:color w:val="auto"/>
              </w:rPr>
            </w:pPr>
            <w:r>
              <w:rPr>
                <w:rFonts w:ascii="Courier New" w:cs="Courier New" w:eastAsia="Courier New" w:hAnsi="Courier New"/>
                <w:sz w:val="15"/>
                <w:szCs w:val="15"/>
                <w:color w:val="auto"/>
              </w:rPr>
              <w:t>Third</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1/4</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c>
          <w:tcPr>
            <w:tcW w:w="52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1840" w:type="dxa"/>
            <w:vAlign w:val="bottom"/>
          </w:tcPr>
          <w:p>
            <w:pPr>
              <w:ind w:left="480"/>
              <w:spacing w:after="0"/>
              <w:rPr>
                <w:sz w:val="20"/>
                <w:szCs w:val="20"/>
                <w:color w:val="auto"/>
              </w:rPr>
            </w:pPr>
            <w:r>
              <w:rPr>
                <w:rFonts w:ascii="Courier New" w:cs="Courier New" w:eastAsia="Courier New" w:hAnsi="Courier New"/>
                <w:sz w:val="15"/>
                <w:szCs w:val="15"/>
                <w:color w:val="auto"/>
              </w:rPr>
              <w:t>Fourth</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1/16</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c>
          <w:tcPr>
            <w:tcW w:w="52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right="3360" w:firstLine="792"/>
        <w:spacing w:after="0" w:line="236" w:lineRule="auto"/>
        <w:rPr>
          <w:sz w:val="20"/>
          <w:szCs w:val="20"/>
          <w:color w:val="auto"/>
        </w:rPr>
      </w:pPr>
      <w:r>
        <w:rPr>
          <w:rFonts w:ascii="Courier New" w:cs="Courier New" w:eastAsia="Courier New" w:hAnsi="Courier New"/>
          <w:sz w:val="15"/>
          <w:szCs w:val="15"/>
          <w:color w:val="auto"/>
        </w:rPr>
        <w:t>The Company has never paid any cash dividends on its common stock, and management does not anticipate paying any cash dividends in the foreseeable future.</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300"/>
          </w:cols>
          <w:pgMar w:left="320" w:top="283" w:right="1279" w:bottom="1440" w:gutter="0" w:footer="0" w:header="0"/>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7"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9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2550"/>
        <w:spacing w:after="0"/>
        <w:tabs>
          <w:tab w:leader="none" w:pos="4109" w:val="left"/>
          <w:tab w:leader="none" w:pos="5709" w:val="left"/>
          <w:tab w:leader="none" w:pos="7209" w:val="left"/>
          <w:tab w:leader="none" w:pos="868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1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$262,155</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$222,292</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$186,328</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$148,708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$111,566</w:t>
            </w:r>
          </w:p>
        </w:tc>
      </w:tr>
      <w:tr>
        <w:trPr>
          <w:trHeight w:val="169"/>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64,864</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50,307</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35,230</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23,963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18,895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0.86</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0.68</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0.49</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0.34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0.28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$337,673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$254,890</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$189,783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$140,378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$109,244</w:t>
            </w:r>
          </w:p>
        </w:tc>
      </w:tr>
    </w:tbl>
    <w:p>
      <w:pPr>
        <w:spacing w:after="0" w:line="5" w:lineRule="exact"/>
        <w:rPr>
          <w:sz w:val="20"/>
          <w:szCs w:val="20"/>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right="8900" w:hanging="176"/>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 Outstanding at</w:t>
      </w:r>
    </w:p>
    <w:p>
      <w:pPr>
        <w:ind w:left="170"/>
        <w:spacing w:after="0"/>
        <w:tabs>
          <w:tab w:leader="none" w:pos="2449" w:val="left"/>
          <w:tab w:leader="none" w:pos="3069" w:val="left"/>
          <w:tab w:leader="none" w:pos="3949" w:val="left"/>
          <w:tab w:leader="none" w:pos="4549" w:val="left"/>
          <w:tab w:leader="none" w:pos="5529" w:val="left"/>
          <w:tab w:leader="none" w:pos="6149" w:val="left"/>
          <w:tab w:leader="none" w:pos="7029" w:val="left"/>
          <w:tab w:leader="none" w:pos="7649" w:val="left"/>
          <w:tab w:leader="none" w:pos="8609" w:val="left"/>
          <w:tab w:leader="none" w:pos="9229" w:val="left"/>
        </w:tabs>
        <w:rPr>
          <w:sz w:val="20"/>
          <w:szCs w:val="20"/>
          <w:color w:val="auto"/>
        </w:rPr>
      </w:pPr>
      <w:r>
        <w:rPr>
          <w:rFonts w:ascii="Courier New" w:cs="Courier New" w:eastAsia="Courier New" w:hAnsi="Courier New"/>
          <w:sz w:val="15"/>
          <w:szCs w:val="15"/>
          <w:color w:val="auto"/>
        </w:rPr>
        <w:t>Year End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*Diluted; adjusted for 2-for-1 stock splits in June 1998 and 1996.</w:t>
      </w:r>
    </w:p>
    <w:p>
      <w:pPr>
        <w:spacing w:after="0" w:line="344" w:lineRule="exact"/>
        <w:rPr>
          <w:sz w:val="20"/>
          <w:szCs w:val="20"/>
          <w:color w:val="auto"/>
        </w:rPr>
      </w:pPr>
    </w:p>
    <w:p>
      <w:pPr>
        <w:ind w:left="10" w:right="3800"/>
        <w:spacing w:after="0" w:line="235" w:lineRule="auto"/>
        <w:rPr>
          <w:sz w:val="20"/>
          <w:szCs w:val="20"/>
          <w:color w:val="auto"/>
        </w:rPr>
      </w:pPr>
      <w:r>
        <w:rPr>
          <w:rFonts w:ascii="Courier New" w:cs="Courier New" w:eastAsia="Courier New" w:hAnsi="Courier New"/>
          <w:sz w:val="15"/>
          <w:szCs w:val="15"/>
          <w:color w:val="auto"/>
        </w:rPr>
        <w:t>ITEM 7. MANAGEMENT'S DISCUSSION AND ANALYSIS OF RESULTS OF OPERATIONS AND FINANCIAL CONDITION.</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left="10" w:right="3360" w:firstLine="792"/>
        <w:spacing w:after="0" w:line="237" w:lineRule="auto"/>
        <w:rPr>
          <w:sz w:val="20"/>
          <w:szCs w:val="20"/>
          <w:color w:val="auto"/>
        </w:rPr>
      </w:pPr>
      <w:r>
        <w:rPr>
          <w:rFonts w:ascii="Courier New" w:cs="Courier New" w:eastAsia="Courier New" w:hAnsi="Courier New"/>
          <w:sz w:val="15"/>
          <w:szCs w:val="15"/>
          <w:color w:val="auto"/>
        </w:rPr>
        <w:t>The following table sets forth for the periods indicated certain items from the Company's Consolidated Statements of Income expressed as a percentage of net sales and the percentage change of each such item from that in the indicated previous year.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338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Percentage of Net Sales</w:t>
            </w:r>
          </w:p>
        </w:tc>
        <w:tc>
          <w:tcPr>
            <w:tcW w:w="20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Percentage Change</w:t>
            </w:r>
          </w:p>
        </w:tc>
      </w:tr>
      <w:tr>
        <w:trPr>
          <w:trHeight w:val="169"/>
        </w:trPr>
        <w:tc>
          <w:tcPr>
            <w:tcW w:w="3960" w:type="dxa"/>
            <w:vAlign w:val="bottom"/>
          </w:tcPr>
          <w:p>
            <w:pPr>
              <w:spacing w:after="0"/>
              <w:rPr>
                <w:sz w:val="14"/>
                <w:szCs w:val="14"/>
                <w:color w:val="auto"/>
              </w:rPr>
            </w:pPr>
          </w:p>
        </w:tc>
        <w:tc>
          <w:tcPr>
            <w:tcW w:w="2460" w:type="dxa"/>
            <w:vAlign w:val="bottom"/>
            <w:gridSpan w:val="2"/>
          </w:tcPr>
          <w:p>
            <w:pPr>
              <w:jc w:val="center"/>
              <w:ind w:left="627"/>
              <w:spacing w:after="0"/>
              <w:rPr>
                <w:sz w:val="20"/>
                <w:szCs w:val="20"/>
                <w:color w:val="auto"/>
              </w:rPr>
            </w:pPr>
            <w:r>
              <w:rPr>
                <w:rFonts w:ascii="Courier New" w:cs="Courier New" w:eastAsia="Courier New" w:hAnsi="Courier New"/>
                <w:sz w:val="15"/>
                <w:szCs w:val="15"/>
                <w:color w:val="auto"/>
                <w:w w:val="85"/>
              </w:rPr>
              <w:t>-----------------------</w:t>
            </w:r>
          </w:p>
        </w:tc>
        <w:tc>
          <w:tcPr>
            <w:tcW w:w="920" w:type="dxa"/>
            <w:vAlign w:val="bottom"/>
          </w:tcPr>
          <w:p>
            <w:pPr>
              <w:spacing w:after="0"/>
              <w:rPr>
                <w:sz w:val="14"/>
                <w:szCs w:val="14"/>
                <w:color w:val="auto"/>
              </w:rPr>
            </w:pPr>
          </w:p>
        </w:tc>
        <w:tc>
          <w:tcPr>
            <w:tcW w:w="20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3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169"/>
        </w:trPr>
        <w:tc>
          <w:tcPr>
            <w:tcW w:w="396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920" w:type="dxa"/>
            <w:vAlign w:val="bottom"/>
          </w:tcPr>
          <w:p>
            <w:pPr>
              <w:spacing w:after="0"/>
              <w:rPr>
                <w:sz w:val="14"/>
                <w:szCs w:val="14"/>
                <w:color w:val="auto"/>
              </w:rPr>
            </w:pP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to</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to</w:t>
            </w:r>
          </w:p>
        </w:tc>
      </w:tr>
      <w:tr>
        <w:trPr>
          <w:trHeight w:val="169"/>
        </w:trPr>
        <w:tc>
          <w:tcPr>
            <w:tcW w:w="3960" w:type="dxa"/>
            <w:vAlign w:val="bottom"/>
          </w:tcPr>
          <w:p>
            <w:pPr>
              <w:spacing w:after="0"/>
              <w:rPr>
                <w:sz w:val="14"/>
                <w:szCs w:val="14"/>
                <w:color w:val="auto"/>
              </w:rPr>
            </w:pPr>
          </w:p>
        </w:tc>
        <w:tc>
          <w:tcPr>
            <w:tcW w:w="33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3960" w:type="dxa"/>
            <w:vAlign w:val="bottom"/>
          </w:tcPr>
          <w:p>
            <w:pPr>
              <w:spacing w:after="0"/>
              <w:rPr>
                <w:sz w:val="14"/>
                <w:szCs w:val="1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9"/>
              </w:rPr>
              <w:t>1998</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69"/>
        </w:trPr>
        <w:tc>
          <w:tcPr>
            <w:tcW w:w="3960" w:type="dxa"/>
            <w:vAlign w:val="bottom"/>
          </w:tcPr>
          <w:p>
            <w:pPr>
              <w:spacing w:after="0"/>
              <w:rPr>
                <w:sz w:val="14"/>
                <w:szCs w:val="1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56.8</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59.3</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63.8</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w:t>
            </w:r>
          </w:p>
        </w:tc>
      </w:tr>
      <w:tr>
        <w:trPr>
          <w:trHeight w:val="169"/>
        </w:trPr>
        <w:tc>
          <w:tcPr>
            <w:tcW w:w="396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Gross Profit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43.2</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40.7</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36.2</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34.1</w:t>
            </w: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5.2</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5.0</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21.0</w:t>
            </w:r>
          </w:p>
        </w:tc>
      </w:tr>
      <w:tr>
        <w:trPr>
          <w:trHeight w:val="169"/>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5.4</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5.4</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w:t>
            </w:r>
          </w:p>
        </w:tc>
      </w:tr>
      <w:tr>
        <w:trPr>
          <w:trHeight w:val="169"/>
        </w:trPr>
        <w:tc>
          <w:tcPr>
            <w:tcW w:w="396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Total Operating Expenses</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10.6</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10.4</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10.7</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w:t>
            </w:r>
          </w:p>
        </w:tc>
      </w:tr>
      <w:tr>
        <w:trPr>
          <w:trHeight w:val="169"/>
        </w:trPr>
        <w:tc>
          <w:tcPr>
            <w:tcW w:w="396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Operating Income</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32.6</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30.3</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25.5</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41.8</w:t>
            </w: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4.1</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3.3</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55.5</w:t>
            </w:r>
          </w:p>
        </w:tc>
      </w:tr>
      <w:tr>
        <w:trPr>
          <w:trHeight w:val="169"/>
        </w:trPr>
        <w:tc>
          <w:tcPr>
            <w:tcW w:w="396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Income Before Provision for  Income Taxes</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36.7</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33.6</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43.1</w:t>
            </w: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12.0</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11.0</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9.1</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43.6</w:t>
            </w:r>
          </w:p>
        </w:tc>
      </w:tr>
      <w:tr>
        <w:trPr>
          <w:trHeight w:val="169"/>
        </w:trPr>
        <w:tc>
          <w:tcPr>
            <w:tcW w:w="396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24.7%</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22.6%</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18.9%</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42.8%</w:t>
            </w:r>
          </w:p>
        </w:tc>
      </w:tr>
      <w:tr>
        <w:trPr>
          <w:trHeight w:val="169"/>
        </w:trPr>
        <w:tc>
          <w:tcPr>
            <w:tcW w:w="396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2"/>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7" w:lineRule="exact"/>
        <w:rPr>
          <w:sz w:val="20"/>
          <w:szCs w:val="20"/>
          <w:color w:val="auto"/>
        </w:rPr>
      </w:pPr>
    </w:p>
    <w:p>
      <w:pPr>
        <w:ind w:left="10"/>
        <w:spacing w:after="0"/>
        <w:tabs>
          <w:tab w:leader="none" w:pos="2269"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4"/>
          <w:szCs w:val="14"/>
          <w:color w:val="auto"/>
        </w:rPr>
        <w:t>1999 TO 1998</w:t>
      </w:r>
    </w:p>
    <w:p>
      <w:pPr>
        <w:spacing w:after="0" w:line="174" w:lineRule="exact"/>
        <w:rPr>
          <w:sz w:val="20"/>
          <w:szCs w:val="20"/>
          <w:color w:val="auto"/>
        </w:rPr>
      </w:pPr>
    </w:p>
    <w:p>
      <w:pPr>
        <w:ind w:left="10" w:right="3360" w:firstLine="792"/>
        <w:spacing w:after="0" w:line="238" w:lineRule="auto"/>
        <w:rPr>
          <w:sz w:val="20"/>
          <w:szCs w:val="20"/>
          <w:color w:val="auto"/>
        </w:rPr>
      </w:pPr>
      <w:r>
        <w:rPr>
          <w:rFonts w:ascii="Courier New" w:cs="Courier New" w:eastAsia="Courier New" w:hAnsi="Courier New"/>
          <w:sz w:val="15"/>
          <w:szCs w:val="15"/>
          <w:color w:val="auto"/>
        </w:rPr>
        <w:t>Net Sales. Automotive net sales increased by 19% and mirror shipments increased by 22%, from 4,902,000 to 5,960,000 units, primarily reflecting increased penetration on domestic and foreign 1999 and 2000 model year vehicles for interior and exterior electrochromic Night Vision Safety (NVS(R)) Mirrors. North American unit shipments increased by 22%, aided by record automotive industry production levels, while overseas unit shipments increased by 20% during 1999. Net sales of the Company's fire protection products increased 4%, primarily due to increased sales of its AC/DC smoke detectors and low current draw strobe.</w:t>
      </w:r>
    </w:p>
    <w:p>
      <w:pPr>
        <w:spacing w:after="0" w:line="177" w:lineRule="exact"/>
        <w:rPr>
          <w:sz w:val="20"/>
          <w:szCs w:val="20"/>
          <w:color w:val="auto"/>
        </w:rPr>
      </w:pPr>
    </w:p>
    <w:p>
      <w:pPr>
        <w:ind w:left="10" w:right="3360" w:firstLine="792"/>
        <w:spacing w:after="0" w:line="238" w:lineRule="auto"/>
        <w:rPr>
          <w:sz w:val="20"/>
          <w:szCs w:val="20"/>
          <w:color w:val="auto"/>
        </w:rPr>
      </w:pPr>
      <w:r>
        <w:rPr>
          <w:rFonts w:ascii="Courier New" w:cs="Courier New" w:eastAsia="Courier New" w:hAnsi="Courier New"/>
          <w:sz w:val="15"/>
          <w:szCs w:val="15"/>
          <w:color w:val="auto"/>
        </w:rPr>
        <w:t>Cost of Goods Sold. As a percentage of net sales, cost of goods sold decreased from 59% to 57%, primarily reflecting product cost reductions in connection with the Company's new in-house glass coating equipment installed in mid-1998, improved exterior mirror element glass yields and increased sales volume spread over fixed overhead expenses, partially offset by automotive customer price reductions.</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310"/>
          </w:cols>
          <w:pgMar w:left="310" w:top="283" w:right="1279" w:bottom="58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344" w:lineRule="exact"/>
        <w:rPr>
          <w:sz w:val="20"/>
          <w:szCs w:val="20"/>
          <w:color w:val="auto"/>
        </w:rPr>
      </w:pPr>
    </w:p>
    <w:p>
      <w:pPr>
        <w:ind w:right="3279" w:firstLine="792"/>
        <w:spacing w:after="0" w:line="238" w:lineRule="auto"/>
        <w:rPr>
          <w:sz w:val="20"/>
          <w:szCs w:val="20"/>
          <w:color w:val="auto"/>
        </w:rPr>
      </w:pPr>
      <w:r>
        <w:rPr>
          <w:rFonts w:ascii="Courier New" w:cs="Courier New" w:eastAsia="Courier New" w:hAnsi="Courier New"/>
          <w:sz w:val="15"/>
          <w:szCs w:val="15"/>
          <w:color w:val="auto"/>
        </w:rPr>
        <w:t>Operating Expenses. Research and development expenses increased approximately $2,772,000, but remained at 5% of net sales, primarily due to additional staffing for new product development and increased engineering charges for outside services. Selling, general and administrative expenses increased approximately $1,992,000, but remained at 5% of net sales, primarily reflecting additional staffing in Europe and Japan to support the Company's current and anticipated future overseas sales growth.</w:t>
      </w:r>
    </w:p>
    <w:p>
      <w:pPr>
        <w:spacing w:after="0" w:line="175" w:lineRule="exact"/>
        <w:rPr>
          <w:sz w:val="20"/>
          <w:szCs w:val="20"/>
          <w:color w:val="auto"/>
        </w:rPr>
      </w:pPr>
    </w:p>
    <w:p>
      <w:pPr>
        <w:ind w:right="3459" w:firstLine="792"/>
        <w:spacing w:after="0" w:line="237" w:lineRule="auto"/>
        <w:rPr>
          <w:sz w:val="20"/>
          <w:szCs w:val="20"/>
          <w:color w:val="auto"/>
        </w:rPr>
      </w:pPr>
      <w:r>
        <w:rPr>
          <w:rFonts w:ascii="Courier New" w:cs="Courier New" w:eastAsia="Courier New" w:hAnsi="Courier New"/>
          <w:sz w:val="15"/>
          <w:szCs w:val="15"/>
          <w:color w:val="auto"/>
        </w:rPr>
        <w:t>Other Income - Net. Investment income increased $2,569,000 in 1999, primarily due to higher investable fund balances and higher interest rates. Other income increased $804,000 in 1999, primarily due to realized equity securities gains.</w:t>
      </w:r>
    </w:p>
    <w:p>
      <w:pPr>
        <w:spacing w:after="0" w:line="176" w:lineRule="exact"/>
        <w:rPr>
          <w:sz w:val="20"/>
          <w:szCs w:val="20"/>
          <w:color w:val="auto"/>
        </w:rPr>
      </w:pPr>
    </w:p>
    <w:p>
      <w:pPr>
        <w:ind w:right="3199" w:firstLine="792"/>
        <w:spacing w:after="0" w:line="236" w:lineRule="auto"/>
        <w:rPr>
          <w:sz w:val="20"/>
          <w:szCs w:val="20"/>
          <w:color w:val="auto"/>
        </w:rPr>
      </w:pPr>
      <w:r>
        <w:rPr>
          <w:rFonts w:ascii="Courier New" w:cs="Courier New" w:eastAsia="Courier New" w:hAnsi="Courier New"/>
          <w:sz w:val="15"/>
          <w:szCs w:val="15"/>
          <w:color w:val="auto"/>
        </w:rPr>
        <w:t>Taxes. The provision for income taxes was less than the statutory rate in 1999, primarily due to higher Foreign Sales Corporation exempted taxable income from increased foreign sales and tax-exempt interest income.</w:t>
      </w:r>
    </w:p>
    <w:p>
      <w:pPr>
        <w:spacing w:after="0" w:line="176" w:lineRule="exact"/>
        <w:rPr>
          <w:sz w:val="20"/>
          <w:szCs w:val="20"/>
          <w:color w:val="auto"/>
        </w:rPr>
      </w:pPr>
    </w:p>
    <w:p>
      <w:pPr>
        <w:ind w:right="3639" w:firstLine="792"/>
        <w:spacing w:after="0" w:line="235" w:lineRule="auto"/>
        <w:rPr>
          <w:sz w:val="20"/>
          <w:szCs w:val="20"/>
          <w:color w:val="auto"/>
        </w:rPr>
      </w:pPr>
      <w:r>
        <w:rPr>
          <w:rFonts w:ascii="Courier New" w:cs="Courier New" w:eastAsia="Courier New" w:hAnsi="Courier New"/>
          <w:sz w:val="15"/>
          <w:szCs w:val="15"/>
          <w:color w:val="auto"/>
        </w:rPr>
        <w:t>Net Income. Net income increased by 29%, primarily reflecting the increased sales level and improved gross profit in 1999.</w:t>
      </w:r>
    </w:p>
    <w:p>
      <w:pPr>
        <w:spacing w:after="0" w:line="170"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4"/>
          <w:szCs w:val="14"/>
          <w:color w:val="auto"/>
        </w:rPr>
        <w:t>1998 TO 1997</w:t>
      </w:r>
    </w:p>
    <w:p>
      <w:pPr>
        <w:spacing w:after="0" w:line="174" w:lineRule="exact"/>
        <w:rPr>
          <w:sz w:val="20"/>
          <w:szCs w:val="20"/>
          <w:color w:val="auto"/>
        </w:rPr>
      </w:pPr>
    </w:p>
    <w:p>
      <w:pPr>
        <w:ind w:right="3279" w:firstLine="792"/>
        <w:spacing w:after="0" w:line="257" w:lineRule="auto"/>
        <w:rPr>
          <w:sz w:val="20"/>
          <w:szCs w:val="20"/>
          <w:color w:val="auto"/>
        </w:rPr>
      </w:pPr>
      <w:r>
        <w:rPr>
          <w:rFonts w:ascii="Courier New" w:cs="Courier New" w:eastAsia="Courier New" w:hAnsi="Courier New"/>
          <w:sz w:val="14"/>
          <w:szCs w:val="14"/>
          <w:color w:val="auto"/>
        </w:rPr>
        <w:t>Net Sales. Automotive net sales increased by 22% and mirror shipments increased by 26%, from 3,878,000 to 4,902,000 units, primarily reflecting new thin glass flat, convex and aspheric exterior mirrors, as well as increased penetration on domestic and foreign 1998 and 1999 model year vehicles for interior and exterior electrochromic Night Vision Safety(TM) (NVS(R)) Mirrors. North American unit shipments increased by 30%, despite the impact of the General Motors' strikes, while overseas unit shipments increased by 18% during 1998. Net sales of the Company's fire protection products were basically flat, as increased sales of its AC/DC smoke detectors offset a decrease in sales of certain strobe related products.</w:t>
      </w:r>
    </w:p>
    <w:p>
      <w:pPr>
        <w:spacing w:after="0" w:line="165" w:lineRule="exact"/>
        <w:rPr>
          <w:sz w:val="20"/>
          <w:szCs w:val="20"/>
          <w:color w:val="auto"/>
        </w:rPr>
      </w:pPr>
    </w:p>
    <w:p>
      <w:pPr>
        <w:ind w:right="3099" w:firstLine="792"/>
        <w:spacing w:after="0" w:line="238" w:lineRule="auto"/>
        <w:rPr>
          <w:sz w:val="20"/>
          <w:szCs w:val="20"/>
          <w:color w:val="auto"/>
        </w:rPr>
      </w:pPr>
      <w:r>
        <w:rPr>
          <w:rFonts w:ascii="Courier New" w:cs="Courier New" w:eastAsia="Courier New" w:hAnsi="Courier New"/>
          <w:sz w:val="15"/>
          <w:szCs w:val="15"/>
          <w:color w:val="auto"/>
        </w:rPr>
        <w:t>Cost of Goods Sold. As a percentage of net sales, cost of goods sold decreased from 64% to 59%, primarily reflecting improved glass yields and product cost reductions in connection with the production ramp-up of the new exterior mirror products and the Company's new in-house glass coating equipment, and increased sales volume spread over fixed overhead expenses, partially offset by automotive customer price reductions.</w:t>
      </w:r>
    </w:p>
    <w:p>
      <w:pPr>
        <w:spacing w:after="0" w:line="174" w:lineRule="exact"/>
        <w:rPr>
          <w:sz w:val="20"/>
          <w:szCs w:val="20"/>
          <w:color w:val="auto"/>
        </w:rPr>
      </w:pPr>
    </w:p>
    <w:p>
      <w:pPr>
        <w:ind w:right="3279" w:firstLine="792"/>
        <w:spacing w:after="0" w:line="238" w:lineRule="auto"/>
        <w:rPr>
          <w:sz w:val="20"/>
          <w:szCs w:val="20"/>
          <w:color w:val="auto"/>
        </w:rPr>
      </w:pPr>
      <w:r>
        <w:rPr>
          <w:rFonts w:ascii="Courier New" w:cs="Courier New" w:eastAsia="Courier New" w:hAnsi="Courier New"/>
          <w:sz w:val="15"/>
          <w:szCs w:val="15"/>
          <w:color w:val="auto"/>
        </w:rPr>
        <w:t>Operating Expenses. Research and development expenses increased approximately $1,904,000, but remained at 5% of net sales, primarily due to additional staffing for new product development. Selling, general and administrative expenses increased approximately $1,240,000, but decreased from 6% to 5% of net sales, primarily reflecting the establishment of an European warehouse operation, the opening of a sales office in Japan and a $200,000 patent settlement payment.</w:t>
      </w:r>
    </w:p>
    <w:p>
      <w:pPr>
        <w:spacing w:after="0" w:line="175" w:lineRule="exact"/>
        <w:rPr>
          <w:sz w:val="20"/>
          <w:szCs w:val="20"/>
          <w:color w:val="auto"/>
        </w:rPr>
      </w:pPr>
    </w:p>
    <w:p>
      <w:pPr>
        <w:ind w:right="3459" w:firstLine="792"/>
        <w:spacing w:after="0" w:line="237" w:lineRule="auto"/>
        <w:rPr>
          <w:sz w:val="20"/>
          <w:szCs w:val="20"/>
          <w:color w:val="auto"/>
        </w:rPr>
      </w:pPr>
      <w:r>
        <w:rPr>
          <w:rFonts w:ascii="Courier New" w:cs="Courier New" w:eastAsia="Courier New" w:hAnsi="Courier New"/>
          <w:sz w:val="15"/>
          <w:szCs w:val="15"/>
          <w:color w:val="auto"/>
        </w:rPr>
        <w:t>Other Income - Net. Investment income increased $1,485,000 in 1998, primarily due to higher investable fund balances. Other income increased $1,128,000 in 1998, primarily due to realized gains on the sale of equity investments.</w:t>
      </w:r>
    </w:p>
    <w:p>
      <w:pPr>
        <w:spacing w:after="0" w:line="176" w:lineRule="exact"/>
        <w:rPr>
          <w:sz w:val="20"/>
          <w:szCs w:val="20"/>
          <w:color w:val="auto"/>
        </w:rPr>
      </w:pPr>
    </w:p>
    <w:p>
      <w:pPr>
        <w:ind w:right="3199" w:firstLine="792"/>
        <w:spacing w:after="0" w:line="260" w:lineRule="auto"/>
        <w:rPr>
          <w:sz w:val="20"/>
          <w:szCs w:val="20"/>
          <w:color w:val="auto"/>
        </w:rPr>
      </w:pPr>
      <w:r>
        <w:rPr>
          <w:rFonts w:ascii="Courier New" w:cs="Courier New" w:eastAsia="Courier New" w:hAnsi="Courier New"/>
          <w:sz w:val="14"/>
          <w:szCs w:val="14"/>
          <w:color w:val="auto"/>
        </w:rPr>
        <w:t>Taxes. The provision for income taxes was less than the statutory rate in 1998, primarily due to higher Foreign Sales Corporation exempted taxable income from increased foreign sales, as well as tax-exempt interest income.</w:t>
      </w:r>
    </w:p>
    <w:p>
      <w:pPr>
        <w:spacing w:after="0" w:line="162" w:lineRule="exact"/>
        <w:rPr>
          <w:sz w:val="20"/>
          <w:szCs w:val="20"/>
          <w:color w:val="auto"/>
        </w:rPr>
      </w:pPr>
    </w:p>
    <w:p>
      <w:pPr>
        <w:ind w:right="3639" w:firstLine="792"/>
        <w:spacing w:after="0" w:line="235" w:lineRule="auto"/>
        <w:rPr>
          <w:sz w:val="20"/>
          <w:szCs w:val="20"/>
          <w:color w:val="auto"/>
        </w:rPr>
      </w:pPr>
      <w:r>
        <w:rPr>
          <w:rFonts w:ascii="Courier New" w:cs="Courier New" w:eastAsia="Courier New" w:hAnsi="Courier New"/>
          <w:sz w:val="15"/>
          <w:szCs w:val="15"/>
          <w:color w:val="auto"/>
        </w:rPr>
        <w:t>Net Income. Net income increased by 43%, primarily reflecting the increased sales level and improved gross profit in 1998.</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99" w:firstLine="792"/>
        <w:spacing w:after="0" w:line="235" w:lineRule="auto"/>
        <w:rPr>
          <w:sz w:val="20"/>
          <w:szCs w:val="20"/>
          <w:color w:val="auto"/>
        </w:rPr>
      </w:pPr>
      <w:r>
        <w:rPr>
          <w:rFonts w:ascii="Courier New" w:cs="Courier New" w:eastAsia="Courier New" w:hAnsi="Courier New"/>
          <w:sz w:val="15"/>
          <w:szCs w:val="15"/>
          <w:color w:val="auto"/>
        </w:rPr>
        <w:t>The Company's financial condition throughout the periods presented has remained very strong.</w:t>
      </w:r>
    </w:p>
    <w:p>
      <w:pPr>
        <w:spacing w:after="0" w:line="175" w:lineRule="exact"/>
        <w:rPr>
          <w:sz w:val="20"/>
          <w:szCs w:val="20"/>
          <w:color w:val="auto"/>
        </w:rPr>
      </w:pPr>
    </w:p>
    <w:p>
      <w:pPr>
        <w:ind w:right="3099" w:firstLine="792"/>
        <w:spacing w:after="0" w:line="236" w:lineRule="auto"/>
        <w:rPr>
          <w:sz w:val="20"/>
          <w:szCs w:val="20"/>
          <w:color w:val="auto"/>
        </w:rPr>
      </w:pPr>
      <w:r>
        <w:rPr>
          <w:rFonts w:ascii="Courier New" w:cs="Courier New" w:eastAsia="Courier New" w:hAnsi="Courier New"/>
          <w:sz w:val="15"/>
          <w:szCs w:val="15"/>
          <w:color w:val="auto"/>
        </w:rPr>
        <w:t>The Company's current ratio increased from 7.8 in 1998, to 8.4 in 1999, primarily as a result of the increase in cash and cash equivalents generated from operations.</w:t>
      </w:r>
    </w:p>
    <w:p>
      <w:pPr>
        <w:spacing w:after="0" w:line="176" w:lineRule="exact"/>
        <w:rPr>
          <w:sz w:val="20"/>
          <w:szCs w:val="20"/>
          <w:color w:val="auto"/>
        </w:rPr>
      </w:pPr>
    </w:p>
    <w:p>
      <w:pPr>
        <w:ind w:right="3099" w:firstLine="792"/>
        <w:spacing w:after="0" w:line="237" w:lineRule="auto"/>
        <w:rPr>
          <w:sz w:val="20"/>
          <w:szCs w:val="20"/>
          <w:color w:val="auto"/>
        </w:rPr>
      </w:pPr>
      <w:r>
        <w:rPr>
          <w:rFonts w:ascii="Courier New" w:cs="Courier New" w:eastAsia="Courier New" w:hAnsi="Courier New"/>
          <w:sz w:val="15"/>
          <w:szCs w:val="15"/>
          <w:color w:val="auto"/>
        </w:rPr>
        <w:t>Management considers the Company's working capital of approximately $121,745,000 and long-term investments of approximately $125,817,000 at December 31, 1999, together with internally generated cash flow and an unsecured $5,000,000 line of credit from a bank, to be sufficient to cover anticipated cash needs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CHANGING PRICES AND OTHER</w:t>
      </w:r>
    </w:p>
    <w:p>
      <w:pPr>
        <w:spacing w:after="0" w:line="174" w:lineRule="exact"/>
        <w:rPr>
          <w:sz w:val="20"/>
          <w:szCs w:val="20"/>
          <w:color w:val="auto"/>
        </w:rPr>
      </w:pPr>
    </w:p>
    <w:p>
      <w:pPr>
        <w:ind w:right="1140" w:firstLine="792"/>
        <w:spacing w:after="0" w:line="257" w:lineRule="auto"/>
        <w:rPr>
          <w:sz w:val="20"/>
          <w:szCs w:val="20"/>
          <w:color w:val="auto"/>
        </w:rPr>
      </w:pPr>
      <w:r>
        <w:rPr>
          <w:rFonts w:ascii="Courier New" w:cs="Courier New" w:eastAsia="Courier New" w:hAnsi="Courier New"/>
          <w:sz w:val="14"/>
          <w:szCs w:val="14"/>
          <w:color w:val="auto"/>
        </w:rPr>
        <w:t>In addition to price reductions over the life of its long-term agreements, the Company continues to experience pricing pressures from its automotive customers, which have affected, and which will continue to affect, its margins to the extent that the Company is unable to offset the price reductions with productivity and yield improvements, engineering and purchasing cost reductions, and increases in sales volume. In addition, the Company continues to experience some pressure for raw material cost increases.</w:t>
      </w:r>
    </w:p>
    <w:p>
      <w:pPr>
        <w:spacing w:after="0" w:line="166" w:lineRule="exact"/>
        <w:rPr>
          <w:sz w:val="20"/>
          <w:szCs w:val="20"/>
          <w:color w:val="auto"/>
        </w:rPr>
      </w:pPr>
    </w:p>
    <w:p>
      <w:pPr>
        <w:ind w:right="1220" w:firstLine="792"/>
        <w:spacing w:after="0" w:line="259" w:lineRule="auto"/>
        <w:rPr>
          <w:sz w:val="20"/>
          <w:szCs w:val="20"/>
          <w:color w:val="auto"/>
        </w:rPr>
      </w:pPr>
      <w:r>
        <w:rPr>
          <w:rFonts w:ascii="Courier New" w:cs="Courier New" w:eastAsia="Courier New" w:hAnsi="Courier New"/>
          <w:sz w:val="14"/>
          <w:szCs w:val="14"/>
          <w:color w:val="auto"/>
        </w:rPr>
        <w:t>The Company currently supplies NVS(R) Mirrors to DaimlerChrysler AG (North America) and General Motors Corporation under long-term agreements. The long-term supply agreement with DaimlerChrysler AG runs through the 2003 Model Year, and the GM contract runs through the 2002 Model Year for inside mirrors.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 DISCLOSURE</w:t>
      </w:r>
    </w:p>
    <w:p>
      <w:pPr>
        <w:spacing w:after="0" w:line="174" w:lineRule="exact"/>
        <w:rPr>
          <w:sz w:val="20"/>
          <w:szCs w:val="20"/>
          <w:color w:val="auto"/>
        </w:rPr>
      </w:pPr>
    </w:p>
    <w:p>
      <w:pPr>
        <w:ind w:right="1040" w:firstLine="792"/>
        <w:spacing w:after="0" w:line="236" w:lineRule="auto"/>
        <w:rPr>
          <w:sz w:val="20"/>
          <w:szCs w:val="20"/>
          <w:color w:val="auto"/>
        </w:rPr>
      </w:pPr>
      <w:r>
        <w:rPr>
          <w:rFonts w:ascii="Courier New" w:cs="Courier New" w:eastAsia="Courier New" w:hAnsi="Courier New"/>
          <w:sz w:val="15"/>
          <w:szCs w:val="15"/>
          <w:color w:val="auto"/>
        </w:rPr>
        <w:t>The Company is subject to market risk exposures of varying correlations and volatilities, including foreign exchange rate risk, interest rate risk and equity price risk.</w:t>
      </w:r>
    </w:p>
    <w:p>
      <w:pPr>
        <w:spacing w:after="0" w:line="176" w:lineRule="exact"/>
        <w:rPr>
          <w:sz w:val="20"/>
          <w:szCs w:val="20"/>
          <w:color w:val="auto"/>
        </w:rPr>
      </w:pPr>
    </w:p>
    <w:p>
      <w:pPr>
        <w:ind w:right="1140" w:firstLine="792"/>
        <w:spacing w:after="0" w:line="237" w:lineRule="auto"/>
        <w:rPr>
          <w:sz w:val="20"/>
          <w:szCs w:val="20"/>
          <w:color w:val="auto"/>
        </w:rPr>
      </w:pPr>
      <w:r>
        <w:rPr>
          <w:rFonts w:ascii="Courier New" w:cs="Courier New" w:eastAsia="Courier New" w:hAnsi="Courier New"/>
          <w:sz w:val="15"/>
          <w:szCs w:val="15"/>
          <w:color w:val="auto"/>
        </w:rPr>
        <w:t>The Company has some assets, liabilities and operations outside the United States, which currently are not significant. Because the Company sells its automotive mirrors throughout the world, it could be significantly affected by weak economic conditions in foreign markets that could reduce demand for its products.</w:t>
      </w:r>
    </w:p>
    <w:p>
      <w:pPr>
        <w:spacing w:after="0" w:line="177" w:lineRule="exact"/>
        <w:rPr>
          <w:sz w:val="20"/>
          <w:szCs w:val="20"/>
          <w:color w:val="auto"/>
        </w:rPr>
      </w:pPr>
    </w:p>
    <w:p>
      <w:pPr>
        <w:ind w:right="1220" w:firstLine="792"/>
        <w:spacing w:after="0" w:line="237" w:lineRule="auto"/>
        <w:rPr>
          <w:sz w:val="20"/>
          <w:szCs w:val="20"/>
          <w:color w:val="auto"/>
        </w:rPr>
      </w:pPr>
      <w:r>
        <w:rPr>
          <w:rFonts w:ascii="Courier New" w:cs="Courier New" w:eastAsia="Courier New" w:hAnsi="Courier New"/>
          <w:sz w:val="15"/>
          <w:szCs w:val="15"/>
          <w:color w:val="auto"/>
        </w:rPr>
        <w:t>The Company manages interest rate risk and default risk in its fixed-income investment portfolio by investing in shorter-term maturities and investment grade issues. The Company's fixed-income investments' maturities at carrying value, which closely approximates fair value, and average interest rates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4"/>
              </w:rPr>
              <w:t>2001</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2003</w:t>
            </w:r>
          </w:p>
        </w:tc>
        <w:tc>
          <w:tcPr>
            <w:tcW w:w="7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2004</w:t>
            </w:r>
          </w:p>
        </w:tc>
      </w:tr>
      <w:tr>
        <w:trPr>
          <w:trHeight w:val="169"/>
        </w:trPr>
        <w:tc>
          <w:tcPr>
            <w:tcW w:w="2540" w:type="dxa"/>
            <w:vAlign w:val="bottom"/>
          </w:tcPr>
          <w:p>
            <w:pPr>
              <w:spacing w:after="0"/>
              <w:rPr>
                <w:sz w:val="14"/>
                <w:szCs w:val="14"/>
                <w:color w:val="auto"/>
              </w:rPr>
            </w:pPr>
          </w:p>
        </w:tc>
        <w:tc>
          <w:tcPr>
            <w:tcW w:w="5200" w:type="dxa"/>
            <w:vAlign w:val="bottom"/>
            <w:gridSpan w:val="8"/>
          </w:tcPr>
          <w:p>
            <w:pPr>
              <w:ind w:left="440"/>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rPr>
              <w:t>U.S. Treasuries</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9"/>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Amount (000,000)</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8.0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4"/>
              </w:rPr>
              <w:t>10.1</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$27.3</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$21.2</w:t>
            </w:r>
          </w:p>
        </w:tc>
        <w:tc>
          <w:tcPr>
            <w:tcW w:w="440" w:type="dxa"/>
            <w:vAlign w:val="bottom"/>
          </w:tcPr>
          <w:p>
            <w:pPr>
              <w:spacing w:after="0"/>
              <w:rPr>
                <w:sz w:val="14"/>
                <w:szCs w:val="14"/>
                <w:color w:val="auto"/>
              </w:rPr>
            </w:pP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69"/>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Average Interest Rate</w:t>
            </w:r>
          </w:p>
        </w:tc>
        <w:tc>
          <w:tcPr>
            <w:tcW w:w="54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6%</w:t>
            </w:r>
          </w:p>
        </w:tc>
        <w:tc>
          <w:tcPr>
            <w:tcW w:w="440" w:type="dxa"/>
            <w:vAlign w:val="bottom"/>
          </w:tcPr>
          <w:p>
            <w:pPr>
              <w:spacing w:after="0"/>
              <w:rPr>
                <w:sz w:val="14"/>
                <w:szCs w:val="14"/>
                <w:color w:val="auto"/>
              </w:rPr>
            </w:pP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6%</w:t>
            </w:r>
          </w:p>
        </w:tc>
        <w:tc>
          <w:tcPr>
            <w:tcW w:w="1060" w:type="dxa"/>
            <w:vAlign w:val="bottom"/>
          </w:tcPr>
          <w:p>
            <w:pPr>
              <w:ind w:left="480"/>
              <w:spacing w:after="0"/>
              <w:rPr>
                <w:sz w:val="20"/>
                <w:szCs w:val="20"/>
                <w:color w:val="auto"/>
              </w:rPr>
            </w:pPr>
            <w:r>
              <w:rPr>
                <w:rFonts w:ascii="Courier New" w:cs="Courier New" w:eastAsia="Courier New" w:hAnsi="Courier New"/>
                <w:sz w:val="15"/>
                <w:szCs w:val="15"/>
                <w:color w:val="auto"/>
              </w:rPr>
              <w:t>6%</w:t>
            </w:r>
          </w:p>
        </w:tc>
        <w:tc>
          <w:tcPr>
            <w:tcW w:w="1060" w:type="dxa"/>
            <w:vAlign w:val="bottom"/>
          </w:tcPr>
          <w:p>
            <w:pPr>
              <w:ind w:left="480"/>
              <w:spacing w:after="0"/>
              <w:rPr>
                <w:sz w:val="20"/>
                <w:szCs w:val="20"/>
                <w:color w:val="auto"/>
              </w:rPr>
            </w:pPr>
            <w:r>
              <w:rPr>
                <w:rFonts w:ascii="Courier New" w:cs="Courier New" w:eastAsia="Courier New" w:hAnsi="Courier New"/>
                <w:sz w:val="15"/>
                <w:szCs w:val="15"/>
                <w:color w:val="auto"/>
              </w:rPr>
              <w:t>6%</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9"/>
        </w:trPr>
        <w:tc>
          <w:tcPr>
            <w:tcW w:w="2540" w:type="dxa"/>
            <w:vAlign w:val="bottom"/>
          </w:tcPr>
          <w:p>
            <w:pPr>
              <w:spacing w:after="0"/>
              <w:rPr>
                <w:sz w:val="20"/>
                <w:szCs w:val="20"/>
                <w:color w:val="auto"/>
              </w:rPr>
            </w:pPr>
            <w:r>
              <w:rPr>
                <w:rFonts w:ascii="Courier New" w:cs="Courier New" w:eastAsia="Courier New" w:hAnsi="Courier New"/>
                <w:sz w:val="15"/>
                <w:szCs w:val="15"/>
                <w:color w:val="auto"/>
              </w:rPr>
              <w:t>Municipal</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9"/>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Amount (000,000)</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13.5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4"/>
              </w:rPr>
              <w:t>12.5</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$ 4.7</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$ 1.5</w:t>
            </w:r>
          </w:p>
        </w:tc>
        <w:tc>
          <w:tcPr>
            <w:tcW w:w="440" w:type="dxa"/>
            <w:vAlign w:val="bottom"/>
          </w:tcPr>
          <w:p>
            <w:pPr>
              <w:spacing w:after="0"/>
              <w:rPr>
                <w:sz w:val="14"/>
                <w:szCs w:val="14"/>
                <w:color w:val="auto"/>
              </w:rPr>
            </w:pP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69"/>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Average Interest Rate*</w:t>
            </w:r>
          </w:p>
        </w:tc>
        <w:tc>
          <w:tcPr>
            <w:tcW w:w="54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4%</w:t>
            </w:r>
          </w:p>
        </w:tc>
        <w:tc>
          <w:tcPr>
            <w:tcW w:w="440" w:type="dxa"/>
            <w:vAlign w:val="bottom"/>
          </w:tcPr>
          <w:p>
            <w:pPr>
              <w:spacing w:after="0"/>
              <w:rPr>
                <w:sz w:val="14"/>
                <w:szCs w:val="14"/>
                <w:color w:val="auto"/>
              </w:rPr>
            </w:pP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4%</w:t>
            </w:r>
          </w:p>
        </w:tc>
        <w:tc>
          <w:tcPr>
            <w:tcW w:w="1060" w:type="dxa"/>
            <w:vAlign w:val="bottom"/>
          </w:tcPr>
          <w:p>
            <w:pPr>
              <w:ind w:left="480"/>
              <w:spacing w:after="0"/>
              <w:rPr>
                <w:sz w:val="20"/>
                <w:szCs w:val="20"/>
                <w:color w:val="auto"/>
              </w:rPr>
            </w:pPr>
            <w:r>
              <w:rPr>
                <w:rFonts w:ascii="Courier New" w:cs="Courier New" w:eastAsia="Courier New" w:hAnsi="Courier New"/>
                <w:sz w:val="15"/>
                <w:szCs w:val="15"/>
                <w:color w:val="auto"/>
              </w:rPr>
              <w:t>4%</w:t>
            </w:r>
          </w:p>
        </w:tc>
        <w:tc>
          <w:tcPr>
            <w:tcW w:w="1060" w:type="dxa"/>
            <w:vAlign w:val="bottom"/>
          </w:tcPr>
          <w:p>
            <w:pPr>
              <w:ind w:left="480"/>
              <w:spacing w:after="0"/>
              <w:rPr>
                <w:sz w:val="20"/>
                <w:szCs w:val="20"/>
                <w:color w:val="auto"/>
              </w:rPr>
            </w:pPr>
            <w:r>
              <w:rPr>
                <w:rFonts w:ascii="Courier New" w:cs="Courier New" w:eastAsia="Courier New" w:hAnsi="Courier New"/>
                <w:sz w:val="15"/>
                <w:szCs w:val="15"/>
                <w:color w:val="auto"/>
              </w:rPr>
              <w:t>4%</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9"/>
        </w:trPr>
        <w:tc>
          <w:tcPr>
            <w:tcW w:w="25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9"/>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Amount (000,000)</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4.0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w:t>
            </w:r>
          </w:p>
        </w:tc>
        <w:tc>
          <w:tcPr>
            <w:tcW w:w="10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1.2</w:t>
            </w:r>
          </w:p>
        </w:tc>
      </w:tr>
      <w:tr>
        <w:trPr>
          <w:trHeight w:val="169"/>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Average Interest Rate</w:t>
            </w:r>
          </w:p>
        </w:tc>
        <w:tc>
          <w:tcPr>
            <w:tcW w:w="54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14"/>
                <w:szCs w:val="14"/>
                <w:color w:val="auto"/>
              </w:rPr>
            </w:pP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6%</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6%</w:t>
            </w:r>
          </w:p>
        </w:tc>
      </w:tr>
      <w:tr>
        <w:trPr>
          <w:trHeight w:val="169"/>
        </w:trPr>
        <w:tc>
          <w:tcPr>
            <w:tcW w:w="2540" w:type="dxa"/>
            <w:vAlign w:val="bottom"/>
          </w:tcPr>
          <w:p>
            <w:pPr>
              <w:spacing w:after="0"/>
              <w:rPr>
                <w:sz w:val="20"/>
                <w:szCs w:val="20"/>
                <w:color w:val="auto"/>
              </w:rPr>
            </w:pPr>
            <w:r>
              <w:rPr>
                <w:rFonts w:ascii="Courier New" w:cs="Courier New" w:eastAsia="Courier New" w:hAnsi="Courier New"/>
                <w:sz w:val="15"/>
                <w:szCs w:val="15"/>
                <w:color w:val="auto"/>
              </w:rPr>
              <w:t>*After-tax</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344" w:lineRule="exact"/>
        <w:rPr>
          <w:sz w:val="20"/>
          <w:szCs w:val="20"/>
          <w:color w:val="auto"/>
        </w:rPr>
      </w:pPr>
    </w:p>
    <w:p>
      <w:pPr>
        <w:ind w:right="1400" w:firstLine="792"/>
        <w:spacing w:after="0" w:line="236" w:lineRule="auto"/>
        <w:rPr>
          <w:sz w:val="20"/>
          <w:szCs w:val="20"/>
          <w:color w:val="auto"/>
        </w:rPr>
      </w:pPr>
      <w:r>
        <w:rPr>
          <w:rFonts w:ascii="Courier New" w:cs="Courier New" w:eastAsia="Courier New" w:hAnsi="Courier New"/>
          <w:sz w:val="15"/>
          <w:szCs w:val="15"/>
          <w:color w:val="auto"/>
        </w:rPr>
        <w:t>Most of the Company's equity investments are managed by a number of outside equity fund managers who primarily invest in large capitalization companies in the U.S. stock markets.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DISCLOSURE</w:t>
      </w:r>
    </w:p>
    <w:p>
      <w:pPr>
        <w:spacing w:after="0" w:line="174" w:lineRule="exact"/>
        <w:rPr>
          <w:sz w:val="20"/>
          <w:szCs w:val="20"/>
          <w:color w:val="auto"/>
        </w:rPr>
      </w:pPr>
    </w:p>
    <w:p>
      <w:pPr>
        <w:ind w:right="1040" w:firstLine="792"/>
        <w:spacing w:after="0" w:line="237" w:lineRule="auto"/>
        <w:rPr>
          <w:sz w:val="20"/>
          <w:szCs w:val="20"/>
          <w:color w:val="auto"/>
        </w:rPr>
      </w:pPr>
      <w:r>
        <w:rPr>
          <w:rFonts w:ascii="Courier New" w:cs="Courier New" w:eastAsia="Courier New" w:hAnsi="Courier New"/>
          <w:sz w:val="15"/>
          <w:szCs w:val="15"/>
          <w:color w:val="auto"/>
        </w:rPr>
        <w:t>The Company has not experienced any significant problems with its computer systems' compliance with the year 2000, nor have any customer shipments been adversely impacted. In addition, the Company does not consider there to be any significant continuing exposure related to year 2000 issues.</w:t>
      </w:r>
    </w:p>
    <w:p>
      <w:pPr>
        <w:spacing w:after="0" w:line="17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7. 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See "Market Risk Disclosure" in Management's Discussion and Analysis</w:t>
      </w:r>
    </w:p>
    <w:p>
      <w:pPr>
        <w:spacing w:after="0"/>
        <w:rPr>
          <w:sz w:val="20"/>
          <w:szCs w:val="20"/>
          <w:color w:val="auto"/>
        </w:rPr>
      </w:pPr>
      <w:r>
        <w:rPr>
          <w:rFonts w:ascii="Courier New" w:cs="Courier New" w:eastAsia="Courier New" w:hAnsi="Courier New"/>
          <w:sz w:val="15"/>
          <w:szCs w:val="15"/>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Total Balance</w:t>
      </w:r>
    </w:p>
    <w:p>
      <w:pPr>
        <w:ind w:left="440"/>
        <w:spacing w:after="0"/>
        <w:rPr>
          <w:sz w:val="20"/>
          <w:szCs w:val="20"/>
          <w:color w:val="auto"/>
        </w:rPr>
      </w:pPr>
      <w:r>
        <w:rPr>
          <w:rFonts w:ascii="Courier New" w:cs="Courier New" w:eastAsia="Courier New" w:hAnsi="Courier New"/>
          <w:sz w:val="15"/>
          <w:szCs w:val="15"/>
          <w:color w:val="auto"/>
        </w:rPr>
        <w:t>as of December 31,</w:t>
      </w:r>
    </w:p>
    <w:p>
      <w:pPr>
        <w:ind w:left="340"/>
        <w:spacing w:after="0" w:line="238" w:lineRule="auto"/>
        <w:tabs>
          <w:tab w:leader="none" w:pos="182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3"/>
              </w:rPr>
              <w:t>$66.6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$25.3</w:t>
            </w:r>
          </w:p>
        </w:tc>
      </w:tr>
      <w:tr>
        <w:trPr>
          <w:trHeight w:val="169"/>
        </w:trPr>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r>
      <w:tr>
        <w:trPr>
          <w:trHeight w:val="339"/>
        </w:trPr>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3"/>
              </w:rPr>
              <w:t>$32.2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$41.2</w:t>
            </w:r>
          </w:p>
        </w:tc>
      </w:tr>
      <w:tr>
        <w:trPr>
          <w:trHeight w:val="169"/>
        </w:trPr>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339"/>
        </w:trPr>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3"/>
              </w:rPr>
              <w:t>$ 8.5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$ 5.1</w:t>
            </w:r>
          </w:p>
        </w:tc>
      </w:tr>
      <w:tr>
        <w:trPr>
          <w:trHeight w:val="169"/>
        </w:trPr>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r>
    </w:tbl>
    <w:p>
      <w:pPr>
        <w:sectPr>
          <w:pgSz w:w="11900" w:h="16838" w:orient="portrait"/>
          <w:cols w:equalWidth="0" w:num="2">
            <w:col w:w="8080" w:space="720"/>
            <w:col w:w="2280"/>
          </w:cols>
          <w:pgMar w:left="320" w:top="283" w:right="499" w:bottom="1440" w:gutter="0" w:footer="0" w:header="0"/>
        </w:sectPr>
      </w:pPr>
    </w:p>
    <w:bookmarkStart w:id="13" w:name="page14"/>
    <w:bookmarkEnd w:id="13"/>
    <w:p>
      <w:pPr>
        <w:ind w:left="270"/>
        <w:spacing w:after="0"/>
        <w:rPr>
          <w:sz w:val="20"/>
          <w:szCs w:val="20"/>
          <w:color w:val="auto"/>
        </w:rPr>
      </w:pPr>
      <w:r>
        <w:rPr>
          <w:rFonts w:ascii="Courier New" w:cs="Courier New" w:eastAsia="Courier New" w:hAnsi="Courier New"/>
          <w:sz w:val="15"/>
          <w:szCs w:val="15"/>
          <w:color w:val="auto"/>
        </w:rPr>
        <w:t>14</w:t>
      </w:r>
    </w:p>
    <w:p>
      <w:pPr>
        <w:spacing w:after="0" w:line="338"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4" w:lineRule="exact"/>
        <w:rPr>
          <w:sz w:val="20"/>
          <w:szCs w:val="20"/>
          <w:color w:val="auto"/>
        </w:rPr>
      </w:pPr>
    </w:p>
    <w:p>
      <w:pPr>
        <w:jc w:val="both"/>
        <w:ind w:left="10" w:right="3440" w:firstLine="792"/>
        <w:spacing w:after="0" w:line="264" w:lineRule="auto"/>
        <w:rPr>
          <w:sz w:val="20"/>
          <w:szCs w:val="20"/>
          <w:color w:val="auto"/>
        </w:rPr>
      </w:pPr>
      <w:r>
        <w:rPr>
          <w:rFonts w:ascii="Courier New" w:cs="Courier New" w:eastAsia="Courier New" w:hAnsi="Courier New"/>
          <w:sz w:val="14"/>
          <w:szCs w:val="14"/>
          <w:color w:val="auto"/>
        </w:rPr>
        <w:t>The following financial statements and reports of independent auditors are filed with this report as pages 17 through 30 following the signature page:</w:t>
      </w:r>
    </w:p>
    <w:p>
      <w:pPr>
        <w:spacing w:after="0" w:line="153"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Reports of Independent Auditors</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Consolidated Balance Sheets as of December 31, 1999 and 1998</w:t>
      </w:r>
    </w:p>
    <w:p>
      <w:pPr>
        <w:spacing w:after="0" w:line="174" w:lineRule="exact"/>
        <w:rPr>
          <w:sz w:val="20"/>
          <w:szCs w:val="20"/>
          <w:color w:val="auto"/>
        </w:rPr>
      </w:pPr>
    </w:p>
    <w:p>
      <w:pPr>
        <w:ind w:left="790" w:right="3780"/>
        <w:spacing w:after="0" w:line="235" w:lineRule="auto"/>
        <w:rPr>
          <w:sz w:val="20"/>
          <w:szCs w:val="20"/>
          <w:color w:val="auto"/>
        </w:rPr>
      </w:pPr>
      <w:r>
        <w:rPr>
          <w:rFonts w:ascii="Courier New" w:cs="Courier New" w:eastAsia="Courier New" w:hAnsi="Courier New"/>
          <w:sz w:val="15"/>
          <w:szCs w:val="15"/>
          <w:color w:val="auto"/>
        </w:rPr>
        <w:t>Consolidated Statements of Income for the years ended December 31, 1999, 1998 and 1997</w:t>
      </w:r>
    </w:p>
    <w:p>
      <w:pPr>
        <w:spacing w:after="0" w:line="175" w:lineRule="exact"/>
        <w:rPr>
          <w:sz w:val="20"/>
          <w:szCs w:val="20"/>
          <w:color w:val="auto"/>
        </w:rPr>
      </w:pPr>
    </w:p>
    <w:p>
      <w:pPr>
        <w:ind w:left="790" w:right="3340"/>
        <w:spacing w:after="0" w:line="235" w:lineRule="auto"/>
        <w:rPr>
          <w:sz w:val="20"/>
          <w:szCs w:val="20"/>
          <w:color w:val="auto"/>
        </w:rPr>
      </w:pPr>
      <w:r>
        <w:rPr>
          <w:rFonts w:ascii="Courier New" w:cs="Courier New" w:eastAsia="Courier New" w:hAnsi="Courier New"/>
          <w:sz w:val="15"/>
          <w:szCs w:val="15"/>
          <w:color w:val="auto"/>
        </w:rPr>
        <w:t>Consolidated Statements of Shareholders' Investment for the years ended December 31, 1999, 1998 and 1997</w:t>
      </w:r>
    </w:p>
    <w:p>
      <w:pPr>
        <w:spacing w:after="0" w:line="175" w:lineRule="exact"/>
        <w:rPr>
          <w:sz w:val="20"/>
          <w:szCs w:val="20"/>
          <w:color w:val="auto"/>
        </w:rPr>
      </w:pPr>
    </w:p>
    <w:p>
      <w:pPr>
        <w:ind w:left="790" w:right="3440"/>
        <w:spacing w:after="0" w:line="235" w:lineRule="auto"/>
        <w:rPr>
          <w:sz w:val="20"/>
          <w:szCs w:val="20"/>
          <w:color w:val="auto"/>
        </w:rPr>
      </w:pPr>
      <w:r>
        <w:rPr>
          <w:rFonts w:ascii="Courier New" w:cs="Courier New" w:eastAsia="Courier New" w:hAnsi="Courier New"/>
          <w:sz w:val="15"/>
          <w:szCs w:val="15"/>
          <w:color w:val="auto"/>
        </w:rPr>
        <w:t>Consolidated Statements of Cash Flows for the years ended December 31, 1999, 1998 and 1997</w:t>
      </w:r>
    </w:p>
    <w:p>
      <w:pPr>
        <w:spacing w:after="0" w:line="170"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4" w:lineRule="exact"/>
        <w:rPr>
          <w:sz w:val="20"/>
          <w:szCs w:val="20"/>
          <w:color w:val="auto"/>
        </w:rPr>
      </w:pPr>
    </w:p>
    <w:p>
      <w:pPr>
        <w:ind w:left="10" w:right="4140"/>
        <w:spacing w:after="0" w:line="235" w:lineRule="auto"/>
        <w:rPr>
          <w:sz w:val="20"/>
          <w:szCs w:val="20"/>
          <w:color w:val="auto"/>
        </w:rPr>
      </w:pPr>
      <w:r>
        <w:rPr>
          <w:rFonts w:ascii="Courier New" w:cs="Courier New" w:eastAsia="Courier New" w:hAnsi="Courier New"/>
          <w:sz w:val="15"/>
          <w:szCs w:val="15"/>
          <w:color w:val="auto"/>
        </w:rPr>
        <w:t>Selected quarterly financial data for the past two years appears in the following table: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QUARTERLY RESULTS OF OPERATIONS</w:t>
      </w:r>
    </w:p>
    <w:p>
      <w:pPr>
        <w:ind w:left="361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229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13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First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Second</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Third</w:t>
            </w:r>
          </w:p>
        </w:tc>
        <w:tc>
          <w:tcPr>
            <w:tcW w:w="7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Fourth</w:t>
            </w:r>
          </w:p>
        </w:tc>
      </w:tr>
      <w:tr>
        <w:trPr>
          <w:trHeight w:val="169"/>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1999</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65,618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56,979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66,889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51,372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64,146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49,596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65,502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64,345</w:t>
            </w: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3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28,993</w:t>
            </w:r>
          </w:p>
        </w:tc>
        <w:tc>
          <w:tcPr>
            <w:tcW w:w="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22,639</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29,337</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19,803</w:t>
            </w:r>
          </w:p>
        </w:tc>
        <w:tc>
          <w:tcPr>
            <w:tcW w:w="3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25,794</w:t>
            </w:r>
          </w:p>
        </w:tc>
        <w:tc>
          <w:tcPr>
            <w:tcW w:w="3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19,184</w:t>
            </w:r>
          </w:p>
        </w:tc>
        <w:tc>
          <w:tcPr>
            <w:tcW w:w="3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29,211</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28,766</w:t>
            </w: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22,288</w:t>
            </w:r>
          </w:p>
        </w:tc>
        <w:tc>
          <w:tcPr>
            <w:tcW w:w="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17,024</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22,159</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14,036</w:t>
            </w:r>
          </w:p>
        </w:tc>
        <w:tc>
          <w:tcPr>
            <w:tcW w:w="3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18,744</w:t>
            </w:r>
          </w:p>
        </w:tc>
        <w:tc>
          <w:tcPr>
            <w:tcW w:w="3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13,277</w:t>
            </w:r>
          </w:p>
        </w:tc>
        <w:tc>
          <w:tcPr>
            <w:tcW w:w="3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22,332</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23,005</w:t>
            </w: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16,710</w:t>
            </w:r>
          </w:p>
        </w:tc>
        <w:tc>
          <w:tcPr>
            <w:tcW w:w="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12,501</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16,537</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10,765</w:t>
            </w:r>
          </w:p>
        </w:tc>
        <w:tc>
          <w:tcPr>
            <w:tcW w:w="3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14,444</w:t>
            </w:r>
          </w:p>
        </w:tc>
        <w:tc>
          <w:tcPr>
            <w:tcW w:w="3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9,901</w:t>
            </w:r>
          </w:p>
        </w:tc>
        <w:tc>
          <w:tcPr>
            <w:tcW w:w="3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17,174</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17,140</w:t>
            </w: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bl>
    <w:p>
      <w:pPr>
        <w:spacing w:after="0" w:line="5" w:lineRule="exact"/>
        <w:rPr>
          <w:sz w:val="20"/>
          <w:szCs w:val="20"/>
          <w:color w:val="auto"/>
        </w:rPr>
      </w:pPr>
    </w:p>
    <w:p>
      <w:pPr>
        <w:ind w:left="170" w:hanging="170"/>
        <w:spacing w:after="0"/>
        <w:tabs>
          <w:tab w:leader="none" w:pos="17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3"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*Diluted; adjusted for 2-for-1 stock split in June 1998.</w:t>
      </w:r>
    </w:p>
    <w:p>
      <w:pPr>
        <w:spacing w:after="0" w:line="200" w:lineRule="exact"/>
        <w:rPr>
          <w:sz w:val="20"/>
          <w:szCs w:val="20"/>
          <w:color w:val="auto"/>
        </w:rPr>
      </w:pPr>
    </w:p>
    <w:p>
      <w:pPr>
        <w:spacing w:after="0" w:line="313" w:lineRule="exact"/>
        <w:rPr>
          <w:sz w:val="20"/>
          <w:szCs w:val="20"/>
          <w:color w:val="auto"/>
        </w:rPr>
      </w:pPr>
    </w:p>
    <w:p>
      <w:pPr>
        <w:ind w:left="10" w:right="3340"/>
        <w:spacing w:after="0" w:line="235" w:lineRule="auto"/>
        <w:rPr>
          <w:sz w:val="20"/>
          <w:szCs w:val="20"/>
          <w:color w:val="auto"/>
        </w:rPr>
      </w:pPr>
      <w:r>
        <w:rPr>
          <w:rFonts w:ascii="Courier New" w:cs="Courier New" w:eastAsia="Courier New" w:hAnsi="Courier New"/>
          <w:sz w:val="15"/>
          <w:szCs w:val="15"/>
          <w:color w:val="auto"/>
        </w:rPr>
        <w:t>ITEM 9. CHANGES AND DISAGREEMENTS WITH ACCOUNTANTS ON ACCOUNTING AND FINANCIAL DISCLOSURE.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390"/>
          </w:cols>
          <w:pgMar w:left="310" w:top="283" w:right="1199"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3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4" w:lineRule="exact"/>
        <w:rPr>
          <w:sz w:val="20"/>
          <w:szCs w:val="20"/>
          <w:color w:val="auto"/>
        </w:rPr>
      </w:pPr>
    </w:p>
    <w:p>
      <w:pPr>
        <w:ind w:right="3099" w:firstLine="792"/>
        <w:spacing w:after="0" w:line="238" w:lineRule="auto"/>
        <w:rPr>
          <w:sz w:val="20"/>
          <w:szCs w:val="20"/>
          <w:color w:val="auto"/>
        </w:rPr>
      </w:pPr>
      <w:r>
        <w:rPr>
          <w:rFonts w:ascii="Courier New" w:cs="Courier New" w:eastAsia="Courier New" w:hAnsi="Courier New"/>
          <w:sz w:val="15"/>
          <w:szCs w:val="15"/>
          <w:color w:val="auto"/>
        </w:rPr>
        <w:t>Information relating to executive officers is included in this report in the last section of Part I under the caption "Executive Officers of the Registrant". Information relating to directors appearing under the caption "Election of Directors" in the definitive Proxy Statement for the 2000 Annual Meeting of Shareholders and filed with the Commission is hereby incorporated herein by reference. Information concerning compliance with Section 16(a) of the Securities and Exchange Act of 1934 appearing under the caption "Section 16(A) Beneficial Ownership Reporting Compliance" in the definitive Proxy Statement for the 2000 Annual Meeting of Shareholders and filed with the Commission is hereby incorporated herein by reference.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4" w:lineRule="exact"/>
        <w:rPr>
          <w:sz w:val="20"/>
          <w:szCs w:val="20"/>
          <w:color w:val="auto"/>
        </w:rPr>
      </w:pPr>
    </w:p>
    <w:p>
      <w:pPr>
        <w:ind w:right="3359" w:firstLine="792"/>
        <w:spacing w:after="0" w:line="237" w:lineRule="auto"/>
        <w:rPr>
          <w:sz w:val="20"/>
          <w:szCs w:val="20"/>
          <w:color w:val="auto"/>
        </w:rPr>
      </w:pPr>
      <w:r>
        <w:rPr>
          <w:rFonts w:ascii="Courier New" w:cs="Courier New" w:eastAsia="Courier New" w:hAnsi="Courier New"/>
          <w:sz w:val="15"/>
          <w:szCs w:val="15"/>
          <w:color w:val="auto"/>
        </w:rPr>
        <w:t>The information contained under the caption "Executive Compensation" contained in the definitive Proxy Statement for the 2000 Annual Meeting of Shareholders and filed with the Commission is hereby incorporated herein by reference.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4" w:lineRule="exact"/>
        <w:rPr>
          <w:sz w:val="20"/>
          <w:szCs w:val="20"/>
          <w:color w:val="auto"/>
        </w:rPr>
      </w:pPr>
    </w:p>
    <w:p>
      <w:pPr>
        <w:ind w:right="3099" w:firstLine="792"/>
        <w:spacing w:after="0" w:line="237" w:lineRule="auto"/>
        <w:rPr>
          <w:sz w:val="20"/>
          <w:szCs w:val="20"/>
          <w:color w:val="auto"/>
        </w:rPr>
      </w:pPr>
      <w:r>
        <w:rPr>
          <w:rFonts w:ascii="Courier New" w:cs="Courier New" w:eastAsia="Courier New" w:hAnsi="Courier New"/>
          <w:sz w:val="15"/>
          <w:szCs w:val="15"/>
          <w:color w:val="auto"/>
        </w:rPr>
        <w:t>The information contained under the captions "Securities Ownership of Management" and "Securities Ownership of Certain Beneficial Owners" contained in the definitive Proxy Statement for the 2000 Annual Meeting of Shareholders and filed with the Commission is hereby incorporated herein by reference.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4" w:lineRule="exact"/>
        <w:rPr>
          <w:sz w:val="20"/>
          <w:szCs w:val="20"/>
          <w:color w:val="auto"/>
        </w:rPr>
      </w:pPr>
    </w:p>
    <w:p>
      <w:pPr>
        <w:ind w:right="3459" w:firstLine="792"/>
        <w:spacing w:after="0" w:line="237" w:lineRule="auto"/>
        <w:rPr>
          <w:sz w:val="20"/>
          <w:szCs w:val="20"/>
          <w:color w:val="auto"/>
        </w:rPr>
      </w:pPr>
      <w:r>
        <w:rPr>
          <w:rFonts w:ascii="Courier New" w:cs="Courier New" w:eastAsia="Courier New" w:hAnsi="Courier New"/>
          <w:sz w:val="15"/>
          <w:szCs w:val="15"/>
          <w:color w:val="auto"/>
        </w:rPr>
        <w:t>The information contained under the caption "Transactions with Management" contained in the definitive Proxy Statement for the 2000 Annual Meeting of Shareholders and filed with the Commission is hereby incorporated herein by reference.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ind w:left="1140" w:hanging="445"/>
        <w:spacing w:after="0"/>
        <w:tabs>
          <w:tab w:leader="none" w:pos="11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Statements. See Item 8.</w:t>
      </w:r>
    </w:p>
    <w:p>
      <w:pPr>
        <w:spacing w:after="0" w:line="5" w:lineRule="exact"/>
        <w:rPr>
          <w:rFonts w:ascii="Courier New" w:cs="Courier New" w:eastAsia="Courier New" w:hAnsi="Courier New"/>
          <w:sz w:val="15"/>
          <w:szCs w:val="15"/>
          <w:color w:val="auto"/>
        </w:rPr>
      </w:pPr>
    </w:p>
    <w:p>
      <w:pPr>
        <w:ind w:left="1400" w:hanging="265"/>
        <w:spacing w:after="0"/>
        <w:tabs>
          <w:tab w:leader="none" w:pos="140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Schedules. None required or not applicable.</w:t>
      </w:r>
    </w:p>
    <w:p>
      <w:pPr>
        <w:spacing w:after="0" w:line="5" w:lineRule="exact"/>
        <w:rPr>
          <w:rFonts w:ascii="Courier New" w:cs="Courier New" w:eastAsia="Courier New" w:hAnsi="Courier New"/>
          <w:sz w:val="14"/>
          <w:szCs w:val="14"/>
          <w:color w:val="auto"/>
        </w:rPr>
      </w:pPr>
    </w:p>
    <w:p>
      <w:pPr>
        <w:ind w:left="1400" w:hanging="265"/>
        <w:spacing w:after="0"/>
        <w:tabs>
          <w:tab w:leader="none" w:pos="14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See Exhibit Index located on page 31.</w:t>
      </w:r>
    </w:p>
    <w:p>
      <w:pPr>
        <w:spacing w:after="0" w:line="173" w:lineRule="exact"/>
        <w:rPr>
          <w:rFonts w:ascii="Courier New" w:cs="Courier New" w:eastAsia="Courier New" w:hAnsi="Courier New"/>
          <w:sz w:val="15"/>
          <w:szCs w:val="15"/>
          <w:color w:val="auto"/>
        </w:rPr>
      </w:pPr>
    </w:p>
    <w:p>
      <w:pPr>
        <w:ind w:right="3459" w:firstLine="695"/>
        <w:spacing w:after="0" w:line="235" w:lineRule="auto"/>
        <w:tabs>
          <w:tab w:leader="none" w:pos="114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three-month period ended December 31,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33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4" w:lineRule="exact"/>
        <w:rPr>
          <w:sz w:val="20"/>
          <w:szCs w:val="20"/>
          <w:color w:val="auto"/>
        </w:rPr>
      </w:pPr>
    </w:p>
    <w:p>
      <w:pPr>
        <w:ind w:right="3099" w:firstLine="792"/>
        <w:spacing w:after="0" w:line="236" w:lineRule="auto"/>
        <w:rPr>
          <w:sz w:val="20"/>
          <w:szCs w:val="20"/>
          <w:color w:val="auto"/>
        </w:rPr>
      </w:pPr>
      <w:r>
        <w:rPr>
          <w:rFonts w:ascii="Courier New" w:cs="Courier New" w:eastAsia="Courier New" w:hAnsi="Courier New"/>
          <w:sz w:val="15"/>
          <w:szCs w:val="15"/>
          <w:color w:val="auto"/>
        </w:rPr>
        <w:t>Pursuant to the requirements of Section 13 of 15(d) of the Securities Exchange Act of 1934, the Registrant has duly caused this report to be signed on its behalf by the undersigned, thereunto duly authorized.</w:t>
      </w:r>
    </w:p>
    <w:p>
      <w:pPr>
        <w:sectPr>
          <w:pgSz w:w="11900" w:h="16838" w:orient="portrait"/>
          <w:cols w:equalWidth="0" w:num="1">
            <w:col w:w="10139"/>
          </w:cols>
          <w:pgMar w:left="320" w:top="283"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March 10, 2000 ------------------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GENTEX CORPORATION</w:t>
      </w:r>
    </w:p>
    <w:p>
      <w:pPr>
        <w:spacing w:after="0" w:line="374" w:lineRule="exact"/>
        <w:rPr>
          <w:sz w:val="20"/>
          <w:szCs w:val="20"/>
          <w:color w:val="auto"/>
        </w:rPr>
      </w:pPr>
    </w:p>
    <w:p>
      <w:pPr>
        <w:sectPr>
          <w:pgSz w:w="11900" w:h="16838" w:orient="portrait"/>
          <w:cols w:equalWidth="0" w:num="3">
            <w:col w:w="520" w:space="180"/>
            <w:col w:w="1580" w:space="520"/>
            <w:col w:w="7339"/>
          </w:cols>
          <w:pgMar w:left="320" w:top="283" w:right="1440" w:bottom="1440" w:gutter="0" w:footer="0" w:header="0"/>
          <w:type w:val="continuous"/>
        </w:sectPr>
      </w:pPr>
    </w:p>
    <w:p>
      <w:pPr>
        <w:spacing w:after="0" w:line="13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 Bauer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Bauer, Chairman and Principal</w:t>
      </w:r>
    </w:p>
    <w:p>
      <w:pPr>
        <w:spacing w:after="0"/>
        <w:rPr>
          <w:sz w:val="20"/>
          <w:szCs w:val="20"/>
          <w:color w:val="auto"/>
        </w:rPr>
      </w:pPr>
      <w:r>
        <w:rPr>
          <w:rFonts w:ascii="Courier New" w:cs="Courier New" w:eastAsia="Courier New" w:hAnsi="Courier New"/>
          <w:sz w:val="15"/>
          <w:szCs w:val="15"/>
          <w:color w:val="auto"/>
        </w:rPr>
        <w:t>Executive Officer</w:t>
      </w:r>
    </w:p>
    <w:p>
      <w:pPr>
        <w:spacing w:after="0" w:line="168" w:lineRule="exact"/>
        <w:rPr>
          <w:sz w:val="20"/>
          <w:szCs w:val="20"/>
          <w:color w:val="auto"/>
        </w:rPr>
      </w:pPr>
    </w:p>
    <w:p>
      <w:pPr>
        <w:sectPr>
          <w:pgSz w:w="11900" w:h="16838" w:orient="portrait"/>
          <w:cols w:equalWidth="0" w:num="2">
            <w:col w:w="3080" w:space="260"/>
            <w:col w:w="6799"/>
          </w:cols>
          <w:pgMar w:left="320" w:top="283" w:right="1440" w:bottom="1440" w:gutter="0" w:footer="0" w:header="0"/>
          <w:type w:val="continuous"/>
        </w:sectPr>
      </w:pPr>
    </w:p>
    <w:p>
      <w:pPr>
        <w:ind w:left="2800"/>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 Enoch Jen</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Enoch Jen, Vice President-Finance and</w:t>
      </w:r>
    </w:p>
    <w:p>
      <w:pPr>
        <w:ind w:left="3340"/>
        <w:spacing w:after="0"/>
        <w:rPr>
          <w:sz w:val="20"/>
          <w:szCs w:val="20"/>
          <w:color w:val="auto"/>
        </w:rPr>
      </w:pPr>
      <w:r>
        <w:rPr>
          <w:rFonts w:ascii="Courier New" w:cs="Courier New" w:eastAsia="Courier New" w:hAnsi="Courier New"/>
          <w:sz w:val="15"/>
          <w:szCs w:val="15"/>
          <w:color w:val="auto"/>
        </w:rPr>
        <w:t>Principal Financial and Accounting</w:t>
      </w:r>
    </w:p>
    <w:p>
      <w:pPr>
        <w:ind w:left="3340"/>
        <w:spacing w:after="0" w:line="238" w:lineRule="auto"/>
        <w:rPr>
          <w:sz w:val="20"/>
          <w:szCs w:val="20"/>
          <w:color w:val="auto"/>
        </w:rPr>
      </w:pPr>
      <w:r>
        <w:rPr>
          <w:rFonts w:ascii="Courier New" w:cs="Courier New" w:eastAsia="Courier New" w:hAnsi="Courier New"/>
          <w:sz w:val="15"/>
          <w:szCs w:val="15"/>
          <w:color w:val="auto"/>
        </w:rPr>
        <w:t>Officer</w:t>
      </w:r>
    </w:p>
    <w:p>
      <w:pPr>
        <w:sectPr>
          <w:pgSz w:w="11900" w:h="16838" w:orient="portrait"/>
          <w:cols w:equalWidth="0" w:num="1">
            <w:col w:w="10139"/>
          </w:cols>
          <w:pgMar w:left="320" w:top="283" w:right="1440" w:bottom="1440" w:gutter="0" w:footer="0" w:header="0"/>
          <w:type w:val="continuous"/>
        </w:sectPr>
      </w:pPr>
    </w:p>
    <w:p>
      <w:pPr>
        <w:spacing w:after="0" w:line="344" w:lineRule="exact"/>
        <w:rPr>
          <w:sz w:val="20"/>
          <w:szCs w:val="20"/>
          <w:color w:val="auto"/>
        </w:rPr>
      </w:pPr>
    </w:p>
    <w:p>
      <w:pPr>
        <w:ind w:right="3279" w:firstLine="792"/>
        <w:spacing w:after="0" w:line="260"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on this 10th day of March, 2000, by the following persons on behalf of the Registrant and in the capacities indicated.</w:t>
      </w:r>
    </w:p>
    <w:p>
      <w:pPr>
        <w:spacing w:after="0" w:line="162" w:lineRule="exact"/>
        <w:rPr>
          <w:sz w:val="20"/>
          <w:szCs w:val="20"/>
          <w:color w:val="auto"/>
        </w:rPr>
      </w:pPr>
    </w:p>
    <w:p>
      <w:pPr>
        <w:ind w:right="3099" w:firstLine="792"/>
        <w:spacing w:after="0" w:line="237" w:lineRule="auto"/>
        <w:rPr>
          <w:sz w:val="20"/>
          <w:szCs w:val="20"/>
          <w:color w:val="auto"/>
        </w:rPr>
      </w:pPr>
      <w:r>
        <w:rPr>
          <w:rFonts w:ascii="Courier New" w:cs="Courier New" w:eastAsia="Courier New" w:hAnsi="Courier New"/>
          <w:sz w:val="15"/>
          <w:szCs w:val="15"/>
          <w:color w:val="auto"/>
        </w:rPr>
        <w:t>Each Director of the Registrant whose signature appears below hereby appoints Enoch Jen and Kenneth La Grand, each of them individually, as his attorney-in-fact to sign in his name and on his behalf, and to file with the Commission any and all amendments to this report on Form 10-K to the same extent and with the same effect as if done personally.</w:t>
      </w:r>
    </w:p>
    <w:p>
      <w:pPr>
        <w:sectPr>
          <w:pgSz w:w="11900" w:h="16838" w:orient="portrait"/>
          <w:cols w:equalWidth="0" w:num="1">
            <w:col w:w="10139"/>
          </w:cols>
          <w:pgMar w:left="320" w:top="283" w:right="1440"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 Bauer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Bauer</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4" w:lineRule="exact"/>
        <w:rPr>
          <w:sz w:val="20"/>
          <w:szCs w:val="20"/>
          <w:color w:val="auto"/>
        </w:rPr>
      </w:pPr>
    </w:p>
    <w:p>
      <w:pPr>
        <w:sectPr>
          <w:pgSz w:w="11900" w:h="16838" w:orient="portrait"/>
          <w:cols w:equalWidth="0" w:num="2">
            <w:col w:w="2980" w:space="540"/>
            <w:col w:w="6619"/>
          </w:cols>
          <w:pgMar w:left="320" w:top="283" w:right="1440" w:bottom="1440" w:gutter="0" w:footer="0" w:header="0"/>
          <w:type w:val="continuous"/>
        </w:sectPr>
      </w:pPr>
    </w:p>
    <w:p>
      <w:pPr>
        <w:spacing w:after="0" w:line="144"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 -------------------------------- Mickey E. Fouts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68" w:lineRule="exact"/>
        <w:rPr>
          <w:sz w:val="20"/>
          <w:szCs w:val="20"/>
          <w:color w:val="auto"/>
        </w:rPr>
      </w:pPr>
    </w:p>
    <w:p>
      <w:pPr>
        <w:sectPr>
          <w:pgSz w:w="11900" w:h="16838" w:orient="portrait"/>
          <w:cols w:equalWidth="0" w:num="2">
            <w:col w:w="2980" w:space="700"/>
            <w:col w:w="6459"/>
          </w:cols>
          <w:pgMar w:left="320" w:top="283" w:right="1440"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Kenneth La Grand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Kenneth La Grand</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4" w:lineRule="exact"/>
        <w:rPr>
          <w:sz w:val="20"/>
          <w:szCs w:val="20"/>
          <w:color w:val="auto"/>
        </w:rPr>
      </w:pPr>
    </w:p>
    <w:p>
      <w:pPr>
        <w:sectPr>
          <w:pgSz w:w="11900" w:h="16838" w:orient="portrait"/>
          <w:cols w:equalWidth="0" w:num="2">
            <w:col w:w="2980" w:space="540"/>
            <w:col w:w="6619"/>
          </w:cols>
          <w:pgMar w:left="320" w:top="283"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Arlyn Lanting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Arlyn Lanting</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4" w:lineRule="exact"/>
        <w:rPr>
          <w:sz w:val="20"/>
          <w:szCs w:val="20"/>
          <w:color w:val="auto"/>
        </w:rPr>
      </w:pPr>
    </w:p>
    <w:p>
      <w:pPr>
        <w:sectPr>
          <w:pgSz w:w="11900" w:h="16838" w:orient="portrait"/>
          <w:cols w:equalWidth="0" w:num="2">
            <w:col w:w="2980" w:space="540"/>
            <w:col w:w="6619"/>
          </w:cols>
          <w:pgMar w:left="320" w:top="283"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Mulder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Mulder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4" w:lineRule="exact"/>
        <w:rPr>
          <w:sz w:val="20"/>
          <w:szCs w:val="20"/>
          <w:color w:val="auto"/>
        </w:rPr>
      </w:pPr>
    </w:p>
    <w:p>
      <w:pPr>
        <w:sectPr>
          <w:pgSz w:w="11900" w:h="16838" w:orient="portrait"/>
          <w:cols w:equalWidth="0" w:num="2">
            <w:col w:w="2980" w:space="540"/>
            <w:col w:w="6619"/>
          </w:cols>
          <w:pgMar w:left="320" w:top="283" w:right="1440" w:bottom="1440" w:gutter="0" w:footer="0" w:header="0"/>
          <w:type w:val="continuous"/>
        </w:sectPr>
      </w:pPr>
    </w:p>
    <w:p>
      <w:pPr>
        <w:spacing w:after="0" w:line="144"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 -------------------------------- Ted Thompson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68" w:lineRule="exact"/>
        <w:rPr>
          <w:sz w:val="20"/>
          <w:szCs w:val="20"/>
          <w:color w:val="auto"/>
        </w:rPr>
      </w:pPr>
    </w:p>
    <w:p>
      <w:pPr>
        <w:sectPr>
          <w:pgSz w:w="11900" w:h="16838" w:orient="portrait"/>
          <w:cols w:equalWidth="0" w:num="2">
            <w:col w:w="2980" w:space="700"/>
            <w:col w:w="6459"/>
          </w:cols>
          <w:pgMar w:left="320" w:top="283" w:right="1440"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Leo Weber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Leo Weber</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4" w:lineRule="exact"/>
        <w:rPr>
          <w:sz w:val="20"/>
          <w:szCs w:val="20"/>
          <w:color w:val="auto"/>
        </w:rPr>
      </w:pPr>
    </w:p>
    <w:p>
      <w:pPr>
        <w:sectPr>
          <w:pgSz w:w="11900" w:h="16838" w:orient="portrait"/>
          <w:cols w:equalWidth="0" w:num="2">
            <w:col w:w="2980" w:space="540"/>
            <w:col w:w="6619"/>
          </w:cols>
          <w:pgMar w:left="320" w:top="283" w:right="1440"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39"/>
          </w:cols>
          <w:pgMar w:left="320" w:top="283"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338"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5"/>
          <w:szCs w:val="15"/>
          <w:color w:val="auto"/>
        </w:rPr>
        <w:t>To the Board of Directors and</w:t>
      </w:r>
      <w:r>
        <w:rPr>
          <w:sz w:val="20"/>
          <w:szCs w:val="20"/>
          <w:color w:val="auto"/>
        </w:rPr>
        <w:tab/>
      </w:r>
      <w:r>
        <w:rPr>
          <w:rFonts w:ascii="Courier New" w:cs="Courier New" w:eastAsia="Courier New" w:hAnsi="Courier New"/>
          <w:sz w:val="14"/>
          <w:szCs w:val="14"/>
          <w:color w:val="auto"/>
        </w:rPr>
        <w:t>Shareholders of Gentex Corporation:</w:t>
      </w:r>
    </w:p>
    <w:p>
      <w:pPr>
        <w:spacing w:after="0" w:line="174" w:lineRule="exact"/>
        <w:rPr>
          <w:sz w:val="20"/>
          <w:szCs w:val="20"/>
          <w:color w:val="auto"/>
        </w:rPr>
      </w:pPr>
    </w:p>
    <w:p>
      <w:pPr>
        <w:jc w:val="both"/>
        <w:ind w:right="3099" w:firstLine="792"/>
        <w:spacing w:after="0" w:line="257" w:lineRule="auto"/>
        <w:rPr>
          <w:sz w:val="20"/>
          <w:szCs w:val="20"/>
          <w:color w:val="auto"/>
        </w:rPr>
      </w:pPr>
      <w:r>
        <w:rPr>
          <w:rFonts w:ascii="Courier New" w:cs="Courier New" w:eastAsia="Courier New" w:hAnsi="Courier New"/>
          <w:sz w:val="14"/>
          <w:szCs w:val="14"/>
          <w:color w:val="auto"/>
        </w:rPr>
        <w:t>We have audited the accompanying consolidated balance sheet of GENTEX CORPORATION (a Michigan corporation) and subsidiaries as of December 31, 1999, and the related consolidated statements of income, shareholders' investment and cash flows for the year ended December 31, 1999. These financial statements are the responsibility of the Company's management. Our responsibility is to express an opinion on these financial statements based on our audit.</w:t>
      </w:r>
    </w:p>
    <w:p>
      <w:pPr>
        <w:spacing w:after="0" w:line="166" w:lineRule="exact"/>
        <w:rPr>
          <w:sz w:val="20"/>
          <w:szCs w:val="20"/>
          <w:color w:val="auto"/>
        </w:rPr>
      </w:pPr>
    </w:p>
    <w:p>
      <w:pPr>
        <w:ind w:right="3099" w:firstLine="792"/>
        <w:spacing w:after="0" w:line="238" w:lineRule="auto"/>
        <w:rPr>
          <w:sz w:val="20"/>
          <w:szCs w:val="20"/>
          <w:color w:val="auto"/>
        </w:rPr>
      </w:pPr>
      <w:r>
        <w:rPr>
          <w:rFonts w:ascii="Courier New" w:cs="Courier New" w:eastAsia="Courier New" w:hAnsi="Courier New"/>
          <w:sz w:val="15"/>
          <w:szCs w:val="15"/>
          <w:color w:val="auto"/>
        </w:rPr>
        <w:t>We conducted our audit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7" w:lineRule="exact"/>
        <w:rPr>
          <w:sz w:val="20"/>
          <w:szCs w:val="20"/>
          <w:color w:val="auto"/>
        </w:rPr>
      </w:pPr>
    </w:p>
    <w:p>
      <w:pPr>
        <w:ind w:right="3199" w:firstLine="792"/>
        <w:spacing w:after="0" w:line="238"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Gentex Corporation and subsidiaries at December 31, 1999, and the consolidated results of their operations and their cash flows for the year ended December 31, 1999, in conformity with accounting principles generally accepted in the United States.</w:t>
      </w:r>
    </w:p>
    <w:p>
      <w:pPr>
        <w:spacing w:after="0" w:line="338" w:lineRule="exact"/>
        <w:rPr>
          <w:sz w:val="20"/>
          <w:szCs w:val="20"/>
          <w:color w:val="auto"/>
        </w:rPr>
      </w:pPr>
    </w:p>
    <w:p>
      <w:pPr>
        <w:ind w:left="4660"/>
        <w:spacing w:after="0"/>
        <w:tabs>
          <w:tab w:leader="none" w:pos="5080" w:val="left"/>
          <w:tab w:leader="none" w:pos="6400" w:val="left"/>
        </w:tabs>
        <w:rPr>
          <w:sz w:val="20"/>
          <w:szCs w:val="20"/>
          <w:color w:val="auto"/>
        </w:rPr>
      </w:pPr>
      <w:r>
        <w:rPr>
          <w:rFonts w:ascii="Courier New" w:cs="Courier New" w:eastAsia="Courier New" w:hAnsi="Courier New"/>
          <w:sz w:val="15"/>
          <w:szCs w:val="15"/>
          <w:color w:val="auto"/>
        </w:rPr>
        <w:t>/s/</w:t>
        <w:tab/>
        <w:t>Ernst &amp; Young</w:t>
      </w:r>
      <w:r>
        <w:rPr>
          <w:sz w:val="20"/>
          <w:szCs w:val="20"/>
          <w:color w:val="auto"/>
        </w:rPr>
        <w:tab/>
      </w:r>
      <w:r>
        <w:rPr>
          <w:rFonts w:ascii="Courier New" w:cs="Courier New" w:eastAsia="Courier New" w:hAnsi="Courier New"/>
          <w:sz w:val="14"/>
          <w:szCs w:val="14"/>
          <w:color w:val="auto"/>
        </w:rPr>
        <w:t>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rPr>
          <w:sz w:val="20"/>
          <w:szCs w:val="20"/>
          <w:color w:val="auto"/>
        </w:rPr>
      </w:pPr>
      <w:r>
        <w:rPr>
          <w:rFonts w:ascii="Courier New" w:cs="Courier New" w:eastAsia="Courier New" w:hAnsi="Courier New"/>
          <w:sz w:val="15"/>
          <w:szCs w:val="15"/>
          <w:color w:val="auto"/>
        </w:rPr>
        <w:t>January 21,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338"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 Gentex Corporation:</w:t>
      </w:r>
    </w:p>
    <w:p>
      <w:pPr>
        <w:spacing w:after="0" w:line="174" w:lineRule="exact"/>
        <w:rPr>
          <w:sz w:val="20"/>
          <w:szCs w:val="20"/>
          <w:color w:val="auto"/>
        </w:rPr>
      </w:pPr>
    </w:p>
    <w:p>
      <w:pPr>
        <w:jc w:val="both"/>
        <w:ind w:right="3199" w:firstLine="792"/>
        <w:spacing w:after="0" w:line="256" w:lineRule="auto"/>
        <w:rPr>
          <w:sz w:val="20"/>
          <w:szCs w:val="20"/>
          <w:color w:val="auto"/>
        </w:rPr>
      </w:pPr>
      <w:r>
        <w:rPr>
          <w:rFonts w:ascii="Courier New" w:cs="Courier New" w:eastAsia="Courier New" w:hAnsi="Courier New"/>
          <w:sz w:val="14"/>
          <w:szCs w:val="14"/>
          <w:color w:val="auto"/>
        </w:rPr>
        <w:t>We have audited the accompanying consolidated balance sheet of GENTEX CORPORATION (a Michigan corporation) and subsidiaries as of December 31, 1998, and the related consolidated statements of income, shareholders' investment and cash flows for each of the two years in the period ended December 31, 1998.</w:t>
      </w:r>
    </w:p>
    <w:p>
      <w:pPr>
        <w:spacing w:after="0" w:line="1" w:lineRule="exact"/>
        <w:rPr>
          <w:sz w:val="20"/>
          <w:szCs w:val="20"/>
          <w:color w:val="auto"/>
        </w:rPr>
      </w:pPr>
    </w:p>
    <w:p>
      <w:pPr>
        <w:jc w:val="both"/>
        <w:ind w:right="3199"/>
        <w:spacing w:after="0" w:line="236" w:lineRule="auto"/>
        <w:rPr>
          <w:sz w:val="20"/>
          <w:szCs w:val="20"/>
          <w:color w:val="auto"/>
        </w:rPr>
      </w:pPr>
      <w:r>
        <w:rPr>
          <w:rFonts w:ascii="Courier New" w:cs="Courier New" w:eastAsia="Courier New" w:hAnsi="Courier New"/>
          <w:sz w:val="15"/>
          <w:szCs w:val="15"/>
          <w:color w:val="auto"/>
        </w:rPr>
        <w:t>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099" w:firstLine="792"/>
        <w:spacing w:after="0" w:line="238"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ind w:right="3199" w:firstLine="792"/>
        <w:spacing w:after="0" w:line="237"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Gentex Corporation and subsidiaries as of December 31, 1998, and the results of their operations and their cash flows for each of the two years in the period ended December 31, 1998, in conformity with accounting principles generally accepted in the United States.</w:t>
      </w:r>
    </w:p>
    <w:p>
      <w:pPr>
        <w:spacing w:after="0" w:line="34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/s/ Arthur Andersen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rPr>
          <w:sz w:val="20"/>
          <w:szCs w:val="20"/>
          <w:color w:val="auto"/>
        </w:rPr>
      </w:pPr>
      <w:r>
        <w:rPr>
          <w:rFonts w:ascii="Courier New" w:cs="Courier New" w:eastAsia="Courier New" w:hAnsi="Courier New"/>
          <w:sz w:val="15"/>
          <w:szCs w:val="15"/>
          <w:color w:val="auto"/>
        </w:rPr>
        <w:t>January 21,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jc w:val="center"/>
        <w:ind w:right="301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8"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CONSOLIDATED BALANCE SHEETS</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OF DECEMBER 31, 1999 AND 1998</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4340" w:type="dxa"/>
            <w:vAlign w:val="bottom"/>
          </w:tcPr>
          <w:p>
            <w:pPr>
              <w:spacing w:after="0"/>
              <w:rPr>
                <w:sz w:val="14"/>
                <w:szCs w:val="14"/>
                <w:color w:val="auto"/>
              </w:rPr>
            </w:pPr>
          </w:p>
        </w:tc>
        <w:tc>
          <w:tcPr>
            <w:tcW w:w="15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r>
      <w:tr>
        <w:trPr>
          <w:trHeight w:val="169"/>
        </w:trPr>
        <w:tc>
          <w:tcPr>
            <w:tcW w:w="4340" w:type="dxa"/>
            <w:vAlign w:val="bottom"/>
          </w:tcPr>
          <w:p>
            <w:pPr>
              <w:spacing w:after="0"/>
              <w:rPr>
                <w:sz w:val="14"/>
                <w:szCs w:val="14"/>
                <w:color w:val="auto"/>
              </w:rPr>
            </w:pPr>
          </w:p>
        </w:tc>
        <w:tc>
          <w:tcPr>
            <w:tcW w:w="15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339"/>
        </w:trPr>
        <w:tc>
          <w:tcPr>
            <w:tcW w:w="43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9"/>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$ 69,227,972</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$ 50,027,747</w:t>
            </w:r>
          </w:p>
        </w:tc>
      </w:tr>
      <w:tr>
        <w:trPr>
          <w:trHeight w:val="169"/>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Short-term investments</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25,505,657</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24,034,876</w:t>
            </w:r>
          </w:p>
        </w:tc>
      </w:tr>
      <w:tr>
        <w:trPr>
          <w:trHeight w:val="169"/>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less allowances</w:t>
            </w:r>
          </w:p>
        </w:tc>
        <w:tc>
          <w:tcPr>
            <w:tcW w:w="15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4340" w:type="dxa"/>
            <w:vAlign w:val="bottom"/>
          </w:tcPr>
          <w:p>
            <w:pPr>
              <w:ind w:left="520"/>
              <w:spacing w:after="0"/>
              <w:rPr>
                <w:sz w:val="20"/>
                <w:szCs w:val="20"/>
                <w:color w:val="auto"/>
              </w:rPr>
            </w:pPr>
            <w:r>
              <w:rPr>
                <w:rFonts w:ascii="Courier New" w:cs="Courier New" w:eastAsia="Courier New" w:hAnsi="Courier New"/>
                <w:sz w:val="15"/>
                <w:szCs w:val="15"/>
                <w:color w:val="auto"/>
              </w:rPr>
              <w:t>of $325,000 and $275,000 in 1999 and 1998</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30,633,501</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30,256,795</w:t>
            </w:r>
          </w:p>
        </w:tc>
      </w:tr>
      <w:tr>
        <w:trPr>
          <w:trHeight w:val="169"/>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9,975,178</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8,726,420</w:t>
            </w:r>
          </w:p>
        </w:tc>
      </w:tr>
      <w:tr>
        <w:trPr>
          <w:trHeight w:val="169"/>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2,873,276</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2,311,581</w:t>
            </w:r>
          </w:p>
        </w:tc>
      </w:tr>
      <w:tr>
        <w:trPr>
          <w:trHeight w:val="169"/>
        </w:trPr>
        <w:tc>
          <w:tcPr>
            <w:tcW w:w="4340" w:type="dxa"/>
            <w:vAlign w:val="bottom"/>
          </w:tcPr>
          <w:p>
            <w:pPr>
              <w:spacing w:after="0"/>
              <w:rPr>
                <w:sz w:val="14"/>
                <w:szCs w:val="14"/>
                <w:color w:val="auto"/>
              </w:rPr>
            </w:pP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340" w:type="dxa"/>
            <w:vAlign w:val="bottom"/>
          </w:tcPr>
          <w:p>
            <w:pPr>
              <w:ind w:left="520"/>
              <w:spacing w:after="0"/>
              <w:rPr>
                <w:sz w:val="20"/>
                <w:szCs w:val="20"/>
                <w:color w:val="auto"/>
              </w:rPr>
            </w:pPr>
            <w:r>
              <w:rPr>
                <w:rFonts w:ascii="Courier New" w:cs="Courier New" w:eastAsia="Courier New" w:hAnsi="Courier New"/>
                <w:sz w:val="15"/>
                <w:szCs w:val="15"/>
                <w:color w:val="auto"/>
              </w:rPr>
              <w:t>Total current assets</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138,215,584</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115,357,419</w:t>
            </w:r>
          </w:p>
        </w:tc>
      </w:tr>
      <w:tr>
        <w:trPr>
          <w:trHeight w:val="339"/>
        </w:trPr>
        <w:tc>
          <w:tcPr>
            <w:tcW w:w="4340" w:type="dxa"/>
            <w:vAlign w:val="bottom"/>
          </w:tcPr>
          <w:p>
            <w:pPr>
              <w:spacing w:after="0"/>
              <w:rPr>
                <w:sz w:val="20"/>
                <w:szCs w:val="20"/>
                <w:color w:val="auto"/>
              </w:rPr>
            </w:pPr>
            <w:r>
              <w:rPr>
                <w:rFonts w:ascii="Courier New" w:cs="Courier New" w:eastAsia="Courier New" w:hAnsi="Courier New"/>
                <w:sz w:val="15"/>
                <w:szCs w:val="15"/>
                <w:color w:val="auto"/>
              </w:rPr>
              <w:t>PLANT AND EQUIPMENT:</w:t>
            </w: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9"/>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Land, building and improvements</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26,844,317</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24,004,557</w:t>
            </w:r>
          </w:p>
        </w:tc>
      </w:tr>
      <w:tr>
        <w:trPr>
          <w:trHeight w:val="169"/>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Machinery and equipment</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68,703,998</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58,255,550</w:t>
            </w:r>
          </w:p>
        </w:tc>
      </w:tr>
      <w:tr>
        <w:trPr>
          <w:trHeight w:val="169"/>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Construction-in-process</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12,676,977</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4,974,025</w:t>
            </w:r>
          </w:p>
        </w:tc>
      </w:tr>
      <w:tr>
        <w:trPr>
          <w:trHeight w:val="169"/>
        </w:trPr>
        <w:tc>
          <w:tcPr>
            <w:tcW w:w="4340" w:type="dxa"/>
            <w:vAlign w:val="bottom"/>
          </w:tcPr>
          <w:p>
            <w:pPr>
              <w:spacing w:after="0"/>
              <w:rPr>
                <w:sz w:val="14"/>
                <w:szCs w:val="14"/>
                <w:color w:val="auto"/>
              </w:rPr>
            </w:pP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4340" w:type="dxa"/>
            <w:vAlign w:val="bottom"/>
          </w:tcPr>
          <w:p>
            <w:pPr>
              <w:spacing w:after="0"/>
              <w:rPr>
                <w:sz w:val="14"/>
                <w:szCs w:val="14"/>
                <w:color w:val="auto"/>
              </w:rPr>
            </w:pP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108,225,292</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87,234,132</w:t>
            </w:r>
          </w:p>
        </w:tc>
      </w:tr>
      <w:tr>
        <w:trPr>
          <w:trHeight w:val="169"/>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Less-Accumulated depreciation</w:t>
            </w:r>
          </w:p>
        </w:tc>
        <w:tc>
          <w:tcPr>
            <w:tcW w:w="15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4340" w:type="dxa"/>
            <w:vAlign w:val="bottom"/>
          </w:tcPr>
          <w:p>
            <w:pPr>
              <w:ind w:left="520"/>
              <w:spacing w:after="0"/>
              <w:rPr>
                <w:sz w:val="20"/>
                <w:szCs w:val="20"/>
                <w:color w:val="auto"/>
              </w:rPr>
            </w:pPr>
            <w:r>
              <w:rPr>
                <w:rFonts w:ascii="Courier New" w:cs="Courier New" w:eastAsia="Courier New" w:hAnsi="Courier New"/>
                <w:sz w:val="15"/>
                <w:szCs w:val="15"/>
                <w:color w:val="auto"/>
              </w:rPr>
              <w:t>and amortization</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(36,887,239)</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(27,874,247)</w:t>
            </w:r>
          </w:p>
        </w:tc>
      </w:tr>
      <w:tr>
        <w:trPr>
          <w:trHeight w:val="169"/>
        </w:trPr>
        <w:tc>
          <w:tcPr>
            <w:tcW w:w="4340" w:type="dxa"/>
            <w:vAlign w:val="bottom"/>
          </w:tcPr>
          <w:p>
            <w:pPr>
              <w:spacing w:after="0"/>
              <w:rPr>
                <w:sz w:val="14"/>
                <w:szCs w:val="14"/>
                <w:color w:val="auto"/>
              </w:rPr>
            </w:pP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340" w:type="dxa"/>
            <w:vAlign w:val="bottom"/>
          </w:tcPr>
          <w:p>
            <w:pPr>
              <w:spacing w:after="0"/>
              <w:rPr>
                <w:sz w:val="24"/>
                <w:szCs w:val="24"/>
                <w:color w:val="auto"/>
              </w:rPr>
            </w:pP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71,338,053</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59,359,885</w:t>
            </w:r>
          </w:p>
        </w:tc>
      </w:tr>
      <w:tr>
        <w:trPr>
          <w:trHeight w:val="339"/>
        </w:trPr>
        <w:tc>
          <w:tcPr>
            <w:tcW w:w="43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9"/>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Long-term investments</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125,816,629</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78,744,138</w:t>
            </w:r>
          </w:p>
        </w:tc>
      </w:tr>
      <w:tr>
        <w:trPr>
          <w:trHeight w:val="169"/>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Patents and other assets, net</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2,302,504</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1,428,116</w:t>
            </w:r>
          </w:p>
        </w:tc>
      </w:tr>
      <w:tr>
        <w:trPr>
          <w:trHeight w:val="169"/>
        </w:trPr>
        <w:tc>
          <w:tcPr>
            <w:tcW w:w="4340" w:type="dxa"/>
            <w:vAlign w:val="bottom"/>
          </w:tcPr>
          <w:p>
            <w:pPr>
              <w:spacing w:after="0"/>
              <w:rPr>
                <w:sz w:val="14"/>
                <w:szCs w:val="14"/>
                <w:color w:val="auto"/>
              </w:rPr>
            </w:pP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4340" w:type="dxa"/>
            <w:vAlign w:val="bottom"/>
          </w:tcPr>
          <w:p>
            <w:pPr>
              <w:spacing w:after="0"/>
              <w:rPr>
                <w:sz w:val="14"/>
                <w:szCs w:val="14"/>
                <w:color w:val="auto"/>
              </w:rPr>
            </w:pP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128,119,133</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80,172,254</w:t>
            </w:r>
          </w:p>
        </w:tc>
      </w:tr>
      <w:tr>
        <w:trPr>
          <w:trHeight w:val="169"/>
        </w:trPr>
        <w:tc>
          <w:tcPr>
            <w:tcW w:w="4340" w:type="dxa"/>
            <w:vAlign w:val="bottom"/>
          </w:tcPr>
          <w:p>
            <w:pPr>
              <w:spacing w:after="0"/>
              <w:rPr>
                <w:sz w:val="14"/>
                <w:szCs w:val="14"/>
                <w:color w:val="auto"/>
              </w:rPr>
            </w:pP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340" w:type="dxa"/>
            <w:vAlign w:val="bottom"/>
          </w:tcPr>
          <w:p>
            <w:pPr>
              <w:spacing w:after="0"/>
              <w:rPr>
                <w:sz w:val="24"/>
                <w:szCs w:val="24"/>
                <w:color w:val="auto"/>
              </w:rPr>
            </w:pP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$337,672,770</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$254,889,558</w:t>
            </w:r>
          </w:p>
        </w:tc>
      </w:tr>
      <w:tr>
        <w:trPr>
          <w:trHeight w:val="169"/>
        </w:trPr>
        <w:tc>
          <w:tcPr>
            <w:tcW w:w="4340" w:type="dxa"/>
            <w:vAlign w:val="bottom"/>
          </w:tcPr>
          <w:p>
            <w:pPr>
              <w:spacing w:after="0"/>
              <w:rPr>
                <w:sz w:val="14"/>
                <w:szCs w:val="14"/>
                <w:color w:val="auto"/>
              </w:rPr>
            </w:pP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016"/>
        </w:trPr>
        <w:tc>
          <w:tcPr>
            <w:tcW w:w="43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INVESTMENT</w:t>
            </w: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9"/>
        </w:trPr>
        <w:tc>
          <w:tcPr>
            <w:tcW w:w="4340" w:type="dxa"/>
            <w:vAlign w:val="bottom"/>
          </w:tcPr>
          <w:p>
            <w:pPr>
              <w:spacing w:after="0"/>
              <w:rPr>
                <w:sz w:val="14"/>
                <w:szCs w:val="14"/>
                <w:color w:val="auto"/>
              </w:rPr>
            </w:pPr>
          </w:p>
        </w:tc>
        <w:tc>
          <w:tcPr>
            <w:tcW w:w="15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69"/>
        </w:trPr>
        <w:tc>
          <w:tcPr>
            <w:tcW w:w="4340" w:type="dxa"/>
            <w:vAlign w:val="bottom"/>
          </w:tcPr>
          <w:p>
            <w:pPr>
              <w:spacing w:after="0"/>
              <w:rPr>
                <w:sz w:val="14"/>
                <w:szCs w:val="14"/>
                <w:color w:val="auto"/>
              </w:rPr>
            </w:pPr>
          </w:p>
        </w:tc>
        <w:tc>
          <w:tcPr>
            <w:tcW w:w="15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3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9"/>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8,288,327</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7,602,933</w:t>
            </w:r>
          </w:p>
        </w:tc>
      </w:tr>
      <w:tr>
        <w:trPr>
          <w:trHeight w:val="169"/>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Accrued liabilities:</w:t>
            </w:r>
          </w:p>
        </w:tc>
        <w:tc>
          <w:tcPr>
            <w:tcW w:w="15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4340" w:type="dxa"/>
            <w:vAlign w:val="bottom"/>
          </w:tcPr>
          <w:p>
            <w:pPr>
              <w:ind w:left="700"/>
              <w:spacing w:after="0"/>
              <w:rPr>
                <w:sz w:val="20"/>
                <w:szCs w:val="20"/>
                <w:color w:val="auto"/>
              </w:rPr>
            </w:pPr>
            <w:r>
              <w:rPr>
                <w:rFonts w:ascii="Courier New" w:cs="Courier New" w:eastAsia="Courier New" w:hAnsi="Courier New"/>
                <w:sz w:val="15"/>
                <w:szCs w:val="15"/>
                <w:color w:val="auto"/>
              </w:rPr>
              <w:t>Salaries, wages and vacation</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1,758,941</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1,349,182</w:t>
            </w:r>
          </w:p>
        </w:tc>
      </w:tr>
      <w:tr>
        <w:trPr>
          <w:trHeight w:val="169"/>
        </w:trPr>
        <w:tc>
          <w:tcPr>
            <w:tcW w:w="4340" w:type="dxa"/>
            <w:vAlign w:val="bottom"/>
          </w:tcPr>
          <w:p>
            <w:pPr>
              <w:ind w:left="700"/>
              <w:spacing w:after="0"/>
              <w:rPr>
                <w:sz w:val="20"/>
                <w:szCs w:val="20"/>
                <w:color w:val="auto"/>
              </w:rPr>
            </w:pPr>
            <w:r>
              <w:rPr>
                <w:rFonts w:ascii="Courier New" w:cs="Courier New" w:eastAsia="Courier New" w:hAnsi="Courier New"/>
                <w:sz w:val="15"/>
                <w:szCs w:val="15"/>
                <w:color w:val="auto"/>
              </w:rPr>
              <w:t>Income taxes</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1,215,735</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3,339,052</w:t>
            </w:r>
          </w:p>
        </w:tc>
      </w:tr>
      <w:tr>
        <w:trPr>
          <w:trHeight w:val="169"/>
        </w:trPr>
        <w:tc>
          <w:tcPr>
            <w:tcW w:w="4340" w:type="dxa"/>
            <w:vAlign w:val="bottom"/>
          </w:tcPr>
          <w:p>
            <w:pPr>
              <w:ind w:left="700"/>
              <w:spacing w:after="0"/>
              <w:rPr>
                <w:sz w:val="20"/>
                <w:szCs w:val="20"/>
                <w:color w:val="auto"/>
              </w:rPr>
            </w:pPr>
            <w:r>
              <w:rPr>
                <w:rFonts w:ascii="Courier New" w:cs="Courier New" w:eastAsia="Courier New" w:hAnsi="Courier New"/>
                <w:sz w:val="15"/>
                <w:szCs w:val="15"/>
                <w:color w:val="auto"/>
              </w:rPr>
              <w:t>Royalties</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2,582,522</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340" w:type="dxa"/>
            <w:vAlign w:val="bottom"/>
          </w:tcPr>
          <w:p>
            <w:pPr>
              <w:ind w:left="70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2,624,686</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2,555,723</w:t>
            </w:r>
          </w:p>
        </w:tc>
      </w:tr>
      <w:tr>
        <w:trPr>
          <w:trHeight w:val="169"/>
        </w:trPr>
        <w:tc>
          <w:tcPr>
            <w:tcW w:w="4340" w:type="dxa"/>
            <w:vAlign w:val="bottom"/>
          </w:tcPr>
          <w:p>
            <w:pPr>
              <w:spacing w:after="0"/>
              <w:rPr>
                <w:sz w:val="14"/>
                <w:szCs w:val="14"/>
                <w:color w:val="auto"/>
              </w:rPr>
            </w:pP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340" w:type="dxa"/>
            <w:vAlign w:val="bottom"/>
          </w:tcPr>
          <w:p>
            <w:pPr>
              <w:ind w:left="1220"/>
              <w:spacing w:after="0"/>
              <w:rPr>
                <w:sz w:val="20"/>
                <w:szCs w:val="20"/>
                <w:color w:val="auto"/>
              </w:rPr>
            </w:pPr>
            <w:r>
              <w:rPr>
                <w:rFonts w:ascii="Courier New" w:cs="Courier New" w:eastAsia="Courier New" w:hAnsi="Courier New"/>
                <w:sz w:val="15"/>
                <w:szCs w:val="15"/>
                <w:color w:val="auto"/>
              </w:rPr>
              <w:t>Total current liabilities</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16,470,211</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14,846,890</w:t>
            </w:r>
          </w:p>
        </w:tc>
      </w:tr>
      <w:tr>
        <w:trPr>
          <w:trHeight w:val="339"/>
        </w:trPr>
        <w:tc>
          <w:tcPr>
            <w:tcW w:w="43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4,151,143</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3,034,450</w:t>
            </w:r>
          </w:p>
        </w:tc>
      </w:tr>
      <w:tr>
        <w:trPr>
          <w:trHeight w:val="508"/>
        </w:trPr>
        <w:tc>
          <w:tcPr>
            <w:tcW w:w="4340" w:type="dxa"/>
            <w:vAlign w:val="bottom"/>
          </w:tcPr>
          <w:p>
            <w:pPr>
              <w:spacing w:after="0"/>
              <w:rPr>
                <w:sz w:val="20"/>
                <w:szCs w:val="20"/>
                <w:color w:val="auto"/>
              </w:rPr>
            </w:pPr>
            <w:r>
              <w:rPr>
                <w:rFonts w:ascii="Courier New" w:cs="Courier New" w:eastAsia="Courier New" w:hAnsi="Courier New"/>
                <w:sz w:val="15"/>
                <w:szCs w:val="15"/>
                <w:color w:val="auto"/>
              </w:rPr>
              <w:t>SHAREHOLDERS' INVESTMENT:</w:t>
            </w: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9"/>
        </w:trPr>
        <w:tc>
          <w:tcPr>
            <w:tcW w:w="434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 no par value,</w:t>
            </w: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9"/>
        </w:trPr>
        <w:tc>
          <w:tcPr>
            <w:tcW w:w="4340" w:type="dxa"/>
            <w:vAlign w:val="bottom"/>
          </w:tcPr>
          <w:p>
            <w:pPr>
              <w:ind w:left="700"/>
              <w:spacing w:after="0"/>
              <w:rPr>
                <w:sz w:val="20"/>
                <w:szCs w:val="20"/>
                <w:color w:val="auto"/>
              </w:rPr>
            </w:pPr>
            <w:r>
              <w:rPr>
                <w:rFonts w:ascii="Courier New" w:cs="Courier New" w:eastAsia="Courier New" w:hAnsi="Courier New"/>
                <w:sz w:val="15"/>
                <w:szCs w:val="15"/>
                <w:color w:val="auto"/>
              </w:rPr>
              <w:t>5,000,000 shares authorized; none</w:t>
            </w:r>
          </w:p>
        </w:tc>
        <w:tc>
          <w:tcPr>
            <w:tcW w:w="15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4340" w:type="dxa"/>
            <w:vAlign w:val="bottom"/>
          </w:tcPr>
          <w:p>
            <w:pPr>
              <w:ind w:left="700"/>
              <w:spacing w:after="0"/>
              <w:rPr>
                <w:sz w:val="20"/>
                <w:szCs w:val="20"/>
                <w:color w:val="auto"/>
              </w:rPr>
            </w:pPr>
            <w:r>
              <w:rPr>
                <w:rFonts w:ascii="Courier New" w:cs="Courier New" w:eastAsia="Courier New" w:hAnsi="Courier New"/>
                <w:sz w:val="15"/>
                <w:szCs w:val="15"/>
                <w:color w:val="auto"/>
              </w:rPr>
              <w:t>issued or outstanding</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340" w:type="dxa"/>
            <w:vAlign w:val="bottom"/>
          </w:tcPr>
          <w:p>
            <w:pPr>
              <w:ind w:left="340"/>
              <w:spacing w:after="0"/>
              <w:rPr>
                <w:sz w:val="20"/>
                <w:szCs w:val="20"/>
                <w:color w:val="auto"/>
              </w:rPr>
            </w:pPr>
            <w:r>
              <w:rPr>
                <w:rFonts w:ascii="Courier New" w:cs="Courier New" w:eastAsia="Courier New" w:hAnsi="Courier New"/>
                <w:sz w:val="15"/>
                <w:szCs w:val="15"/>
                <w:color w:val="auto"/>
              </w:rPr>
              <w:t>Common stock, par value $.06 per share;</w:t>
            </w: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9"/>
        </w:trPr>
        <w:tc>
          <w:tcPr>
            <w:tcW w:w="4340" w:type="dxa"/>
            <w:vAlign w:val="bottom"/>
          </w:tcPr>
          <w:p>
            <w:pPr>
              <w:ind w:left="780"/>
              <w:spacing w:after="0"/>
              <w:rPr>
                <w:sz w:val="20"/>
                <w:szCs w:val="20"/>
                <w:color w:val="auto"/>
              </w:rPr>
            </w:pPr>
            <w:r>
              <w:rPr>
                <w:rFonts w:ascii="Courier New" w:cs="Courier New" w:eastAsia="Courier New" w:hAnsi="Courier New"/>
                <w:sz w:val="15"/>
                <w:szCs w:val="15"/>
                <w:color w:val="auto"/>
              </w:rPr>
              <w:t>100,000,000 shares authorized</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4,404,739</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4,335,535</w:t>
            </w:r>
          </w:p>
        </w:tc>
      </w:tr>
      <w:tr>
        <w:trPr>
          <w:trHeight w:val="169"/>
        </w:trPr>
        <w:tc>
          <w:tcPr>
            <w:tcW w:w="4340" w:type="dxa"/>
            <w:vAlign w:val="bottom"/>
          </w:tcPr>
          <w:p>
            <w:pPr>
              <w:ind w:left="340"/>
              <w:spacing w:after="0"/>
              <w:rPr>
                <w:sz w:val="20"/>
                <w:szCs w:val="20"/>
                <w:color w:val="auto"/>
              </w:rPr>
            </w:pPr>
            <w:r>
              <w:rPr>
                <w:rFonts w:ascii="Courier New" w:cs="Courier New" w:eastAsia="Courier New" w:hAnsi="Courier New"/>
                <w:sz w:val="15"/>
                <w:szCs w:val="15"/>
                <w:color w:val="auto"/>
              </w:rPr>
              <w:t>Additional paid-in capital</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79,670,301</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64,876,098</w:t>
            </w:r>
          </w:p>
        </w:tc>
      </w:tr>
      <w:tr>
        <w:trPr>
          <w:trHeight w:val="169"/>
        </w:trPr>
        <w:tc>
          <w:tcPr>
            <w:tcW w:w="4340" w:type="dxa"/>
            <w:vAlign w:val="bottom"/>
          </w:tcPr>
          <w:p>
            <w:pPr>
              <w:ind w:left="340"/>
              <w:spacing w:after="0"/>
              <w:rPr>
                <w:sz w:val="20"/>
                <w:szCs w:val="20"/>
                <w:color w:val="auto"/>
              </w:rPr>
            </w:pPr>
            <w:r>
              <w:rPr>
                <w:rFonts w:ascii="Courier New" w:cs="Courier New" w:eastAsia="Courier New" w:hAnsi="Courier New"/>
                <w:sz w:val="15"/>
                <w:szCs w:val="15"/>
                <w:color w:val="auto"/>
              </w:rPr>
              <w:t>Retained earnings</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232,669,586</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167,805,830</w:t>
            </w:r>
          </w:p>
        </w:tc>
      </w:tr>
      <w:tr>
        <w:trPr>
          <w:trHeight w:val="169"/>
        </w:trPr>
        <w:tc>
          <w:tcPr>
            <w:tcW w:w="4340" w:type="dxa"/>
            <w:vAlign w:val="bottom"/>
          </w:tcPr>
          <w:p>
            <w:pPr>
              <w:ind w:left="340"/>
              <w:spacing w:after="0"/>
              <w:rPr>
                <w:sz w:val="20"/>
                <w:szCs w:val="20"/>
                <w:color w:val="auto"/>
              </w:rPr>
            </w:pPr>
            <w:r>
              <w:rPr>
                <w:rFonts w:ascii="Courier New" w:cs="Courier New" w:eastAsia="Courier New" w:hAnsi="Courier New"/>
                <w:sz w:val="15"/>
                <w:szCs w:val="15"/>
                <w:color w:val="auto"/>
              </w:rPr>
              <w:t>Deferred compensation</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(2,070,639)</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(2,054,110)</w:t>
            </w:r>
          </w:p>
        </w:tc>
      </w:tr>
      <w:tr>
        <w:trPr>
          <w:trHeight w:val="169"/>
        </w:trPr>
        <w:tc>
          <w:tcPr>
            <w:tcW w:w="4340" w:type="dxa"/>
            <w:vAlign w:val="bottom"/>
          </w:tcPr>
          <w:p>
            <w:pPr>
              <w:ind w:left="340"/>
              <w:spacing w:after="0"/>
              <w:rPr>
                <w:sz w:val="20"/>
                <w:szCs w:val="20"/>
                <w:color w:val="auto"/>
              </w:rPr>
            </w:pPr>
            <w:r>
              <w:rPr>
                <w:rFonts w:ascii="Courier New" w:cs="Courier New" w:eastAsia="Courier New" w:hAnsi="Courier New"/>
                <w:sz w:val="15"/>
                <w:szCs w:val="15"/>
                <w:color w:val="auto"/>
              </w:rPr>
              <w:t>Unrealized gain on investments</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2,366,637</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2,007,568</w:t>
            </w:r>
          </w:p>
        </w:tc>
      </w:tr>
      <w:tr>
        <w:trPr>
          <w:trHeight w:val="169"/>
        </w:trPr>
        <w:tc>
          <w:tcPr>
            <w:tcW w:w="4340" w:type="dxa"/>
            <w:vAlign w:val="bottom"/>
          </w:tcPr>
          <w:p>
            <w:pPr>
              <w:ind w:left="340"/>
              <w:spacing w:after="0"/>
              <w:rPr>
                <w:sz w:val="20"/>
                <w:szCs w:val="20"/>
                <w:color w:val="auto"/>
              </w:rPr>
            </w:pPr>
            <w:r>
              <w:rPr>
                <w:rFonts w:ascii="Courier New" w:cs="Courier New" w:eastAsia="Courier New" w:hAnsi="Courier New"/>
                <w:sz w:val="15"/>
                <w:szCs w:val="15"/>
                <w:color w:val="auto"/>
              </w:rPr>
              <w:t>Cumulative translation adjustment</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10,792</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37,297</w:t>
            </w:r>
          </w:p>
        </w:tc>
      </w:tr>
      <w:tr>
        <w:trPr>
          <w:trHeight w:val="169"/>
        </w:trPr>
        <w:tc>
          <w:tcPr>
            <w:tcW w:w="4340" w:type="dxa"/>
            <w:vAlign w:val="bottom"/>
          </w:tcPr>
          <w:p>
            <w:pPr>
              <w:spacing w:after="0"/>
              <w:rPr>
                <w:sz w:val="14"/>
                <w:szCs w:val="14"/>
                <w:color w:val="auto"/>
              </w:rPr>
            </w:pP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340" w:type="dxa"/>
            <w:vAlign w:val="bottom"/>
          </w:tcPr>
          <w:p>
            <w:pPr>
              <w:ind w:left="1140"/>
              <w:spacing w:after="0"/>
              <w:rPr>
                <w:sz w:val="20"/>
                <w:szCs w:val="20"/>
                <w:color w:val="auto"/>
              </w:rPr>
            </w:pPr>
            <w:r>
              <w:rPr>
                <w:rFonts w:ascii="Courier New" w:cs="Courier New" w:eastAsia="Courier New" w:hAnsi="Courier New"/>
                <w:sz w:val="15"/>
                <w:szCs w:val="15"/>
                <w:color w:val="auto"/>
              </w:rPr>
              <w:t>Total shareholders' investment</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317,051,416</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237,008,218</w:t>
            </w:r>
          </w:p>
        </w:tc>
      </w:tr>
      <w:tr>
        <w:trPr>
          <w:trHeight w:val="169"/>
        </w:trPr>
        <w:tc>
          <w:tcPr>
            <w:tcW w:w="4340" w:type="dxa"/>
            <w:vAlign w:val="bottom"/>
          </w:tcPr>
          <w:p>
            <w:pPr>
              <w:spacing w:after="0"/>
              <w:rPr>
                <w:sz w:val="14"/>
                <w:szCs w:val="14"/>
                <w:color w:val="auto"/>
              </w:rPr>
            </w:pP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340" w:type="dxa"/>
            <w:vAlign w:val="bottom"/>
          </w:tcPr>
          <w:p>
            <w:pPr>
              <w:spacing w:after="0"/>
              <w:rPr>
                <w:sz w:val="24"/>
                <w:szCs w:val="24"/>
                <w:color w:val="auto"/>
              </w:rPr>
            </w:pP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$337,672,770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$254,889,558</w:t>
            </w:r>
          </w:p>
        </w:tc>
      </w:tr>
      <w:tr>
        <w:trPr>
          <w:trHeight w:val="169"/>
        </w:trPr>
        <w:tc>
          <w:tcPr>
            <w:tcW w:w="4340" w:type="dxa"/>
            <w:vAlign w:val="bottom"/>
          </w:tcPr>
          <w:p>
            <w:pPr>
              <w:spacing w:after="0"/>
              <w:rPr>
                <w:sz w:val="14"/>
                <w:szCs w:val="14"/>
                <w:color w:val="auto"/>
              </w:rPr>
            </w:pP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283" w:right="1440" w:bottom="71"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FOR THE YEARS ENDED DECEMBER 31, 1999, 1998 AND 1997</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r>
      <w:tr>
        <w:trPr>
          <w:trHeight w:val="169"/>
        </w:trPr>
        <w:tc>
          <w:tcPr>
            <w:tcW w:w="4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2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$262,155,498</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$222,292,053</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$186,327,877</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020" w:type="dxa"/>
            <w:vAlign w:val="bottom"/>
          </w:tcPr>
          <w:p>
            <w:pPr>
              <w:spacing w:after="0"/>
              <w:rPr>
                <w:sz w:val="24"/>
                <w:szCs w:val="2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148,820,129</w:t>
            </w:r>
          </w:p>
        </w:tc>
        <w:tc>
          <w:tcPr>
            <w:tcW w:w="340" w:type="dxa"/>
            <w:vAlign w:val="bottom"/>
          </w:tcPr>
          <w:p>
            <w:pPr>
              <w:spacing w:after="0"/>
              <w:rPr>
                <w:sz w:val="24"/>
                <w:szCs w:val="2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131,900,585</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118,941,030</w:t>
            </w:r>
          </w:p>
        </w:tc>
      </w:tr>
      <w:tr>
        <w:trPr>
          <w:trHeight w:val="169"/>
        </w:trPr>
        <w:tc>
          <w:tcPr>
            <w:tcW w:w="4520" w:type="dxa"/>
            <w:vAlign w:val="bottom"/>
          </w:tcPr>
          <w:p>
            <w:pPr>
              <w:spacing w:after="0"/>
              <w:rPr>
                <w:sz w:val="14"/>
                <w:szCs w:val="14"/>
                <w:color w:val="auto"/>
              </w:rPr>
            </w:pPr>
          </w:p>
        </w:tc>
        <w:tc>
          <w:tcPr>
            <w:tcW w:w="22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Gross profit</w:t>
            </w:r>
          </w:p>
        </w:tc>
        <w:tc>
          <w:tcPr>
            <w:tcW w:w="1020" w:type="dxa"/>
            <w:vAlign w:val="bottom"/>
          </w:tcPr>
          <w:p>
            <w:pPr>
              <w:spacing w:after="0"/>
              <w:rPr>
                <w:sz w:val="24"/>
                <w:szCs w:val="2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113,335,369</w:t>
            </w:r>
          </w:p>
        </w:tc>
        <w:tc>
          <w:tcPr>
            <w:tcW w:w="340" w:type="dxa"/>
            <w:vAlign w:val="bottom"/>
          </w:tcPr>
          <w:p>
            <w:pPr>
              <w:spacing w:after="0"/>
              <w:rPr>
                <w:sz w:val="24"/>
                <w:szCs w:val="2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90,391,468</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67,386,847</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9"/>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Research and development</w:t>
            </w:r>
          </w:p>
        </w:tc>
        <w:tc>
          <w:tcPr>
            <w:tcW w:w="102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13,755,318</w:t>
            </w:r>
          </w:p>
        </w:tc>
        <w:tc>
          <w:tcPr>
            <w:tcW w:w="34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10,983,514</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9,079,472</w:t>
            </w:r>
          </w:p>
        </w:tc>
      </w:tr>
      <w:tr>
        <w:trPr>
          <w:trHeight w:val="169"/>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Selling, general and administrative</w:t>
            </w:r>
          </w:p>
        </w:tc>
        <w:tc>
          <w:tcPr>
            <w:tcW w:w="102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14,057,560</w:t>
            </w:r>
          </w:p>
        </w:tc>
        <w:tc>
          <w:tcPr>
            <w:tcW w:w="34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12,065,141</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10,825,389</w:t>
            </w:r>
          </w:p>
        </w:tc>
      </w:tr>
      <w:tr>
        <w:trPr>
          <w:trHeight w:val="169"/>
        </w:trPr>
        <w:tc>
          <w:tcPr>
            <w:tcW w:w="4520" w:type="dxa"/>
            <w:vAlign w:val="bottom"/>
          </w:tcPr>
          <w:p>
            <w:pPr>
              <w:spacing w:after="0"/>
              <w:rPr>
                <w:sz w:val="14"/>
                <w:szCs w:val="14"/>
                <w:color w:val="auto"/>
              </w:rPr>
            </w:pPr>
          </w:p>
        </w:tc>
        <w:tc>
          <w:tcPr>
            <w:tcW w:w="22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ind w:left="880"/>
              <w:spacing w:after="0"/>
              <w:rPr>
                <w:sz w:val="20"/>
                <w:szCs w:val="20"/>
                <w:color w:val="auto"/>
              </w:rPr>
            </w:pPr>
            <w:r>
              <w:rPr>
                <w:rFonts w:ascii="Courier New" w:cs="Courier New" w:eastAsia="Courier New" w:hAnsi="Courier New"/>
                <w:sz w:val="15"/>
                <w:szCs w:val="15"/>
                <w:color w:val="auto"/>
              </w:rPr>
              <w:t>Total operating expenses</w:t>
            </w:r>
          </w:p>
        </w:tc>
        <w:tc>
          <w:tcPr>
            <w:tcW w:w="1020" w:type="dxa"/>
            <w:vAlign w:val="bottom"/>
          </w:tcPr>
          <w:p>
            <w:pPr>
              <w:spacing w:after="0"/>
              <w:rPr>
                <w:sz w:val="24"/>
                <w:szCs w:val="2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27,812,878</w:t>
            </w:r>
          </w:p>
        </w:tc>
        <w:tc>
          <w:tcPr>
            <w:tcW w:w="340" w:type="dxa"/>
            <w:vAlign w:val="bottom"/>
          </w:tcPr>
          <w:p>
            <w:pPr>
              <w:spacing w:after="0"/>
              <w:rPr>
                <w:sz w:val="24"/>
                <w:szCs w:val="2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23,048,655</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19,904,861</w:t>
            </w:r>
          </w:p>
        </w:tc>
      </w:tr>
      <w:tr>
        <w:trPr>
          <w:trHeight w:val="169"/>
        </w:trPr>
        <w:tc>
          <w:tcPr>
            <w:tcW w:w="4520" w:type="dxa"/>
            <w:vAlign w:val="bottom"/>
          </w:tcPr>
          <w:p>
            <w:pPr>
              <w:spacing w:after="0"/>
              <w:rPr>
                <w:sz w:val="14"/>
                <w:szCs w:val="14"/>
                <w:color w:val="auto"/>
              </w:rPr>
            </w:pPr>
          </w:p>
        </w:tc>
        <w:tc>
          <w:tcPr>
            <w:tcW w:w="22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Operating income</w:t>
            </w:r>
          </w:p>
        </w:tc>
        <w:tc>
          <w:tcPr>
            <w:tcW w:w="1020" w:type="dxa"/>
            <w:vAlign w:val="bottom"/>
          </w:tcPr>
          <w:p>
            <w:pPr>
              <w:spacing w:after="0"/>
              <w:rPr>
                <w:sz w:val="24"/>
                <w:szCs w:val="2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85,522,491</w:t>
            </w:r>
          </w:p>
        </w:tc>
        <w:tc>
          <w:tcPr>
            <w:tcW w:w="340" w:type="dxa"/>
            <w:vAlign w:val="bottom"/>
          </w:tcPr>
          <w:p>
            <w:pPr>
              <w:spacing w:after="0"/>
              <w:rPr>
                <w:sz w:val="24"/>
                <w:szCs w:val="2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67,342,813</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47,481,986</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9"/>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Interest and dividend income</w:t>
            </w:r>
          </w:p>
        </w:tc>
        <w:tc>
          <w:tcPr>
            <w:tcW w:w="102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8,459,607</w:t>
            </w:r>
          </w:p>
        </w:tc>
        <w:tc>
          <w:tcPr>
            <w:tcW w:w="34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5,890,612</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4,405,565</w:t>
            </w:r>
          </w:p>
        </w:tc>
      </w:tr>
      <w:tr>
        <w:trPr>
          <w:trHeight w:val="169"/>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Other, net</w:t>
            </w:r>
          </w:p>
        </w:tc>
        <w:tc>
          <w:tcPr>
            <w:tcW w:w="102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2,233,658</w:t>
            </w:r>
          </w:p>
        </w:tc>
        <w:tc>
          <w:tcPr>
            <w:tcW w:w="34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1,429,705</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301,673</w:t>
            </w:r>
          </w:p>
        </w:tc>
      </w:tr>
      <w:tr>
        <w:trPr>
          <w:trHeight w:val="169"/>
        </w:trPr>
        <w:tc>
          <w:tcPr>
            <w:tcW w:w="4520" w:type="dxa"/>
            <w:vAlign w:val="bottom"/>
          </w:tcPr>
          <w:p>
            <w:pPr>
              <w:spacing w:after="0"/>
              <w:rPr>
                <w:sz w:val="14"/>
                <w:szCs w:val="14"/>
                <w:color w:val="auto"/>
              </w:rPr>
            </w:pPr>
          </w:p>
        </w:tc>
        <w:tc>
          <w:tcPr>
            <w:tcW w:w="22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ind w:left="880"/>
              <w:spacing w:after="0"/>
              <w:rPr>
                <w:sz w:val="20"/>
                <w:szCs w:val="20"/>
                <w:color w:val="auto"/>
              </w:rPr>
            </w:pPr>
            <w:r>
              <w:rPr>
                <w:rFonts w:ascii="Courier New" w:cs="Courier New" w:eastAsia="Courier New" w:hAnsi="Courier New"/>
                <w:sz w:val="15"/>
                <w:szCs w:val="15"/>
                <w:color w:val="auto"/>
              </w:rPr>
              <w:t>Total other income</w:t>
            </w:r>
          </w:p>
        </w:tc>
        <w:tc>
          <w:tcPr>
            <w:tcW w:w="1020" w:type="dxa"/>
            <w:vAlign w:val="bottom"/>
          </w:tcPr>
          <w:p>
            <w:pPr>
              <w:spacing w:after="0"/>
              <w:rPr>
                <w:sz w:val="24"/>
                <w:szCs w:val="2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10,693,265</w:t>
            </w:r>
          </w:p>
        </w:tc>
        <w:tc>
          <w:tcPr>
            <w:tcW w:w="340" w:type="dxa"/>
            <w:vAlign w:val="bottom"/>
          </w:tcPr>
          <w:p>
            <w:pPr>
              <w:spacing w:after="0"/>
              <w:rPr>
                <w:sz w:val="24"/>
                <w:szCs w:val="2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7,320,317</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4,707,238</w:t>
            </w:r>
          </w:p>
        </w:tc>
      </w:tr>
      <w:tr>
        <w:trPr>
          <w:trHeight w:val="169"/>
        </w:trPr>
        <w:tc>
          <w:tcPr>
            <w:tcW w:w="4520" w:type="dxa"/>
            <w:vAlign w:val="bottom"/>
          </w:tcPr>
          <w:p>
            <w:pPr>
              <w:spacing w:after="0"/>
              <w:rPr>
                <w:sz w:val="14"/>
                <w:szCs w:val="14"/>
                <w:color w:val="auto"/>
              </w:rPr>
            </w:pPr>
          </w:p>
        </w:tc>
        <w:tc>
          <w:tcPr>
            <w:tcW w:w="22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Income before provision</w:t>
            </w: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9"/>
        </w:trPr>
        <w:tc>
          <w:tcPr>
            <w:tcW w:w="4520" w:type="dxa"/>
            <w:vAlign w:val="bottom"/>
          </w:tcPr>
          <w:p>
            <w:pPr>
              <w:ind w:left="700"/>
              <w:spacing w:after="0"/>
              <w:rPr>
                <w:sz w:val="20"/>
                <w:szCs w:val="20"/>
                <w:color w:val="auto"/>
              </w:rPr>
            </w:pPr>
            <w:r>
              <w:rPr>
                <w:rFonts w:ascii="Courier New" w:cs="Courier New" w:eastAsia="Courier New" w:hAnsi="Courier New"/>
                <w:sz w:val="15"/>
                <w:szCs w:val="15"/>
                <w:color w:val="auto"/>
              </w:rPr>
              <w:t>for income taxes</w:t>
            </w:r>
          </w:p>
        </w:tc>
        <w:tc>
          <w:tcPr>
            <w:tcW w:w="102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96,215,756</w:t>
            </w:r>
          </w:p>
        </w:tc>
        <w:tc>
          <w:tcPr>
            <w:tcW w:w="34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74,663,130</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52,189,224</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020" w:type="dxa"/>
            <w:vAlign w:val="bottom"/>
          </w:tcPr>
          <w:p>
            <w:pPr>
              <w:spacing w:after="0"/>
              <w:rPr>
                <w:sz w:val="24"/>
                <w:szCs w:val="2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31,352,000</w:t>
            </w:r>
          </w:p>
        </w:tc>
        <w:tc>
          <w:tcPr>
            <w:tcW w:w="340" w:type="dxa"/>
            <w:vAlign w:val="bottom"/>
          </w:tcPr>
          <w:p>
            <w:pPr>
              <w:spacing w:after="0"/>
              <w:rPr>
                <w:sz w:val="24"/>
                <w:szCs w:val="2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24,356,000</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16,959,000</w:t>
            </w:r>
          </w:p>
        </w:tc>
      </w:tr>
      <w:tr>
        <w:trPr>
          <w:trHeight w:val="169"/>
        </w:trPr>
        <w:tc>
          <w:tcPr>
            <w:tcW w:w="4520" w:type="dxa"/>
            <w:vAlign w:val="bottom"/>
          </w:tcPr>
          <w:p>
            <w:pPr>
              <w:spacing w:after="0"/>
              <w:rPr>
                <w:sz w:val="14"/>
                <w:szCs w:val="14"/>
                <w:color w:val="auto"/>
              </w:rPr>
            </w:pPr>
          </w:p>
        </w:tc>
        <w:tc>
          <w:tcPr>
            <w:tcW w:w="22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$ 64,863,756</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$ 50,307,130</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$ 35,230,224</w:t>
            </w:r>
          </w:p>
        </w:tc>
      </w:tr>
      <w:tr>
        <w:trPr>
          <w:trHeight w:val="169"/>
        </w:trPr>
        <w:tc>
          <w:tcPr>
            <w:tcW w:w="4520" w:type="dxa"/>
            <w:vAlign w:val="bottom"/>
          </w:tcPr>
          <w:p>
            <w:pPr>
              <w:spacing w:after="0"/>
              <w:rPr>
                <w:sz w:val="14"/>
                <w:szCs w:val="14"/>
                <w:color w:val="auto"/>
              </w:rPr>
            </w:pPr>
          </w:p>
        </w:tc>
        <w:tc>
          <w:tcPr>
            <w:tcW w:w="22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9"/>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0.89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0.51</w:t>
            </w:r>
          </w:p>
        </w:tc>
      </w:tr>
      <w:tr>
        <w:trPr>
          <w:trHeight w:val="169"/>
        </w:trPr>
        <w:tc>
          <w:tcPr>
            <w:tcW w:w="4520" w:type="dxa"/>
            <w:vAlign w:val="bottom"/>
          </w:tcPr>
          <w:p>
            <w:pPr>
              <w:spacing w:after="0"/>
              <w:rPr>
                <w:sz w:val="14"/>
                <w:szCs w:val="14"/>
                <w:color w:val="auto"/>
              </w:rPr>
            </w:pPr>
          </w:p>
        </w:tc>
        <w:tc>
          <w:tcPr>
            <w:tcW w:w="22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0.86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0.49</w:t>
            </w:r>
          </w:p>
        </w:tc>
      </w:tr>
      <w:tr>
        <w:trPr>
          <w:trHeight w:val="169"/>
        </w:trPr>
        <w:tc>
          <w:tcPr>
            <w:tcW w:w="4520" w:type="dxa"/>
            <w:vAlign w:val="bottom"/>
          </w:tcPr>
          <w:p>
            <w:pPr>
              <w:spacing w:after="0"/>
              <w:rPr>
                <w:sz w:val="14"/>
                <w:szCs w:val="14"/>
                <w:color w:val="auto"/>
              </w:rPr>
            </w:pPr>
          </w:p>
        </w:tc>
        <w:tc>
          <w:tcPr>
            <w:tcW w:w="22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283" w:right="1440" w:bottom="1440" w:gutter="0" w:footer="0" w:header="0"/>
        </w:sectPr>
      </w:pPr>
    </w:p>
    <w:bookmarkStart w:id="20" w:name="page21"/>
    <w:bookmarkEnd w:id="20"/>
    <w:p>
      <w:pPr>
        <w:spacing w:after="0" w:line="7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CONSOLIDATED STATEMENTS OF SHAREHOLDERS' INVESTMENT</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FOR THE YEARS ENDED DECEMBER 31, 1999, 1998 AND 1997</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27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Common Stock</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Additional</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4120" w:type="dxa"/>
            <w:vAlign w:val="bottom"/>
          </w:tcPr>
          <w:p>
            <w:pPr>
              <w:spacing w:after="0"/>
              <w:rPr>
                <w:sz w:val="14"/>
                <w:szCs w:val="14"/>
                <w:color w:val="auto"/>
              </w:rPr>
            </w:pPr>
          </w:p>
        </w:tc>
        <w:tc>
          <w:tcPr>
            <w:tcW w:w="27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Paid-In</w:t>
            </w:r>
          </w:p>
        </w:tc>
        <w:tc>
          <w:tcPr>
            <w:tcW w:w="22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Comprehensive</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Retained</w:t>
            </w:r>
          </w:p>
        </w:tc>
      </w:tr>
      <w:tr>
        <w:trPr>
          <w:trHeight w:val="169"/>
        </w:trPr>
        <w:tc>
          <w:tcPr>
            <w:tcW w:w="4120" w:type="dxa"/>
            <w:vAlign w:val="bottom"/>
          </w:tcPr>
          <w:p>
            <w:pPr>
              <w:spacing w:after="0"/>
              <w:rPr>
                <w:sz w:val="14"/>
                <w:szCs w:val="14"/>
                <w:color w:val="auto"/>
              </w:rPr>
            </w:pP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Shares</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Amount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Capital</w:t>
            </w:r>
          </w:p>
        </w:tc>
        <w:tc>
          <w:tcPr>
            <w:tcW w:w="22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Income</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Earnings</w:t>
            </w:r>
          </w:p>
        </w:tc>
      </w:tr>
      <w:tr>
        <w:trPr>
          <w:trHeight w:val="169"/>
        </w:trPr>
        <w:tc>
          <w:tcPr>
            <w:tcW w:w="4120" w:type="dxa"/>
            <w:vAlign w:val="bottom"/>
          </w:tcPr>
          <w:p>
            <w:pPr>
              <w:spacing w:after="0"/>
              <w:rPr>
                <w:sz w:val="14"/>
                <w:szCs w:val="14"/>
                <w:color w:val="auto"/>
              </w:rPr>
            </w:pP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8"/>
        </w:trPr>
        <w:tc>
          <w:tcPr>
            <w:tcW w:w="412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1996</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34,749,282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$2,084,957</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$44,963,895</w:t>
            </w:r>
          </w:p>
        </w:tc>
        <w:tc>
          <w:tcPr>
            <w:tcW w:w="220" w:type="dxa"/>
            <w:vAlign w:val="bottom"/>
          </w:tcPr>
          <w:p>
            <w:pPr>
              <w:spacing w:after="0"/>
              <w:rPr>
                <w:sz w:val="24"/>
                <w:szCs w:val="2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$ 82,268,476</w:t>
            </w:r>
          </w:p>
        </w:tc>
      </w:tr>
      <w:tr>
        <w:trPr>
          <w:trHeight w:val="339"/>
        </w:trPr>
        <w:tc>
          <w:tcPr>
            <w:tcW w:w="412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9"/>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of stock plan transactions</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649,865</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38,992</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8,690,768</w:t>
            </w:r>
          </w:p>
        </w:tc>
        <w:tc>
          <w:tcPr>
            <w:tcW w:w="22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$35,230,224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35,230,224</w:t>
            </w:r>
          </w:p>
        </w:tc>
      </w:tr>
      <w:tr>
        <w:trPr>
          <w:trHeight w:val="339"/>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Other comprehensive income:</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9"/>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(20,410)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Unrealized gain on investments</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1,293,481</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169"/>
        </w:trPr>
        <w:tc>
          <w:tcPr>
            <w:tcW w:w="4120" w:type="dxa"/>
            <w:vAlign w:val="bottom"/>
          </w:tcPr>
          <w:p>
            <w:pPr>
              <w:ind w:left="880"/>
              <w:spacing w:after="0"/>
              <w:rPr>
                <w:sz w:val="20"/>
                <w:szCs w:val="20"/>
                <w:color w:val="auto"/>
              </w:rPr>
            </w:pPr>
            <w:r>
              <w:rPr>
                <w:rFonts w:ascii="Courier New" w:cs="Courier New" w:eastAsia="Courier New" w:hAnsi="Courier New"/>
                <w:sz w:val="15"/>
                <w:szCs w:val="15"/>
                <w:color w:val="auto"/>
              </w:rPr>
              <w:t>Other comprehensive income</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1,273,071</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169"/>
        </w:trPr>
        <w:tc>
          <w:tcPr>
            <w:tcW w:w="4120" w:type="dxa"/>
            <w:vAlign w:val="bottom"/>
          </w:tcPr>
          <w:p>
            <w:pPr>
              <w:ind w:left="1320"/>
              <w:spacing w:after="0"/>
              <w:rPr>
                <w:sz w:val="20"/>
                <w:szCs w:val="20"/>
                <w:color w:val="auto"/>
              </w:rPr>
            </w:pPr>
            <w:r>
              <w:rPr>
                <w:rFonts w:ascii="Courier New" w:cs="Courier New" w:eastAsia="Courier New" w:hAnsi="Courier New"/>
                <w:sz w:val="15"/>
                <w:szCs w:val="15"/>
                <w:color w:val="auto"/>
              </w:rPr>
              <w:t>Comprehensive income</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$36,503,295</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spacing w:after="0"/>
              <w:rPr>
                <w:sz w:val="14"/>
                <w:szCs w:val="14"/>
                <w:color w:val="auto"/>
              </w:rPr>
            </w:pP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2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1997</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35,399,147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2,123,949</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53,654,663</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117,498,700</w:t>
            </w:r>
          </w:p>
        </w:tc>
      </w:tr>
      <w:tr>
        <w:trPr>
          <w:trHeight w:val="339"/>
        </w:trPr>
        <w:tc>
          <w:tcPr>
            <w:tcW w:w="412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9"/>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of stock plan transactions</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1,023,593</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61,416</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13,371,605</w:t>
            </w:r>
          </w:p>
        </w:tc>
        <w:tc>
          <w:tcPr>
            <w:tcW w:w="22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spacing w:after="0"/>
              <w:rPr>
                <w:sz w:val="20"/>
                <w:szCs w:val="20"/>
                <w:color w:val="auto"/>
              </w:rPr>
            </w:pPr>
            <w:r>
              <w:rPr>
                <w:rFonts w:ascii="Courier New" w:cs="Courier New" w:eastAsia="Courier New" w:hAnsi="Courier New"/>
                <w:sz w:val="15"/>
                <w:szCs w:val="15"/>
                <w:color w:val="auto"/>
              </w:rPr>
              <w:t>Stock split</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35,836,177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2,150,170</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(2,150,170)</w:t>
            </w:r>
          </w:p>
        </w:tc>
        <w:tc>
          <w:tcPr>
            <w:tcW w:w="22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50,307,130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50,307,130</w:t>
            </w:r>
          </w:p>
        </w:tc>
      </w:tr>
      <w:tr>
        <w:trPr>
          <w:trHeight w:val="339"/>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Other comprehensive income:</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9"/>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58,177</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Unrealized gain on investments</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423,200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169"/>
        </w:trPr>
        <w:tc>
          <w:tcPr>
            <w:tcW w:w="4120" w:type="dxa"/>
            <w:vAlign w:val="bottom"/>
          </w:tcPr>
          <w:p>
            <w:pPr>
              <w:ind w:left="880"/>
              <w:spacing w:after="0"/>
              <w:rPr>
                <w:sz w:val="20"/>
                <w:szCs w:val="20"/>
                <w:color w:val="auto"/>
              </w:rPr>
            </w:pPr>
            <w:r>
              <w:rPr>
                <w:rFonts w:ascii="Courier New" w:cs="Courier New" w:eastAsia="Courier New" w:hAnsi="Courier New"/>
                <w:sz w:val="15"/>
                <w:szCs w:val="15"/>
                <w:color w:val="auto"/>
              </w:rPr>
              <w:t>Other comprehensive income</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481,377</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169"/>
        </w:trPr>
        <w:tc>
          <w:tcPr>
            <w:tcW w:w="4120" w:type="dxa"/>
            <w:vAlign w:val="bottom"/>
          </w:tcPr>
          <w:p>
            <w:pPr>
              <w:ind w:left="1320"/>
              <w:spacing w:after="0"/>
              <w:rPr>
                <w:sz w:val="20"/>
                <w:szCs w:val="20"/>
                <w:color w:val="auto"/>
              </w:rPr>
            </w:pPr>
            <w:r>
              <w:rPr>
                <w:rFonts w:ascii="Courier New" w:cs="Courier New" w:eastAsia="Courier New" w:hAnsi="Courier New"/>
                <w:sz w:val="15"/>
                <w:szCs w:val="15"/>
                <w:color w:val="auto"/>
              </w:rPr>
              <w:t>Comprehensive income</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$50,788,507</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spacing w:after="0"/>
              <w:rPr>
                <w:sz w:val="14"/>
                <w:szCs w:val="14"/>
                <w:color w:val="auto"/>
              </w:rPr>
            </w:pP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2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1998</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72,258,917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4,335,535</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64,876,098</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167,805,830</w:t>
            </w:r>
          </w:p>
        </w:tc>
      </w:tr>
      <w:tr>
        <w:trPr>
          <w:trHeight w:val="339"/>
        </w:trPr>
        <w:tc>
          <w:tcPr>
            <w:tcW w:w="412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9"/>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of stock plan transactions</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1,153,399</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69,204</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14,794,203</w:t>
            </w:r>
          </w:p>
        </w:tc>
        <w:tc>
          <w:tcPr>
            <w:tcW w:w="22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64,863,756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64,863,756</w:t>
            </w:r>
          </w:p>
        </w:tc>
      </w:tr>
      <w:tr>
        <w:trPr>
          <w:trHeight w:val="339"/>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Other comprehensive income:</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9"/>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(26,505)</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Unrealized gain on investments</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359,069</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169"/>
        </w:trPr>
        <w:tc>
          <w:tcPr>
            <w:tcW w:w="4120" w:type="dxa"/>
            <w:vAlign w:val="bottom"/>
          </w:tcPr>
          <w:p>
            <w:pPr>
              <w:ind w:left="880"/>
              <w:spacing w:after="0"/>
              <w:rPr>
                <w:sz w:val="20"/>
                <w:szCs w:val="20"/>
                <w:color w:val="auto"/>
              </w:rPr>
            </w:pPr>
            <w:r>
              <w:rPr>
                <w:rFonts w:ascii="Courier New" w:cs="Courier New" w:eastAsia="Courier New" w:hAnsi="Courier New"/>
                <w:sz w:val="15"/>
                <w:szCs w:val="15"/>
                <w:color w:val="auto"/>
              </w:rPr>
              <w:t>Other comprehensive income</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332,564</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169"/>
        </w:trPr>
        <w:tc>
          <w:tcPr>
            <w:tcW w:w="4120" w:type="dxa"/>
            <w:vAlign w:val="bottom"/>
          </w:tcPr>
          <w:p>
            <w:pPr>
              <w:ind w:left="1320"/>
              <w:spacing w:after="0"/>
              <w:rPr>
                <w:sz w:val="20"/>
                <w:szCs w:val="20"/>
                <w:color w:val="auto"/>
              </w:rPr>
            </w:pPr>
            <w:r>
              <w:rPr>
                <w:rFonts w:ascii="Courier New" w:cs="Courier New" w:eastAsia="Courier New" w:hAnsi="Courier New"/>
                <w:sz w:val="15"/>
                <w:szCs w:val="15"/>
                <w:color w:val="auto"/>
              </w:rPr>
              <w:t>Comprehensive income</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$65,196,320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120" w:type="dxa"/>
            <w:vAlign w:val="bottom"/>
          </w:tcPr>
          <w:p>
            <w:pPr>
              <w:spacing w:after="0"/>
              <w:rPr>
                <w:sz w:val="14"/>
                <w:szCs w:val="14"/>
                <w:color w:val="auto"/>
              </w:rPr>
            </w:pP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2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1999</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73,412,316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$4,404,739</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$79,670,301</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$232,669,586</w:t>
            </w:r>
          </w:p>
        </w:tc>
      </w:tr>
      <w:tr>
        <w:trPr>
          <w:trHeight w:val="169"/>
        </w:trPr>
        <w:tc>
          <w:tcPr>
            <w:tcW w:w="4120" w:type="dxa"/>
            <w:vAlign w:val="bottom"/>
          </w:tcPr>
          <w:p>
            <w:pPr>
              <w:spacing w:after="0"/>
              <w:rPr>
                <w:sz w:val="14"/>
                <w:szCs w:val="14"/>
                <w:color w:val="auto"/>
              </w:rPr>
            </w:pP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910" w:orient="portrait"/>
          <w:cols w:equalWidth="0" w:num="1">
            <w:col w:w="11080"/>
          </w:cols>
          <w:pgMar w:left="320" w:top="283" w:right="4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4740"/>
        <w:spacing w:after="0"/>
        <w:rPr>
          <w:sz w:val="20"/>
          <w:szCs w:val="20"/>
          <w:color w:val="auto"/>
        </w:rPr>
      </w:pPr>
      <w:r>
        <w:rPr>
          <w:rFonts w:ascii="Courier New" w:cs="Courier New" w:eastAsia="Courier New" w:hAnsi="Courier New"/>
          <w:sz w:val="15"/>
          <w:szCs w:val="15"/>
          <w:color w:val="auto"/>
        </w:rPr>
        <w:t>Deferred</w:t>
      </w:r>
    </w:p>
    <w:p>
      <w:pPr>
        <w:spacing w:after="0" w:line="5" w:lineRule="exact"/>
        <w:rPr>
          <w:sz w:val="20"/>
          <w:szCs w:val="20"/>
          <w:color w:val="auto"/>
        </w:rPr>
      </w:pPr>
    </w:p>
    <w:p>
      <w:pPr>
        <w:jc w:val="center"/>
        <w:ind w:left="4740"/>
        <w:spacing w:after="0"/>
        <w:rPr>
          <w:sz w:val="20"/>
          <w:szCs w:val="20"/>
          <w:color w:val="auto"/>
        </w:rPr>
      </w:pPr>
      <w:r>
        <w:rPr>
          <w:rFonts w:ascii="Courier New" w:cs="Courier New" w:eastAsia="Courier New" w:hAnsi="Courier New"/>
          <w:sz w:val="14"/>
          <w:szCs w:val="14"/>
          <w:color w:val="auto"/>
        </w:rPr>
        <w:t>Compensation</w:t>
      </w:r>
    </w:p>
    <w:p>
      <w:pPr>
        <w:spacing w:after="0" w:line="11" w:lineRule="exact"/>
        <w:rPr>
          <w:sz w:val="20"/>
          <w:szCs w:val="20"/>
          <w:color w:val="auto"/>
        </w:rPr>
      </w:pPr>
    </w:p>
    <w:p>
      <w:pPr>
        <w:jc w:val="center"/>
        <w:ind w:left="4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Accumulated</w:t>
      </w:r>
    </w:p>
    <w:p>
      <w:pPr>
        <w:ind w:left="260"/>
        <w:spacing w:after="0"/>
        <w:tabs>
          <w:tab w:leader="none" w:pos="156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Total</w:t>
      </w:r>
    </w:p>
    <w:p>
      <w:pPr>
        <w:spacing w:after="0" w:line="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Comprehensive</w:t>
        <w:tab/>
        <w:t>Shareholders'</w:t>
      </w:r>
    </w:p>
    <w:p>
      <w:pPr>
        <w:spacing w:after="0" w:line="5" w:lineRule="exact"/>
        <w:rPr>
          <w:sz w:val="20"/>
          <w:szCs w:val="20"/>
          <w:color w:val="auto"/>
        </w:rPr>
      </w:pPr>
    </w:p>
    <w:p>
      <w:pPr>
        <w:ind w:left="260"/>
        <w:spacing w:after="0"/>
        <w:tabs>
          <w:tab w:leader="none" w:pos="1400"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Investment</w:t>
      </w:r>
    </w:p>
    <w:p>
      <w:pPr>
        <w:ind w:left="260"/>
        <w:spacing w:after="0"/>
        <w:tabs>
          <w:tab w:leader="none" w:pos="1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910" w:orient="portrait"/>
          <w:cols w:equalWidth="0" w:num="2">
            <w:col w:w="5800" w:space="440"/>
            <w:col w:w="4840"/>
          </w:cols>
          <w:pgMar w:left="320" w:top="283" w:right="499" w:bottom="0" w:gutter="0" w:footer="0" w:header="0"/>
          <w:type w:val="continuous"/>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AS OF DECEMBER 31, 1996</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w:t>
        <w:tab/>
        <w:t>1,804,104)</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290,417</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$127,803,641</w:t>
      </w:r>
    </w:p>
    <w:p>
      <w:pPr>
        <w:spacing w:after="0" w:line="174" w:lineRule="exact"/>
        <w:rPr>
          <w:sz w:val="20"/>
          <w:szCs w:val="20"/>
          <w:color w:val="auto"/>
        </w:rPr>
      </w:pPr>
    </w:p>
    <w:p>
      <w:pPr>
        <w:sectPr>
          <w:pgSz w:w="11900" w:h="16910" w:orient="portrait"/>
          <w:cols w:equalWidth="0" w:num="4">
            <w:col w:w="3940" w:space="720"/>
            <w:col w:w="1240" w:space="520"/>
            <w:col w:w="880" w:space="360"/>
            <w:col w:w="3420"/>
          </w:cols>
          <w:pgMar w:left="320" w:top="283" w:right="499" w:bottom="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of stock plan</w:t>
            </w:r>
          </w:p>
        </w:tc>
        <w:tc>
          <w:tcPr>
            <w:tcW w:w="2980" w:type="dxa"/>
            <w:vAlign w:val="bottom"/>
          </w:tcPr>
          <w:p>
            <w:pPr>
              <w:ind w:left="80"/>
              <w:spacing w:after="0"/>
              <w:rPr>
                <w:sz w:val="20"/>
                <w:szCs w:val="20"/>
                <w:color w:val="auto"/>
              </w:rPr>
            </w:pPr>
            <w:r>
              <w:rPr>
                <w:rFonts w:ascii="Courier New" w:cs="Courier New" w:eastAsia="Courier New" w:hAnsi="Courier New"/>
                <w:sz w:val="15"/>
                <w:szCs w:val="15"/>
                <w:color w:val="auto"/>
              </w:rPr>
              <w:t>transactions</w:t>
            </w:r>
          </w:p>
        </w:tc>
        <w:tc>
          <w:tcPr>
            <w:tcW w:w="1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(421,579)</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8,308,181</w:t>
            </w:r>
          </w:p>
        </w:tc>
      </w:tr>
      <w:tr>
        <w:trPr>
          <w:trHeight w:val="169"/>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6"/>
              </w:rPr>
              <w:t>Amortization of</w:t>
            </w:r>
          </w:p>
        </w:tc>
        <w:tc>
          <w:tcPr>
            <w:tcW w:w="2980" w:type="dxa"/>
            <w:vAlign w:val="bottom"/>
          </w:tcPr>
          <w:p>
            <w:pPr>
              <w:ind w:left="80"/>
              <w:spacing w:after="0"/>
              <w:rPr>
                <w:sz w:val="20"/>
                <w:szCs w:val="20"/>
                <w:color w:val="auto"/>
              </w:rPr>
            </w:pPr>
            <w:r>
              <w:rPr>
                <w:rFonts w:ascii="Courier New" w:cs="Courier New" w:eastAsia="Courier New" w:hAnsi="Courier New"/>
                <w:sz w:val="15"/>
                <w:szCs w:val="15"/>
                <w:color w:val="auto"/>
              </w:rPr>
              <w:t>deferred compensation</w:t>
            </w:r>
          </w:p>
        </w:tc>
        <w:tc>
          <w:tcPr>
            <w:tcW w:w="18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590,060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590,060</w:t>
            </w:r>
          </w:p>
        </w:tc>
      </w:tr>
      <w:tr>
        <w:trPr>
          <w:trHeight w:val="169"/>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Income:</w:t>
            </w:r>
          </w:p>
        </w:tc>
        <w:tc>
          <w:tcPr>
            <w:tcW w:w="1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2980" w:type="dxa"/>
            <w:vAlign w:val="bottom"/>
          </w:tcPr>
          <w:p>
            <w:pPr>
              <w:spacing w:after="0"/>
              <w:rPr>
                <w:sz w:val="14"/>
                <w:szCs w:val="14"/>
                <w:color w:val="auto"/>
              </w:rPr>
            </w:pPr>
          </w:p>
        </w:tc>
        <w:tc>
          <w:tcPr>
            <w:tcW w:w="1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35,230,224</w:t>
            </w:r>
          </w:p>
        </w:tc>
      </w:tr>
      <w:tr>
        <w:trPr>
          <w:trHeight w:val="339"/>
        </w:trPr>
        <w:tc>
          <w:tcPr>
            <w:tcW w:w="43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Other comprehensive income:</w:t>
            </w: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9"/>
        </w:trPr>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Unrealized</w:t>
            </w:r>
          </w:p>
        </w:tc>
        <w:tc>
          <w:tcPr>
            <w:tcW w:w="2980" w:type="dxa"/>
            <w:vAlign w:val="bottom"/>
          </w:tcPr>
          <w:p>
            <w:pPr>
              <w:ind w:left="80"/>
              <w:spacing w:after="0"/>
              <w:rPr>
                <w:sz w:val="20"/>
                <w:szCs w:val="20"/>
                <w:color w:val="auto"/>
              </w:rPr>
            </w:pPr>
            <w:r>
              <w:rPr>
                <w:rFonts w:ascii="Courier New" w:cs="Courier New" w:eastAsia="Courier New" w:hAnsi="Courier New"/>
                <w:sz w:val="15"/>
                <w:szCs w:val="15"/>
                <w:color w:val="auto"/>
              </w:rPr>
              <w:t>gain on investments</w:t>
            </w:r>
          </w:p>
        </w:tc>
        <w:tc>
          <w:tcPr>
            <w:tcW w:w="1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2980" w:type="dxa"/>
            <w:vAlign w:val="bottom"/>
          </w:tcPr>
          <w:p>
            <w:pPr>
              <w:ind w:left="80"/>
              <w:spacing w:after="0"/>
              <w:rPr>
                <w:sz w:val="20"/>
                <w:szCs w:val="20"/>
                <w:color w:val="auto"/>
              </w:rPr>
            </w:pPr>
            <w:r>
              <w:rPr>
                <w:rFonts w:ascii="Courier New" w:cs="Courier New" w:eastAsia="Courier New" w:hAnsi="Courier New"/>
                <w:sz w:val="15"/>
                <w:szCs w:val="15"/>
                <w:color w:val="auto"/>
              </w:rPr>
              <w:t>comprehensive income</w:t>
            </w:r>
          </w:p>
        </w:tc>
        <w:tc>
          <w:tcPr>
            <w:tcW w:w="1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1,273,071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1,273,071</w:t>
            </w:r>
          </w:p>
        </w:tc>
      </w:tr>
      <w:tr>
        <w:trPr>
          <w:trHeight w:val="169"/>
        </w:trPr>
        <w:tc>
          <w:tcPr>
            <w:tcW w:w="13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13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910" w:orient="portrait"/>
          <w:cols w:equalWidth="0" w:num="1">
            <w:col w:w="11080"/>
          </w:cols>
          <w:pgMar w:left="320" w:top="283" w:right="499" w:bottom="0" w:gutter="0" w:footer="0" w:header="0"/>
          <w:type w:val="continuous"/>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1997</w:t>
            </w:r>
          </w:p>
        </w:tc>
        <w:tc>
          <w:tcPr>
            <w:tcW w:w="1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(1,635,623)</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1,563,488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173,205,177</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9"/>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of stock plan transactions</w:t>
            </w:r>
          </w:p>
        </w:tc>
        <w:tc>
          <w:tcPr>
            <w:tcW w:w="1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(990,218)</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12,442,803</w:t>
            </w:r>
          </w:p>
        </w:tc>
      </w:tr>
      <w:tr>
        <w:trPr>
          <w:trHeight w:val="169"/>
        </w:trPr>
        <w:tc>
          <w:tcPr>
            <w:tcW w:w="426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571,731</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571,731</w:t>
            </w:r>
          </w:p>
        </w:tc>
      </w:tr>
      <w:tr>
        <w:trPr>
          <w:trHeight w:val="169"/>
        </w:trPr>
        <w:tc>
          <w:tcPr>
            <w:tcW w:w="4260" w:type="dxa"/>
            <w:vAlign w:val="bottom"/>
          </w:tcPr>
          <w:p>
            <w:pPr>
              <w:spacing w:after="0"/>
              <w:rPr>
                <w:sz w:val="20"/>
                <w:szCs w:val="20"/>
                <w:color w:val="auto"/>
              </w:rPr>
            </w:pPr>
            <w:r>
              <w:rPr>
                <w:rFonts w:ascii="Courier New" w:cs="Courier New" w:eastAsia="Courier New" w:hAnsi="Courier New"/>
                <w:sz w:val="15"/>
                <w:szCs w:val="15"/>
                <w:color w:val="auto"/>
              </w:rPr>
              <w:t>Stock split</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50,307,130</w:t>
            </w:r>
          </w:p>
        </w:tc>
      </w:tr>
      <w:tr>
        <w:trPr>
          <w:trHeight w:val="339"/>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Other comprehensive income:</w:t>
            </w:r>
          </w:p>
        </w:tc>
        <w:tc>
          <w:tcPr>
            <w:tcW w:w="1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9"/>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Unrealized gain on investments</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260" w:type="dxa"/>
            <w:vAlign w:val="bottom"/>
          </w:tcPr>
          <w:p>
            <w:pPr>
              <w:ind w:left="880"/>
              <w:spacing w:after="0"/>
              <w:rPr>
                <w:sz w:val="20"/>
                <w:szCs w:val="20"/>
                <w:color w:val="auto"/>
              </w:rPr>
            </w:pPr>
            <w:r>
              <w:rPr>
                <w:rFonts w:ascii="Courier New" w:cs="Courier New" w:eastAsia="Courier New" w:hAnsi="Courier New"/>
                <w:sz w:val="15"/>
                <w:szCs w:val="15"/>
                <w:color w:val="auto"/>
              </w:rPr>
              <w:t>Other comprehensive income</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481,377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481,377</w:t>
            </w:r>
          </w:p>
        </w:tc>
      </w:tr>
      <w:tr>
        <w:trPr>
          <w:trHeight w:val="169"/>
        </w:trPr>
        <w:tc>
          <w:tcPr>
            <w:tcW w:w="4260" w:type="dxa"/>
            <w:vAlign w:val="bottom"/>
          </w:tcPr>
          <w:p>
            <w:pPr>
              <w:ind w:left="1320"/>
              <w:spacing w:after="0"/>
              <w:rPr>
                <w:sz w:val="20"/>
                <w:szCs w:val="20"/>
                <w:color w:val="auto"/>
              </w:rPr>
            </w:pPr>
            <w:r>
              <w:rPr>
                <w:rFonts w:ascii="Courier New" w:cs="Courier New" w:eastAsia="Courier New" w:hAnsi="Courier New"/>
                <w:sz w:val="15"/>
                <w:szCs w:val="15"/>
                <w:color w:val="auto"/>
              </w:rPr>
              <w:t>Comprehensive income</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260" w:type="dxa"/>
            <w:vAlign w:val="bottom"/>
          </w:tcPr>
          <w:p>
            <w:pPr>
              <w:spacing w:after="0"/>
              <w:rPr>
                <w:sz w:val="14"/>
                <w:szCs w:val="14"/>
                <w:color w:val="auto"/>
              </w:rPr>
            </w:pP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1998</w:t>
            </w:r>
          </w:p>
        </w:tc>
        <w:tc>
          <w:tcPr>
            <w:tcW w:w="1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(2,054,110)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2,044,865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237,008,218</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9"/>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of stock plan transactions</w:t>
            </w:r>
          </w:p>
        </w:tc>
        <w:tc>
          <w:tcPr>
            <w:tcW w:w="1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(759,504)</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14,103,903</w:t>
            </w:r>
          </w:p>
        </w:tc>
      </w:tr>
      <w:tr>
        <w:trPr>
          <w:trHeight w:val="169"/>
        </w:trPr>
        <w:tc>
          <w:tcPr>
            <w:tcW w:w="426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742,975</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742,975</w:t>
            </w:r>
          </w:p>
        </w:tc>
      </w:tr>
      <w:tr>
        <w:trPr>
          <w:trHeight w:val="169"/>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64,863,756</w:t>
            </w:r>
          </w:p>
        </w:tc>
      </w:tr>
      <w:tr>
        <w:trPr>
          <w:trHeight w:val="339"/>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Other comprehensive income:</w:t>
            </w:r>
          </w:p>
        </w:tc>
        <w:tc>
          <w:tcPr>
            <w:tcW w:w="1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9"/>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Unrealized gain on investments</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260" w:type="dxa"/>
            <w:vAlign w:val="bottom"/>
          </w:tcPr>
          <w:p>
            <w:pPr>
              <w:ind w:left="880"/>
              <w:spacing w:after="0"/>
              <w:rPr>
                <w:sz w:val="20"/>
                <w:szCs w:val="20"/>
                <w:color w:val="auto"/>
              </w:rPr>
            </w:pPr>
            <w:r>
              <w:rPr>
                <w:rFonts w:ascii="Courier New" w:cs="Courier New" w:eastAsia="Courier New" w:hAnsi="Courier New"/>
                <w:sz w:val="15"/>
                <w:szCs w:val="15"/>
                <w:color w:val="auto"/>
              </w:rPr>
              <w:t>Other comprehensive income</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332,564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332,564</w:t>
            </w:r>
          </w:p>
        </w:tc>
      </w:tr>
      <w:tr>
        <w:trPr>
          <w:trHeight w:val="169"/>
        </w:trPr>
        <w:tc>
          <w:tcPr>
            <w:tcW w:w="4260" w:type="dxa"/>
            <w:vAlign w:val="bottom"/>
          </w:tcPr>
          <w:p>
            <w:pPr>
              <w:ind w:left="1320"/>
              <w:spacing w:after="0"/>
              <w:rPr>
                <w:sz w:val="20"/>
                <w:szCs w:val="20"/>
                <w:color w:val="auto"/>
              </w:rPr>
            </w:pPr>
            <w:r>
              <w:rPr>
                <w:rFonts w:ascii="Courier New" w:cs="Courier New" w:eastAsia="Courier New" w:hAnsi="Courier New"/>
                <w:sz w:val="15"/>
                <w:szCs w:val="15"/>
                <w:color w:val="auto"/>
              </w:rPr>
              <w:t>Comprehensive income</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9"/>
        </w:trPr>
        <w:tc>
          <w:tcPr>
            <w:tcW w:w="4260" w:type="dxa"/>
            <w:vAlign w:val="bottom"/>
          </w:tcPr>
          <w:p>
            <w:pPr>
              <w:spacing w:after="0"/>
              <w:rPr>
                <w:sz w:val="14"/>
                <w:szCs w:val="14"/>
                <w:color w:val="auto"/>
              </w:rPr>
            </w:pP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1999</w:t>
            </w:r>
          </w:p>
        </w:tc>
        <w:tc>
          <w:tcPr>
            <w:tcW w:w="1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2,070,639)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$2,377,429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$317,051,416</w:t>
            </w:r>
          </w:p>
        </w:tc>
      </w:tr>
      <w:tr>
        <w:trPr>
          <w:trHeight w:val="169"/>
        </w:trPr>
        <w:tc>
          <w:tcPr>
            <w:tcW w:w="4260" w:type="dxa"/>
            <w:vAlign w:val="bottom"/>
          </w:tcPr>
          <w:p>
            <w:pPr>
              <w:spacing w:after="0"/>
              <w:rPr>
                <w:sz w:val="14"/>
                <w:szCs w:val="14"/>
                <w:color w:val="auto"/>
              </w:rPr>
            </w:pP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199"/>
        <w:spacing w:after="0"/>
        <w:rPr>
          <w:sz w:val="20"/>
          <w:szCs w:val="20"/>
          <w:color w:val="auto"/>
        </w:rPr>
      </w:pPr>
      <w:r>
        <w:rPr>
          <w:rFonts w:ascii="Courier New" w:cs="Courier New" w:eastAsia="Courier New" w:hAnsi="Courier New"/>
          <w:sz w:val="15"/>
          <w:szCs w:val="15"/>
          <w:color w:val="auto"/>
        </w:rPr>
        <w:t>statements.</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305"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jc w:val="center"/>
        <w:ind w:right="370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8"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FOR THE YEARS ENDED DECEMBER 31, 1999, 1998, AND 1997</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69"/>
        </w:trPr>
        <w:tc>
          <w:tcPr>
            <w:tcW w:w="5360" w:type="dxa"/>
            <w:vAlign w:val="bottom"/>
          </w:tcPr>
          <w:p>
            <w:pPr>
              <w:spacing w:after="0"/>
              <w:rPr>
                <w:sz w:val="14"/>
                <w:szCs w:val="14"/>
                <w:color w:val="auto"/>
              </w:rPr>
            </w:pP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9"/>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$64,863,756</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$50,307,130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$35,230,224</w:t>
            </w:r>
          </w:p>
        </w:tc>
      </w:tr>
      <w:tr>
        <w:trPr>
          <w:trHeight w:val="169"/>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2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cash provided by operating activities-</w:t>
            </w:r>
          </w:p>
        </w:tc>
        <w:tc>
          <w:tcPr>
            <w:tcW w:w="2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5360" w:type="dxa"/>
            <w:vAlign w:val="bottom"/>
          </w:tcPr>
          <w:p>
            <w:pPr>
              <w:ind w:left="520"/>
              <w:spacing w:after="0"/>
              <w:rPr>
                <w:sz w:val="20"/>
                <w:szCs w:val="20"/>
                <w:color w:val="auto"/>
              </w:rPr>
            </w:pPr>
            <w:r>
              <w:rPr>
                <w:rFonts w:ascii="Courier New" w:cs="Courier New" w:eastAsia="Courier New" w:hAnsi="Courier New"/>
                <w:sz w:val="15"/>
                <w:szCs w:val="15"/>
                <w:color w:val="auto"/>
              </w:rPr>
              <w:t>Depreciation and amortization</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9,656,700</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7,522,521</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6,418,312</w:t>
            </w:r>
          </w:p>
        </w:tc>
      </w:tr>
      <w:tr>
        <w:trPr>
          <w:trHeight w:val="169"/>
        </w:trPr>
        <w:tc>
          <w:tcPr>
            <w:tcW w:w="5360" w:type="dxa"/>
            <w:vAlign w:val="bottom"/>
          </w:tcPr>
          <w:p>
            <w:pPr>
              <w:ind w:left="520"/>
              <w:spacing w:after="0"/>
              <w:rPr>
                <w:sz w:val="20"/>
                <w:szCs w:val="20"/>
                <w:color w:val="auto"/>
              </w:rPr>
            </w:pPr>
            <w:r>
              <w:rPr>
                <w:rFonts w:ascii="Courier New" w:cs="Courier New" w:eastAsia="Courier New" w:hAnsi="Courier New"/>
                <w:sz w:val="15"/>
                <w:szCs w:val="15"/>
                <w:color w:val="auto"/>
              </w:rPr>
              <w:t>(Gain) loss on disposal of equipment</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(112,252)</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111,218</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82,862</w:t>
            </w:r>
          </w:p>
        </w:tc>
      </w:tr>
      <w:tr>
        <w:trPr>
          <w:trHeight w:val="169"/>
        </w:trPr>
        <w:tc>
          <w:tcPr>
            <w:tcW w:w="5360" w:type="dxa"/>
            <w:vAlign w:val="bottom"/>
          </w:tcPr>
          <w:p>
            <w:pPr>
              <w:ind w:left="520"/>
              <w:spacing w:after="0"/>
              <w:rPr>
                <w:sz w:val="20"/>
                <w:szCs w:val="20"/>
                <w:color w:val="auto"/>
              </w:rPr>
            </w:pPr>
            <w:r>
              <w:rPr>
                <w:rFonts w:ascii="Courier New" w:cs="Courier New" w:eastAsia="Courier New" w:hAnsi="Courier New"/>
                <w:sz w:val="15"/>
                <w:szCs w:val="15"/>
                <w:color w:val="auto"/>
              </w:rPr>
              <w:t>Gain on sale of investments</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(1,512,109)</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(937,360)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(8,102)</w:t>
            </w:r>
          </w:p>
        </w:tc>
      </w:tr>
      <w:tr>
        <w:trPr>
          <w:trHeight w:val="169"/>
        </w:trPr>
        <w:tc>
          <w:tcPr>
            <w:tcW w:w="5360" w:type="dxa"/>
            <w:vAlign w:val="bottom"/>
          </w:tcPr>
          <w:p>
            <w:pPr>
              <w:ind w:left="520"/>
              <w:spacing w:after="0"/>
              <w:rPr>
                <w:sz w:val="20"/>
                <w:szCs w:val="20"/>
                <w:color w:val="auto"/>
              </w:rPr>
            </w:pPr>
            <w:r>
              <w:rPr>
                <w:rFonts w:ascii="Courier New" w:cs="Courier New" w:eastAsia="Courier New" w:hAnsi="Courier New"/>
                <w:sz w:val="15"/>
                <w:szCs w:val="15"/>
                <w:color w:val="auto"/>
              </w:rPr>
              <w:t>Deferred income taxes</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719,999</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456,474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(289,734)</w:t>
            </w:r>
          </w:p>
        </w:tc>
      </w:tr>
      <w:tr>
        <w:trPr>
          <w:trHeight w:val="169"/>
        </w:trPr>
        <w:tc>
          <w:tcPr>
            <w:tcW w:w="5360" w:type="dxa"/>
            <w:vAlign w:val="bottom"/>
          </w:tcPr>
          <w:p>
            <w:pPr>
              <w:ind w:left="520"/>
              <w:spacing w:after="0"/>
              <w:rPr>
                <w:sz w:val="20"/>
                <w:szCs w:val="20"/>
                <w:color w:val="auto"/>
              </w:rPr>
            </w:pPr>
            <w:r>
              <w:rPr>
                <w:rFonts w:ascii="Courier New" w:cs="Courier New" w:eastAsia="Courier New" w:hAnsi="Courier New"/>
                <w:sz w:val="15"/>
                <w:szCs w:val="15"/>
                <w:color w:val="auto"/>
              </w:rPr>
              <w:t>Amortization of deferred compensation</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742,975</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571,731</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590,060</w:t>
            </w:r>
          </w:p>
        </w:tc>
      </w:tr>
      <w:tr>
        <w:trPr>
          <w:trHeight w:val="169"/>
        </w:trPr>
        <w:tc>
          <w:tcPr>
            <w:tcW w:w="5360" w:type="dxa"/>
            <w:vAlign w:val="bottom"/>
          </w:tcPr>
          <w:p>
            <w:pPr>
              <w:ind w:left="52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2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5360" w:type="dxa"/>
            <w:vAlign w:val="bottom"/>
          </w:tcPr>
          <w:p>
            <w:pPr>
              <w:ind w:left="700"/>
              <w:spacing w:after="0"/>
              <w:rPr>
                <w:sz w:val="20"/>
                <w:szCs w:val="20"/>
                <w:color w:val="auto"/>
              </w:rPr>
            </w:pPr>
            <w:r>
              <w:rPr>
                <w:rFonts w:ascii="Courier New" w:cs="Courier New" w:eastAsia="Courier New" w:hAnsi="Courier New"/>
                <w:sz w:val="15"/>
                <w:szCs w:val="15"/>
                <w:color w:val="auto"/>
              </w:rPr>
              <w:t>Accounts receivable, net</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(376,706)</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(5,741,270)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(7,500,351)</w:t>
            </w:r>
          </w:p>
        </w:tc>
      </w:tr>
      <w:tr>
        <w:trPr>
          <w:trHeight w:val="169"/>
        </w:trPr>
        <w:tc>
          <w:tcPr>
            <w:tcW w:w="5360" w:type="dxa"/>
            <w:vAlign w:val="bottom"/>
          </w:tcPr>
          <w:p>
            <w:pPr>
              <w:ind w:left="700"/>
              <w:spacing w:after="0"/>
              <w:rPr>
                <w:sz w:val="20"/>
                <w:szCs w:val="20"/>
                <w:color w:val="auto"/>
              </w:rPr>
            </w:pPr>
            <w:r>
              <w:rPr>
                <w:rFonts w:ascii="Courier New" w:cs="Courier New" w:eastAsia="Courier New" w:hAnsi="Courier New"/>
                <w:sz w:val="15"/>
                <w:szCs w:val="15"/>
                <w:color w:val="auto"/>
              </w:rPr>
              <w:t>Inventories</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(1,248,758)</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61,269</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(2,607,267)</w:t>
            </w:r>
          </w:p>
        </w:tc>
      </w:tr>
      <w:tr>
        <w:trPr>
          <w:trHeight w:val="169"/>
        </w:trPr>
        <w:tc>
          <w:tcPr>
            <w:tcW w:w="5360" w:type="dxa"/>
            <w:vAlign w:val="bottom"/>
          </w:tcPr>
          <w:p>
            <w:pPr>
              <w:ind w:left="700"/>
              <w:spacing w:after="0"/>
              <w:rPr>
                <w:sz w:val="20"/>
                <w:szCs w:val="20"/>
                <w:color w:val="auto"/>
              </w:rPr>
            </w:pPr>
            <w:r>
              <w:rPr>
                <w:rFonts w:ascii="Courier New" w:cs="Courier New" w:eastAsia="Courier New" w:hAnsi="Courier New"/>
                <w:sz w:val="15"/>
                <w:szCs w:val="15"/>
                <w:color w:val="auto"/>
              </w:rPr>
              <w:t>Prepaid expenses and other</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(358,346)</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(463,089)</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(152,724)</w:t>
            </w:r>
          </w:p>
        </w:tc>
      </w:tr>
      <w:tr>
        <w:trPr>
          <w:trHeight w:val="169"/>
        </w:trPr>
        <w:tc>
          <w:tcPr>
            <w:tcW w:w="5360" w:type="dxa"/>
            <w:vAlign w:val="bottom"/>
          </w:tcPr>
          <w:p>
            <w:pPr>
              <w:ind w:left="700"/>
              <w:spacing w:after="0"/>
              <w:rPr>
                <w:sz w:val="20"/>
                <w:szCs w:val="20"/>
                <w:color w:val="auto"/>
              </w:rPr>
            </w:pPr>
            <w:r>
              <w:rPr>
                <w:rFonts w:ascii="Courier New" w:cs="Courier New" w:eastAsia="Courier New" w:hAnsi="Courier New"/>
                <w:sz w:val="15"/>
                <w:szCs w:val="15"/>
                <w:color w:val="auto"/>
              </w:rPr>
              <w:t>Accounts payable</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685,394</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(1,157,323)</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2,965,424</w:t>
            </w:r>
          </w:p>
        </w:tc>
      </w:tr>
      <w:tr>
        <w:trPr>
          <w:trHeight w:val="169"/>
        </w:trPr>
        <w:tc>
          <w:tcPr>
            <w:tcW w:w="5360" w:type="dxa"/>
            <w:vAlign w:val="bottom"/>
          </w:tcPr>
          <w:p>
            <w:pPr>
              <w:ind w:left="700"/>
              <w:spacing w:after="0"/>
              <w:rPr>
                <w:sz w:val="20"/>
                <w:szCs w:val="20"/>
                <w:color w:val="auto"/>
              </w:rPr>
            </w:pPr>
            <w:r>
              <w:rPr>
                <w:rFonts w:ascii="Courier New" w:cs="Courier New" w:eastAsia="Courier New" w:hAnsi="Courier New"/>
                <w:sz w:val="15"/>
                <w:szCs w:val="15"/>
                <w:color w:val="auto"/>
              </w:rPr>
              <w:t>Accrued liabilities</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937,927</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1,412,989</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264,883</w:t>
            </w:r>
          </w:p>
        </w:tc>
      </w:tr>
      <w:tr>
        <w:trPr>
          <w:trHeight w:val="169"/>
        </w:trPr>
        <w:tc>
          <w:tcPr>
            <w:tcW w:w="5360" w:type="dxa"/>
            <w:vAlign w:val="bottom"/>
          </w:tcPr>
          <w:p>
            <w:pPr>
              <w:spacing w:after="0"/>
              <w:rPr>
                <w:sz w:val="14"/>
                <w:szCs w:val="14"/>
                <w:color w:val="auto"/>
              </w:rPr>
            </w:pP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ind w:left="880"/>
              <w:spacing w:after="0"/>
              <w:rPr>
                <w:sz w:val="20"/>
                <w:szCs w:val="20"/>
                <w:color w:val="auto"/>
              </w:rPr>
            </w:pPr>
            <w:r>
              <w:rPr>
                <w:rFonts w:ascii="Courier New" w:cs="Courier New" w:eastAsia="Courier New" w:hAnsi="Courier New"/>
                <w:sz w:val="15"/>
                <w:szCs w:val="15"/>
                <w:color w:val="auto"/>
              </w:rPr>
              <w:t>Net cash provided by</w:t>
            </w:r>
          </w:p>
        </w:tc>
        <w:tc>
          <w:tcPr>
            <w:tcW w:w="2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5360" w:type="dxa"/>
            <w:vAlign w:val="bottom"/>
          </w:tcPr>
          <w:p>
            <w:pPr>
              <w:ind w:left="960"/>
              <w:spacing w:after="0"/>
              <w:rPr>
                <w:sz w:val="20"/>
                <w:szCs w:val="20"/>
                <w:color w:val="auto"/>
              </w:rPr>
            </w:pPr>
            <w:r>
              <w:rPr>
                <w:rFonts w:ascii="Courier New" w:cs="Courier New" w:eastAsia="Courier New" w:hAnsi="Courier New"/>
                <w:sz w:val="15"/>
                <w:szCs w:val="15"/>
                <w:color w:val="auto"/>
              </w:rPr>
              <w:t>operating activities</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73,998,580</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52,144,290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34,993,587</w:t>
            </w:r>
          </w:p>
        </w:tc>
      </w:tr>
      <w:tr>
        <w:trPr>
          <w:trHeight w:val="169"/>
        </w:trPr>
        <w:tc>
          <w:tcPr>
            <w:tcW w:w="5360" w:type="dxa"/>
            <w:vAlign w:val="bottom"/>
          </w:tcPr>
          <w:p>
            <w:pPr>
              <w:spacing w:after="0"/>
              <w:rPr>
                <w:sz w:val="14"/>
                <w:szCs w:val="14"/>
                <w:color w:val="auto"/>
              </w:rPr>
            </w:pP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9"/>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Activity in Held-To-Maturity Securities</w:t>
            </w:r>
          </w:p>
        </w:tc>
        <w:tc>
          <w:tcPr>
            <w:tcW w:w="2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Maturities and Calls</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22,755,000</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12,366,000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24,765,464</w:t>
            </w:r>
          </w:p>
        </w:tc>
      </w:tr>
      <w:tr>
        <w:trPr>
          <w:trHeight w:val="169"/>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Purchases</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(8,753,236)</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(8,333,178)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(28,324,553)</w:t>
            </w:r>
          </w:p>
        </w:tc>
      </w:tr>
      <w:tr>
        <w:trPr>
          <w:trHeight w:val="169"/>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Activity in Available-For-Sale Securities</w:t>
            </w:r>
          </w:p>
        </w:tc>
        <w:tc>
          <w:tcPr>
            <w:tcW w:w="2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Sales Proceeds</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9,431,697</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5,028,187</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12,475,160</w:t>
            </w:r>
          </w:p>
        </w:tc>
      </w:tr>
      <w:tr>
        <w:trPr>
          <w:trHeight w:val="169"/>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Purchases</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(69,912,210)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(25,597,708)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(25,822,809)</w:t>
            </w:r>
          </w:p>
        </w:tc>
      </w:tr>
      <w:tr>
        <w:trPr>
          <w:trHeight w:val="169"/>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Plant and equipment additions</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(21,968,447)</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(24,596,224)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(16,383,089)</w:t>
            </w:r>
          </w:p>
        </w:tc>
      </w:tr>
      <w:tr>
        <w:trPr>
          <w:trHeight w:val="169"/>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Proceeds from sale of plant and equipment</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516,184</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52,615</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316,270</w:t>
            </w:r>
          </w:p>
        </w:tc>
      </w:tr>
      <w:tr>
        <w:trPr>
          <w:trHeight w:val="169"/>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Increase in other assets</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(971,246)</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(247,685)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(289,920)</w:t>
            </w:r>
          </w:p>
        </w:tc>
      </w:tr>
      <w:tr>
        <w:trPr>
          <w:trHeight w:val="169"/>
        </w:trPr>
        <w:tc>
          <w:tcPr>
            <w:tcW w:w="5360" w:type="dxa"/>
            <w:vAlign w:val="bottom"/>
          </w:tcPr>
          <w:p>
            <w:pPr>
              <w:spacing w:after="0"/>
              <w:rPr>
                <w:sz w:val="14"/>
                <w:szCs w:val="14"/>
                <w:color w:val="auto"/>
              </w:rPr>
            </w:pP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ind w:left="880"/>
              <w:spacing w:after="0"/>
              <w:rPr>
                <w:sz w:val="20"/>
                <w:szCs w:val="20"/>
                <w:color w:val="auto"/>
              </w:rPr>
            </w:pPr>
            <w:r>
              <w:rPr>
                <w:rFonts w:ascii="Courier New" w:cs="Courier New" w:eastAsia="Courier New" w:hAnsi="Courier New"/>
                <w:sz w:val="15"/>
                <w:szCs w:val="15"/>
                <w:color w:val="auto"/>
              </w:rPr>
              <w:t>Net cash used for</w:t>
            </w:r>
          </w:p>
        </w:tc>
        <w:tc>
          <w:tcPr>
            <w:tcW w:w="2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5360" w:type="dxa"/>
            <w:vAlign w:val="bottom"/>
          </w:tcPr>
          <w:p>
            <w:pPr>
              <w:ind w:left="1040"/>
              <w:spacing w:after="0"/>
              <w:rPr>
                <w:sz w:val="20"/>
                <w:szCs w:val="20"/>
                <w:color w:val="auto"/>
              </w:rPr>
            </w:pPr>
            <w:r>
              <w:rPr>
                <w:rFonts w:ascii="Courier New" w:cs="Courier New" w:eastAsia="Courier New" w:hAnsi="Courier New"/>
                <w:sz w:val="15"/>
                <w:szCs w:val="15"/>
                <w:color w:val="auto"/>
              </w:rPr>
              <w:t>investing activities</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(68,902,258)</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(41,327,993)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(33,263,477)</w:t>
            </w:r>
          </w:p>
        </w:tc>
      </w:tr>
      <w:tr>
        <w:trPr>
          <w:trHeight w:val="169"/>
        </w:trPr>
        <w:tc>
          <w:tcPr>
            <w:tcW w:w="5360" w:type="dxa"/>
            <w:vAlign w:val="bottom"/>
          </w:tcPr>
          <w:p>
            <w:pPr>
              <w:spacing w:after="0"/>
              <w:rPr>
                <w:sz w:val="14"/>
                <w:szCs w:val="14"/>
                <w:color w:val="auto"/>
              </w:rPr>
            </w:pP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9"/>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Issuance of common stock and tax benefit of</w:t>
            </w:r>
          </w:p>
        </w:tc>
        <w:tc>
          <w:tcPr>
            <w:tcW w:w="2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stock plan transactions</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14,103,903</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12,442,803</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8,308,181</w:t>
            </w:r>
          </w:p>
        </w:tc>
      </w:tr>
      <w:tr>
        <w:trPr>
          <w:trHeight w:val="169"/>
        </w:trPr>
        <w:tc>
          <w:tcPr>
            <w:tcW w:w="5360" w:type="dxa"/>
            <w:vAlign w:val="bottom"/>
          </w:tcPr>
          <w:p>
            <w:pPr>
              <w:spacing w:after="0"/>
              <w:rPr>
                <w:sz w:val="14"/>
                <w:szCs w:val="14"/>
                <w:color w:val="auto"/>
              </w:rPr>
            </w:pP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ind w:left="880"/>
              <w:spacing w:after="0"/>
              <w:rPr>
                <w:sz w:val="20"/>
                <w:szCs w:val="20"/>
                <w:color w:val="auto"/>
              </w:rPr>
            </w:pPr>
            <w:r>
              <w:rPr>
                <w:rFonts w:ascii="Courier New" w:cs="Courier New" w:eastAsia="Courier New" w:hAnsi="Courier New"/>
                <w:sz w:val="15"/>
                <w:szCs w:val="15"/>
                <w:color w:val="auto"/>
              </w:rPr>
              <w:t>Net cash provided by</w:t>
            </w:r>
          </w:p>
        </w:tc>
        <w:tc>
          <w:tcPr>
            <w:tcW w:w="2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5360" w:type="dxa"/>
            <w:vAlign w:val="bottom"/>
          </w:tcPr>
          <w:p>
            <w:pPr>
              <w:ind w:left="1040"/>
              <w:spacing w:after="0"/>
              <w:rPr>
                <w:sz w:val="20"/>
                <w:szCs w:val="20"/>
                <w:color w:val="auto"/>
              </w:rPr>
            </w:pPr>
            <w:r>
              <w:rPr>
                <w:rFonts w:ascii="Courier New" w:cs="Courier New" w:eastAsia="Courier New" w:hAnsi="Courier New"/>
                <w:sz w:val="15"/>
                <w:szCs w:val="15"/>
                <w:color w:val="auto"/>
              </w:rPr>
              <w:t>financing activities</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14,103,903</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12,442,803</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8,308,181</w:t>
            </w:r>
          </w:p>
        </w:tc>
      </w:tr>
      <w:tr>
        <w:trPr>
          <w:trHeight w:val="169"/>
        </w:trPr>
        <w:tc>
          <w:tcPr>
            <w:tcW w:w="5360" w:type="dxa"/>
            <w:vAlign w:val="bottom"/>
          </w:tcPr>
          <w:p>
            <w:pPr>
              <w:spacing w:after="0"/>
              <w:rPr>
                <w:sz w:val="14"/>
                <w:szCs w:val="14"/>
                <w:color w:val="auto"/>
              </w:rPr>
            </w:pP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INCREASE IN CASH AND</w:t>
            </w:r>
          </w:p>
        </w:tc>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9"/>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CASH EQUIVALENTS</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19,200,225</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23,259,100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10,038,291</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9"/>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beginning of year</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50,027,747</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26,768,647</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16,730,356</w:t>
            </w:r>
          </w:p>
        </w:tc>
      </w:tr>
      <w:tr>
        <w:trPr>
          <w:trHeight w:val="169"/>
        </w:trPr>
        <w:tc>
          <w:tcPr>
            <w:tcW w:w="5360" w:type="dxa"/>
            <w:vAlign w:val="bottom"/>
          </w:tcPr>
          <w:p>
            <w:pPr>
              <w:spacing w:after="0"/>
              <w:rPr>
                <w:sz w:val="14"/>
                <w:szCs w:val="14"/>
                <w:color w:val="auto"/>
              </w:rPr>
            </w:pP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9"/>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end of year</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$69,227,972</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$50,027,747</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$26,768,647</w:t>
            </w:r>
          </w:p>
        </w:tc>
      </w:tr>
      <w:tr>
        <w:trPr>
          <w:trHeight w:val="169"/>
        </w:trPr>
        <w:tc>
          <w:tcPr>
            <w:tcW w:w="5360" w:type="dxa"/>
            <w:vAlign w:val="bottom"/>
          </w:tcPr>
          <w:p>
            <w:pPr>
              <w:spacing w:after="0"/>
              <w:rPr>
                <w:sz w:val="14"/>
                <w:szCs w:val="14"/>
                <w:color w:val="auto"/>
              </w:rPr>
            </w:pP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22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820"/>
          </w:cols>
          <w:pgMar w:left="320" w:top="283" w:right="759" w:bottom="1440" w:gutter="0" w:footer="0" w:header="0"/>
        </w:sectPr>
      </w:pPr>
    </w:p>
    <w:bookmarkStart w:id="23" w:name="page24"/>
    <w:bookmarkEnd w:id="23"/>
    <w:p>
      <w:pPr>
        <w:ind w:left="270"/>
        <w:spacing w:after="0"/>
        <w:rPr>
          <w:sz w:val="20"/>
          <w:szCs w:val="20"/>
          <w:color w:val="auto"/>
        </w:rPr>
      </w:pPr>
      <w:r>
        <w:rPr>
          <w:rFonts w:ascii="Courier New" w:cs="Courier New" w:eastAsia="Courier New" w:hAnsi="Courier New"/>
          <w:sz w:val="15"/>
          <w:szCs w:val="15"/>
          <w:color w:val="auto"/>
        </w:rPr>
        <w:t>23</w:t>
      </w:r>
    </w:p>
    <w:p>
      <w:pPr>
        <w:spacing w:after="0" w:line="338"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GENTEX CORPORATION AND SUBSIDIARIES</w:t>
      </w:r>
    </w:p>
    <w:p>
      <w:pPr>
        <w:ind w:left="16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450" w:right="4859" w:hanging="450"/>
        <w:spacing w:after="0" w:line="470" w:lineRule="auto"/>
        <w:tabs>
          <w:tab w:leader="none" w:pos="36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The Company</w:t>
      </w:r>
    </w:p>
    <w:p>
      <w:pPr>
        <w:spacing w:after="0" w:line="12" w:lineRule="exact"/>
        <w:rPr>
          <w:sz w:val="20"/>
          <w:szCs w:val="20"/>
          <w:color w:val="auto"/>
        </w:rPr>
      </w:pPr>
    </w:p>
    <w:p>
      <w:pPr>
        <w:ind w:left="710" w:right="3099" w:hanging="263"/>
        <w:spacing w:after="0" w:line="257" w:lineRule="auto"/>
        <w:rPr>
          <w:sz w:val="20"/>
          <w:szCs w:val="20"/>
          <w:color w:val="auto"/>
        </w:rPr>
      </w:pPr>
      <w:r>
        <w:rPr>
          <w:rFonts w:ascii="Courier New" w:cs="Courier New" w:eastAsia="Courier New" w:hAnsi="Courier New"/>
          <w:sz w:val="14"/>
          <w:szCs w:val="14"/>
          <w:color w:val="auto"/>
        </w:rPr>
        <w:t>Gentex Corporation designs, develops, manufactures and markets proprietary electro-optical products: automatic rear view mirrors for the automotive industry and fire protection products for the commercial building industry. A substantial portion of the Company's net sales and accounts receivable result from transactions with domestic and foreign automotive manufacturers and tier one suppliers. The Company's fire protection products are primarily sold to domestic distributors and original equipment manufacturers of fire and security systems.</w:t>
      </w:r>
    </w:p>
    <w:p>
      <w:pPr>
        <w:spacing w:after="0" w:line="165" w:lineRule="exact"/>
        <w:rPr>
          <w:sz w:val="20"/>
          <w:szCs w:val="20"/>
          <w:color w:val="auto"/>
        </w:rPr>
      </w:pPr>
    </w:p>
    <w:p>
      <w:pPr>
        <w:ind w:left="450" w:right="3199"/>
        <w:spacing w:after="0" w:line="235" w:lineRule="auto"/>
        <w:rPr>
          <w:sz w:val="20"/>
          <w:szCs w:val="20"/>
          <w:color w:val="auto"/>
        </w:rPr>
      </w:pPr>
      <w:r>
        <w:rPr>
          <w:rFonts w:ascii="Courier New" w:cs="Courier New" w:eastAsia="Courier New" w:hAnsi="Courier New"/>
          <w:sz w:val="15"/>
          <w:szCs w:val="15"/>
          <w:color w:val="auto"/>
        </w:rPr>
        <w:t>Significant accounting policies of the Company not described elsewhere are as follows:</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Consolidation</w:t>
      </w:r>
    </w:p>
    <w:p>
      <w:pPr>
        <w:spacing w:after="0" w:line="5" w:lineRule="exact"/>
        <w:rPr>
          <w:sz w:val="20"/>
          <w:szCs w:val="20"/>
          <w:color w:val="auto"/>
        </w:rPr>
      </w:pPr>
    </w:p>
    <w:p>
      <w:pPr>
        <w:ind w:left="710" w:right="3199" w:hanging="263"/>
        <w:spacing w:after="0" w:line="237" w:lineRule="auto"/>
        <w:rPr>
          <w:sz w:val="20"/>
          <w:szCs w:val="20"/>
          <w:color w:val="auto"/>
        </w:rPr>
      </w:pPr>
      <w:r>
        <w:rPr>
          <w:rFonts w:ascii="Courier New" w:cs="Courier New" w:eastAsia="Courier New" w:hAnsi="Courier New"/>
          <w:sz w:val="15"/>
          <w:szCs w:val="15"/>
          <w:color w:val="auto"/>
        </w:rPr>
        <w:t>The consolidated financial statements include the accounts of Gentex Corporation and all of its wholly-owned subsidiaries (together the "Company"). All significant intercompany accounts and transactions have been eliminated.</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Cash Equivalents</w:t>
      </w:r>
    </w:p>
    <w:p>
      <w:pPr>
        <w:ind w:left="450"/>
        <w:spacing w:after="0"/>
        <w:rPr>
          <w:sz w:val="20"/>
          <w:szCs w:val="20"/>
          <w:color w:val="auto"/>
        </w:rPr>
      </w:pPr>
      <w:r>
        <w:rPr>
          <w:rFonts w:ascii="Courier New" w:cs="Courier New" w:eastAsia="Courier New" w:hAnsi="Courier New"/>
          <w:sz w:val="15"/>
          <w:szCs w:val="15"/>
          <w:color w:val="auto"/>
        </w:rPr>
        <w:t>Cash equivalents consist of funds invested in money market accounts.</w:t>
      </w:r>
    </w:p>
    <w:p>
      <w:pPr>
        <w:spacing w:after="0" w:line="168"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jc w:val="both"/>
        <w:ind w:left="710" w:right="3639" w:hanging="263"/>
        <w:spacing w:after="0" w:line="236" w:lineRule="auto"/>
        <w:rPr>
          <w:sz w:val="20"/>
          <w:szCs w:val="20"/>
          <w:color w:val="auto"/>
        </w:rPr>
      </w:pPr>
      <w:r>
        <w:rPr>
          <w:rFonts w:ascii="Courier New" w:cs="Courier New" w:eastAsia="Courier New" w:hAnsi="Courier New"/>
          <w:sz w:val="15"/>
          <w:szCs w:val="15"/>
          <w:color w:val="auto"/>
        </w:rPr>
        <w:t>The amortized cost, unrealized gains and losses, and market value of securities held to maturity and available for sale are shown as of December 31, 1999 and 1998:</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Cost</w:t>
            </w:r>
          </w:p>
        </w:tc>
        <w:tc>
          <w:tcPr>
            <w:tcW w:w="620" w:type="dxa"/>
            <w:vAlign w:val="bottom"/>
          </w:tcPr>
          <w:p>
            <w:pPr>
              <w:spacing w:after="0"/>
              <w:rPr>
                <w:sz w:val="14"/>
                <w:szCs w:val="14"/>
                <w:color w:val="auto"/>
              </w:rPr>
            </w:pPr>
          </w:p>
        </w:tc>
        <w:tc>
          <w:tcPr>
            <w:tcW w:w="1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Gains</w:t>
            </w:r>
          </w:p>
        </w:tc>
        <w:tc>
          <w:tcPr>
            <w:tcW w:w="620" w:type="dxa"/>
            <w:vAlign w:val="bottom"/>
          </w:tcPr>
          <w:p>
            <w:pPr>
              <w:spacing w:after="0"/>
              <w:rPr>
                <w:sz w:val="14"/>
                <w:szCs w:val="14"/>
                <w:color w:val="auto"/>
              </w:rPr>
            </w:pPr>
          </w:p>
        </w:tc>
        <w:tc>
          <w:tcPr>
            <w:tcW w:w="1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Losses</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Market Value</w:t>
            </w:r>
          </w:p>
        </w:tc>
      </w:tr>
      <w:tr>
        <w:trPr>
          <w:trHeight w:val="169"/>
        </w:trPr>
        <w:tc>
          <w:tcPr>
            <w:tcW w:w="20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r>
      <w:tr>
        <w:trPr>
          <w:trHeight w:val="339"/>
        </w:trPr>
        <w:tc>
          <w:tcPr>
            <w:tcW w:w="2020" w:type="dxa"/>
            <w:vAlign w:val="bottom"/>
          </w:tcPr>
          <w:p>
            <w:pPr>
              <w:ind w:left="360"/>
              <w:spacing w:after="0"/>
              <w:rPr>
                <w:sz w:val="20"/>
                <w:szCs w:val="20"/>
                <w:color w:val="auto"/>
              </w:rPr>
            </w:pPr>
            <w:r>
              <w:rPr>
                <w:rFonts w:ascii="Courier New" w:cs="Courier New" w:eastAsia="Courier New" w:hAnsi="Courier New"/>
                <w:sz w:val="15"/>
                <w:szCs w:val="15"/>
                <w:color w:val="auto"/>
              </w:rPr>
              <w:t>U.S. Treasuries</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66,970,652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66,356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(483,687)</w:t>
            </w:r>
          </w:p>
        </w:tc>
        <w:tc>
          <w:tcPr>
            <w:tcW w:w="4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66,553,321</w:t>
            </w:r>
          </w:p>
        </w:tc>
      </w:tr>
      <w:tr>
        <w:trPr>
          <w:trHeight w:val="169"/>
        </w:trPr>
        <w:tc>
          <w:tcPr>
            <w:tcW w:w="2020" w:type="dxa"/>
            <w:vAlign w:val="bottom"/>
          </w:tcPr>
          <w:p>
            <w:pPr>
              <w:ind w:left="360"/>
              <w:spacing w:after="0"/>
              <w:rPr>
                <w:sz w:val="20"/>
                <w:szCs w:val="20"/>
                <w:color w:val="auto"/>
              </w:rPr>
            </w:pPr>
            <w:r>
              <w:rPr>
                <w:rFonts w:ascii="Courier New" w:cs="Courier New" w:eastAsia="Courier New" w:hAnsi="Courier New"/>
                <w:sz w:val="15"/>
                <w:szCs w:val="15"/>
                <w:color w:val="auto"/>
              </w:rPr>
              <w:t>Municipal</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32,175,393</w:t>
            </w:r>
          </w:p>
        </w:tc>
        <w:tc>
          <w:tcPr>
            <w:tcW w:w="620" w:type="dxa"/>
            <w:vAlign w:val="bottom"/>
          </w:tcPr>
          <w:p>
            <w:pPr>
              <w:spacing w:after="0"/>
              <w:rPr>
                <w:sz w:val="14"/>
                <w:szCs w:val="1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73,203</w:t>
            </w:r>
          </w:p>
        </w:tc>
        <w:tc>
          <w:tcPr>
            <w:tcW w:w="62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(140,288)</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32,108,308</w:t>
            </w:r>
          </w:p>
        </w:tc>
      </w:tr>
      <w:tr>
        <w:trPr>
          <w:trHeight w:val="169"/>
        </w:trPr>
        <w:tc>
          <w:tcPr>
            <w:tcW w:w="2020" w:type="dxa"/>
            <w:vAlign w:val="bottom"/>
          </w:tcPr>
          <w:p>
            <w:pPr>
              <w:ind w:left="360"/>
              <w:spacing w:after="0"/>
              <w:rPr>
                <w:sz w:val="20"/>
                <w:szCs w:val="20"/>
                <w:color w:val="auto"/>
              </w:rPr>
            </w:pPr>
            <w:r>
              <w:rPr>
                <w:rFonts w:ascii="Courier New" w:cs="Courier New" w:eastAsia="Courier New" w:hAnsi="Courier New"/>
                <w:sz w:val="15"/>
                <w:szCs w:val="15"/>
                <w:color w:val="auto"/>
              </w:rPr>
              <w:t>Other Fixed</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8,540,658</w:t>
            </w:r>
          </w:p>
        </w:tc>
        <w:tc>
          <w:tcPr>
            <w:tcW w:w="620" w:type="dxa"/>
            <w:vAlign w:val="bottom"/>
          </w:tcPr>
          <w:p>
            <w:pPr>
              <w:spacing w:after="0"/>
              <w:rPr>
                <w:sz w:val="14"/>
                <w:szCs w:val="14"/>
                <w:color w:val="auto"/>
              </w:rPr>
            </w:pPr>
          </w:p>
        </w:tc>
        <w:tc>
          <w:tcPr>
            <w:tcW w:w="13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(80,997)</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8,459,661</w:t>
            </w:r>
          </w:p>
        </w:tc>
      </w:tr>
      <w:tr>
        <w:trPr>
          <w:trHeight w:val="169"/>
        </w:trPr>
        <w:tc>
          <w:tcPr>
            <w:tcW w:w="2020" w:type="dxa"/>
            <w:vAlign w:val="bottom"/>
          </w:tcPr>
          <w:p>
            <w:pPr>
              <w:ind w:left="360"/>
              <w:spacing w:after="0"/>
              <w:rPr>
                <w:sz w:val="20"/>
                <w:szCs w:val="20"/>
                <w:color w:val="auto"/>
              </w:rPr>
            </w:pPr>
            <w:r>
              <w:rPr>
                <w:rFonts w:ascii="Courier New" w:cs="Courier New" w:eastAsia="Courier New" w:hAnsi="Courier New"/>
                <w:sz w:val="15"/>
                <w:szCs w:val="15"/>
                <w:color w:val="auto"/>
              </w:rPr>
              <w:t>Equity</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39,994,603</w:t>
            </w:r>
          </w:p>
        </w:tc>
        <w:tc>
          <w:tcPr>
            <w:tcW w:w="620" w:type="dxa"/>
            <w:vAlign w:val="bottom"/>
          </w:tcPr>
          <w:p>
            <w:pPr>
              <w:spacing w:after="0"/>
              <w:rPr>
                <w:sz w:val="14"/>
                <w:szCs w:val="1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4,841,445</w:t>
            </w:r>
          </w:p>
        </w:tc>
        <w:tc>
          <w:tcPr>
            <w:tcW w:w="62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(783,134)</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44,052,914</w:t>
            </w:r>
          </w:p>
        </w:tc>
      </w:tr>
      <w:tr>
        <w:trPr>
          <w:trHeight w:val="169"/>
        </w:trPr>
        <w:tc>
          <w:tcPr>
            <w:tcW w:w="2020" w:type="dxa"/>
            <w:vAlign w:val="bottom"/>
          </w:tcPr>
          <w:p>
            <w:pPr>
              <w:spacing w:after="0"/>
              <w:rPr>
                <w:sz w:val="14"/>
                <w:szCs w:val="14"/>
                <w:color w:val="auto"/>
              </w:rPr>
            </w:pP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2020" w:type="dxa"/>
            <w:vAlign w:val="bottom"/>
          </w:tcPr>
          <w:p>
            <w:pPr>
              <w:spacing w:after="0"/>
              <w:rPr>
                <w:sz w:val="14"/>
                <w:szCs w:val="14"/>
                <w:color w:val="auto"/>
              </w:rPr>
            </w:pP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$ 147,681,306</w:t>
            </w:r>
          </w:p>
        </w:tc>
        <w:tc>
          <w:tcPr>
            <w:tcW w:w="19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$ 4,981,004</w:t>
            </w:r>
          </w:p>
        </w:tc>
        <w:tc>
          <w:tcPr>
            <w:tcW w:w="19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 (1,488,106)</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$ 151,174,204</w:t>
            </w:r>
          </w:p>
        </w:tc>
      </w:tr>
      <w:tr>
        <w:trPr>
          <w:trHeight w:val="169"/>
        </w:trPr>
        <w:tc>
          <w:tcPr>
            <w:tcW w:w="2020" w:type="dxa"/>
            <w:vAlign w:val="bottom"/>
          </w:tcPr>
          <w:p>
            <w:pPr>
              <w:spacing w:after="0"/>
              <w:rPr>
                <w:sz w:val="14"/>
                <w:szCs w:val="14"/>
                <w:color w:val="auto"/>
              </w:rPr>
            </w:pP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20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9"/>
        </w:trPr>
        <w:tc>
          <w:tcPr>
            <w:tcW w:w="2020" w:type="dxa"/>
            <w:vAlign w:val="bottom"/>
          </w:tcPr>
          <w:p>
            <w:pPr>
              <w:ind w:left="360"/>
              <w:spacing w:after="0"/>
              <w:rPr>
                <w:sz w:val="20"/>
                <w:szCs w:val="20"/>
                <w:color w:val="auto"/>
              </w:rPr>
            </w:pPr>
            <w:r>
              <w:rPr>
                <w:rFonts w:ascii="Courier New" w:cs="Courier New" w:eastAsia="Courier New" w:hAnsi="Courier New"/>
                <w:sz w:val="15"/>
                <w:szCs w:val="15"/>
                <w:color w:val="auto"/>
              </w:rPr>
              <w:t>U.S. Treasuries</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$24,729,622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613,450</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25,343,072</w:t>
            </w:r>
          </w:p>
        </w:tc>
      </w:tr>
      <w:tr>
        <w:trPr>
          <w:trHeight w:val="169"/>
        </w:trPr>
        <w:tc>
          <w:tcPr>
            <w:tcW w:w="2020" w:type="dxa"/>
            <w:vAlign w:val="bottom"/>
          </w:tcPr>
          <w:p>
            <w:pPr>
              <w:ind w:left="360"/>
              <w:spacing w:after="0"/>
              <w:rPr>
                <w:sz w:val="20"/>
                <w:szCs w:val="20"/>
                <w:color w:val="auto"/>
              </w:rPr>
            </w:pPr>
            <w:r>
              <w:rPr>
                <w:rFonts w:ascii="Courier New" w:cs="Courier New" w:eastAsia="Courier New" w:hAnsi="Courier New"/>
                <w:sz w:val="15"/>
                <w:szCs w:val="15"/>
                <w:color w:val="auto"/>
              </w:rPr>
              <w:t>Municipal</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41,168,482</w:t>
            </w:r>
          </w:p>
        </w:tc>
        <w:tc>
          <w:tcPr>
            <w:tcW w:w="620" w:type="dxa"/>
            <w:vAlign w:val="bottom"/>
          </w:tcPr>
          <w:p>
            <w:pPr>
              <w:spacing w:after="0"/>
              <w:rPr>
                <w:sz w:val="14"/>
                <w:szCs w:val="1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510,201</w:t>
            </w:r>
          </w:p>
        </w:tc>
        <w:tc>
          <w:tcPr>
            <w:tcW w:w="62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(989)</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41,677,694</w:t>
            </w:r>
          </w:p>
        </w:tc>
      </w:tr>
      <w:tr>
        <w:trPr>
          <w:trHeight w:val="169"/>
        </w:trPr>
        <w:tc>
          <w:tcPr>
            <w:tcW w:w="2020" w:type="dxa"/>
            <w:vAlign w:val="bottom"/>
          </w:tcPr>
          <w:p>
            <w:pPr>
              <w:ind w:left="360"/>
              <w:spacing w:after="0"/>
              <w:rPr>
                <w:sz w:val="20"/>
                <w:szCs w:val="20"/>
                <w:color w:val="auto"/>
              </w:rPr>
            </w:pPr>
            <w:r>
              <w:rPr>
                <w:rFonts w:ascii="Courier New" w:cs="Courier New" w:eastAsia="Courier New" w:hAnsi="Courier New"/>
                <w:sz w:val="15"/>
                <w:szCs w:val="15"/>
                <w:color w:val="auto"/>
              </w:rPr>
              <w:t>Other Fixed</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5,149,333</w:t>
            </w:r>
          </w:p>
        </w:tc>
        <w:tc>
          <w:tcPr>
            <w:tcW w:w="620" w:type="dxa"/>
            <w:vAlign w:val="bottom"/>
          </w:tcPr>
          <w:p>
            <w:pPr>
              <w:spacing w:after="0"/>
              <w:rPr>
                <w:sz w:val="14"/>
                <w:szCs w:val="1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2,614</w:t>
            </w:r>
          </w:p>
        </w:tc>
        <w:tc>
          <w:tcPr>
            <w:tcW w:w="62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5,151,947</w:t>
            </w:r>
          </w:p>
        </w:tc>
      </w:tr>
      <w:tr>
        <w:trPr>
          <w:trHeight w:val="169"/>
        </w:trPr>
        <w:tc>
          <w:tcPr>
            <w:tcW w:w="2020" w:type="dxa"/>
            <w:vAlign w:val="bottom"/>
          </w:tcPr>
          <w:p>
            <w:pPr>
              <w:ind w:left="360"/>
              <w:spacing w:after="0"/>
              <w:rPr>
                <w:sz w:val="20"/>
                <w:szCs w:val="20"/>
                <w:color w:val="auto"/>
              </w:rPr>
            </w:pPr>
            <w:r>
              <w:rPr>
                <w:rFonts w:ascii="Courier New" w:cs="Courier New" w:eastAsia="Courier New" w:hAnsi="Courier New"/>
                <w:sz w:val="15"/>
                <w:szCs w:val="15"/>
                <w:color w:val="auto"/>
              </w:rPr>
              <w:t>Equity</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28,643,012</w:t>
            </w:r>
          </w:p>
        </w:tc>
        <w:tc>
          <w:tcPr>
            <w:tcW w:w="620" w:type="dxa"/>
            <w:vAlign w:val="bottom"/>
          </w:tcPr>
          <w:p>
            <w:pPr>
              <w:spacing w:after="0"/>
              <w:rPr>
                <w:sz w:val="14"/>
                <w:szCs w:val="1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3,611,957</w:t>
            </w:r>
          </w:p>
        </w:tc>
        <w:tc>
          <w:tcPr>
            <w:tcW w:w="62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(1,136,842)</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31,118,127</w:t>
            </w:r>
          </w:p>
        </w:tc>
      </w:tr>
      <w:tr>
        <w:trPr>
          <w:trHeight w:val="169"/>
        </w:trPr>
        <w:tc>
          <w:tcPr>
            <w:tcW w:w="2020" w:type="dxa"/>
            <w:vAlign w:val="bottom"/>
          </w:tcPr>
          <w:p>
            <w:pPr>
              <w:spacing w:after="0"/>
              <w:rPr>
                <w:sz w:val="14"/>
                <w:szCs w:val="14"/>
                <w:color w:val="auto"/>
              </w:rPr>
            </w:pP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2020" w:type="dxa"/>
            <w:vAlign w:val="bottom"/>
          </w:tcPr>
          <w:p>
            <w:pPr>
              <w:spacing w:after="0"/>
              <w:rPr>
                <w:sz w:val="14"/>
                <w:szCs w:val="14"/>
                <w:color w:val="auto"/>
              </w:rPr>
            </w:pP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$ 99,690,449</w:t>
            </w:r>
          </w:p>
        </w:tc>
        <w:tc>
          <w:tcPr>
            <w:tcW w:w="19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$ 4,738,222</w:t>
            </w:r>
          </w:p>
        </w:tc>
        <w:tc>
          <w:tcPr>
            <w:tcW w:w="19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 (1,137,831)</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$ 103,290,840</w:t>
            </w:r>
          </w:p>
        </w:tc>
      </w:tr>
      <w:tr>
        <w:trPr>
          <w:trHeight w:val="169"/>
        </w:trPr>
        <w:tc>
          <w:tcPr>
            <w:tcW w:w="2020" w:type="dxa"/>
            <w:vAlign w:val="bottom"/>
          </w:tcPr>
          <w:p>
            <w:pPr>
              <w:spacing w:after="0"/>
              <w:rPr>
                <w:sz w:val="14"/>
                <w:szCs w:val="14"/>
                <w:color w:val="auto"/>
              </w:rPr>
            </w:pP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710" w:right="3099" w:hanging="263"/>
        <w:spacing w:after="0" w:line="237" w:lineRule="auto"/>
        <w:rPr>
          <w:sz w:val="20"/>
          <w:szCs w:val="20"/>
          <w:color w:val="auto"/>
        </w:rPr>
      </w:pPr>
      <w:r>
        <w:rPr>
          <w:rFonts w:ascii="Courier New" w:cs="Courier New" w:eastAsia="Courier New" w:hAnsi="Courier New"/>
          <w:sz w:val="15"/>
          <w:szCs w:val="15"/>
          <w:color w:val="auto"/>
        </w:rPr>
        <w:t>Fixed income securities, excluding U.S. Treasuries, are considered held to maturity and, accordingly, are carried at amortized cost. Equity securities and U.S. Treasuries are available for sale, which are recorded at market value. Held to maturity securities as of December 31, 1999, have contractual maturities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230"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Due within one year</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17,497,218</w:t>
            </w:r>
          </w:p>
        </w:tc>
      </w:tr>
      <w:tr>
        <w:trPr>
          <w:trHeight w:val="169"/>
        </w:trPr>
        <w:tc>
          <w:tcPr>
            <w:tcW w:w="2960" w:type="dxa"/>
            <w:vAlign w:val="bottom"/>
          </w:tcPr>
          <w:p>
            <w:pPr>
              <w:spacing w:after="0"/>
              <w:rPr>
                <w:sz w:val="20"/>
                <w:szCs w:val="20"/>
                <w:color w:val="auto"/>
              </w:rPr>
            </w:pPr>
            <w:r>
              <w:rPr>
                <w:rFonts w:ascii="Courier New" w:cs="Courier New" w:eastAsia="Courier New" w:hAnsi="Courier New"/>
                <w:sz w:val="15"/>
                <w:szCs w:val="15"/>
                <w:color w:val="auto"/>
              </w:rPr>
              <w:t>Due between one and five years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22,930,472</w:t>
            </w:r>
          </w:p>
        </w:tc>
      </w:tr>
      <w:tr>
        <w:trPr>
          <w:trHeight w:val="169"/>
        </w:trPr>
        <w:tc>
          <w:tcPr>
            <w:tcW w:w="2960" w:type="dxa"/>
            <w:vAlign w:val="bottom"/>
          </w:tcPr>
          <w:p>
            <w:pPr>
              <w:spacing w:after="0"/>
              <w:rPr>
                <w:sz w:val="20"/>
                <w:szCs w:val="20"/>
                <w:color w:val="auto"/>
              </w:rPr>
            </w:pPr>
            <w:r>
              <w:rPr>
                <w:rFonts w:ascii="Courier New" w:cs="Courier New" w:eastAsia="Courier New" w:hAnsi="Courier New"/>
                <w:sz w:val="15"/>
                <w:szCs w:val="15"/>
                <w:color w:val="auto"/>
              </w:rPr>
              <w:t>Due over five years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288,361</w:t>
            </w:r>
          </w:p>
        </w:tc>
      </w:tr>
    </w:tbl>
    <w:p>
      <w:pPr>
        <w:spacing w:after="0" w:line="338"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Company does not currently utilize derivative instruments.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Inventories</w:t>
      </w:r>
    </w:p>
    <w:p>
      <w:pPr>
        <w:spacing w:after="0" w:line="174" w:lineRule="exact"/>
        <w:rPr>
          <w:sz w:val="20"/>
          <w:szCs w:val="20"/>
          <w:color w:val="auto"/>
        </w:rPr>
      </w:pPr>
    </w:p>
    <w:p>
      <w:pPr>
        <w:ind w:left="710" w:right="3099" w:hanging="263"/>
        <w:spacing w:after="0" w:line="260" w:lineRule="auto"/>
        <w:rPr>
          <w:sz w:val="20"/>
          <w:szCs w:val="20"/>
          <w:color w:val="auto"/>
        </w:rPr>
      </w:pPr>
      <w:r>
        <w:rPr>
          <w:rFonts w:ascii="Courier New" w:cs="Courier New" w:eastAsia="Courier New" w:hAnsi="Courier New"/>
          <w:sz w:val="14"/>
          <w:szCs w:val="14"/>
          <w:color w:val="auto"/>
        </w:rPr>
        <w:t>Inventories include material, direct labor and manufacturing overhead and are valued at the lower of first-in, first-out (FIFO) cost or market. Inventories consisted of the following as of December 31, 1999 and 1998:</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59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19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1999</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r>
      <w:tr>
        <w:trPr>
          <w:trHeight w:val="169"/>
        </w:trPr>
        <w:tc>
          <w:tcPr>
            <w:tcW w:w="1880" w:type="dxa"/>
            <w:vAlign w:val="bottom"/>
          </w:tcPr>
          <w:p>
            <w:pPr>
              <w:spacing w:after="0"/>
              <w:rPr>
                <w:sz w:val="14"/>
                <w:szCs w:val="14"/>
                <w:color w:val="auto"/>
              </w:rPr>
            </w:pPr>
          </w:p>
        </w:tc>
        <w:tc>
          <w:tcPr>
            <w:tcW w:w="19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9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$ 4,910,081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$ 4,301,060</w:t>
            </w: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19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1,194,632</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926,466</w:t>
            </w:r>
          </w:p>
        </w:tc>
      </w:t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9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3,870,465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3,498,894</w:t>
            </w:r>
          </w:p>
        </w:tc>
      </w:tr>
      <w:tr>
        <w:trPr>
          <w:trHeight w:val="169"/>
        </w:trPr>
        <w:tc>
          <w:tcPr>
            <w:tcW w:w="1880" w:type="dxa"/>
            <w:vAlign w:val="bottom"/>
          </w:tcPr>
          <w:p>
            <w:pPr>
              <w:spacing w:after="0"/>
              <w:rPr>
                <w:sz w:val="14"/>
                <w:szCs w:val="14"/>
                <w:color w:val="auto"/>
              </w:rPr>
            </w:pPr>
          </w:p>
        </w:tc>
        <w:tc>
          <w:tcPr>
            <w:tcW w:w="19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1880" w:type="dxa"/>
            <w:vAlign w:val="bottom"/>
          </w:tcPr>
          <w:p>
            <w:pPr>
              <w:spacing w:after="0"/>
              <w:rPr>
                <w:sz w:val="14"/>
                <w:szCs w:val="14"/>
                <w:color w:val="auto"/>
              </w:rPr>
            </w:pPr>
          </w:p>
        </w:tc>
        <w:tc>
          <w:tcPr>
            <w:tcW w:w="19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$ 9,975,178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$ 8,726,420</w:t>
            </w:r>
          </w:p>
        </w:tc>
      </w:tr>
      <w:tr>
        <w:trPr>
          <w:trHeight w:val="169"/>
        </w:trPr>
        <w:tc>
          <w:tcPr>
            <w:tcW w:w="1880" w:type="dxa"/>
            <w:vAlign w:val="bottom"/>
          </w:tcPr>
          <w:p>
            <w:pPr>
              <w:spacing w:after="0"/>
              <w:rPr>
                <w:sz w:val="14"/>
                <w:szCs w:val="14"/>
                <w:color w:val="auto"/>
              </w:rPr>
            </w:pPr>
          </w:p>
        </w:tc>
        <w:tc>
          <w:tcPr>
            <w:tcW w:w="19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149"/>
          </w:cols>
          <w:pgMar w:left="310" w:top="283" w:right="1440" w:bottom="0" w:gutter="0" w:footer="0" w:header="0"/>
        </w:sectPr>
      </w:pPr>
    </w:p>
    <w:bookmarkStart w:id="24" w:name="page25"/>
    <w:bookmarkEnd w:id="24"/>
    <w:p>
      <w:pPr>
        <w:ind w:left="22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019"/>
          </w:cols>
          <w:pgMar w:left="1440" w:top="311" w:right="1440" w:bottom="1440" w:gutter="0" w:footer="0" w:header="0"/>
        </w:sectPr>
      </w:pPr>
    </w:p>
    <w:bookmarkStart w:id="25" w:name="page26"/>
    <w:bookmarkEnd w:id="25"/>
    <w:p>
      <w:pPr>
        <w:ind w:left="270"/>
        <w:spacing w:after="0"/>
        <w:rPr>
          <w:sz w:val="20"/>
          <w:szCs w:val="20"/>
          <w:color w:val="auto"/>
        </w:rPr>
      </w:pPr>
      <w:r>
        <w:rPr>
          <w:rFonts w:ascii="Courier New" w:cs="Courier New" w:eastAsia="Courier New" w:hAnsi="Courier New"/>
          <w:sz w:val="15"/>
          <w:szCs w:val="15"/>
          <w:color w:val="auto"/>
        </w:rPr>
        <w:t>24</w:t>
      </w:r>
    </w:p>
    <w:p>
      <w:pPr>
        <w:spacing w:after="0" w:line="338" w:lineRule="exact"/>
        <w:rPr>
          <w:sz w:val="20"/>
          <w:szCs w:val="20"/>
          <w:color w:val="auto"/>
        </w:rPr>
      </w:pPr>
    </w:p>
    <w:p>
      <w:pPr>
        <w:jc w:val="center"/>
        <w:ind w:right="250"/>
        <w:spacing w:after="0"/>
        <w:rPr>
          <w:sz w:val="20"/>
          <w:szCs w:val="20"/>
          <w:color w:val="auto"/>
        </w:rPr>
      </w:pPr>
      <w:r>
        <w:rPr>
          <w:rFonts w:ascii="Courier New" w:cs="Courier New" w:eastAsia="Courier New" w:hAnsi="Courier New"/>
          <w:sz w:val="15"/>
          <w:szCs w:val="15"/>
          <w:color w:val="auto"/>
        </w:rPr>
        <w:t>GENTEX CORPORATION AND SUBSIDIARIES</w:t>
      </w:r>
    </w:p>
    <w:p>
      <w:pPr>
        <w:jc w:val="center"/>
        <w:ind w:right="33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25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75" w:lineRule="exact"/>
        <w:rPr>
          <w:sz w:val="20"/>
          <w:szCs w:val="20"/>
          <w:color w:val="auto"/>
        </w:rPr>
      </w:pPr>
    </w:p>
    <w:p>
      <w:pPr>
        <w:ind w:left="450" w:right="700" w:hanging="450"/>
        <w:spacing w:after="0" w:line="470" w:lineRule="auto"/>
        <w:tabs>
          <w:tab w:leader="none" w:pos="802"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Plant and Equipment</w:t>
      </w:r>
    </w:p>
    <w:p>
      <w:pPr>
        <w:spacing w:after="0" w:line="12" w:lineRule="exact"/>
        <w:rPr>
          <w:sz w:val="20"/>
          <w:szCs w:val="20"/>
          <w:color w:val="auto"/>
        </w:rPr>
      </w:pPr>
    </w:p>
    <w:p>
      <w:pPr>
        <w:ind w:left="710" w:right="520" w:hanging="263"/>
        <w:spacing w:after="0" w:line="259" w:lineRule="auto"/>
        <w:rPr>
          <w:sz w:val="20"/>
          <w:szCs w:val="20"/>
          <w:color w:val="auto"/>
        </w:rPr>
      </w:pPr>
      <w:r>
        <w:rPr>
          <w:rFonts w:ascii="Courier New" w:cs="Courier New" w:eastAsia="Courier New" w:hAnsi="Courier New"/>
          <w:sz w:val="14"/>
          <w:szCs w:val="14"/>
          <w:color w:val="auto"/>
        </w:rPr>
        <w:t>Plant and equipment are stated at cost. Depreciation and amortization are computed for financial reporting purposes using the straight-line method, with estimated useful lives of 7 to 40 years for building and improvements, and 3 to 10 years for machinery and equipment.</w:t>
      </w:r>
    </w:p>
    <w:p>
      <w:pPr>
        <w:spacing w:after="0" w:line="156" w:lineRule="exact"/>
        <w:rPr>
          <w:sz w:val="20"/>
          <w:szCs w:val="20"/>
          <w:color w:val="auto"/>
        </w:rPr>
      </w:pPr>
    </w:p>
    <w:p>
      <w:pPr>
        <w:jc w:val="center"/>
        <w:ind w:right="250"/>
        <w:spacing w:after="0"/>
        <w:rPr>
          <w:sz w:val="20"/>
          <w:szCs w:val="20"/>
          <w:color w:val="auto"/>
        </w:rPr>
      </w:pPr>
      <w:r>
        <w:rPr>
          <w:rFonts w:ascii="Courier New" w:cs="Courier New" w:eastAsia="Courier New" w:hAnsi="Courier New"/>
          <w:sz w:val="15"/>
          <w:szCs w:val="15"/>
          <w:color w:val="auto"/>
        </w:rPr>
        <w:t>The Company is constructing a new facility scheduled to be completed in</w:t>
      </w:r>
    </w:p>
    <w:p>
      <w:pPr>
        <w:spacing w:after="0" w:line="5" w:lineRule="exact"/>
        <w:rPr>
          <w:sz w:val="20"/>
          <w:szCs w:val="20"/>
          <w:color w:val="auto"/>
        </w:rPr>
      </w:pPr>
    </w:p>
    <w:p>
      <w:pPr>
        <w:ind w:left="710" w:right="960"/>
        <w:spacing w:after="0" w:line="235" w:lineRule="auto"/>
        <w:rPr>
          <w:sz w:val="20"/>
          <w:szCs w:val="20"/>
          <w:color w:val="auto"/>
        </w:rPr>
      </w:pPr>
      <w:r>
        <w:rPr>
          <w:rFonts w:ascii="Courier New" w:cs="Courier New" w:eastAsia="Courier New" w:hAnsi="Courier New"/>
          <w:sz w:val="15"/>
          <w:szCs w:val="15"/>
          <w:color w:val="auto"/>
        </w:rPr>
        <w:t>2000. The estimated remaining cost to be incurred in 2000 for the facility is approximately $5 million.</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Patents</w:t>
      </w:r>
    </w:p>
    <w:p>
      <w:pPr>
        <w:spacing w:after="0" w:line="174" w:lineRule="exact"/>
        <w:rPr>
          <w:sz w:val="20"/>
          <w:szCs w:val="20"/>
          <w:color w:val="auto"/>
        </w:rPr>
      </w:pPr>
    </w:p>
    <w:p>
      <w:pPr>
        <w:ind w:left="710" w:right="340" w:hanging="263"/>
        <w:spacing w:after="0" w:line="238" w:lineRule="auto"/>
        <w:rPr>
          <w:sz w:val="20"/>
          <w:szCs w:val="20"/>
          <w:color w:val="auto"/>
        </w:rPr>
      </w:pPr>
      <w:r>
        <w:rPr>
          <w:rFonts w:ascii="Courier New" w:cs="Courier New" w:eastAsia="Courier New" w:hAnsi="Courier New"/>
          <w:sz w:val="15"/>
          <w:szCs w:val="15"/>
          <w:color w:val="auto"/>
        </w:rPr>
        <w:t>The Company's policy is to capitalize costs incurred to obtain and defend patents. The cost of patents is amortized over their useful lives. The cost of patents in process is not amortized until issuance. Accumulated amortization was approximately $4,961,000 and $4,890,000 at December 31, 1999 and 1998, respectively. Patent amortization expense was approximately $71,000, $211,000, and $1,099,000 in 1999, 1998 and 1997, respectively.</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jc w:val="both"/>
        <w:ind w:left="710" w:right="600" w:hanging="263"/>
        <w:spacing w:after="0" w:line="236" w:lineRule="auto"/>
        <w:rPr>
          <w:sz w:val="20"/>
          <w:szCs w:val="20"/>
          <w:color w:val="auto"/>
        </w:rPr>
      </w:pPr>
      <w:r>
        <w:rPr>
          <w:rFonts w:ascii="Courier New" w:cs="Courier New" w:eastAsia="Courier New" w:hAnsi="Courier New"/>
          <w:sz w:val="15"/>
          <w:szCs w:val="15"/>
          <w:color w:val="auto"/>
        </w:rPr>
        <w:t>The Company's revenue primarily is generated from sales of its products. Sales are recognized when the product is shipped and legal title has passed to the customer.</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Advertising and Promotional Materials</w:t>
      </w:r>
    </w:p>
    <w:p>
      <w:pPr>
        <w:spacing w:after="0" w:line="174" w:lineRule="exact"/>
        <w:rPr>
          <w:sz w:val="20"/>
          <w:szCs w:val="20"/>
          <w:color w:val="auto"/>
        </w:rPr>
      </w:pPr>
    </w:p>
    <w:p>
      <w:pPr>
        <w:ind w:left="710" w:right="340" w:hanging="263"/>
        <w:spacing w:after="0" w:line="236" w:lineRule="auto"/>
        <w:rPr>
          <w:sz w:val="20"/>
          <w:szCs w:val="20"/>
          <w:color w:val="auto"/>
        </w:rPr>
      </w:pPr>
      <w:r>
        <w:rPr>
          <w:rFonts w:ascii="Courier New" w:cs="Courier New" w:eastAsia="Courier New" w:hAnsi="Courier New"/>
          <w:sz w:val="15"/>
          <w:szCs w:val="15"/>
          <w:color w:val="auto"/>
        </w:rPr>
        <w:t>All advertising and promotional costs are expensed as incurred and amounted to approximately $808,000, $640,000, and $671,000 in 1999, 1998 and 1997, respectively.</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Repairs and Maintenance</w:t>
      </w:r>
    </w:p>
    <w:p>
      <w:pPr>
        <w:spacing w:after="0" w:line="174" w:lineRule="exact"/>
        <w:rPr>
          <w:sz w:val="20"/>
          <w:szCs w:val="20"/>
          <w:color w:val="auto"/>
        </w:rPr>
      </w:pPr>
    </w:p>
    <w:p>
      <w:pPr>
        <w:ind w:left="710" w:right="440" w:hanging="263"/>
        <w:spacing w:after="0" w:line="237" w:lineRule="auto"/>
        <w:rPr>
          <w:sz w:val="20"/>
          <w:szCs w:val="20"/>
          <w:color w:val="auto"/>
        </w:rPr>
      </w:pPr>
      <w:r>
        <w:rPr>
          <w:rFonts w:ascii="Courier New" w:cs="Courier New" w:eastAsia="Courier New" w:hAnsi="Courier New"/>
          <w:sz w:val="15"/>
          <w:szCs w:val="15"/>
          <w:color w:val="auto"/>
        </w:rPr>
        <w:t>Major renewals and improvements of property and equipment are capitalized, and repairs and maintenance are expensed as incurred. The Company incurred expenses relating to the repair and maintenance of plant and equipment of approximately $2,535,000, $2,165,000, and $2,028,000 in 1999, 1998 and 1997, respectively.</w:t>
      </w:r>
    </w:p>
    <w:p>
      <w:pPr>
        <w:spacing w:after="0" w:line="1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Self-Insurance</w:t>
      </w:r>
    </w:p>
    <w:p>
      <w:pPr>
        <w:spacing w:after="0" w:line="174" w:lineRule="exact"/>
        <w:rPr>
          <w:sz w:val="20"/>
          <w:szCs w:val="20"/>
          <w:color w:val="auto"/>
        </w:rPr>
      </w:pPr>
    </w:p>
    <w:p>
      <w:pPr>
        <w:ind w:left="710" w:right="340" w:hanging="263"/>
        <w:spacing w:after="0" w:line="237" w:lineRule="auto"/>
        <w:rPr>
          <w:sz w:val="20"/>
          <w:szCs w:val="20"/>
          <w:color w:val="auto"/>
        </w:rPr>
      </w:pPr>
      <w:r>
        <w:rPr>
          <w:rFonts w:ascii="Courier New" w:cs="Courier New" w:eastAsia="Courier New" w:hAnsi="Courier New"/>
          <w:sz w:val="15"/>
          <w:szCs w:val="15"/>
          <w:color w:val="auto"/>
        </w:rPr>
        <w:t>The Company is self-insured for a portion of its risk on workers' compensation and employee medical costs. The arrangements provide for stop loss insurance to manage the Company's risk. Operations are charged with the cost of claims reported and an estimate of claims incurred but not reported.</w:t>
      </w:r>
    </w:p>
    <w:p>
      <w:pPr>
        <w:spacing w:after="0" w:line="1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Earnings Per Share</w:t>
      </w:r>
    </w:p>
    <w:p>
      <w:pPr>
        <w:spacing w:after="0" w:line="169" w:lineRule="exact"/>
        <w:rPr>
          <w:sz w:val="20"/>
          <w:szCs w:val="20"/>
          <w:color w:val="auto"/>
        </w:rPr>
      </w:pPr>
    </w:p>
    <w:p>
      <w:pPr>
        <w:jc w:val="center"/>
        <w:ind w:left="10"/>
        <w:spacing w:after="0"/>
        <w:rPr>
          <w:sz w:val="20"/>
          <w:szCs w:val="20"/>
          <w:color w:val="auto"/>
        </w:rPr>
      </w:pPr>
      <w:r>
        <w:rPr>
          <w:rFonts w:ascii="Courier New" w:cs="Courier New" w:eastAsia="Courier New" w:hAnsi="Courier New"/>
          <w:sz w:val="15"/>
          <w:szCs w:val="15"/>
          <w:color w:val="auto"/>
        </w:rPr>
        <w:t>The following table reconciles the numerators and denominators used in the</w:t>
      </w:r>
    </w:p>
    <w:p>
      <w:pPr>
        <w:spacing w:after="0" w:line="5" w:lineRule="exact"/>
        <w:rPr>
          <w:sz w:val="20"/>
          <w:szCs w:val="20"/>
          <w:color w:val="auto"/>
        </w:rPr>
      </w:pPr>
    </w:p>
    <w:p>
      <w:pPr>
        <w:ind w:left="710" w:right="700"/>
        <w:spacing w:after="0" w:line="235" w:lineRule="auto"/>
        <w:rPr>
          <w:sz w:val="20"/>
          <w:szCs w:val="20"/>
          <w:color w:val="auto"/>
        </w:rPr>
      </w:pPr>
      <w:r>
        <w:rPr>
          <w:rFonts w:ascii="Courier New" w:cs="Courier New" w:eastAsia="Courier New" w:hAnsi="Courier New"/>
          <w:sz w:val="15"/>
          <w:szCs w:val="15"/>
          <w:color w:val="auto"/>
        </w:rPr>
        <w:t>calculations of basic and diluted earnings per share for each of the last three years:</w:t>
      </w:r>
    </w:p>
    <w:p>
      <w:pPr>
        <w:spacing w:after="0" w:line="200" w:lineRule="exact"/>
        <w:rPr>
          <w:sz w:val="20"/>
          <w:szCs w:val="20"/>
          <w:color w:val="auto"/>
        </w:rPr>
      </w:pPr>
    </w:p>
    <w:p>
      <w:pPr>
        <w:spacing w:after="0" w:line="308"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r>
      <w:tr>
        <w:trPr>
          <w:trHeight w:val="169"/>
        </w:trPr>
        <w:tc>
          <w:tcPr>
            <w:tcW w:w="572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tcPr>
          <w:p>
            <w:pPr>
              <w:spacing w:after="0"/>
              <w:rPr>
                <w:sz w:val="20"/>
                <w:szCs w:val="20"/>
                <w:color w:val="auto"/>
              </w:rPr>
            </w:pPr>
            <w:r>
              <w:rPr>
                <w:rFonts w:ascii="Courier New" w:cs="Courier New" w:eastAsia="Courier New" w:hAnsi="Courier New"/>
                <w:sz w:val="15"/>
                <w:szCs w:val="15"/>
                <w:color w:val="auto"/>
              </w:rPr>
              <w:t>Numerators:</w:t>
            </w:r>
          </w:p>
        </w:tc>
        <w:tc>
          <w:tcPr>
            <w:tcW w:w="1220" w:type="dxa"/>
            <w:vAlign w:val="bottom"/>
          </w:tcPr>
          <w:p>
            <w:pPr>
              <w:spacing w:after="0"/>
              <w:rPr>
                <w:sz w:val="24"/>
                <w:szCs w:val="24"/>
                <w:color w:val="auto"/>
              </w:rPr>
            </w:pPr>
          </w:p>
        </w:tc>
      </w:tr>
      <w:tr>
        <w:trPr>
          <w:trHeight w:val="169"/>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Numerator for both basic and diluted EPS, net income</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$64,863,756</w:t>
            </w:r>
          </w:p>
        </w:tc>
      </w:tr>
      <w:tr>
        <w:trPr>
          <w:trHeight w:val="339"/>
        </w:trPr>
        <w:tc>
          <w:tcPr>
            <w:tcW w:w="5720" w:type="dxa"/>
            <w:vAlign w:val="bottom"/>
          </w:tcPr>
          <w:p>
            <w:pPr>
              <w:spacing w:after="0"/>
              <w:rPr>
                <w:sz w:val="20"/>
                <w:szCs w:val="20"/>
                <w:color w:val="auto"/>
              </w:rPr>
            </w:pPr>
            <w:r>
              <w:rPr>
                <w:rFonts w:ascii="Courier New" w:cs="Courier New" w:eastAsia="Courier New" w:hAnsi="Courier New"/>
                <w:sz w:val="15"/>
                <w:szCs w:val="15"/>
                <w:color w:val="auto"/>
              </w:rPr>
              <w:t>Denominators:</w:t>
            </w:r>
          </w:p>
        </w:tc>
        <w:tc>
          <w:tcPr>
            <w:tcW w:w="1220" w:type="dxa"/>
            <w:vAlign w:val="bottom"/>
          </w:tcPr>
          <w:p>
            <w:pPr>
              <w:spacing w:after="0"/>
              <w:rPr>
                <w:sz w:val="24"/>
                <w:szCs w:val="24"/>
                <w:color w:val="auto"/>
              </w:rPr>
            </w:pPr>
          </w:p>
        </w:tc>
      </w:tr>
      <w:tr>
        <w:trPr>
          <w:trHeight w:val="169"/>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Denominator for basic EPS,</w:t>
            </w:r>
          </w:p>
        </w:tc>
        <w:tc>
          <w:tcPr>
            <w:tcW w:w="1220" w:type="dxa"/>
            <w:vAlign w:val="bottom"/>
          </w:tcPr>
          <w:p>
            <w:pPr>
              <w:spacing w:after="0"/>
              <w:rPr>
                <w:sz w:val="14"/>
                <w:szCs w:val="14"/>
                <w:color w:val="auto"/>
              </w:rPr>
            </w:pPr>
          </w:p>
        </w:tc>
      </w:tr>
      <w:tr>
        <w:trPr>
          <w:trHeight w:val="169"/>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weighted-average common shares outstanding</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72,999,601</w:t>
            </w:r>
          </w:p>
        </w:tc>
      </w:tr>
      <w:tr>
        <w:trPr>
          <w:trHeight w:val="169"/>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Potentially dilutive shares resulting from stock option plans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1,996,713</w:t>
            </w:r>
          </w:p>
        </w:tc>
      </w:tr>
      <w:tr>
        <w:trPr>
          <w:trHeight w:val="169"/>
        </w:trPr>
        <w:tc>
          <w:tcPr>
            <w:tcW w:w="57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Denominator for diluted EPS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74,996,314</w:t>
            </w:r>
          </w:p>
        </w:tc>
      </w:tr>
      <w:tr>
        <w:trPr>
          <w:trHeight w:val="169"/>
        </w:trPr>
        <w:tc>
          <w:tcPr>
            <w:tcW w:w="57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847"/>
        </w:trPr>
        <w:tc>
          <w:tcPr>
            <w:tcW w:w="5720" w:type="dxa"/>
            <w:vAlign w:val="bottom"/>
          </w:tcPr>
          <w:p>
            <w:pPr>
              <w:ind w:left="2900"/>
              <w:spacing w:after="0"/>
              <w:rPr>
                <w:sz w:val="20"/>
                <w:szCs w:val="20"/>
                <w:color w:val="auto"/>
              </w:rPr>
            </w:pPr>
            <w:r>
              <w:rPr>
                <w:rFonts w:ascii="Courier New" w:cs="Courier New" w:eastAsia="Courier New" w:hAnsi="Courier New"/>
                <w:sz w:val="15"/>
                <w:szCs w:val="15"/>
                <w:color w:val="auto"/>
              </w:rPr>
              <w:t>-24-</w:t>
            </w: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69"/>
        </w:trPr>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508"/>
        </w:trPr>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$50,307,130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$35,230,224</w:t>
            </w:r>
          </w:p>
        </w:tc>
      </w:tr>
      <w:tr>
        <w:trPr>
          <w:trHeight w:val="677"/>
        </w:trPr>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71,611,401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69,629,824</w:t>
            </w:r>
          </w:p>
        </w:tc>
      </w:tr>
      <w:tr>
        <w:trPr>
          <w:trHeight w:val="169"/>
        </w:trPr>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2,005,319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2,331,708</w:t>
            </w:r>
          </w:p>
        </w:tc>
      </w:tr>
      <w:tr>
        <w:trPr>
          <w:trHeight w:val="169"/>
        </w:trPr>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73,616,720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71,961,532</w:t>
            </w:r>
          </w:p>
        </w:tc>
      </w:tr>
      <w:tr>
        <w:trPr>
          <w:trHeight w:val="169"/>
        </w:trPr>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390" w:space="540"/>
            <w:col w:w="2540"/>
          </w:cols>
          <w:pgMar w:left="310" w:top="283" w:right="1119" w:bottom="1440" w:gutter="0" w:footer="0" w:header="0"/>
        </w:sectPr>
      </w:pPr>
    </w:p>
    <w:bookmarkStart w:id="26" w:name="page27"/>
    <w:bookmarkEnd w:id="26"/>
    <w:p>
      <w:pPr>
        <w:ind w:left="270"/>
        <w:spacing w:after="0"/>
        <w:rPr>
          <w:sz w:val="20"/>
          <w:szCs w:val="20"/>
          <w:color w:val="auto"/>
        </w:rPr>
      </w:pPr>
      <w:r>
        <w:rPr>
          <w:rFonts w:ascii="Courier New" w:cs="Courier New" w:eastAsia="Courier New" w:hAnsi="Courier New"/>
          <w:sz w:val="15"/>
          <w:szCs w:val="15"/>
          <w:color w:val="auto"/>
        </w:rPr>
        <w:t>25</w:t>
      </w:r>
    </w:p>
    <w:p>
      <w:pPr>
        <w:spacing w:after="0" w:line="338" w:lineRule="exact"/>
        <w:rPr>
          <w:sz w:val="20"/>
          <w:szCs w:val="20"/>
          <w:color w:val="auto"/>
        </w:rPr>
      </w:pPr>
    </w:p>
    <w:p>
      <w:pPr>
        <w:jc w:val="center"/>
        <w:ind w:right="4210"/>
        <w:spacing w:after="0"/>
        <w:rPr>
          <w:sz w:val="20"/>
          <w:szCs w:val="20"/>
          <w:color w:val="auto"/>
        </w:rPr>
      </w:pPr>
      <w:r>
        <w:rPr>
          <w:rFonts w:ascii="Courier New" w:cs="Courier New" w:eastAsia="Courier New" w:hAnsi="Courier New"/>
          <w:sz w:val="15"/>
          <w:szCs w:val="15"/>
          <w:color w:val="auto"/>
        </w:rPr>
        <w:t>GENTEX CORPORATION AND SUBSIDIARIES</w:t>
      </w:r>
    </w:p>
    <w:p>
      <w:pPr>
        <w:jc w:val="center"/>
        <w:ind w:right="429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421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75" w:lineRule="exact"/>
        <w:rPr>
          <w:sz w:val="20"/>
          <w:szCs w:val="20"/>
          <w:color w:val="auto"/>
        </w:rPr>
      </w:pPr>
    </w:p>
    <w:p>
      <w:pPr>
        <w:ind w:left="450" w:right="5000" w:hanging="450"/>
        <w:spacing w:after="0" w:line="470"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Other Comprehensive Income</w:t>
      </w:r>
    </w:p>
    <w:p>
      <w:pPr>
        <w:spacing w:after="0" w:line="11" w:lineRule="exact"/>
        <w:rPr>
          <w:rFonts w:ascii="Courier New" w:cs="Courier New" w:eastAsia="Courier New" w:hAnsi="Courier New"/>
          <w:sz w:val="15"/>
          <w:szCs w:val="15"/>
          <w:color w:val="auto"/>
        </w:rPr>
      </w:pPr>
    </w:p>
    <w:p>
      <w:pPr>
        <w:ind w:left="710" w:right="4400" w:hanging="264"/>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January 1, 1998, the Company adopted Statement of Financial Accounting Standards No. 130: "Reporting Comprehensive Income." This statement establishes standards for reporting and display of comprehensive income and its components. Comprehensive income reflects the change in equity of a business enterprise during a period from transactions and other events and circumstances from non-owner sources. For Gentex, comprehensive income represents net income adjusted for items such as unrealized gains and losses on certain investments and foreign currency translation adjustments. The changes in the components of other comprehensive income (loss) are as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Years Ended December 31,</w:t>
            </w:r>
          </w:p>
        </w:tc>
        <w:tc>
          <w:tcPr>
            <w:tcW w:w="1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84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2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jc w:val="right"/>
              <w:ind w:right="1207"/>
              <w:spacing w:after="0"/>
              <w:rPr>
                <w:sz w:val="20"/>
                <w:szCs w:val="20"/>
                <w:color w:val="auto"/>
              </w:rPr>
            </w:pPr>
            <w:r>
              <w:rPr>
                <w:rFonts w:ascii="Courier New" w:cs="Courier New" w:eastAsia="Courier New" w:hAnsi="Courier New"/>
                <w:sz w:val="15"/>
                <w:szCs w:val="15"/>
                <w:color w:val="auto"/>
                <w:w w:val="94"/>
              </w:rPr>
              <w:t>1999</w:t>
            </w:r>
          </w:p>
        </w:tc>
        <w:tc>
          <w:tcPr>
            <w:tcW w:w="1400" w:type="dxa"/>
            <w:vAlign w:val="bottom"/>
          </w:tcPr>
          <w:p>
            <w:pPr>
              <w:spacing w:after="0"/>
              <w:rPr>
                <w:sz w:val="14"/>
                <w:szCs w:val="14"/>
                <w:color w:val="auto"/>
              </w:rPr>
            </w:pPr>
          </w:p>
        </w:tc>
        <w:tc>
          <w:tcPr>
            <w:tcW w:w="168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1998</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2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4"/>
                <w:szCs w:val="2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Pre-Tax</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Tax Exp.</w:t>
            </w:r>
          </w:p>
        </w:tc>
        <w:tc>
          <w:tcPr>
            <w:tcW w:w="1400" w:type="dxa"/>
            <w:vAlign w:val="bottom"/>
          </w:tcPr>
          <w:p>
            <w:pPr>
              <w:ind w:left="660"/>
              <w:spacing w:after="0"/>
              <w:rPr>
                <w:sz w:val="20"/>
                <w:szCs w:val="20"/>
                <w:color w:val="auto"/>
              </w:rPr>
            </w:pPr>
            <w:r>
              <w:rPr>
                <w:rFonts w:ascii="Courier New" w:cs="Courier New" w:eastAsia="Courier New" w:hAnsi="Courier New"/>
                <w:sz w:val="15"/>
                <w:szCs w:val="15"/>
                <w:color w:val="auto"/>
              </w:rPr>
              <w:t>Pre-Tax</w:t>
            </w:r>
          </w:p>
        </w:tc>
        <w:tc>
          <w:tcPr>
            <w:tcW w:w="1680" w:type="dxa"/>
            <w:vAlign w:val="bottom"/>
          </w:tcPr>
          <w:p>
            <w:pPr>
              <w:spacing w:after="0"/>
              <w:rPr>
                <w:sz w:val="24"/>
                <w:szCs w:val="24"/>
                <w:color w:val="auto"/>
              </w:rPr>
            </w:pPr>
          </w:p>
        </w:tc>
        <w:tc>
          <w:tcPr>
            <w:tcW w:w="1620" w:type="dxa"/>
            <w:vAlign w:val="bottom"/>
          </w:tcPr>
          <w:p>
            <w:pPr>
              <w:ind w:left="400"/>
              <w:spacing w:after="0"/>
              <w:rPr>
                <w:sz w:val="20"/>
                <w:szCs w:val="20"/>
                <w:color w:val="auto"/>
              </w:rPr>
            </w:pPr>
            <w:r>
              <w:rPr>
                <w:rFonts w:ascii="Courier New" w:cs="Courier New" w:eastAsia="Courier New" w:hAnsi="Courier New"/>
                <w:sz w:val="15"/>
                <w:szCs w:val="15"/>
                <w:color w:val="auto"/>
              </w:rPr>
              <w:t>Pre-Tax</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Tax Exp.</w:t>
            </w:r>
          </w:p>
        </w:tc>
      </w:tr>
      <w:tr>
        <w:trPr>
          <w:trHeight w:val="169"/>
        </w:trPr>
        <w:tc>
          <w:tcPr>
            <w:tcW w:w="246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Amount</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(Credit)</w:t>
            </w:r>
          </w:p>
        </w:tc>
        <w:tc>
          <w:tcPr>
            <w:tcW w:w="1400" w:type="dxa"/>
            <w:vAlign w:val="bottom"/>
          </w:tcPr>
          <w:p>
            <w:pPr>
              <w:ind w:left="660"/>
              <w:spacing w:after="0"/>
              <w:rPr>
                <w:sz w:val="20"/>
                <w:szCs w:val="20"/>
                <w:color w:val="auto"/>
              </w:rPr>
            </w:pPr>
            <w:r>
              <w:rPr>
                <w:rFonts w:ascii="Courier New" w:cs="Courier New" w:eastAsia="Courier New" w:hAnsi="Courier New"/>
                <w:sz w:val="15"/>
                <w:szCs w:val="15"/>
                <w:color w:val="auto"/>
              </w:rPr>
              <w:t>Amount</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Tax Exp.</w:t>
            </w:r>
          </w:p>
        </w:tc>
        <w:tc>
          <w:tcPr>
            <w:tcW w:w="1620" w:type="dxa"/>
            <w:vAlign w:val="bottom"/>
          </w:tcPr>
          <w:p>
            <w:pPr>
              <w:ind w:left="400"/>
              <w:spacing w:after="0"/>
              <w:rPr>
                <w:sz w:val="20"/>
                <w:szCs w:val="20"/>
                <w:color w:val="auto"/>
              </w:rPr>
            </w:pPr>
            <w:r>
              <w:rPr>
                <w:rFonts w:ascii="Courier New" w:cs="Courier New" w:eastAsia="Courier New" w:hAnsi="Courier New"/>
                <w:sz w:val="15"/>
                <w:szCs w:val="15"/>
                <w:color w:val="auto"/>
              </w:rPr>
              <w:t>Amount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(Credit)</w:t>
            </w:r>
          </w:p>
        </w:tc>
      </w:tr>
      <w:tr>
        <w:trPr>
          <w:trHeight w:val="169"/>
        </w:trPr>
        <w:tc>
          <w:tcPr>
            <w:tcW w:w="2460" w:type="dxa"/>
            <w:vAlign w:val="bottom"/>
          </w:tcPr>
          <w:p>
            <w:pPr>
              <w:spacing w:after="0"/>
              <w:rPr>
                <w:sz w:val="20"/>
                <w:szCs w:val="20"/>
                <w:color w:val="auto"/>
              </w:rPr>
            </w:pPr>
            <w:r>
              <w:rPr>
                <w:rFonts w:ascii="Courier New" w:cs="Courier New" w:eastAsia="Courier New" w:hAnsi="Courier New"/>
                <w:sz w:val="15"/>
                <w:szCs w:val="15"/>
                <w:color w:val="auto"/>
              </w:rPr>
              <w:t>Unrealized Gain</w:t>
            </w: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2460" w:type="dxa"/>
            <w:vAlign w:val="bottom"/>
          </w:tcPr>
          <w:p>
            <w:pPr>
              <w:ind w:left="160"/>
              <w:spacing w:after="0"/>
              <w:rPr>
                <w:sz w:val="20"/>
                <w:szCs w:val="20"/>
                <w:color w:val="auto"/>
              </w:rPr>
            </w:pPr>
            <w:r>
              <w:rPr>
                <w:rFonts w:ascii="Courier New" w:cs="Courier New" w:eastAsia="Courier New" w:hAnsi="Courier New"/>
                <w:sz w:val="15"/>
                <w:szCs w:val="15"/>
                <w:color w:val="auto"/>
              </w:rPr>
              <w:t>on Securities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$552,415</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$193,346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$651,075</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$227,875</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$1,989,971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$696,490</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Foreign Currency</w:t>
            </w: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9"/>
        </w:trPr>
        <w:tc>
          <w:tcPr>
            <w:tcW w:w="2460" w:type="dxa"/>
            <w:vAlign w:val="bottom"/>
          </w:tcPr>
          <w:p>
            <w:pPr>
              <w:ind w:left="160"/>
              <w:spacing w:after="0"/>
              <w:rPr>
                <w:sz w:val="20"/>
                <w:szCs w:val="20"/>
                <w:color w:val="auto"/>
              </w:rPr>
            </w:pPr>
            <w:r>
              <w:rPr>
                <w:rFonts w:ascii="Courier New" w:cs="Courier New" w:eastAsia="Courier New" w:hAnsi="Courier New"/>
                <w:sz w:val="15"/>
                <w:szCs w:val="15"/>
                <w:color w:val="auto"/>
              </w:rPr>
              <w:t>Translation Adjustments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(40,777)</w:t>
            </w:r>
          </w:p>
        </w:tc>
        <w:tc>
          <w:tcPr>
            <w:tcW w:w="16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(14,272)</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89,503</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31,326</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(31,400)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(10,990)</w:t>
            </w:r>
          </w:p>
        </w:tc>
      </w:tr>
      <w:tr>
        <w:trPr>
          <w:trHeight w:val="169"/>
        </w:trPr>
        <w:tc>
          <w:tcPr>
            <w:tcW w:w="246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Other Comprehensive</w:t>
            </w: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9"/>
        </w:trPr>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Income</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$511,638</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$179,074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$740,578</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$259,201</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$1,958,571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$685,500</w:t>
            </w:r>
          </w:p>
        </w:tc>
      </w:tr>
      <w:tr>
        <w:trPr>
          <w:trHeight w:val="169"/>
        </w:trPr>
        <w:tc>
          <w:tcPr>
            <w:tcW w:w="246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8"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Foreign Currency Translation</w:t>
      </w:r>
    </w:p>
    <w:p>
      <w:pPr>
        <w:spacing w:after="0" w:line="174" w:lineRule="exact"/>
        <w:rPr>
          <w:sz w:val="20"/>
          <w:szCs w:val="20"/>
          <w:color w:val="auto"/>
        </w:rPr>
      </w:pPr>
    </w:p>
    <w:p>
      <w:pPr>
        <w:ind w:left="710" w:right="4400" w:hanging="263"/>
        <w:spacing w:after="0" w:line="238" w:lineRule="auto"/>
        <w:rPr>
          <w:sz w:val="20"/>
          <w:szCs w:val="20"/>
          <w:color w:val="auto"/>
        </w:rPr>
      </w:pPr>
      <w:r>
        <w:rPr>
          <w:rFonts w:ascii="Courier New" w:cs="Courier New" w:eastAsia="Courier New" w:hAnsi="Courier New"/>
          <w:sz w:val="15"/>
          <w:szCs w:val="15"/>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Estimates</w:t>
      </w:r>
    </w:p>
    <w:p>
      <w:pPr>
        <w:spacing w:after="0" w:line="174" w:lineRule="exact"/>
        <w:rPr>
          <w:sz w:val="20"/>
          <w:szCs w:val="20"/>
          <w:color w:val="auto"/>
        </w:rPr>
      </w:pPr>
    </w:p>
    <w:p>
      <w:pPr>
        <w:ind w:left="710" w:right="4300" w:hanging="263"/>
        <w:spacing w:after="0" w:line="238"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0" w:lineRule="exact"/>
        <w:rPr>
          <w:sz w:val="20"/>
          <w:szCs w:val="20"/>
          <w:color w:val="auto"/>
        </w:rPr>
      </w:pPr>
    </w:p>
    <w:p>
      <w:pPr>
        <w:ind w:left="450" w:hanging="450"/>
        <w:spacing w:after="0"/>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74" w:lineRule="exact"/>
        <w:rPr>
          <w:rFonts w:ascii="Courier New" w:cs="Courier New" w:eastAsia="Courier New" w:hAnsi="Courier New"/>
          <w:sz w:val="15"/>
          <w:szCs w:val="15"/>
          <w:color w:val="auto"/>
        </w:rPr>
      </w:pPr>
    </w:p>
    <w:p>
      <w:pPr>
        <w:ind w:left="710" w:right="4300" w:hanging="264"/>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available an unsecured $5,000,000 line of credit from a bank at the lower of the bank's prime rate or 1.5% above the LIBOR rate. No borrowings were outstanding under this line in 1999 or 1998. No compensating balances are required under this line.</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rFonts w:ascii="Courier New" w:cs="Courier New" w:eastAsia="Courier New" w:hAnsi="Courier New"/>
          <w:sz w:val="15"/>
          <w:szCs w:val="15"/>
          <w:color w:val="auto"/>
        </w:rPr>
      </w:pPr>
    </w:p>
    <w:p>
      <w:pPr>
        <w:ind w:left="710" w:right="4300" w:hanging="264"/>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recognizes deferred tax liabilities and assets for the expected future tax consequences of events that have been included in the consolidated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1350"/>
          </w:cols>
          <w:pgMar w:left="310" w:top="283" w:right="239" w:bottom="1440" w:gutter="0" w:footer="0" w:header="0"/>
        </w:sectPr>
      </w:pPr>
    </w:p>
    <w:bookmarkStart w:id="27" w:name="page28"/>
    <w:bookmarkEnd w:id="27"/>
    <w:p>
      <w:pPr>
        <w:ind w:left="27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07"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GENTEX CORPORATION AND SUBSIDIARIES</w:t>
      </w: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17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450" w:hanging="450"/>
        <w:spacing w:after="0"/>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continued</w:t>
      </w:r>
    </w:p>
    <w:p>
      <w:pPr>
        <w:spacing w:after="0" w:line="168"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the provision for income taxes are as follows:</w:t>
      </w:r>
    </w:p>
    <w:p>
      <w:pPr>
        <w:spacing w:after="0" w:line="200" w:lineRule="exact"/>
        <w:rPr>
          <w:sz w:val="20"/>
          <w:szCs w:val="20"/>
          <w:color w:val="auto"/>
        </w:rPr>
      </w:pPr>
    </w:p>
    <w:p>
      <w:pPr>
        <w:spacing w:after="0" w:line="307"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2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1999</w:t>
            </w:r>
          </w:p>
        </w:tc>
        <w:tc>
          <w:tcPr>
            <w:tcW w:w="23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1998</w:t>
            </w:r>
          </w:p>
        </w:tc>
        <w:tc>
          <w:tcPr>
            <w:tcW w:w="1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r>
      <w:tr>
        <w:trPr>
          <w:trHeight w:val="169"/>
        </w:trPr>
        <w:tc>
          <w:tcPr>
            <w:tcW w:w="2960" w:type="dxa"/>
            <w:vAlign w:val="bottom"/>
          </w:tcPr>
          <w:p>
            <w:pPr>
              <w:spacing w:after="0"/>
              <w:rPr>
                <w:sz w:val="14"/>
                <w:szCs w:val="14"/>
                <w:color w:val="auto"/>
              </w:rPr>
            </w:pPr>
          </w:p>
        </w:tc>
        <w:tc>
          <w:tcPr>
            <w:tcW w:w="23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296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69"/>
        </w:trPr>
        <w:tc>
          <w:tcPr>
            <w:tcW w:w="2960" w:type="dxa"/>
            <w:vAlign w:val="bottom"/>
          </w:tcPr>
          <w:p>
            <w:pPr>
              <w:ind w:left="260"/>
              <w:spacing w:after="0"/>
              <w:rPr>
                <w:sz w:val="20"/>
                <w:szCs w:val="20"/>
                <w:color w:val="auto"/>
              </w:rPr>
            </w:pPr>
            <w:r>
              <w:rPr>
                <w:rFonts w:ascii="Courier New" w:cs="Courier New" w:eastAsia="Courier New" w:hAnsi="Courier New"/>
                <w:sz w:val="15"/>
                <w:szCs w:val="15"/>
                <w:color w:val="auto"/>
              </w:rPr>
              <w:t>Federal</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7"/>
              </w:rPr>
              <w:t>30,173,000</w:t>
            </w:r>
          </w:p>
        </w:tc>
        <w:tc>
          <w:tcPr>
            <w:tcW w:w="2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$ 23,900,000</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$ 17,249,000</w:t>
            </w:r>
          </w:p>
        </w:tc>
      </w:tr>
      <w:tr>
        <w:trPr>
          <w:trHeight w:val="169"/>
        </w:trPr>
        <w:tc>
          <w:tcPr>
            <w:tcW w:w="2960" w:type="dxa"/>
            <w:vAlign w:val="bottom"/>
          </w:tcPr>
          <w:p>
            <w:pPr>
              <w:ind w:left="260"/>
              <w:spacing w:after="0"/>
              <w:rPr>
                <w:sz w:val="20"/>
                <w:szCs w:val="20"/>
                <w:color w:val="auto"/>
              </w:rPr>
            </w:pPr>
            <w:r>
              <w:rPr>
                <w:rFonts w:ascii="Courier New" w:cs="Courier New" w:eastAsia="Courier New" w:hAnsi="Courier New"/>
                <w:sz w:val="15"/>
                <w:szCs w:val="15"/>
                <w:color w:val="auto"/>
              </w:rPr>
              <w:t>State</w:t>
            </w:r>
          </w:p>
        </w:tc>
        <w:tc>
          <w:tcPr>
            <w:tcW w:w="820" w:type="dxa"/>
            <w:vAlign w:val="bottom"/>
          </w:tcPr>
          <w:p>
            <w:pPr>
              <w:spacing w:after="0"/>
              <w:rPr>
                <w:sz w:val="14"/>
                <w:szCs w:val="14"/>
                <w:color w:val="auto"/>
              </w:rPr>
            </w:pPr>
          </w:p>
        </w:tc>
        <w:tc>
          <w:tcPr>
            <w:tcW w:w="15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459,000</w:t>
            </w:r>
          </w:p>
        </w:tc>
        <w:tc>
          <w:tcPr>
            <w:tcW w:w="23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69"/>
        </w:trPr>
        <w:tc>
          <w:tcPr>
            <w:tcW w:w="2960" w:type="dxa"/>
            <w:vAlign w:val="bottom"/>
          </w:tcPr>
          <w:p>
            <w:pPr>
              <w:spacing w:after="0"/>
              <w:rPr>
                <w:sz w:val="14"/>
                <w:szCs w:val="14"/>
                <w:color w:val="auto"/>
              </w:rPr>
            </w:pPr>
          </w:p>
        </w:tc>
        <w:tc>
          <w:tcPr>
            <w:tcW w:w="23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296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spacing w:after="0"/>
              <w:rPr>
                <w:sz w:val="14"/>
                <w:szCs w:val="14"/>
                <w:color w:val="auto"/>
              </w:rPr>
            </w:pPr>
          </w:p>
        </w:tc>
        <w:tc>
          <w:tcPr>
            <w:tcW w:w="150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7"/>
              </w:rPr>
              <w:t>30,632,000</w:t>
            </w:r>
          </w:p>
        </w:tc>
        <w:tc>
          <w:tcPr>
            <w:tcW w:w="2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23,900,000</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17,249,000</w:t>
            </w:r>
          </w:p>
        </w:tc>
      </w:tr>
      <w:tr>
        <w:trPr>
          <w:trHeight w:val="169"/>
        </w:trPr>
        <w:tc>
          <w:tcPr>
            <w:tcW w:w="2960" w:type="dxa"/>
            <w:vAlign w:val="bottom"/>
          </w:tcPr>
          <w:p>
            <w:pPr>
              <w:spacing w:after="0"/>
              <w:rPr>
                <w:sz w:val="14"/>
                <w:szCs w:val="14"/>
                <w:color w:val="auto"/>
              </w:rPr>
            </w:pPr>
          </w:p>
        </w:tc>
        <w:tc>
          <w:tcPr>
            <w:tcW w:w="23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2960" w:type="dxa"/>
            <w:vAlign w:val="bottom"/>
          </w:tcPr>
          <w:p>
            <w:pPr>
              <w:spacing w:after="0"/>
              <w:rPr>
                <w:sz w:val="20"/>
                <w:szCs w:val="20"/>
                <w:color w:val="auto"/>
              </w:rPr>
            </w:pPr>
            <w:r>
              <w:rPr>
                <w:rFonts w:ascii="Courier New" w:cs="Courier New" w:eastAsia="Courier New" w:hAnsi="Courier New"/>
                <w:sz w:val="15"/>
                <w:szCs w:val="15"/>
                <w:color w:val="auto"/>
              </w:rPr>
              <w:t>Net deferred:</w:t>
            </w:r>
          </w:p>
        </w:tc>
        <w:tc>
          <w:tcPr>
            <w:tcW w:w="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9"/>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Federal</w:t>
            </w:r>
          </w:p>
        </w:tc>
        <w:tc>
          <w:tcPr>
            <w:tcW w:w="820" w:type="dxa"/>
            <w:vAlign w:val="bottom"/>
          </w:tcPr>
          <w:p>
            <w:pPr>
              <w:spacing w:after="0"/>
              <w:rPr>
                <w:sz w:val="14"/>
                <w:szCs w:val="14"/>
                <w:color w:val="auto"/>
              </w:rPr>
            </w:pPr>
          </w:p>
        </w:tc>
        <w:tc>
          <w:tcPr>
            <w:tcW w:w="15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720,000</w:t>
            </w:r>
          </w:p>
        </w:tc>
        <w:tc>
          <w:tcPr>
            <w:tcW w:w="2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456,000</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(290,000)</w:t>
            </w:r>
          </w:p>
        </w:tc>
      </w:tr>
      <w:tr>
        <w:trPr>
          <w:trHeight w:val="169"/>
        </w:trPr>
        <w:tc>
          <w:tcPr>
            <w:tcW w:w="2960" w:type="dxa"/>
            <w:vAlign w:val="bottom"/>
          </w:tcPr>
          <w:p>
            <w:pPr>
              <w:spacing w:after="0"/>
              <w:rPr>
                <w:sz w:val="14"/>
                <w:szCs w:val="14"/>
                <w:color w:val="auto"/>
              </w:rPr>
            </w:pPr>
          </w:p>
        </w:tc>
        <w:tc>
          <w:tcPr>
            <w:tcW w:w="23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29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7"/>
              </w:rPr>
              <w:t>31,352,000</w:t>
            </w:r>
          </w:p>
        </w:tc>
        <w:tc>
          <w:tcPr>
            <w:tcW w:w="2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$ 24,356,000</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$ 16,959,000</w:t>
            </w:r>
          </w:p>
        </w:tc>
      </w:tr>
      <w:tr>
        <w:trPr>
          <w:trHeight w:val="169"/>
        </w:trPr>
        <w:tc>
          <w:tcPr>
            <w:tcW w:w="2960" w:type="dxa"/>
            <w:vAlign w:val="bottom"/>
          </w:tcPr>
          <w:p>
            <w:pPr>
              <w:spacing w:after="0"/>
              <w:rPr>
                <w:sz w:val="14"/>
                <w:szCs w:val="14"/>
                <w:color w:val="auto"/>
              </w:rPr>
            </w:pPr>
          </w:p>
        </w:tc>
        <w:tc>
          <w:tcPr>
            <w:tcW w:w="23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710" w:right="3360" w:hanging="263"/>
        <w:spacing w:after="0" w:line="237" w:lineRule="auto"/>
        <w:rPr>
          <w:sz w:val="20"/>
          <w:szCs w:val="20"/>
          <w:color w:val="auto"/>
        </w:rPr>
      </w:pPr>
      <w:r>
        <w:rPr>
          <w:rFonts w:ascii="Courier New" w:cs="Courier New" w:eastAsia="Courier New" w:hAnsi="Courier New"/>
          <w:sz w:val="15"/>
          <w:szCs w:val="15"/>
          <w:color w:val="auto"/>
        </w:rPr>
        <w:t>The currently payable provision is further reduced by the tax benefits associated with the exercise, vesting or disposition of stock under the stock plans described in Note 6. These reductions totaled approximately $6,415,000, $4,227,000, and $3,571,000 in 1999, 1998 and 1997, respectively.</w:t>
      </w:r>
    </w:p>
    <w:p>
      <w:pPr>
        <w:spacing w:after="0" w:line="177" w:lineRule="exact"/>
        <w:rPr>
          <w:sz w:val="20"/>
          <w:szCs w:val="20"/>
          <w:color w:val="auto"/>
        </w:rPr>
      </w:pPr>
    </w:p>
    <w:p>
      <w:pPr>
        <w:ind w:left="710" w:right="3620" w:hanging="263"/>
        <w:spacing w:after="0" w:line="235" w:lineRule="auto"/>
        <w:rPr>
          <w:sz w:val="20"/>
          <w:szCs w:val="20"/>
          <w:color w:val="auto"/>
        </w:rPr>
      </w:pPr>
      <w:r>
        <w:rPr>
          <w:rFonts w:ascii="Courier New" w:cs="Courier New" w:eastAsia="Courier New" w:hAnsi="Courier New"/>
          <w:sz w:val="15"/>
          <w:szCs w:val="15"/>
          <w:color w:val="auto"/>
        </w:rPr>
        <w:t>The effective income tax rates are different from the statutory federal income tax rates for the following reasons: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1540" w:type="dxa"/>
            <w:vAlign w:val="bottom"/>
          </w:tcPr>
          <w:p>
            <w:pPr>
              <w:ind w:left="520"/>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r>
      <w:tr>
        <w:trPr>
          <w:trHeight w:val="169"/>
        </w:trPr>
        <w:tc>
          <w:tcPr>
            <w:tcW w:w="4980" w:type="dxa"/>
            <w:vAlign w:val="bottom"/>
          </w:tcPr>
          <w:p>
            <w:pPr>
              <w:spacing w:after="0"/>
              <w:rPr>
                <w:sz w:val="14"/>
                <w:szCs w:val="1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Statutory federal income tax rate</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35.0%</w:t>
            </w:r>
          </w:p>
        </w:tc>
        <w:tc>
          <w:tcPr>
            <w:tcW w:w="1540" w:type="dxa"/>
            <w:vAlign w:val="bottom"/>
          </w:tcPr>
          <w:p>
            <w:pPr>
              <w:ind w:left="520"/>
              <w:spacing w:after="0"/>
              <w:rPr>
                <w:sz w:val="20"/>
                <w:szCs w:val="20"/>
                <w:color w:val="auto"/>
              </w:rPr>
            </w:pPr>
            <w:r>
              <w:rPr>
                <w:rFonts w:ascii="Courier New" w:cs="Courier New" w:eastAsia="Courier New" w:hAnsi="Courier New"/>
                <w:sz w:val="15"/>
                <w:szCs w:val="15"/>
                <w:color w:val="auto"/>
              </w:rPr>
              <w:t>35.0%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69"/>
        </w:trPr>
        <w:tc>
          <w:tcPr>
            <w:tcW w:w="498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income tax benefit</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0.2</w:t>
            </w:r>
          </w:p>
        </w:tc>
        <w:tc>
          <w:tcPr>
            <w:tcW w:w="15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9"/>
        </w:trPr>
        <w:tc>
          <w:tcPr>
            <w:tcW w:w="4980" w:type="dxa"/>
            <w:vAlign w:val="bottom"/>
          </w:tcPr>
          <w:p>
            <w:pPr>
              <w:spacing w:after="0"/>
              <w:rPr>
                <w:sz w:val="20"/>
                <w:szCs w:val="20"/>
                <w:color w:val="auto"/>
              </w:rPr>
            </w:pPr>
            <w:r>
              <w:rPr>
                <w:rFonts w:ascii="Courier New" w:cs="Courier New" w:eastAsia="Courier New" w:hAnsi="Courier New"/>
                <w:sz w:val="15"/>
                <w:szCs w:val="15"/>
                <w:color w:val="auto"/>
              </w:rPr>
              <w:t>Foreign Sales Corporation exempted income</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w:t>
            </w:r>
          </w:p>
        </w:tc>
        <w:tc>
          <w:tcPr>
            <w:tcW w:w="1540" w:type="dxa"/>
            <w:vAlign w:val="bottom"/>
          </w:tcPr>
          <w:p>
            <w:pPr>
              <w:ind w:left="520"/>
              <w:spacing w:after="0"/>
              <w:rPr>
                <w:sz w:val="20"/>
                <w:szCs w:val="20"/>
                <w:color w:val="auto"/>
              </w:rPr>
            </w:pPr>
            <w:r>
              <w:rPr>
                <w:rFonts w:ascii="Courier New" w:cs="Courier New" w:eastAsia="Courier New" w:hAnsi="Courier New"/>
                <w:sz w:val="15"/>
                <w:szCs w:val="15"/>
                <w:color w:val="auto"/>
              </w:rPr>
              <w:t>(1.3)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69"/>
        </w:trPr>
        <w:tc>
          <w:tcPr>
            <w:tcW w:w="4980" w:type="dxa"/>
            <w:vAlign w:val="bottom"/>
          </w:tcPr>
          <w:p>
            <w:pPr>
              <w:spacing w:after="0"/>
              <w:rPr>
                <w:sz w:val="20"/>
                <w:szCs w:val="20"/>
                <w:color w:val="auto"/>
              </w:rPr>
            </w:pPr>
            <w:r>
              <w:rPr>
                <w:rFonts w:ascii="Courier New" w:cs="Courier New" w:eastAsia="Courier New" w:hAnsi="Courier New"/>
                <w:sz w:val="15"/>
                <w:szCs w:val="15"/>
                <w:color w:val="auto"/>
              </w:rPr>
              <w:t>Tax-exempt investment income</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(0.6)</w:t>
            </w:r>
          </w:p>
        </w:tc>
        <w:tc>
          <w:tcPr>
            <w:tcW w:w="1540" w:type="dxa"/>
            <w:vAlign w:val="bottom"/>
          </w:tcPr>
          <w:p>
            <w:pPr>
              <w:ind w:left="520"/>
              <w:spacing w:after="0"/>
              <w:rPr>
                <w:sz w:val="20"/>
                <w:szCs w:val="20"/>
                <w:color w:val="auto"/>
              </w:rPr>
            </w:pPr>
            <w:r>
              <w:rPr>
                <w:rFonts w:ascii="Courier New" w:cs="Courier New" w:eastAsia="Courier New" w:hAnsi="Courier New"/>
                <w:sz w:val="15"/>
                <w:szCs w:val="15"/>
                <w:color w:val="auto"/>
              </w:rPr>
              <w:t>(0.8)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69"/>
        </w:trPr>
        <w:tc>
          <w:tcPr>
            <w:tcW w:w="49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(0.5)</w:t>
            </w:r>
          </w:p>
        </w:tc>
        <w:tc>
          <w:tcPr>
            <w:tcW w:w="1540" w:type="dxa"/>
            <w:vAlign w:val="bottom"/>
          </w:tcPr>
          <w:p>
            <w:pPr>
              <w:ind w:left="520"/>
              <w:spacing w:after="0"/>
              <w:rPr>
                <w:sz w:val="20"/>
                <w:szCs w:val="20"/>
                <w:color w:val="auto"/>
              </w:rPr>
            </w:pPr>
            <w:r>
              <w:rPr>
                <w:rFonts w:ascii="Courier New" w:cs="Courier New" w:eastAsia="Courier New" w:hAnsi="Courier New"/>
                <w:sz w:val="15"/>
                <w:szCs w:val="15"/>
                <w:color w:val="auto"/>
              </w:rPr>
              <w:t>(0.3)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w:t>
            </w:r>
          </w:p>
        </w:tc>
      </w:tr>
      <w:tr>
        <w:trPr>
          <w:trHeight w:val="169"/>
        </w:trPr>
        <w:tc>
          <w:tcPr>
            <w:tcW w:w="4980" w:type="dxa"/>
            <w:vAlign w:val="bottom"/>
          </w:tcPr>
          <w:p>
            <w:pPr>
              <w:spacing w:after="0"/>
              <w:rPr>
                <w:sz w:val="14"/>
                <w:szCs w:val="1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498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32.6%</w:t>
            </w:r>
          </w:p>
        </w:tc>
        <w:tc>
          <w:tcPr>
            <w:tcW w:w="1540" w:type="dxa"/>
            <w:vAlign w:val="bottom"/>
          </w:tcPr>
          <w:p>
            <w:pPr>
              <w:ind w:left="520"/>
              <w:spacing w:after="0"/>
              <w:rPr>
                <w:sz w:val="20"/>
                <w:szCs w:val="20"/>
                <w:color w:val="auto"/>
              </w:rPr>
            </w:pPr>
            <w:r>
              <w:rPr>
                <w:rFonts w:ascii="Courier New" w:cs="Courier New" w:eastAsia="Courier New" w:hAnsi="Courier New"/>
                <w:sz w:val="15"/>
                <w:szCs w:val="15"/>
                <w:color w:val="auto"/>
              </w:rPr>
              <w:t>32.6%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r>
        <w:trPr>
          <w:trHeight w:val="169"/>
        </w:trPr>
        <w:tc>
          <w:tcPr>
            <w:tcW w:w="4980" w:type="dxa"/>
            <w:vAlign w:val="bottom"/>
          </w:tcPr>
          <w:p>
            <w:pPr>
              <w:spacing w:after="0"/>
              <w:rPr>
                <w:sz w:val="14"/>
                <w:szCs w:val="1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10" w:right="3360"/>
        <w:spacing w:after="0" w:line="264" w:lineRule="auto"/>
        <w:rPr>
          <w:sz w:val="20"/>
          <w:szCs w:val="20"/>
          <w:color w:val="auto"/>
        </w:rPr>
      </w:pPr>
      <w:r>
        <w:rPr>
          <w:rFonts w:ascii="Courier New" w:cs="Courier New" w:eastAsia="Courier New" w:hAnsi="Courier New"/>
          <w:sz w:val="14"/>
          <w:szCs w:val="14"/>
          <w:color w:val="auto"/>
        </w:rPr>
        <w:t>The tax effect of temporary differences which give rise to deferred tax assets and liabilities at December 31, 1999 and 1998, are as follows: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1999</w:t>
            </w: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spacing w:after="0"/>
              <w:rPr>
                <w:sz w:val="14"/>
                <w:szCs w:val="14"/>
                <w:color w:val="auto"/>
              </w:rPr>
            </w:pPr>
          </w:p>
        </w:tc>
      </w:tr>
      <w:tr>
        <w:trPr>
          <w:trHeight w:val="169"/>
        </w:trPr>
        <w:tc>
          <w:tcPr>
            <w:tcW w:w="3480" w:type="dxa"/>
            <w:vAlign w:val="bottom"/>
          </w:tcPr>
          <w:p>
            <w:pPr>
              <w:spacing w:after="0"/>
              <w:rPr>
                <w:sz w:val="14"/>
                <w:szCs w:val="14"/>
                <w:color w:val="auto"/>
              </w:rPr>
            </w:pPr>
          </w:p>
        </w:tc>
        <w:tc>
          <w:tcPr>
            <w:tcW w:w="1760" w:type="dxa"/>
            <w:vAlign w:val="bottom"/>
            <w:gridSpan w:val="2"/>
          </w:tcPr>
          <w:p>
            <w:pPr>
              <w:ind w:left="300"/>
              <w:spacing w:after="0"/>
              <w:rPr>
                <w:sz w:val="20"/>
                <w:szCs w:val="20"/>
                <w:color w:val="auto"/>
              </w:rPr>
            </w:pPr>
            <w:r>
              <w:rPr>
                <w:rFonts w:ascii="Courier New" w:cs="Courier New" w:eastAsia="Courier New" w:hAnsi="Courier New"/>
                <w:sz w:val="10"/>
                <w:szCs w:val="10"/>
                <w:color w:val="auto"/>
                <w:w w:val="82"/>
              </w:rPr>
              <w:t>-----------------------------</w:t>
            </w:r>
          </w:p>
        </w:tc>
        <w:tc>
          <w:tcPr>
            <w:tcW w:w="1400" w:type="dxa"/>
            <w:vAlign w:val="bottom"/>
          </w:tcPr>
          <w:p>
            <w:pPr>
              <w:spacing w:after="0"/>
              <w:rPr>
                <w:sz w:val="14"/>
                <w:szCs w:val="14"/>
                <w:color w:val="auto"/>
              </w:rPr>
            </w:pPr>
          </w:p>
        </w:tc>
        <w:tc>
          <w:tcPr>
            <w:tcW w:w="2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Current</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Non-Current</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Current</w:t>
            </w:r>
          </w:p>
        </w:tc>
        <w:tc>
          <w:tcPr>
            <w:tcW w:w="54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Non-Current</w:t>
            </w:r>
          </w:p>
        </w:tc>
      </w:tr>
      <w:tr>
        <w:trPr>
          <w:trHeight w:val="169"/>
        </w:trPr>
        <w:tc>
          <w:tcPr>
            <w:tcW w:w="3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9"/>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Accruals not currently deductible</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762,951</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249,603</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724,379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112,700</w:t>
            </w:r>
          </w:p>
        </w:tc>
      </w:tr>
      <w:tr>
        <w:trPr>
          <w:trHeight w:val="169"/>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Deferred compensation</w:t>
            </w:r>
          </w:p>
        </w:tc>
        <w:tc>
          <w:tcPr>
            <w:tcW w:w="480" w:type="dxa"/>
            <w:vAlign w:val="bottom"/>
          </w:tcPr>
          <w:p>
            <w:pPr>
              <w:spacing w:after="0"/>
              <w:rPr>
                <w:sz w:val="14"/>
                <w:szCs w:val="14"/>
                <w:color w:val="auto"/>
              </w:rPr>
            </w:pPr>
          </w:p>
        </w:tc>
        <w:tc>
          <w:tcPr>
            <w:tcW w:w="12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587,122</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490,400</w:t>
            </w:r>
          </w:p>
        </w:tc>
      </w:tr>
      <w:tr>
        <w:trPr>
          <w:trHeight w:val="169"/>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48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1,002,721</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23,355</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736,645</w:t>
            </w:r>
          </w:p>
        </w:tc>
        <w:tc>
          <w:tcPr>
            <w:tcW w:w="5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29,174</w:t>
            </w:r>
          </w:p>
        </w:tc>
      </w:tr>
      <w:tr>
        <w:trPr>
          <w:trHeight w:val="169"/>
        </w:trPr>
        <w:tc>
          <w:tcPr>
            <w:tcW w:w="3480" w:type="dxa"/>
            <w:vAlign w:val="bottom"/>
          </w:tcPr>
          <w:p>
            <w:pPr>
              <w:spacing w:after="0"/>
              <w:rPr>
                <w:sz w:val="14"/>
                <w:szCs w:val="14"/>
                <w:color w:val="auto"/>
              </w:rPr>
            </w:pPr>
          </w:p>
        </w:tc>
        <w:tc>
          <w:tcPr>
            <w:tcW w:w="1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3480" w:type="dxa"/>
            <w:vAlign w:val="bottom"/>
          </w:tcPr>
          <w:p>
            <w:pPr>
              <w:ind w:left="340"/>
              <w:spacing w:after="0"/>
              <w:rPr>
                <w:sz w:val="20"/>
                <w:szCs w:val="20"/>
                <w:color w:val="auto"/>
              </w:rPr>
            </w:pPr>
            <w:r>
              <w:rPr>
                <w:rFonts w:ascii="Courier New" w:cs="Courier New" w:eastAsia="Courier New" w:hAnsi="Courier New"/>
                <w:sz w:val="15"/>
                <w:szCs w:val="15"/>
                <w:color w:val="auto"/>
              </w:rPr>
              <w:t>Total deferred tax assets</w:t>
            </w:r>
          </w:p>
        </w:tc>
        <w:tc>
          <w:tcPr>
            <w:tcW w:w="48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1,765,672</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860,080</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1,461,024</w:t>
            </w:r>
          </w:p>
        </w:tc>
        <w:tc>
          <w:tcPr>
            <w:tcW w:w="5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632,274</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9"/>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Excess tax over book depreciation</w:t>
            </w:r>
          </w:p>
        </w:tc>
        <w:tc>
          <w:tcPr>
            <w:tcW w:w="480" w:type="dxa"/>
            <w:vAlign w:val="bottom"/>
          </w:tcPr>
          <w:p>
            <w:pPr>
              <w:spacing w:after="0"/>
              <w:rPr>
                <w:sz w:val="14"/>
                <w:szCs w:val="14"/>
                <w:color w:val="auto"/>
              </w:rPr>
            </w:pPr>
          </w:p>
        </w:tc>
        <w:tc>
          <w:tcPr>
            <w:tcW w:w="12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(3,395,195)</w:t>
            </w: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(2,379,382)</w:t>
            </w:r>
          </w:p>
        </w:tc>
      </w:tr>
      <w:tr>
        <w:trPr>
          <w:trHeight w:val="169"/>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Patent costs</w:t>
            </w:r>
          </w:p>
        </w:tc>
        <w:tc>
          <w:tcPr>
            <w:tcW w:w="480" w:type="dxa"/>
            <w:vAlign w:val="bottom"/>
          </w:tcPr>
          <w:p>
            <w:pPr>
              <w:spacing w:after="0"/>
              <w:rPr>
                <w:sz w:val="14"/>
                <w:szCs w:val="14"/>
                <w:color w:val="auto"/>
              </w:rPr>
            </w:pPr>
          </w:p>
        </w:tc>
        <w:tc>
          <w:tcPr>
            <w:tcW w:w="12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(341,685)</w:t>
            </w: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(206,343)</w:t>
            </w:r>
          </w:p>
        </w:tc>
      </w:tr>
      <w:tr>
        <w:trPr>
          <w:trHeight w:val="169"/>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48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(215,049)</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(1,274,343)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(113,750)</w:t>
            </w:r>
          </w:p>
        </w:tc>
        <w:tc>
          <w:tcPr>
            <w:tcW w:w="54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(1,080,999)</w:t>
            </w:r>
          </w:p>
        </w:tc>
      </w:tr>
      <w:tr>
        <w:trPr>
          <w:trHeight w:val="169"/>
        </w:trPr>
        <w:tc>
          <w:tcPr>
            <w:tcW w:w="3480" w:type="dxa"/>
            <w:vAlign w:val="bottom"/>
          </w:tcPr>
          <w:p>
            <w:pPr>
              <w:spacing w:after="0"/>
              <w:rPr>
                <w:sz w:val="14"/>
                <w:szCs w:val="14"/>
                <w:color w:val="auto"/>
              </w:rPr>
            </w:pPr>
          </w:p>
        </w:tc>
        <w:tc>
          <w:tcPr>
            <w:tcW w:w="1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9"/>
        </w:trPr>
        <w:tc>
          <w:tcPr>
            <w:tcW w:w="3480" w:type="dxa"/>
            <w:vAlign w:val="bottom"/>
          </w:tcPr>
          <w:p>
            <w:pPr>
              <w:ind w:left="260"/>
              <w:spacing w:after="0"/>
              <w:rPr>
                <w:sz w:val="20"/>
                <w:szCs w:val="20"/>
                <w:color w:val="auto"/>
              </w:rPr>
            </w:pPr>
            <w:r>
              <w:rPr>
                <w:rFonts w:ascii="Courier New" w:cs="Courier New" w:eastAsia="Courier New" w:hAnsi="Courier New"/>
                <w:sz w:val="15"/>
                <w:szCs w:val="15"/>
                <w:color w:val="auto"/>
              </w:rPr>
              <w:t>Net deferred taxes</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1,550,623</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$(4,151,143)</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$ 1,347,274</w:t>
            </w:r>
          </w:p>
        </w:tc>
        <w:tc>
          <w:tcPr>
            <w:tcW w:w="1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(3,034,450)</w:t>
            </w:r>
          </w:p>
        </w:tc>
      </w:tr>
      <w:tr>
        <w:trPr>
          <w:trHeight w:val="169"/>
        </w:trPr>
        <w:tc>
          <w:tcPr>
            <w:tcW w:w="3480" w:type="dxa"/>
            <w:vAlign w:val="bottom"/>
          </w:tcPr>
          <w:p>
            <w:pPr>
              <w:spacing w:after="0"/>
              <w:rPr>
                <w:sz w:val="14"/>
                <w:szCs w:val="14"/>
                <w:color w:val="auto"/>
              </w:rPr>
            </w:pPr>
          </w:p>
        </w:tc>
        <w:tc>
          <w:tcPr>
            <w:tcW w:w="1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10" w:right="3440"/>
        <w:spacing w:after="0" w:line="235" w:lineRule="auto"/>
        <w:rPr>
          <w:sz w:val="20"/>
          <w:szCs w:val="20"/>
          <w:color w:val="auto"/>
        </w:rPr>
      </w:pPr>
      <w:r>
        <w:rPr>
          <w:rFonts w:ascii="Courier New" w:cs="Courier New" w:eastAsia="Courier New" w:hAnsi="Courier New"/>
          <w:sz w:val="15"/>
          <w:szCs w:val="15"/>
          <w:color w:val="auto"/>
        </w:rPr>
        <w:t>Income taxes paid in cash were approximately $26,530,000, $18,815,000, and $14,012,000 in 1999, 1998 and 1997, respectively.</w:t>
      </w:r>
    </w:p>
    <w:p>
      <w:pPr>
        <w:spacing w:after="0" w:line="170" w:lineRule="exact"/>
        <w:rPr>
          <w:sz w:val="20"/>
          <w:szCs w:val="20"/>
          <w:color w:val="auto"/>
        </w:rPr>
      </w:pPr>
    </w:p>
    <w:p>
      <w:pPr>
        <w:ind w:left="450" w:hanging="450"/>
        <w:spacing w:after="0"/>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74" w:lineRule="exact"/>
        <w:rPr>
          <w:rFonts w:ascii="Courier New" w:cs="Courier New" w:eastAsia="Courier New" w:hAnsi="Courier New"/>
          <w:sz w:val="15"/>
          <w:szCs w:val="15"/>
          <w:color w:val="auto"/>
        </w:rPr>
      </w:pPr>
    </w:p>
    <w:p>
      <w:pPr>
        <w:ind w:left="790" w:right="3260" w:hanging="352"/>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1999, 1998 and 1997, the Company's contributions were approximately $526,000, $378,000, and $293,000, respectively.</w:t>
      </w:r>
    </w:p>
    <w:p>
      <w:pPr>
        <w:spacing w:after="0" w:line="168"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provide health care benefits to retired employees.</w:t>
      </w:r>
    </w:p>
    <w:p>
      <w:pPr>
        <w:sectPr>
          <w:pgSz w:w="11900" w:h="16838" w:orient="portrait"/>
          <w:cols w:equalWidth="0" w:num="1">
            <w:col w:w="10310"/>
          </w:cols>
          <w:pgMar w:left="310" w:top="283" w:right="1279" w:bottom="0" w:gutter="0" w:footer="0" w:header="0"/>
        </w:sectPr>
      </w:pPr>
    </w:p>
    <w:bookmarkStart w:id="28" w:name="page29"/>
    <w:bookmarkEnd w:id="28"/>
    <w:p>
      <w:pPr>
        <w:ind w:left="22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019"/>
          </w:cols>
          <w:pgMar w:left="1440" w:top="141" w:right="1440" w:bottom="1440" w:gutter="0" w:footer="0" w:header="0"/>
        </w:sectPr>
      </w:pPr>
    </w:p>
    <w:bookmarkStart w:id="29" w:name="page30"/>
    <w:bookmarkEnd w:id="29"/>
    <w:p>
      <w:pPr>
        <w:ind w:left="270"/>
        <w:spacing w:after="0"/>
        <w:rPr>
          <w:sz w:val="20"/>
          <w:szCs w:val="20"/>
          <w:color w:val="auto"/>
        </w:rPr>
      </w:pPr>
      <w:r>
        <w:rPr>
          <w:rFonts w:ascii="Courier New" w:cs="Courier New" w:eastAsia="Courier New" w:hAnsi="Courier New"/>
          <w:sz w:val="15"/>
          <w:szCs w:val="15"/>
          <w:color w:val="auto"/>
        </w:rPr>
        <w:t>27</w:t>
      </w:r>
    </w:p>
    <w:p>
      <w:pPr>
        <w:spacing w:after="0" w:line="338" w:lineRule="exact"/>
        <w:rPr>
          <w:sz w:val="20"/>
          <w:szCs w:val="20"/>
          <w:color w:val="auto"/>
        </w:rPr>
      </w:pPr>
    </w:p>
    <w:p>
      <w:pPr>
        <w:jc w:val="center"/>
        <w:ind w:right="1050"/>
        <w:spacing w:after="0"/>
        <w:rPr>
          <w:sz w:val="20"/>
          <w:szCs w:val="20"/>
          <w:color w:val="auto"/>
        </w:rPr>
      </w:pPr>
      <w:r>
        <w:rPr>
          <w:rFonts w:ascii="Courier New" w:cs="Courier New" w:eastAsia="Courier New" w:hAnsi="Courier New"/>
          <w:sz w:val="15"/>
          <w:szCs w:val="15"/>
          <w:color w:val="auto"/>
        </w:rPr>
        <w:t>GENTEX CORPORATION AND SUBSIDIARIES</w:t>
      </w:r>
    </w:p>
    <w:p>
      <w:pPr>
        <w:jc w:val="center"/>
        <w:ind w:right="113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105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450" w:hanging="450"/>
        <w:spacing w:after="0"/>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PROTECTION RIGHTS PLAN</w:t>
      </w:r>
    </w:p>
    <w:p>
      <w:pPr>
        <w:spacing w:after="0" w:line="174" w:lineRule="exact"/>
        <w:rPr>
          <w:rFonts w:ascii="Courier New" w:cs="Courier New" w:eastAsia="Courier New" w:hAnsi="Courier New"/>
          <w:sz w:val="15"/>
          <w:szCs w:val="15"/>
          <w:color w:val="auto"/>
        </w:rPr>
      </w:pPr>
    </w:p>
    <w:p>
      <w:pPr>
        <w:ind w:left="790" w:right="1500" w:hanging="352"/>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1991, the Company's Board of Directors adopted a Shareholder Protection Rights Plan (the Plan). The Plan is designed to protect shareholders against unsolicited attempts to acquire control of the Company in a manner that does not offer a fair price to all shareholders.</w:t>
      </w:r>
    </w:p>
    <w:p>
      <w:pPr>
        <w:spacing w:after="0" w:line="177" w:lineRule="exact"/>
        <w:rPr>
          <w:rFonts w:ascii="Courier New" w:cs="Courier New" w:eastAsia="Courier New" w:hAnsi="Courier New"/>
          <w:sz w:val="15"/>
          <w:szCs w:val="15"/>
          <w:color w:val="auto"/>
        </w:rPr>
      </w:pPr>
    </w:p>
    <w:p>
      <w:pPr>
        <w:ind w:left="790" w:right="1240" w:hanging="352"/>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Plan, one purchase Right automatically trades with each share of the Company's common stock. Each Right entitles a shareholder to purchase 1/100 of a share of junior participating preferred stock at a price of $40, if any person or group attempts certain hostile takeover tactics toward the Company. Under certain hostile takeover circumstances, each Right may entitle the holder to purchase the Company's common stock at one-half its market value or to purchase the securities of any acquiring entity at one-half their market value. Rights are subject to redemption by the Company at $.00125 per Right and, unless earlier redeemed, will expire on August 26, 2001. Rights beneficially owned by holders of 15 percent or more of the Company's common stock, or their transferees, automatically become void.</w:t>
      </w:r>
    </w:p>
    <w:p>
      <w:pPr>
        <w:spacing w:after="0" w:line="15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PLANS</w:t>
      </w:r>
    </w:p>
    <w:p>
      <w:pPr>
        <w:spacing w:after="0" w:line="174" w:lineRule="exact"/>
        <w:rPr>
          <w:rFonts w:ascii="Courier New" w:cs="Courier New" w:eastAsia="Courier New" w:hAnsi="Courier New"/>
          <w:sz w:val="15"/>
          <w:szCs w:val="15"/>
          <w:color w:val="auto"/>
        </w:rPr>
      </w:pPr>
    </w:p>
    <w:p>
      <w:pPr>
        <w:ind w:left="710" w:right="1240" w:hanging="264"/>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three stock option plans, including two employee stock option plans ("Employee Plans") and a non-employee directors stock option plan ("Director Plan"), and an employee stock purchase plan. The Company accounts for these plans under APB Opinion No. 25, under which no compensation cost has been recognized. Had compensation cost for these plans been determined consistent with FASB Statement No. 123, the Company's net income and earnings per share would have been reduced to the following pro-forma amounts:</w:t>
      </w:r>
    </w:p>
    <w:p>
      <w:pPr>
        <w:spacing w:after="0" w:line="200" w:lineRule="exact"/>
        <w:rPr>
          <w:sz w:val="20"/>
          <w:szCs w:val="20"/>
          <w:color w:val="auto"/>
        </w:rPr>
      </w:pPr>
    </w:p>
    <w:p>
      <w:pPr>
        <w:spacing w:after="0" w:line="309"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tcPr>
          <w:p>
            <w:pPr>
              <w:jc w:val="center"/>
              <w:ind w:right="587"/>
              <w:spacing w:after="0"/>
              <w:rPr>
                <w:sz w:val="20"/>
                <w:szCs w:val="20"/>
                <w:color w:val="auto"/>
              </w:rPr>
            </w:pPr>
            <w:r>
              <w:rPr>
                <w:rFonts w:ascii="Courier New" w:cs="Courier New" w:eastAsia="Courier New" w:hAnsi="Courier New"/>
                <w:sz w:val="15"/>
                <w:szCs w:val="15"/>
                <w:color w:val="auto"/>
                <w:w w:val="94"/>
              </w:rPr>
              <w:t>1999</w:t>
            </w:r>
          </w:p>
        </w:tc>
        <w:tc>
          <w:tcPr>
            <w:tcW w:w="7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r>
      <w:tr>
        <w:trPr>
          <w:trHeight w:val="169"/>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tcPr>
          <w:p>
            <w:pPr>
              <w:jc w:val="center"/>
              <w:ind w:right="587"/>
              <w:spacing w:after="0"/>
              <w:rPr>
                <w:sz w:val="20"/>
                <w:szCs w:val="20"/>
                <w:color w:val="auto"/>
              </w:rPr>
            </w:pPr>
            <w:r>
              <w:rPr>
                <w:rFonts w:ascii="Courier New" w:cs="Courier New" w:eastAsia="Courier New" w:hAnsi="Courier New"/>
                <w:sz w:val="15"/>
                <w:szCs w:val="15"/>
                <w:color w:val="auto"/>
                <w:w w:val="94"/>
              </w:rPr>
              <w:t>----</w:t>
            </w:r>
          </w:p>
        </w:tc>
        <w:tc>
          <w:tcPr>
            <w:tcW w:w="7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1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6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587"/>
              <w:spacing w:after="0"/>
              <w:rPr>
                <w:sz w:val="20"/>
                <w:szCs w:val="20"/>
                <w:color w:val="auto"/>
              </w:rPr>
            </w:pPr>
            <w:r>
              <w:rPr>
                <w:rFonts w:ascii="Courier New" w:cs="Courier New" w:eastAsia="Courier New" w:hAnsi="Courier New"/>
                <w:sz w:val="15"/>
                <w:szCs w:val="15"/>
                <w:color w:val="auto"/>
                <w:w w:val="99"/>
              </w:rPr>
              <w:t>64,863,756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50,307,130</w:t>
            </w:r>
          </w:p>
        </w:tc>
      </w:tr>
      <w:tr>
        <w:trPr>
          <w:trHeight w:val="169"/>
        </w:trPr>
        <w:tc>
          <w:tcPr>
            <w:tcW w:w="1580" w:type="dxa"/>
            <w:vAlign w:val="bottom"/>
          </w:tcPr>
          <w:p>
            <w:pPr>
              <w:spacing w:after="0"/>
              <w:rPr>
                <w:sz w:val="14"/>
                <w:szCs w:val="14"/>
                <w:color w:val="auto"/>
              </w:rPr>
            </w:pPr>
          </w:p>
        </w:tc>
        <w:tc>
          <w:tcPr>
            <w:tcW w:w="1760" w:type="dxa"/>
            <w:vAlign w:val="bottom"/>
          </w:tcPr>
          <w:p>
            <w:pPr>
              <w:ind w:left="360"/>
              <w:spacing w:after="0"/>
              <w:rPr>
                <w:sz w:val="20"/>
                <w:szCs w:val="20"/>
                <w:color w:val="auto"/>
              </w:rPr>
            </w:pPr>
            <w:r>
              <w:rPr>
                <w:rFonts w:ascii="Courier New" w:cs="Courier New" w:eastAsia="Courier New" w:hAnsi="Courier New"/>
                <w:sz w:val="15"/>
                <w:szCs w:val="15"/>
                <w:color w:val="auto"/>
              </w:rPr>
              <w:t>Pro Forma</w:t>
            </w:r>
          </w:p>
        </w:tc>
        <w:tc>
          <w:tcPr>
            <w:tcW w:w="520" w:type="dxa"/>
            <w:vAlign w:val="bottom"/>
          </w:tcPr>
          <w:p>
            <w:pPr>
              <w:spacing w:after="0"/>
              <w:rPr>
                <w:sz w:val="14"/>
                <w:szCs w:val="14"/>
                <w:color w:val="auto"/>
              </w:rPr>
            </w:pPr>
          </w:p>
        </w:tc>
        <w:tc>
          <w:tcPr>
            <w:tcW w:w="1560" w:type="dxa"/>
            <w:vAlign w:val="bottom"/>
          </w:tcPr>
          <w:p>
            <w:pPr>
              <w:jc w:val="center"/>
              <w:ind w:right="587"/>
              <w:spacing w:after="0"/>
              <w:rPr>
                <w:sz w:val="20"/>
                <w:szCs w:val="20"/>
                <w:color w:val="auto"/>
              </w:rPr>
            </w:pPr>
            <w:r>
              <w:rPr>
                <w:rFonts w:ascii="Courier New" w:cs="Courier New" w:eastAsia="Courier New" w:hAnsi="Courier New"/>
                <w:sz w:val="15"/>
                <w:szCs w:val="15"/>
                <w:color w:val="auto"/>
                <w:w w:val="99"/>
              </w:rPr>
              <w:t>60,394,893</w:t>
            </w:r>
          </w:p>
        </w:tc>
        <w:tc>
          <w:tcPr>
            <w:tcW w:w="7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46,098,379</w:t>
            </w:r>
          </w:p>
        </w:tc>
      </w:tr>
      <w:tr>
        <w:trPr>
          <w:trHeight w:val="339"/>
        </w:trPr>
        <w:tc>
          <w:tcPr>
            <w:tcW w:w="1580" w:type="dxa"/>
            <w:vAlign w:val="bottom"/>
          </w:tcPr>
          <w:p>
            <w:pPr>
              <w:spacing w:after="0"/>
              <w:rPr>
                <w:sz w:val="20"/>
                <w:szCs w:val="20"/>
                <w:color w:val="auto"/>
              </w:rPr>
            </w:pPr>
            <w:r>
              <w:rPr>
                <w:rFonts w:ascii="Courier New" w:cs="Courier New" w:eastAsia="Courier New" w:hAnsi="Courier New"/>
                <w:sz w:val="15"/>
                <w:szCs w:val="15"/>
                <w:color w:val="auto"/>
              </w:rPr>
              <w:t>EPS (diluted):</w:t>
            </w:r>
          </w:p>
        </w:tc>
        <w:tc>
          <w:tcPr>
            <w:tcW w:w="176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0.86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0.68</w:t>
            </w:r>
          </w:p>
        </w:tc>
      </w:tr>
      <w:tr>
        <w:trPr>
          <w:trHeight w:val="169"/>
        </w:trPr>
        <w:tc>
          <w:tcPr>
            <w:tcW w:w="1580" w:type="dxa"/>
            <w:vAlign w:val="bottom"/>
          </w:tcPr>
          <w:p>
            <w:pPr>
              <w:spacing w:after="0"/>
              <w:rPr>
                <w:sz w:val="14"/>
                <w:szCs w:val="14"/>
                <w:color w:val="auto"/>
              </w:rPr>
            </w:pPr>
          </w:p>
        </w:tc>
        <w:tc>
          <w:tcPr>
            <w:tcW w:w="1760" w:type="dxa"/>
            <w:vAlign w:val="bottom"/>
          </w:tcPr>
          <w:p>
            <w:pPr>
              <w:ind w:left="360"/>
              <w:spacing w:after="0"/>
              <w:rPr>
                <w:sz w:val="20"/>
                <w:szCs w:val="20"/>
                <w:color w:val="auto"/>
              </w:rPr>
            </w:pPr>
            <w:r>
              <w:rPr>
                <w:rFonts w:ascii="Courier New" w:cs="Courier New" w:eastAsia="Courier New" w:hAnsi="Courier New"/>
                <w:sz w:val="15"/>
                <w:szCs w:val="15"/>
                <w:color w:val="auto"/>
              </w:rPr>
              <w:t>Pro Forma</w:t>
            </w:r>
          </w:p>
        </w:tc>
        <w:tc>
          <w:tcPr>
            <w:tcW w:w="520" w:type="dxa"/>
            <w:vAlign w:val="bottom"/>
          </w:tcPr>
          <w:p>
            <w:pPr>
              <w:spacing w:after="0"/>
              <w:rPr>
                <w:sz w:val="14"/>
                <w:szCs w:val="14"/>
                <w:color w:val="auto"/>
              </w:rPr>
            </w:pPr>
          </w:p>
        </w:tc>
        <w:tc>
          <w:tcPr>
            <w:tcW w:w="15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0.81</w:t>
            </w:r>
          </w:p>
        </w:tc>
        <w:tc>
          <w:tcPr>
            <w:tcW w:w="7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0.63</w:t>
            </w:r>
          </w:p>
        </w:tc>
      </w:tr>
    </w:tbl>
    <w:p>
      <w:pPr>
        <w:spacing w:after="0" w:line="344" w:lineRule="exact"/>
        <w:rPr>
          <w:sz w:val="20"/>
          <w:szCs w:val="20"/>
          <w:color w:val="auto"/>
        </w:rPr>
      </w:pPr>
    </w:p>
    <w:p>
      <w:pPr>
        <w:ind w:left="710" w:right="1400" w:hanging="263"/>
        <w:spacing w:after="0" w:line="237" w:lineRule="auto"/>
        <w:rPr>
          <w:sz w:val="20"/>
          <w:szCs w:val="20"/>
          <w:color w:val="auto"/>
        </w:rPr>
      </w:pPr>
      <w:r>
        <w:rPr>
          <w:rFonts w:ascii="Courier New" w:cs="Courier New" w:eastAsia="Courier New" w:hAnsi="Courier New"/>
          <w:sz w:val="15"/>
          <w:szCs w:val="15"/>
          <w:color w:val="auto"/>
        </w:rPr>
        <w:t>Because the Statement 123 method of accounting has not been applied to options granted prior to January 1, 1995, the resulting pro forma compensation cost may not be representative of that to be expected in future years.</w:t>
      </w:r>
    </w:p>
    <w:p>
      <w:pPr>
        <w:spacing w:after="0" w:line="176" w:lineRule="exact"/>
        <w:rPr>
          <w:sz w:val="20"/>
          <w:szCs w:val="20"/>
          <w:color w:val="auto"/>
        </w:rPr>
      </w:pPr>
    </w:p>
    <w:p>
      <w:pPr>
        <w:ind w:left="710" w:right="1140" w:hanging="263"/>
        <w:spacing w:after="0" w:line="238" w:lineRule="auto"/>
        <w:rPr>
          <w:sz w:val="20"/>
          <w:szCs w:val="20"/>
          <w:color w:val="auto"/>
        </w:rPr>
      </w:pPr>
      <w:r>
        <w:rPr>
          <w:rFonts w:ascii="Courier New" w:cs="Courier New" w:eastAsia="Courier New" w:hAnsi="Courier New"/>
          <w:sz w:val="15"/>
          <w:szCs w:val="15"/>
          <w:color w:val="auto"/>
        </w:rPr>
        <w:t>The Company may sell up to 1,600,000 shares of stock to its employees under the Employee Stock Purchase Plan. The Company has sold to employees 50,550 shares, 61,748 shares, and 70,204 shares in 1999, 1998 and 1997, respectively, and has sold a total of 424,692 shares through December 31, 1999. The Company sells shares at 85% of the stock's market price at date of purchase. The weighted average fair value of shares sold in 1999 was approximately $21.</w:t>
      </w:r>
    </w:p>
    <w:p>
      <w:pPr>
        <w:spacing w:after="0" w:line="175" w:lineRule="exact"/>
        <w:rPr>
          <w:sz w:val="20"/>
          <w:szCs w:val="20"/>
          <w:color w:val="auto"/>
        </w:rPr>
      </w:pPr>
    </w:p>
    <w:p>
      <w:pPr>
        <w:ind w:left="710" w:right="1140" w:hanging="263"/>
        <w:spacing w:after="0" w:line="237" w:lineRule="auto"/>
        <w:rPr>
          <w:sz w:val="20"/>
          <w:szCs w:val="20"/>
          <w:color w:val="auto"/>
        </w:rPr>
      </w:pPr>
      <w:r>
        <w:rPr>
          <w:rFonts w:ascii="Courier New" w:cs="Courier New" w:eastAsia="Courier New" w:hAnsi="Courier New"/>
          <w:sz w:val="15"/>
          <w:szCs w:val="15"/>
          <w:color w:val="auto"/>
        </w:rPr>
        <w:t>The Company may grant options for up to 9,000,000 shares under the Employee Plans. The Company has granted options on 4,583,530 shares through December 31, 1999. Under the Plans, the option exercise price equals the stock's market price on date of grant. The options vest after one to five years, and expire after five to seven years.</w:t>
      </w:r>
    </w:p>
    <w:p>
      <w:pPr>
        <w:spacing w:after="0" w:line="177" w:lineRule="exact"/>
        <w:rPr>
          <w:sz w:val="20"/>
          <w:szCs w:val="20"/>
          <w:color w:val="auto"/>
        </w:rPr>
      </w:pPr>
    </w:p>
    <w:p>
      <w:pPr>
        <w:jc w:val="both"/>
        <w:ind w:left="710" w:right="1320" w:hanging="269"/>
        <w:spacing w:after="0" w:line="236" w:lineRule="auto"/>
        <w:tabs>
          <w:tab w:leader="none" w:pos="71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the status of the Company's two employee stock option plans at December 31, 1999, 1998 and 1997, and changes during the years then ended is presented in the table and narrative below:</w:t>
      </w:r>
    </w:p>
    <w:p>
      <w:pPr>
        <w:spacing w:after="0" w:line="200" w:lineRule="exact"/>
        <w:rPr>
          <w:sz w:val="20"/>
          <w:szCs w:val="20"/>
          <w:color w:val="auto"/>
        </w:rPr>
      </w:pPr>
    </w:p>
    <w:p>
      <w:pPr>
        <w:spacing w:after="0" w:line="309"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1998</w:t>
            </w:r>
          </w:p>
        </w:tc>
        <w:tc>
          <w:tcPr>
            <w:tcW w:w="660" w:type="dxa"/>
            <w:vAlign w:val="bottom"/>
          </w:tcPr>
          <w:p>
            <w:pPr>
              <w:spacing w:after="0"/>
              <w:rPr>
                <w:sz w:val="14"/>
                <w:szCs w:val="14"/>
                <w:color w:val="auto"/>
              </w:rPr>
            </w:pPr>
          </w:p>
        </w:tc>
      </w:tr>
      <w:tr>
        <w:trPr>
          <w:trHeight w:val="169"/>
        </w:trPr>
        <w:tc>
          <w:tcPr>
            <w:tcW w:w="3120" w:type="dxa"/>
            <w:vAlign w:val="bottom"/>
          </w:tcPr>
          <w:p>
            <w:pPr>
              <w:spacing w:after="0"/>
              <w:rPr>
                <w:sz w:val="14"/>
                <w:szCs w:val="14"/>
                <w:color w:val="auto"/>
              </w:rPr>
            </w:pPr>
          </w:p>
        </w:tc>
        <w:tc>
          <w:tcPr>
            <w:tcW w:w="2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9"/>
        </w:trPr>
        <w:tc>
          <w:tcPr>
            <w:tcW w:w="3120" w:type="dxa"/>
            <w:vAlign w:val="bottom"/>
          </w:tcPr>
          <w:p>
            <w:pPr>
              <w:spacing w:after="0"/>
              <w:rPr>
                <w:sz w:val="14"/>
                <w:szCs w:val="1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Wtd. Avg.</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Shares</w:t>
            </w:r>
          </w:p>
        </w:tc>
        <w:tc>
          <w:tcPr>
            <w:tcW w:w="10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Wtd. Avg.</w:t>
            </w:r>
          </w:p>
        </w:tc>
      </w:tr>
      <w:tr>
        <w:trPr>
          <w:trHeight w:val="169"/>
        </w:trPr>
        <w:tc>
          <w:tcPr>
            <w:tcW w:w="3120" w:type="dxa"/>
            <w:vAlign w:val="bottom"/>
          </w:tcPr>
          <w:p>
            <w:pPr>
              <w:spacing w:after="0"/>
              <w:rPr>
                <w:sz w:val="14"/>
                <w:szCs w:val="1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(000)</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Ex price</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(000)</w:t>
            </w:r>
          </w:p>
        </w:tc>
        <w:tc>
          <w:tcPr>
            <w:tcW w:w="10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Ex price</w:t>
            </w:r>
          </w:p>
        </w:tc>
      </w:tr>
      <w:tr>
        <w:trPr>
          <w:trHeight w:val="169"/>
        </w:trPr>
        <w:tc>
          <w:tcPr>
            <w:tcW w:w="3120" w:type="dxa"/>
            <w:vAlign w:val="bottom"/>
          </w:tcPr>
          <w:p>
            <w:pPr>
              <w:spacing w:after="0"/>
              <w:rPr>
                <w:sz w:val="14"/>
                <w:szCs w:val="1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4,145</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4,706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w:t>
            </w:r>
          </w:p>
        </w:tc>
      </w:tr>
      <w:tr>
        <w:trPr>
          <w:trHeight w:val="169"/>
        </w:trPr>
        <w:tc>
          <w:tcPr>
            <w:tcW w:w="31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774</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761</w:t>
            </w:r>
          </w:p>
        </w:tc>
        <w:tc>
          <w:tcPr>
            <w:tcW w:w="400" w:type="dxa"/>
            <w:vAlign w:val="bottom"/>
          </w:tcPr>
          <w:p>
            <w:pPr>
              <w:spacing w:after="0"/>
              <w:rPr>
                <w:sz w:val="14"/>
                <w:szCs w:val="14"/>
                <w:color w:val="auto"/>
              </w:rPr>
            </w:pPr>
          </w:p>
        </w:tc>
        <w:tc>
          <w:tcPr>
            <w:tcW w:w="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w:t>
            </w:r>
          </w:p>
        </w:tc>
      </w:tr>
      <w:tr>
        <w:trPr>
          <w:trHeight w:val="169"/>
        </w:trPr>
        <w:tc>
          <w:tcPr>
            <w:tcW w:w="31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(1,055)</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(1,267)</w:t>
            </w:r>
          </w:p>
        </w:tc>
        <w:tc>
          <w:tcPr>
            <w:tcW w:w="400" w:type="dxa"/>
            <w:vAlign w:val="bottom"/>
          </w:tcPr>
          <w:p>
            <w:pPr>
              <w:spacing w:after="0"/>
              <w:rPr>
                <w:sz w:val="14"/>
                <w:szCs w:val="14"/>
                <w:color w:val="auto"/>
              </w:rPr>
            </w:pPr>
          </w:p>
        </w:tc>
        <w:tc>
          <w:tcPr>
            <w:tcW w:w="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w:t>
            </w:r>
          </w:p>
        </w:tc>
      </w:tr>
      <w:tr>
        <w:trPr>
          <w:trHeight w:val="169"/>
        </w:trPr>
        <w:tc>
          <w:tcPr>
            <w:tcW w:w="312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400" w:type="dxa"/>
            <w:vAlign w:val="bottom"/>
          </w:tcPr>
          <w:p>
            <w:pPr>
              <w:spacing w:after="0"/>
              <w:rPr>
                <w:sz w:val="14"/>
                <w:szCs w:val="14"/>
                <w:color w:val="auto"/>
              </w:rPr>
            </w:pPr>
          </w:p>
        </w:tc>
        <w:tc>
          <w:tcPr>
            <w:tcW w:w="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w:t>
            </w:r>
          </w:p>
        </w:tc>
      </w:tr>
      <w:tr>
        <w:trPr>
          <w:trHeight w:val="169"/>
        </w:trPr>
        <w:tc>
          <w:tcPr>
            <w:tcW w:w="3120" w:type="dxa"/>
            <w:vAlign w:val="bottom"/>
          </w:tcPr>
          <w:p>
            <w:pPr>
              <w:spacing w:after="0"/>
              <w:rPr>
                <w:sz w:val="20"/>
                <w:szCs w:val="20"/>
                <w:color w:val="auto"/>
              </w:rPr>
            </w:pPr>
            <w:r>
              <w:rPr>
                <w:rFonts w:ascii="Courier New" w:cs="Courier New" w:eastAsia="Courier New" w:hAnsi="Courier New"/>
                <w:sz w:val="15"/>
                <w:szCs w:val="15"/>
                <w:color w:val="auto"/>
              </w:rPr>
              <w:t>Expired</w:t>
            </w:r>
          </w:p>
        </w:tc>
        <w:tc>
          <w:tcPr>
            <w:tcW w:w="12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69"/>
        </w:trPr>
        <w:tc>
          <w:tcPr>
            <w:tcW w:w="312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69"/>
        </w:trPr>
        <w:tc>
          <w:tcPr>
            <w:tcW w:w="312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3,807</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4,145</w:t>
            </w:r>
          </w:p>
        </w:tc>
        <w:tc>
          <w:tcPr>
            <w:tcW w:w="400" w:type="dxa"/>
            <w:vAlign w:val="bottom"/>
          </w:tcPr>
          <w:p>
            <w:pPr>
              <w:spacing w:after="0"/>
              <w:rPr>
                <w:sz w:val="14"/>
                <w:szCs w:val="14"/>
                <w:color w:val="auto"/>
              </w:rPr>
            </w:pPr>
          </w:p>
        </w:tc>
        <w:tc>
          <w:tcPr>
            <w:tcW w:w="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w:t>
            </w:r>
          </w:p>
        </w:tc>
      </w:tr>
      <w:tr>
        <w:trPr>
          <w:trHeight w:val="169"/>
        </w:trPr>
        <w:tc>
          <w:tcPr>
            <w:tcW w:w="312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69"/>
        </w:trPr>
        <w:tc>
          <w:tcPr>
            <w:tcW w:w="312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1,660</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1,782</w:t>
            </w:r>
          </w:p>
        </w:tc>
        <w:tc>
          <w:tcPr>
            <w:tcW w:w="400" w:type="dxa"/>
            <w:vAlign w:val="bottom"/>
          </w:tcPr>
          <w:p>
            <w:pPr>
              <w:spacing w:after="0"/>
              <w:rPr>
                <w:sz w:val="14"/>
                <w:szCs w:val="14"/>
                <w:color w:val="auto"/>
              </w:rPr>
            </w:pPr>
          </w:p>
        </w:tc>
        <w:tc>
          <w:tcPr>
            <w:tcW w:w="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w:t>
            </w:r>
          </w:p>
        </w:tc>
      </w:tr>
      <w:tr>
        <w:trPr>
          <w:trHeight w:val="169"/>
        </w:trPr>
        <w:tc>
          <w:tcPr>
            <w:tcW w:w="3120" w:type="dxa"/>
            <w:vAlign w:val="bottom"/>
          </w:tcPr>
          <w:p>
            <w:pPr>
              <w:spacing w:after="0"/>
              <w:rPr>
                <w:sz w:val="20"/>
                <w:szCs w:val="20"/>
                <w:color w:val="auto"/>
              </w:rPr>
            </w:pPr>
            <w:r>
              <w:rPr>
                <w:rFonts w:ascii="Courier New" w:cs="Courier New" w:eastAsia="Courier New" w:hAnsi="Courier New"/>
                <w:sz w:val="15"/>
                <w:szCs w:val="15"/>
                <w:color w:val="auto"/>
              </w:rPr>
              <w:t>Weighted Avg. Fair Value</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9"/>
        </w:trPr>
        <w:tc>
          <w:tcPr>
            <w:tcW w:w="3120" w:type="dxa"/>
            <w:vAlign w:val="bottom"/>
          </w:tcPr>
          <w:p>
            <w:pPr>
              <w:ind w:left="260"/>
              <w:spacing w:after="0"/>
              <w:rPr>
                <w:sz w:val="20"/>
                <w:szCs w:val="20"/>
                <w:color w:val="auto"/>
              </w:rPr>
            </w:pPr>
            <w:r>
              <w:rPr>
                <w:rFonts w:ascii="Courier New" w:cs="Courier New" w:eastAsia="Courier New" w:hAnsi="Courier New"/>
                <w:sz w:val="15"/>
                <w:szCs w:val="15"/>
                <w:color w:val="auto"/>
              </w:rPr>
              <w:t>of Options Granted</w:t>
            </w:r>
          </w:p>
        </w:tc>
        <w:tc>
          <w:tcPr>
            <w:tcW w:w="1240" w:type="dxa"/>
            <w:vAlign w:val="bottom"/>
          </w:tcPr>
          <w:p>
            <w:pPr>
              <w:spacing w:after="0"/>
              <w:rPr>
                <w:sz w:val="14"/>
                <w:szCs w:val="14"/>
                <w:color w:val="auto"/>
              </w:rPr>
            </w:pP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$12</w:t>
            </w:r>
          </w:p>
        </w:tc>
        <w:tc>
          <w:tcPr>
            <w:tcW w:w="9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5"/>
          <w:szCs w:val="15"/>
          <w:color w:val="auto"/>
        </w:rPr>
        <w:t>1997</w:t>
      </w:r>
    </w:p>
    <w:p>
      <w:pPr>
        <w:ind w:left="44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5"/>
          <w:szCs w:val="15"/>
          <w:color w:val="auto"/>
        </w:rPr>
        <w:t>$35,230,224</w:t>
      </w:r>
    </w:p>
    <w:p>
      <w:pPr>
        <w:jc w:val="right"/>
        <w:ind w:right="440"/>
        <w:spacing w:after="0"/>
        <w:rPr>
          <w:sz w:val="20"/>
          <w:szCs w:val="20"/>
          <w:color w:val="auto"/>
        </w:rPr>
      </w:pPr>
      <w:r>
        <w:rPr>
          <w:rFonts w:ascii="Courier New" w:cs="Courier New" w:eastAsia="Courier New" w:hAnsi="Courier New"/>
          <w:sz w:val="15"/>
          <w:szCs w:val="15"/>
          <w:color w:val="auto"/>
        </w:rPr>
        <w:t>32,986,461</w:t>
      </w:r>
    </w:p>
    <w:p>
      <w:pPr>
        <w:spacing w:after="0" w:line="168" w:lineRule="exact"/>
        <w:rPr>
          <w:sz w:val="20"/>
          <w:szCs w:val="20"/>
          <w:color w:val="auto"/>
        </w:rPr>
      </w:pPr>
    </w:p>
    <w:p>
      <w:pPr>
        <w:ind w:left="880" w:hanging="531"/>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0.49</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1997</w:t>
      </w:r>
    </w:p>
    <w:p>
      <w:pPr>
        <w:ind w:left="80"/>
        <w:spacing w:after="0"/>
        <w:rPr>
          <w:sz w:val="20"/>
          <w:szCs w:val="20"/>
          <w:color w:val="auto"/>
        </w:rPr>
      </w:pPr>
      <w:r>
        <w:rPr>
          <w:rFonts w:ascii="Courier New" w:cs="Courier New" w:eastAsia="Courier New" w:hAnsi="Courier New"/>
          <w:sz w:val="15"/>
          <w:szCs w:val="15"/>
          <w:color w:val="auto"/>
        </w:rPr>
        <w:t>------------------</w:t>
      </w:r>
    </w:p>
    <w:p>
      <w:pPr>
        <w:ind w:left="80"/>
        <w:spacing w:after="0"/>
        <w:tabs>
          <w:tab w:leader="none" w:pos="94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Wtd. Avg.</w:t>
      </w:r>
    </w:p>
    <w:p>
      <w:pPr>
        <w:ind w:left="960" w:hanging="787"/>
        <w:spacing w:after="0"/>
        <w:tabs>
          <w:tab w:leader="none" w:pos="9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 price</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168" w:lineRule="exact"/>
        <w:rPr>
          <w:sz w:val="20"/>
          <w:szCs w:val="20"/>
          <w:color w:val="auto"/>
        </w:rPr>
      </w:pPr>
    </w:p>
    <w:p>
      <w:pPr>
        <w:ind w:left="80"/>
        <w:spacing w:after="0"/>
        <w:tabs>
          <w:tab w:leader="none" w:pos="940" w:val="left"/>
          <w:tab w:leader="none" w:pos="1300" w:val="left"/>
        </w:tabs>
        <w:rPr>
          <w:sz w:val="20"/>
          <w:szCs w:val="20"/>
          <w:color w:val="auto"/>
        </w:rPr>
      </w:pPr>
      <w:r>
        <w:rPr>
          <w:rFonts w:ascii="Courier New" w:cs="Courier New" w:eastAsia="Courier New" w:hAnsi="Courier New"/>
          <w:sz w:val="15"/>
          <w:szCs w:val="15"/>
          <w:color w:val="auto"/>
        </w:rPr>
        <w:t>5,058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6</w:t>
      </w:r>
    </w:p>
    <w:p>
      <w:pPr>
        <w:ind w:left="1220" w:hanging="959"/>
        <w:spacing w:after="0"/>
        <w:tabs>
          <w:tab w:leader="none" w:pos="12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(1,186)</w:t>
      </w:r>
      <w:r>
        <w:rPr>
          <w:rFonts w:ascii="Courier New" w:cs="Courier New" w:eastAsia="Courier New" w:hAnsi="Courier New"/>
          <w:sz w:val="13"/>
          <w:szCs w:val="13"/>
          <w:color w:val="auto"/>
        </w:rPr>
        <w:t>3</w:t>
      </w:r>
    </w:p>
    <w:p>
      <w:pPr>
        <w:ind w:left="1320" w:hanging="1147"/>
        <w:spacing w:after="0" w:line="238" w:lineRule="auto"/>
        <w:tabs>
          <w:tab w:leader="none" w:pos="13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9</w:t>
      </w:r>
    </w:p>
    <w:tbl>
      <w:tblPr>
        <w:tblLayout w:type="fixed"/>
        <w:tblInd w:w="80" w:type="dxa"/>
        <w:tblCellMar>
          <w:top w:w="0" w:type="dxa"/>
          <w:left w:w="0" w:type="dxa"/>
          <w:bottom w:w="0" w:type="dxa"/>
          <w:right w:w="0" w:type="dxa"/>
        </w:tblCellMar>
      </w:tblPr>
      <w:tr>
        <w:trPr>
          <w:trHeight w:val="170"/>
        </w:trPr>
        <w:tc>
          <w:tcPr>
            <w:tcW w:w="6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6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6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4,706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69"/>
        </w:trPr>
        <w:tc>
          <w:tcPr>
            <w:tcW w:w="6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6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2,063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39"/>
        </w:trPr>
        <w:tc>
          <w:tcPr>
            <w:tcW w:w="6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6</w:t>
            </w:r>
          </w:p>
        </w:tc>
      </w:tr>
    </w:tbl>
    <w:p>
      <w:pPr>
        <w:sectPr>
          <w:pgSz w:w="11900" w:h="16838" w:orient="portrait"/>
          <w:cols w:equalWidth="0" w:num="2">
            <w:col w:w="8190" w:space="620"/>
            <w:col w:w="1760"/>
          </w:cols>
          <w:pgMar w:left="310" w:top="283" w:right="1019" w:bottom="241" w:gutter="0" w:footer="0" w:header="0"/>
        </w:sectPr>
      </w:pPr>
    </w:p>
    <w:bookmarkStart w:id="30" w:name="page31"/>
    <w:bookmarkEnd w:id="30"/>
    <w:p>
      <w:pPr>
        <w:ind w:left="22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9019"/>
          </w:cols>
          <w:pgMar w:left="1440" w:top="311" w:right="1440" w:bottom="1440" w:gutter="0" w:footer="0" w:header="0"/>
        </w:sectPr>
      </w:pPr>
    </w:p>
    <w:bookmarkStart w:id="31" w:name="page32"/>
    <w:bookmarkEnd w:id="31"/>
    <w:p>
      <w:pPr>
        <w:spacing w:after="0" w:line="66"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28</w:t>
      </w:r>
    </w:p>
    <w:p>
      <w:pPr>
        <w:spacing w:after="0" w:line="338" w:lineRule="exact"/>
        <w:rPr>
          <w:sz w:val="20"/>
          <w:szCs w:val="20"/>
          <w:color w:val="auto"/>
        </w:rPr>
      </w:pPr>
    </w:p>
    <w:p>
      <w:pPr>
        <w:jc w:val="center"/>
        <w:ind w:right="4050"/>
        <w:spacing w:after="0"/>
        <w:rPr>
          <w:sz w:val="20"/>
          <w:szCs w:val="20"/>
          <w:color w:val="auto"/>
        </w:rPr>
      </w:pPr>
      <w:r>
        <w:rPr>
          <w:rFonts w:ascii="Courier New" w:cs="Courier New" w:eastAsia="Courier New" w:hAnsi="Courier New"/>
          <w:sz w:val="15"/>
          <w:szCs w:val="15"/>
          <w:color w:val="auto"/>
        </w:rPr>
        <w:t>GENTEX CORPORATION AND SUBSIDIARIES</w:t>
      </w:r>
    </w:p>
    <w:p>
      <w:pPr>
        <w:jc w:val="center"/>
        <w:ind w:right="413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405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450" w:hanging="450"/>
        <w:spacing w:after="0"/>
        <w:tabs>
          <w:tab w:leader="none" w:pos="4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PLANS, continued</w:t>
      </w:r>
    </w:p>
    <w:p>
      <w:pPr>
        <w:spacing w:after="0" w:line="168"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 Outstanding and Exercisable by Price Range As of December 31, 1999</w:t>
      </w:r>
    </w:p>
    <w:p>
      <w:pPr>
        <w:spacing w:after="0" w:line="200" w:lineRule="exact"/>
        <w:rPr>
          <w:sz w:val="20"/>
          <w:szCs w:val="20"/>
          <w:color w:val="auto"/>
        </w:rPr>
      </w:pPr>
    </w:p>
    <w:p>
      <w:pPr>
        <w:spacing w:after="0" w:line="307" w:lineRule="exact"/>
        <w:rPr>
          <w:sz w:val="20"/>
          <w:szCs w:val="20"/>
          <w:color w:val="auto"/>
        </w:rPr>
      </w:pPr>
    </w:p>
    <w:tbl>
      <w:tblPr>
        <w:tblLayout w:type="fixed"/>
        <w:tblInd w:w="97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8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Options Exercisable</w:t>
            </w:r>
          </w:p>
        </w:tc>
      </w:tr>
      <w:tr>
        <w:trPr>
          <w:trHeight w:val="169"/>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0" w:type="dxa"/>
            <w:vAlign w:val="bottom"/>
            <w:gridSpan w:val="2"/>
          </w:tcPr>
          <w:p>
            <w:pPr>
              <w:jc w:val="right"/>
              <w:ind w:right="1087"/>
              <w:spacing w:after="0"/>
              <w:rPr>
                <w:sz w:val="20"/>
                <w:szCs w:val="20"/>
                <w:color w:val="auto"/>
              </w:rPr>
            </w:pPr>
            <w:r>
              <w:rPr>
                <w:rFonts w:ascii="Courier New" w:cs="Courier New" w:eastAsia="Courier New" w:hAnsi="Courier New"/>
                <w:sz w:val="15"/>
                <w:szCs w:val="15"/>
                <w:color w:val="auto"/>
              </w:rPr>
              <w:t>Options Outstanding</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9"/>
        </w:trPr>
        <w:tc>
          <w:tcPr>
            <w:tcW w:w="1580" w:type="dxa"/>
            <w:vAlign w:val="bottom"/>
            <w:gridSpan w:val="2"/>
          </w:tcPr>
          <w:p>
            <w:pPr>
              <w:spacing w:after="0"/>
              <w:rPr>
                <w:sz w:val="20"/>
                <w:szCs w:val="20"/>
                <w:color w:val="auto"/>
              </w:rPr>
            </w:pPr>
            <w:r>
              <w:rPr>
                <w:rFonts w:ascii="Courier New" w:cs="Courier New" w:eastAsia="Courier New" w:hAnsi="Courier New"/>
                <w:sz w:val="4"/>
                <w:szCs w:val="4"/>
                <w:color w:val="auto"/>
                <w:w w:val="82"/>
              </w:rPr>
              <w:t>-------------------------------------------------------------------------------</w:t>
            </w:r>
          </w:p>
        </w:tc>
        <w:tc>
          <w:tcPr>
            <w:tcW w:w="2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tcPr>
          <w:p>
            <w:pPr>
              <w:ind w:left="620"/>
              <w:spacing w:after="0"/>
              <w:rPr>
                <w:sz w:val="20"/>
                <w:szCs w:val="20"/>
                <w:color w:val="auto"/>
              </w:rPr>
            </w:pPr>
            <w:r>
              <w:rPr>
                <w:rFonts w:ascii="Courier New" w:cs="Courier New" w:eastAsia="Courier New" w:hAnsi="Courier New"/>
                <w:sz w:val="15"/>
                <w:szCs w:val="15"/>
                <w:color w:val="auto"/>
              </w:rPr>
              <w:t>Shares</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69"/>
        </w:trPr>
        <w:tc>
          <w:tcPr>
            <w:tcW w:w="1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Range of</w:t>
            </w:r>
          </w:p>
        </w:tc>
        <w:tc>
          <w:tcPr>
            <w:tcW w:w="20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Shares  Outstanding</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Remaining</w:t>
            </w:r>
          </w:p>
        </w:tc>
        <w:tc>
          <w:tcPr>
            <w:tcW w:w="16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Weighted-Average</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Exercisable</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Exercise</w:t>
            </w:r>
          </w:p>
        </w:tc>
      </w:tr>
      <w:tr>
        <w:trPr>
          <w:trHeight w:val="169"/>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Exercise Prices</w:t>
            </w:r>
          </w:p>
        </w:tc>
        <w:tc>
          <w:tcPr>
            <w:tcW w:w="20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(000)</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Contractual Life</w:t>
            </w:r>
          </w:p>
        </w:tc>
        <w:tc>
          <w:tcPr>
            <w:tcW w:w="16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Exercise Price</w:t>
            </w:r>
          </w:p>
        </w:tc>
        <w:tc>
          <w:tcPr>
            <w:tcW w:w="1580" w:type="dxa"/>
            <w:vAlign w:val="bottom"/>
          </w:tcPr>
          <w:p>
            <w:pPr>
              <w:ind w:left="620"/>
              <w:spacing w:after="0"/>
              <w:rPr>
                <w:sz w:val="20"/>
                <w:szCs w:val="20"/>
                <w:color w:val="auto"/>
              </w:rPr>
            </w:pPr>
            <w:r>
              <w:rPr>
                <w:rFonts w:ascii="Courier New" w:cs="Courier New" w:eastAsia="Courier New" w:hAnsi="Courier New"/>
                <w:sz w:val="15"/>
                <w:szCs w:val="15"/>
                <w:color w:val="auto"/>
              </w:rPr>
              <w:t>(000)</w:t>
            </w:r>
          </w:p>
        </w:tc>
        <w:tc>
          <w:tcPr>
            <w:tcW w:w="16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Price</w:t>
            </w:r>
          </w:p>
        </w:tc>
      </w:tr>
      <w:tr>
        <w:trPr>
          <w:trHeight w:val="169"/>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r>
      <w:tr>
        <w:trPr>
          <w:trHeight w:val="339"/>
        </w:trPr>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$ 1</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 $10</w:t>
            </w:r>
          </w:p>
        </w:tc>
        <w:tc>
          <w:tcPr>
            <w:tcW w:w="20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1,348</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1,023</w:t>
            </w:r>
          </w:p>
        </w:tc>
        <w:tc>
          <w:tcPr>
            <w:tcW w:w="84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w:t>
            </w:r>
          </w:p>
        </w:tc>
      </w:tr>
      <w:tr>
        <w:trPr>
          <w:trHeight w:val="169"/>
        </w:trPr>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$11</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 $20</w:t>
            </w:r>
          </w:p>
        </w:tc>
        <w:tc>
          <w:tcPr>
            <w:tcW w:w="20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1,555</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w:t>
            </w:r>
          </w:p>
        </w:tc>
        <w:tc>
          <w:tcPr>
            <w:tcW w:w="820" w:type="dxa"/>
            <w:vAlign w:val="bottom"/>
          </w:tcPr>
          <w:p>
            <w:pPr>
              <w:spacing w:after="0"/>
              <w:rPr>
                <w:sz w:val="14"/>
                <w:szCs w:val="14"/>
                <w:color w:val="auto"/>
              </w:rPr>
            </w:pPr>
          </w:p>
        </w:tc>
        <w:tc>
          <w:tcPr>
            <w:tcW w:w="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13</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607</w:t>
            </w:r>
          </w:p>
        </w:tc>
        <w:tc>
          <w:tcPr>
            <w:tcW w:w="840" w:type="dxa"/>
            <w:vAlign w:val="bottom"/>
          </w:tcPr>
          <w:p>
            <w:pPr>
              <w:spacing w:after="0"/>
              <w:rPr>
                <w:sz w:val="14"/>
                <w:szCs w:val="14"/>
                <w:color w:val="auto"/>
              </w:rPr>
            </w:pPr>
          </w:p>
        </w:tc>
        <w:tc>
          <w:tcPr>
            <w:tcW w:w="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w:t>
            </w:r>
          </w:p>
        </w:tc>
      </w:tr>
      <w:tr>
        <w:trPr>
          <w:trHeight w:val="169"/>
        </w:trPr>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$21</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 $33</w:t>
            </w:r>
          </w:p>
        </w:tc>
        <w:tc>
          <w:tcPr>
            <w:tcW w:w="20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904</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w:t>
            </w:r>
          </w:p>
        </w:tc>
        <w:tc>
          <w:tcPr>
            <w:tcW w:w="820" w:type="dxa"/>
            <w:vAlign w:val="bottom"/>
          </w:tcPr>
          <w:p>
            <w:pPr>
              <w:spacing w:after="0"/>
              <w:rPr>
                <w:sz w:val="14"/>
                <w:szCs w:val="14"/>
                <w:color w:val="auto"/>
              </w:rPr>
            </w:pPr>
          </w:p>
        </w:tc>
        <w:tc>
          <w:tcPr>
            <w:tcW w:w="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w:t>
            </w:r>
          </w:p>
        </w:tc>
        <w:tc>
          <w:tcPr>
            <w:tcW w:w="840" w:type="dxa"/>
            <w:vAlign w:val="bottom"/>
          </w:tcPr>
          <w:p>
            <w:pPr>
              <w:spacing w:after="0"/>
              <w:rPr>
                <w:sz w:val="14"/>
                <w:szCs w:val="14"/>
                <w:color w:val="auto"/>
              </w:rPr>
            </w:pPr>
          </w:p>
        </w:tc>
        <w:tc>
          <w:tcPr>
            <w:tcW w:w="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w:t>
            </w:r>
          </w:p>
        </w:tc>
      </w:tr>
      <w:tr>
        <w:trPr>
          <w:trHeight w:val="169"/>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69"/>
        </w:trPr>
        <w:tc>
          <w:tcPr>
            <w:tcW w:w="1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Total</w:t>
            </w:r>
          </w:p>
        </w:tc>
        <w:tc>
          <w:tcPr>
            <w:tcW w:w="20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3,807</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w:t>
            </w:r>
          </w:p>
        </w:tc>
        <w:tc>
          <w:tcPr>
            <w:tcW w:w="820" w:type="dxa"/>
            <w:vAlign w:val="bottom"/>
          </w:tcPr>
          <w:p>
            <w:pPr>
              <w:spacing w:after="0"/>
              <w:rPr>
                <w:sz w:val="14"/>
                <w:szCs w:val="14"/>
                <w:color w:val="auto"/>
              </w:rPr>
            </w:pPr>
          </w:p>
        </w:tc>
        <w:tc>
          <w:tcPr>
            <w:tcW w:w="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13</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1,660</w:t>
            </w:r>
          </w:p>
        </w:tc>
        <w:tc>
          <w:tcPr>
            <w:tcW w:w="840" w:type="dxa"/>
            <w:vAlign w:val="bottom"/>
          </w:tcPr>
          <w:p>
            <w:pPr>
              <w:spacing w:after="0"/>
              <w:rPr>
                <w:sz w:val="14"/>
                <w:szCs w:val="14"/>
                <w:color w:val="auto"/>
              </w:rPr>
            </w:pPr>
          </w:p>
        </w:tc>
        <w:tc>
          <w:tcPr>
            <w:tcW w:w="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w:t>
            </w:r>
          </w:p>
        </w:tc>
      </w:tr>
      <w:tr>
        <w:trPr>
          <w:trHeight w:val="169"/>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344" w:lineRule="exact"/>
        <w:rPr>
          <w:sz w:val="20"/>
          <w:szCs w:val="20"/>
          <w:color w:val="auto"/>
        </w:rPr>
      </w:pPr>
    </w:p>
    <w:p>
      <w:pPr>
        <w:ind w:left="710" w:right="4140" w:hanging="263"/>
        <w:spacing w:after="0" w:line="238"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 pricing model with the following weighted-average assumptions used for grants in 1999, 1998 and 1997, respectively: risk-free interest rates of 5.9, 5.1 and 6.2 percent; expected dividend yields of 0.0, 0.0 and 0.0 percent; expected lives of 5 years, 6 years and 6 years; expected volatility of 52, 43 and 46 percent.</w:t>
      </w:r>
    </w:p>
    <w:p>
      <w:pPr>
        <w:spacing w:after="0" w:line="175" w:lineRule="exact"/>
        <w:rPr>
          <w:sz w:val="20"/>
          <w:szCs w:val="20"/>
          <w:color w:val="auto"/>
        </w:rPr>
      </w:pPr>
    </w:p>
    <w:p>
      <w:pPr>
        <w:ind w:left="710" w:right="4140" w:hanging="263"/>
        <w:spacing w:after="0" w:line="237" w:lineRule="auto"/>
        <w:rPr>
          <w:sz w:val="20"/>
          <w:szCs w:val="20"/>
          <w:color w:val="auto"/>
        </w:rPr>
      </w:pPr>
      <w:r>
        <w:rPr>
          <w:rFonts w:ascii="Courier New" w:cs="Courier New" w:eastAsia="Courier New" w:hAnsi="Courier New"/>
          <w:sz w:val="15"/>
          <w:szCs w:val="15"/>
          <w:color w:val="auto"/>
        </w:rPr>
        <w:t>The Company may grant options for up to 2,000,000 shares under the Director Plan. The Company has granted options on 1,076,000 shares through December 31, 1999. Under the plan the option exercise price equals the stock's market price on date of grant. The Director Plan options vest after six months, and all expire after ten years.</w:t>
      </w:r>
    </w:p>
    <w:p>
      <w:pPr>
        <w:spacing w:after="0" w:line="177" w:lineRule="exact"/>
        <w:rPr>
          <w:sz w:val="20"/>
          <w:szCs w:val="20"/>
          <w:color w:val="auto"/>
        </w:rPr>
      </w:pPr>
    </w:p>
    <w:p>
      <w:pPr>
        <w:jc w:val="both"/>
        <w:ind w:left="710" w:right="4400" w:hanging="269"/>
        <w:spacing w:after="0" w:line="236" w:lineRule="auto"/>
        <w:tabs>
          <w:tab w:leader="none" w:pos="71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the status of the Director Plan at December 31, 1999, 1998 and 1997, and changes during the years then ended is presented in the table and narrative below:</w:t>
      </w:r>
    </w:p>
    <w:p>
      <w:pPr>
        <w:spacing w:after="0" w:line="200" w:lineRule="exact"/>
        <w:rPr>
          <w:sz w:val="20"/>
          <w:szCs w:val="20"/>
          <w:color w:val="auto"/>
        </w:rPr>
      </w:pPr>
    </w:p>
    <w:p>
      <w:pPr>
        <w:spacing w:after="0" w:line="309"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4"/>
              </w:rPr>
              <w:t>1998</w:t>
            </w:r>
          </w:p>
        </w:tc>
        <w:tc>
          <w:tcPr>
            <w:tcW w:w="88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1997</w:t>
            </w:r>
          </w:p>
        </w:tc>
        <w:tc>
          <w:tcPr>
            <w:tcW w:w="580" w:type="dxa"/>
            <w:vAlign w:val="bottom"/>
          </w:tcPr>
          <w:p>
            <w:pPr>
              <w:spacing w:after="0"/>
              <w:rPr>
                <w:sz w:val="14"/>
                <w:szCs w:val="14"/>
                <w:color w:val="auto"/>
              </w:rPr>
            </w:pPr>
          </w:p>
        </w:tc>
      </w:tr>
      <w:tr>
        <w:trPr>
          <w:trHeight w:val="169"/>
        </w:trPr>
        <w:tc>
          <w:tcPr>
            <w:tcW w:w="3160" w:type="dxa"/>
            <w:vAlign w:val="bottom"/>
          </w:tcPr>
          <w:p>
            <w:pPr>
              <w:spacing w:after="0"/>
              <w:rPr>
                <w:sz w:val="14"/>
                <w:szCs w:val="14"/>
                <w:color w:val="auto"/>
              </w:rPr>
            </w:pPr>
          </w:p>
        </w:tc>
        <w:tc>
          <w:tcPr>
            <w:tcW w:w="23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9"/>
        </w:trPr>
        <w:tc>
          <w:tcPr>
            <w:tcW w:w="31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Wtd. Avg.</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Shares</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Wtd. Avg.</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14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6"/>
              </w:rPr>
              <w:t>Wtd. Avg.</w:t>
            </w:r>
          </w:p>
        </w:tc>
      </w:tr>
      <w:tr>
        <w:trPr>
          <w:trHeight w:val="169"/>
        </w:trPr>
        <w:tc>
          <w:tcPr>
            <w:tcW w:w="31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(000)</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Ex price</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(000)</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Ex price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(000)</w:t>
            </w:r>
          </w:p>
        </w:tc>
        <w:tc>
          <w:tcPr>
            <w:tcW w:w="11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 price</w:t>
            </w:r>
          </w:p>
        </w:tc>
      </w:tr>
      <w:tr>
        <w:trPr>
          <w:trHeight w:val="169"/>
        </w:trPr>
        <w:tc>
          <w:tcPr>
            <w:tcW w:w="31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512</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$ 6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548</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  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w:t>
            </w:r>
          </w:p>
        </w:tc>
        <w:tc>
          <w:tcPr>
            <w:tcW w:w="560" w:type="dxa"/>
            <w:vAlign w:val="bottom"/>
          </w:tcPr>
          <w:p>
            <w:pPr>
              <w:spacing w:after="0"/>
              <w:rPr>
                <w:sz w:val="14"/>
                <w:szCs w:val="14"/>
                <w:color w:val="auto"/>
              </w:rPr>
            </w:pP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w:t>
            </w: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560" w:type="dxa"/>
            <w:vAlign w:val="bottom"/>
          </w:tcPr>
          <w:p>
            <w:pPr>
              <w:spacing w:after="0"/>
              <w:rPr>
                <w:sz w:val="14"/>
                <w:szCs w:val="14"/>
                <w:color w:val="auto"/>
              </w:rPr>
            </w:pP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w:t>
            </w: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rPr>
              <w:t>Expired</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9"/>
        </w:trPr>
        <w:tc>
          <w:tcPr>
            <w:tcW w:w="316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512</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548</w:t>
            </w:r>
          </w:p>
        </w:tc>
        <w:tc>
          <w:tcPr>
            <w:tcW w:w="560" w:type="dxa"/>
            <w:vAlign w:val="bottom"/>
          </w:tcPr>
          <w:p>
            <w:pPr>
              <w:spacing w:after="0"/>
              <w:rPr>
                <w:sz w:val="14"/>
                <w:szCs w:val="14"/>
                <w:color w:val="auto"/>
              </w:rPr>
            </w:pP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w:t>
            </w:r>
          </w:p>
        </w:tc>
      </w:tr>
      <w:tr>
        <w:trPr>
          <w:trHeight w:val="169"/>
        </w:trPr>
        <w:tc>
          <w:tcPr>
            <w:tcW w:w="316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512</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548</w:t>
            </w:r>
          </w:p>
        </w:tc>
        <w:tc>
          <w:tcPr>
            <w:tcW w:w="560" w:type="dxa"/>
            <w:vAlign w:val="bottom"/>
          </w:tcPr>
          <w:p>
            <w:pPr>
              <w:spacing w:after="0"/>
              <w:rPr>
                <w:sz w:val="14"/>
                <w:szCs w:val="14"/>
                <w:color w:val="auto"/>
              </w:rPr>
            </w:pP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w:t>
            </w: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rPr>
              <w:t>Weighted Avg. Fair Value</w:t>
            </w: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9"/>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of Options Granted</w:t>
            </w:r>
          </w:p>
        </w:tc>
        <w:tc>
          <w:tcPr>
            <w:tcW w:w="1200" w:type="dxa"/>
            <w:vAlign w:val="bottom"/>
          </w:tcPr>
          <w:p>
            <w:pPr>
              <w:spacing w:after="0"/>
              <w:rPr>
                <w:sz w:val="14"/>
                <w:szCs w:val="14"/>
                <w:color w:val="auto"/>
              </w:rPr>
            </w:pP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w:t>
            </w:r>
          </w:p>
        </w:tc>
        <w:tc>
          <w:tcPr>
            <w:tcW w:w="920" w:type="dxa"/>
            <w:vAlign w:val="bottom"/>
          </w:tcPr>
          <w:p>
            <w:pPr>
              <w:spacing w:after="0"/>
              <w:rPr>
                <w:sz w:val="14"/>
                <w:szCs w:val="14"/>
                <w:color w:val="auto"/>
              </w:rPr>
            </w:pP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w:t>
            </w:r>
          </w:p>
        </w:tc>
      </w:tr>
    </w:tbl>
    <w:p>
      <w:pPr>
        <w:spacing w:after="0" w:line="200" w:lineRule="exact"/>
        <w:rPr>
          <w:sz w:val="20"/>
          <w:szCs w:val="20"/>
          <w:color w:val="auto"/>
        </w:rPr>
      </w:pPr>
    </w:p>
    <w:p>
      <w:pPr>
        <w:spacing w:after="0" w:line="307"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Options Outstanding and Exercisable by Price Range As Of December 31, 1999</w:t>
      </w:r>
    </w:p>
    <w:p>
      <w:pPr>
        <w:spacing w:after="0" w:line="200" w:lineRule="exact"/>
        <w:rPr>
          <w:sz w:val="20"/>
          <w:szCs w:val="20"/>
          <w:color w:val="auto"/>
        </w:rPr>
      </w:pPr>
    </w:p>
    <w:p>
      <w:pPr>
        <w:spacing w:after="0" w:line="307" w:lineRule="exact"/>
        <w:rPr>
          <w:sz w:val="20"/>
          <w:szCs w:val="20"/>
          <w:color w:val="auto"/>
        </w:rPr>
      </w:pPr>
    </w:p>
    <w:p>
      <w:pPr>
        <w:jc w:val="right"/>
        <w:ind w:right="620"/>
        <w:spacing w:after="0"/>
        <w:rPr>
          <w:sz w:val="20"/>
          <w:szCs w:val="20"/>
          <w:color w:val="auto"/>
        </w:rPr>
      </w:pPr>
      <w:r>
        <w:rPr>
          <w:rFonts w:ascii="Courier New" w:cs="Courier New" w:eastAsia="Courier New" w:hAnsi="Courier New"/>
          <w:sz w:val="15"/>
          <w:szCs w:val="15"/>
          <w:color w:val="auto"/>
        </w:rPr>
        <w:t>Options Exercisable</w:t>
      </w:r>
    </w:p>
    <w:p>
      <w:pPr>
        <w:ind w:left="889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tbl>
      <w:tblPr>
        <w:tblLayout w:type="fixed"/>
        <w:tblInd w:w="97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0" w:type="dxa"/>
            <w:vAlign w:val="bottom"/>
            <w:gridSpan w:val="2"/>
          </w:tcPr>
          <w:p>
            <w:pPr>
              <w:jc w:val="right"/>
              <w:ind w:right="1087"/>
              <w:spacing w:after="0"/>
              <w:rPr>
                <w:sz w:val="20"/>
                <w:szCs w:val="20"/>
                <w:color w:val="auto"/>
              </w:rPr>
            </w:pPr>
            <w:r>
              <w:rPr>
                <w:rFonts w:ascii="Courier New" w:cs="Courier New" w:eastAsia="Courier New" w:hAnsi="Courier New"/>
                <w:sz w:val="15"/>
                <w:szCs w:val="15"/>
                <w:color w:val="auto"/>
              </w:rPr>
              <w:t>Options  Outstanding</w:t>
            </w:r>
          </w:p>
        </w:tc>
        <w:tc>
          <w:tcPr>
            <w:tcW w:w="1760" w:type="dxa"/>
            <w:vAlign w:val="bottom"/>
          </w:tcPr>
          <w:p>
            <w:pPr>
              <w:spacing w:after="0"/>
              <w:rPr>
                <w:sz w:val="14"/>
                <w:szCs w:val="14"/>
                <w:color w:val="auto"/>
              </w:rPr>
            </w:pP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Shares</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69"/>
        </w:trPr>
        <w:tc>
          <w:tcPr>
            <w:tcW w:w="7140" w:type="dxa"/>
            <w:vAlign w:val="bottom"/>
            <w:gridSpan w:val="5"/>
          </w:tcPr>
          <w:p>
            <w:pPr>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9"/>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Range</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20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Shares Outstanding</w:t>
            </w:r>
          </w:p>
        </w:tc>
        <w:tc>
          <w:tcPr>
            <w:tcW w:w="1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Remaining</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Weighted-Average</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Exercisable</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Exercise</w:t>
            </w:r>
          </w:p>
        </w:tc>
      </w:tr>
      <w:tr>
        <w:trPr>
          <w:trHeight w:val="169"/>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Exercise</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Prices</w:t>
            </w:r>
          </w:p>
        </w:tc>
        <w:tc>
          <w:tcPr>
            <w:tcW w:w="20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(000)</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Contractual Life</w:t>
            </w:r>
          </w:p>
        </w:tc>
        <w:tc>
          <w:tcPr>
            <w:tcW w:w="1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Exercise Price</w:t>
            </w:r>
          </w:p>
        </w:tc>
        <w:tc>
          <w:tcPr>
            <w:tcW w:w="14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(000)</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Price</w:t>
            </w:r>
          </w:p>
        </w:tc>
      </w:tr>
      <w:tr>
        <w:trPr>
          <w:trHeight w:val="169"/>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$1 -</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2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440</w:t>
            </w:r>
          </w:p>
        </w:tc>
        <w:tc>
          <w:tcPr>
            <w:tcW w:w="17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w:t>
            </w:r>
          </w:p>
        </w:tc>
        <w:tc>
          <w:tcPr>
            <w:tcW w:w="17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  5</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440</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5</w:t>
            </w:r>
          </w:p>
        </w:tc>
      </w:tr>
      <w:tr>
        <w:trPr>
          <w:trHeight w:val="169"/>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$11 -</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$29</w:t>
            </w:r>
          </w:p>
        </w:tc>
        <w:tc>
          <w:tcPr>
            <w:tcW w:w="2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60</w:t>
            </w:r>
          </w:p>
        </w:tc>
        <w:tc>
          <w:tcPr>
            <w:tcW w:w="17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9</w:t>
            </w:r>
          </w:p>
        </w:tc>
        <w:tc>
          <w:tcPr>
            <w:tcW w:w="17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21</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w:t>
            </w:r>
          </w:p>
        </w:tc>
      </w:tr>
      <w:tr>
        <w:trPr>
          <w:trHeight w:val="169"/>
        </w:trPr>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69"/>
        </w:trPr>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500</w:t>
            </w:r>
          </w:p>
        </w:tc>
        <w:tc>
          <w:tcPr>
            <w:tcW w:w="17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w:t>
            </w:r>
          </w:p>
        </w:tc>
        <w:tc>
          <w:tcPr>
            <w:tcW w:w="17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7</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500</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w:t>
            </w:r>
          </w:p>
        </w:tc>
      </w:tr>
      <w:tr>
        <w:trPr>
          <w:trHeight w:val="169"/>
        </w:trPr>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r>
    </w:tbl>
    <w:p>
      <w:pPr>
        <w:spacing w:after="0" w:line="344" w:lineRule="exact"/>
        <w:rPr>
          <w:sz w:val="20"/>
          <w:szCs w:val="20"/>
          <w:color w:val="auto"/>
        </w:rPr>
      </w:pPr>
    </w:p>
    <w:p>
      <w:pPr>
        <w:ind w:left="710" w:right="4140" w:hanging="263"/>
        <w:spacing w:after="0" w:line="238"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 pricing model with the following weighted-average assumptions used for grants in 1999, 1998 and 1997, respectively: risk-free interest rates of 5.6, 5.7 and 6.7 percent; expected dividend yields of 0.0, 0.0 and 0.0 percent; expected lives of 9, 5 and 5 years; expected volatility of 52, 43 and 46 percent.</w:t>
      </w:r>
    </w:p>
    <w:p>
      <w:pPr>
        <w:sectPr>
          <w:pgSz w:w="11900" w:h="16905" w:orient="portrait"/>
          <w:cols w:equalWidth="0" w:num="1">
            <w:col w:w="11190"/>
          </w:cols>
          <w:pgMar w:left="310" w:top="283" w:right="399" w:bottom="0" w:gutter="0" w:footer="0" w:header="0"/>
        </w:sectPr>
      </w:pPr>
    </w:p>
    <w:p>
      <w:pPr>
        <w:spacing w:after="0" w:line="344" w:lineRule="exact"/>
        <w:rPr>
          <w:sz w:val="20"/>
          <w:szCs w:val="20"/>
          <w:color w:val="auto"/>
        </w:rPr>
      </w:pPr>
    </w:p>
    <w:p>
      <w:pPr>
        <w:ind w:left="3350"/>
        <w:spacing w:after="0"/>
        <w:rPr>
          <w:sz w:val="20"/>
          <w:szCs w:val="20"/>
          <w:color w:val="auto"/>
        </w:rPr>
      </w:pPr>
      <w:r>
        <w:rPr>
          <w:rFonts w:ascii="Courier New" w:cs="Courier New" w:eastAsia="Courier New" w:hAnsi="Courier New"/>
          <w:sz w:val="14"/>
          <w:szCs w:val="14"/>
          <w:color w:val="auto"/>
        </w:rPr>
        <w:t>-28-</w:t>
      </w:r>
    </w:p>
    <w:p>
      <w:pPr>
        <w:sectPr>
          <w:pgSz w:w="11900" w:h="16905" w:orient="portrait"/>
          <w:cols w:equalWidth="0" w:num="1">
            <w:col w:w="11190"/>
          </w:cols>
          <w:pgMar w:left="310" w:top="283" w:right="399" w:bottom="0" w:gutter="0" w:footer="0" w:header="0"/>
          <w:type w:val="continuous"/>
        </w:sectPr>
      </w:pPr>
    </w:p>
    <w:bookmarkStart w:id="32" w:name="page33"/>
    <w:bookmarkEnd w:id="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ind w:left="270"/>
        <w:spacing w:after="0"/>
        <w:rPr>
          <w:sz w:val="20"/>
          <w:szCs w:val="20"/>
          <w:color w:val="auto"/>
        </w:rPr>
      </w:pPr>
      <w:r>
        <w:rPr>
          <w:rFonts w:ascii="Courier New" w:cs="Courier New" w:eastAsia="Courier New" w:hAnsi="Courier New"/>
          <w:sz w:val="15"/>
          <w:szCs w:val="15"/>
          <w:color w:val="auto"/>
        </w:rPr>
        <w:t>29</w:t>
      </w:r>
    </w:p>
    <w:p>
      <w:pPr>
        <w:spacing w:after="0" w:line="338" w:lineRule="exact"/>
        <w:rPr>
          <w:sz w:val="20"/>
          <w:szCs w:val="20"/>
          <w:color w:val="auto"/>
        </w:rPr>
      </w:pPr>
    </w:p>
    <w:p>
      <w:pPr>
        <w:jc w:val="center"/>
        <w:ind w:right="3010"/>
        <w:spacing w:after="0"/>
        <w:rPr>
          <w:sz w:val="20"/>
          <w:szCs w:val="20"/>
          <w:color w:val="auto"/>
        </w:rPr>
      </w:pPr>
      <w:r>
        <w:rPr>
          <w:rFonts w:ascii="Courier New" w:cs="Courier New" w:eastAsia="Courier New" w:hAnsi="Courier New"/>
          <w:sz w:val="15"/>
          <w:szCs w:val="15"/>
          <w:color w:val="auto"/>
        </w:rPr>
        <w:t>GENTEX CORPORATION AND SUBSIDIARIES</w:t>
      </w:r>
    </w:p>
    <w:p>
      <w:pPr>
        <w:jc w:val="center"/>
        <w:ind w:right="309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01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38" w:lineRule="exact"/>
        <w:rPr>
          <w:sz w:val="20"/>
          <w:szCs w:val="20"/>
          <w:color w:val="auto"/>
        </w:rPr>
      </w:pPr>
    </w:p>
    <w:p>
      <w:pPr>
        <w:ind w:left="450" w:hanging="450"/>
        <w:spacing w:after="0"/>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PLANS, continued</w:t>
      </w:r>
    </w:p>
    <w:p>
      <w:pPr>
        <w:spacing w:after="0" w:line="174"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has a restricted stock plan covering 1,600,000 shares of common</w:t>
      </w:r>
    </w:p>
    <w:p>
      <w:pPr>
        <w:spacing w:after="0" w:line="10" w:lineRule="exact"/>
        <w:rPr>
          <w:rFonts w:ascii="Courier New" w:cs="Courier New" w:eastAsia="Courier New" w:hAnsi="Courier New"/>
          <w:sz w:val="15"/>
          <w:szCs w:val="15"/>
          <w:color w:val="auto"/>
        </w:rPr>
      </w:pPr>
    </w:p>
    <w:p>
      <w:pPr>
        <w:ind w:left="710" w:right="31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 the purpose of which is to permit grants of shares, subject to restrictions, to key employees of the Company as a means of retaining and rewarding them for long-term performance and to increase their ownership in the Company. Shares awarded under the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During 1999, 1998 and 1997, 31,600, 64,200 and 75,000 shares, respectively, were granted with restriction periods of four to six years at market prices ranging from $20.72 to $33.063 in 1999, $14.032 to $19.813 in 1998, and $10.063 to $12.938 in 1997. The related expense is reflected as a deferred compensation component of shareholders' investment in the accompanying consolidated financial statements and is being amortized over the applicable restriction periods.</w:t>
      </w:r>
    </w:p>
    <w:p>
      <w:pPr>
        <w:spacing w:after="0" w:line="346"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SPLITS</w:t>
      </w:r>
    </w:p>
    <w:p>
      <w:pPr>
        <w:spacing w:after="0" w:line="174" w:lineRule="exact"/>
        <w:rPr>
          <w:rFonts w:ascii="Courier New" w:cs="Courier New" w:eastAsia="Courier New" w:hAnsi="Courier New"/>
          <w:sz w:val="15"/>
          <w:szCs w:val="15"/>
          <w:color w:val="auto"/>
        </w:rPr>
      </w:pPr>
    </w:p>
    <w:p>
      <w:pPr>
        <w:ind w:left="710" w:right="3359" w:hanging="264"/>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May 21, 1998, the Company's Board of Directors declared a two-for-one stock split effected in the form of a 100% common stock dividend to shareholders of record on June 5, 1998. The stock split increased the number of shares of common stock then outstanding from 35,836,177 to 71,672,354.</w:t>
      </w:r>
    </w:p>
    <w:p>
      <w:pPr>
        <w:spacing w:after="0" w:line="177" w:lineRule="exact"/>
        <w:rPr>
          <w:rFonts w:ascii="Courier New" w:cs="Courier New" w:eastAsia="Courier New" w:hAnsi="Courier New"/>
          <w:sz w:val="15"/>
          <w:szCs w:val="15"/>
          <w:color w:val="auto"/>
        </w:rPr>
      </w:pPr>
    </w:p>
    <w:p>
      <w:pPr>
        <w:ind w:left="450" w:right="36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 and all share data have been restated in all prior periods to reflect this stock split.</w:t>
      </w:r>
    </w:p>
    <w:p>
      <w:pPr>
        <w:spacing w:after="0" w:line="200" w:lineRule="exact"/>
        <w:rPr>
          <w:rFonts w:ascii="Courier New" w:cs="Courier New" w:eastAsia="Courier New" w:hAnsi="Courier New"/>
          <w:sz w:val="15"/>
          <w:szCs w:val="15"/>
          <w:color w:val="auto"/>
        </w:rPr>
      </w:pPr>
    </w:p>
    <w:p>
      <w:pPr>
        <w:spacing w:after="0" w:line="308"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4" w:lineRule="exact"/>
        <w:rPr>
          <w:rFonts w:ascii="Courier New" w:cs="Courier New" w:eastAsia="Courier New" w:hAnsi="Courier New"/>
          <w:sz w:val="15"/>
          <w:szCs w:val="15"/>
          <w:color w:val="auto"/>
        </w:rPr>
      </w:pPr>
    </w:p>
    <w:p>
      <w:pPr>
        <w:ind w:left="710" w:right="3199" w:hanging="264"/>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the Company is subject to legal proceedings and claims which arise in the ordinary course of its business. In the opinion of management, the amount of ultimate liability with respect to these actions will not materially affect the financial position or results of operations of the Company.</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74" w:lineRule="exact"/>
        <w:rPr>
          <w:rFonts w:ascii="Courier New" w:cs="Courier New" w:eastAsia="Courier New" w:hAnsi="Courier New"/>
          <w:sz w:val="15"/>
          <w:szCs w:val="15"/>
          <w:color w:val="auto"/>
        </w:rPr>
      </w:pPr>
    </w:p>
    <w:p>
      <w:pPr>
        <w:ind w:left="710" w:right="3099" w:hanging="264"/>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year 1998, the Company adopted Statement of Financial Accounting Standards No. 131: "Disclosures About Segments of an Enterprise and Related Information" (SFAS No. 131). This statement requires that a public enterprise report financial and descriptive information about its reportable operating segments subject to certain aggregation criteria and quantitative thresholds. Operating segments are defined by SFAS No. 131 as components of an enterprise about which separate financial information is available that is evaluated regularly by the chief operating decision-makers in deciding how to allocate resources and in assessing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49"/>
          </w:cols>
          <w:pgMar w:left="310" w:top="28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30</w:t>
      </w:r>
    </w:p>
    <w:p>
      <w:pPr>
        <w:spacing w:after="0" w:line="33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GENTEX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01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(9)</w:t>
      </w:r>
      <w:r>
        <w:rPr>
          <w:sz w:val="20"/>
          <w:szCs w:val="20"/>
          <w:color w:val="auto"/>
        </w:rPr>
        <w:tab/>
      </w:r>
      <w:r>
        <w:rPr>
          <w:rFonts w:ascii="Courier New" w:cs="Courier New" w:eastAsia="Courier New" w:hAnsi="Courier New"/>
          <w:sz w:val="14"/>
          <w:szCs w:val="14"/>
          <w:color w:val="auto"/>
        </w:rPr>
        <w:t>SEGMENT REPORTING, continued</w:t>
      </w:r>
    </w:p>
    <w:p>
      <w:pPr>
        <w:spacing w:after="0" w:line="200" w:lineRule="exact"/>
        <w:rPr>
          <w:sz w:val="20"/>
          <w:szCs w:val="20"/>
          <w:color w:val="auto"/>
        </w:rPr>
      </w:pPr>
    </w:p>
    <w:p>
      <w:pPr>
        <w:spacing w:after="0" w:line="30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69"/>
        </w:trPr>
        <w:tc>
          <w:tcPr>
            <w:tcW w:w="3200" w:type="dxa"/>
            <w:vAlign w:val="bottom"/>
          </w:tcPr>
          <w:p>
            <w:pPr>
              <w:spacing w:after="0"/>
              <w:rPr>
                <w:sz w:val="14"/>
                <w:szCs w:val="14"/>
                <w:color w:val="auto"/>
              </w:rPr>
            </w:pP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Automotive Products</w:t>
            </w:r>
          </w:p>
        </w:tc>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9"/>
        </w:trPr>
        <w:tc>
          <w:tcPr>
            <w:tcW w:w="3200" w:type="dxa"/>
            <w:vAlign w:val="bottom"/>
          </w:tcPr>
          <w:p>
            <w:pPr>
              <w:ind w:left="600"/>
              <w:spacing w:after="0"/>
              <w:rPr>
                <w:sz w:val="20"/>
                <w:szCs w:val="20"/>
                <w:color w:val="auto"/>
              </w:rPr>
            </w:pPr>
            <w:r>
              <w:rPr>
                <w:rFonts w:ascii="Courier New" w:cs="Courier New" w:eastAsia="Courier New" w:hAnsi="Courier New"/>
                <w:sz w:val="15"/>
                <w:szCs w:val="15"/>
                <w:color w:val="auto"/>
              </w:rPr>
              <w:t>U.S.</w:t>
            </w: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$151,222,877</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$127,588,319</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$ 98,229,265</w:t>
            </w:r>
          </w:p>
        </w:tc>
      </w:tr>
      <w:tr>
        <w:trPr>
          <w:trHeight w:val="169"/>
        </w:trPr>
        <w:tc>
          <w:tcPr>
            <w:tcW w:w="3200" w:type="dxa"/>
            <w:vAlign w:val="bottom"/>
          </w:tcPr>
          <w:p>
            <w:pPr>
              <w:ind w:left="600"/>
              <w:spacing w:after="0"/>
              <w:rPr>
                <w:sz w:val="20"/>
                <w:szCs w:val="20"/>
                <w:color w:val="auto"/>
              </w:rPr>
            </w:pPr>
            <w:r>
              <w:rPr>
                <w:rFonts w:ascii="Courier New" w:cs="Courier New" w:eastAsia="Courier New" w:hAnsi="Courier New"/>
                <w:sz w:val="15"/>
                <w:szCs w:val="15"/>
                <w:color w:val="auto"/>
              </w:rPr>
              <w:t>Germany</w:t>
            </w:r>
          </w:p>
        </w:tc>
        <w:tc>
          <w:tcPr>
            <w:tcW w:w="840" w:type="dxa"/>
            <w:vAlign w:val="bottom"/>
          </w:tcPr>
          <w:p>
            <w:pPr>
              <w:spacing w:after="0"/>
              <w:rPr>
                <w:sz w:val="14"/>
                <w:szCs w:val="14"/>
                <w:color w:val="auto"/>
              </w:rPr>
            </w:pP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47,870,761</w:t>
            </w:r>
          </w:p>
        </w:tc>
        <w:tc>
          <w:tcPr>
            <w:tcW w:w="720" w:type="dxa"/>
            <w:vAlign w:val="bottom"/>
          </w:tcPr>
          <w:p>
            <w:pPr>
              <w:spacing w:after="0"/>
              <w:rPr>
                <w:sz w:val="14"/>
                <w:szCs w:val="1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46,009,639</w:t>
            </w:r>
          </w:p>
        </w:tc>
        <w:tc>
          <w:tcPr>
            <w:tcW w:w="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39,468,221</w:t>
            </w:r>
          </w:p>
        </w:tc>
      </w:tr>
      <w:tr>
        <w:trPr>
          <w:trHeight w:val="169"/>
        </w:trPr>
        <w:tc>
          <w:tcPr>
            <w:tcW w:w="3200" w:type="dxa"/>
            <w:vAlign w:val="bottom"/>
          </w:tcPr>
          <w:p>
            <w:pPr>
              <w:ind w:left="600"/>
              <w:spacing w:after="0"/>
              <w:rPr>
                <w:sz w:val="20"/>
                <w:szCs w:val="20"/>
                <w:color w:val="auto"/>
              </w:rPr>
            </w:pPr>
            <w:r>
              <w:rPr>
                <w:rFonts w:ascii="Courier New" w:cs="Courier New" w:eastAsia="Courier New" w:hAnsi="Courier New"/>
                <w:sz w:val="15"/>
                <w:szCs w:val="15"/>
                <w:color w:val="auto"/>
              </w:rPr>
              <w:t>Other</w:t>
            </w:r>
          </w:p>
        </w:tc>
        <w:tc>
          <w:tcPr>
            <w:tcW w:w="840" w:type="dxa"/>
            <w:vAlign w:val="bottom"/>
          </w:tcPr>
          <w:p>
            <w:pPr>
              <w:spacing w:after="0"/>
              <w:rPr>
                <w:sz w:val="14"/>
                <w:szCs w:val="14"/>
                <w:color w:val="auto"/>
              </w:rPr>
            </w:pP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41,979,787</w:t>
            </w:r>
          </w:p>
        </w:tc>
        <w:tc>
          <w:tcPr>
            <w:tcW w:w="720" w:type="dxa"/>
            <w:vAlign w:val="bottom"/>
          </w:tcPr>
          <w:p>
            <w:pPr>
              <w:spacing w:after="0"/>
              <w:rPr>
                <w:sz w:val="14"/>
                <w:szCs w:val="1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28,518,734</w:t>
            </w:r>
          </w:p>
        </w:tc>
        <w:tc>
          <w:tcPr>
            <w:tcW w:w="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28,435,911</w:t>
            </w: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Fire Protection Products</w:t>
            </w:r>
          </w:p>
        </w:tc>
        <w:tc>
          <w:tcPr>
            <w:tcW w:w="840" w:type="dxa"/>
            <w:vAlign w:val="bottom"/>
          </w:tcPr>
          <w:p>
            <w:pPr>
              <w:spacing w:after="0"/>
              <w:rPr>
                <w:sz w:val="14"/>
                <w:szCs w:val="14"/>
                <w:color w:val="auto"/>
              </w:rPr>
            </w:pP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21,082,073</w:t>
            </w:r>
          </w:p>
        </w:tc>
        <w:tc>
          <w:tcPr>
            <w:tcW w:w="720" w:type="dxa"/>
            <w:vAlign w:val="bottom"/>
          </w:tcPr>
          <w:p>
            <w:pPr>
              <w:spacing w:after="0"/>
              <w:rPr>
                <w:sz w:val="14"/>
                <w:szCs w:val="1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20,175,361</w:t>
            </w:r>
          </w:p>
        </w:tc>
        <w:tc>
          <w:tcPr>
            <w:tcW w:w="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20,194,480</w:t>
            </w:r>
          </w:p>
        </w:tc>
      </w:tr>
      <w:tr>
        <w:trPr>
          <w:trHeight w:val="169"/>
        </w:trPr>
        <w:tc>
          <w:tcPr>
            <w:tcW w:w="3200" w:type="dxa"/>
            <w:vAlign w:val="bottom"/>
          </w:tcPr>
          <w:p>
            <w:pPr>
              <w:spacing w:after="0"/>
              <w:rPr>
                <w:sz w:val="14"/>
                <w:szCs w:val="14"/>
                <w:color w:val="auto"/>
              </w:rPr>
            </w:pP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$262,155,498</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$222,292,053</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$186,327,877</w:t>
            </w:r>
          </w:p>
        </w:tc>
      </w:tr>
      <w:tr>
        <w:trPr>
          <w:trHeight w:val="169"/>
        </w:trPr>
        <w:tc>
          <w:tcPr>
            <w:tcW w:w="3200" w:type="dxa"/>
            <w:vAlign w:val="bottom"/>
          </w:tcPr>
          <w:p>
            <w:pPr>
              <w:spacing w:after="0"/>
              <w:rPr>
                <w:sz w:val="14"/>
                <w:szCs w:val="14"/>
                <w:color w:val="auto"/>
              </w:rPr>
            </w:pP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Automotive Products</w:t>
            </w: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$ 81,757,998</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$ 63,718,817</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$ 43,390,801</w:t>
            </w: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Fire Protection Products</w:t>
            </w:r>
          </w:p>
        </w:tc>
        <w:tc>
          <w:tcPr>
            <w:tcW w:w="840" w:type="dxa"/>
            <w:vAlign w:val="bottom"/>
          </w:tcPr>
          <w:p>
            <w:pPr>
              <w:spacing w:after="0"/>
              <w:rPr>
                <w:sz w:val="14"/>
                <w:szCs w:val="14"/>
                <w:color w:val="auto"/>
              </w:rPr>
            </w:pP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3,764,493</w:t>
            </w:r>
          </w:p>
        </w:tc>
        <w:tc>
          <w:tcPr>
            <w:tcW w:w="720" w:type="dxa"/>
            <w:vAlign w:val="bottom"/>
          </w:tcPr>
          <w:p>
            <w:pPr>
              <w:spacing w:after="0"/>
              <w:rPr>
                <w:sz w:val="14"/>
                <w:szCs w:val="1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3,623,996</w:t>
            </w:r>
          </w:p>
        </w:tc>
        <w:tc>
          <w:tcPr>
            <w:tcW w:w="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4,091,185</w:t>
            </w:r>
          </w:p>
        </w:tc>
      </w:tr>
      <w:tr>
        <w:trPr>
          <w:trHeight w:val="169"/>
        </w:trPr>
        <w:tc>
          <w:tcPr>
            <w:tcW w:w="3200" w:type="dxa"/>
            <w:vAlign w:val="bottom"/>
          </w:tcPr>
          <w:p>
            <w:pPr>
              <w:spacing w:after="0"/>
              <w:rPr>
                <w:sz w:val="14"/>
                <w:szCs w:val="14"/>
                <w:color w:val="auto"/>
              </w:rPr>
            </w:pP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$ 85,522,491</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$ 67,342,813</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$ 47,481,986</w:t>
            </w:r>
          </w:p>
        </w:tc>
      </w:tr>
      <w:tr>
        <w:trPr>
          <w:trHeight w:val="169"/>
        </w:trPr>
        <w:tc>
          <w:tcPr>
            <w:tcW w:w="3200" w:type="dxa"/>
            <w:vAlign w:val="bottom"/>
          </w:tcPr>
          <w:p>
            <w:pPr>
              <w:spacing w:after="0"/>
              <w:rPr>
                <w:sz w:val="14"/>
                <w:szCs w:val="14"/>
                <w:color w:val="auto"/>
              </w:rPr>
            </w:pP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Automotive Products</w:t>
            </w: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$101,257,610</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$ 89,252,971</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$ 69,887,416</w:t>
            </w: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Fire Protection Products</w:t>
            </w:r>
          </w:p>
        </w:tc>
        <w:tc>
          <w:tcPr>
            <w:tcW w:w="840" w:type="dxa"/>
            <w:vAlign w:val="bottom"/>
          </w:tcPr>
          <w:p>
            <w:pPr>
              <w:spacing w:after="0"/>
              <w:rPr>
                <w:sz w:val="14"/>
                <w:szCs w:val="14"/>
                <w:color w:val="auto"/>
              </w:rPr>
            </w:pP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4,353,082</w:t>
            </w:r>
          </w:p>
        </w:tc>
        <w:tc>
          <w:tcPr>
            <w:tcW w:w="720" w:type="dxa"/>
            <w:vAlign w:val="bottom"/>
          </w:tcPr>
          <w:p>
            <w:pPr>
              <w:spacing w:after="0"/>
              <w:rPr>
                <w:sz w:val="14"/>
                <w:szCs w:val="1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3,864,138</w:t>
            </w:r>
          </w:p>
        </w:tc>
        <w:tc>
          <w:tcPr>
            <w:tcW w:w="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4,670,554</w:t>
            </w: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840" w:type="dxa"/>
            <w:vAlign w:val="bottom"/>
          </w:tcPr>
          <w:p>
            <w:pPr>
              <w:spacing w:after="0"/>
              <w:rPr>
                <w:sz w:val="14"/>
                <w:szCs w:val="14"/>
                <w:color w:val="auto"/>
              </w:rPr>
            </w:pP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6"/>
              </w:rPr>
              <w:t>232,062,078</w:t>
            </w:r>
          </w:p>
        </w:tc>
        <w:tc>
          <w:tcPr>
            <w:tcW w:w="720" w:type="dxa"/>
            <w:vAlign w:val="bottom"/>
          </w:tcPr>
          <w:p>
            <w:pPr>
              <w:spacing w:after="0"/>
              <w:rPr>
                <w:sz w:val="14"/>
                <w:szCs w:val="1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161,772,449</w:t>
            </w:r>
          </w:p>
        </w:tc>
        <w:tc>
          <w:tcPr>
            <w:tcW w:w="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115,224,877</w:t>
            </w:r>
          </w:p>
        </w:tc>
      </w:tr>
      <w:tr>
        <w:trPr>
          <w:trHeight w:val="169"/>
        </w:trPr>
        <w:tc>
          <w:tcPr>
            <w:tcW w:w="3200" w:type="dxa"/>
            <w:vAlign w:val="bottom"/>
          </w:tcPr>
          <w:p>
            <w:pPr>
              <w:spacing w:after="0"/>
              <w:rPr>
                <w:sz w:val="14"/>
                <w:szCs w:val="14"/>
                <w:color w:val="auto"/>
              </w:rPr>
            </w:pP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$337,672,770</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$254,889,558</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$189,782,847</w:t>
            </w:r>
          </w:p>
        </w:tc>
      </w:tr>
      <w:tr>
        <w:trPr>
          <w:trHeight w:val="169"/>
        </w:trPr>
        <w:tc>
          <w:tcPr>
            <w:tcW w:w="3200" w:type="dxa"/>
            <w:vAlign w:val="bottom"/>
          </w:tcPr>
          <w:p>
            <w:pPr>
              <w:spacing w:after="0"/>
              <w:rPr>
                <w:sz w:val="14"/>
                <w:szCs w:val="14"/>
                <w:color w:val="auto"/>
              </w:rPr>
            </w:pP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Depreciation &amp; Amortization:</w:t>
            </w: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Automotive Products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8,645,455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6,658,551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5,811,705</w:t>
            </w: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Fire Protection Products</w:t>
            </w:r>
          </w:p>
        </w:tc>
        <w:tc>
          <w:tcPr>
            <w:tcW w:w="840" w:type="dxa"/>
            <w:vAlign w:val="bottom"/>
          </w:tcPr>
          <w:p>
            <w:pPr>
              <w:spacing w:after="0"/>
              <w:rPr>
                <w:sz w:val="14"/>
                <w:szCs w:val="14"/>
                <w:color w:val="auto"/>
              </w:rPr>
            </w:pP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323,477</w:t>
            </w:r>
          </w:p>
        </w:tc>
        <w:tc>
          <w:tcPr>
            <w:tcW w:w="720" w:type="dxa"/>
            <w:vAlign w:val="bottom"/>
          </w:tcPr>
          <w:p>
            <w:pPr>
              <w:spacing w:after="0"/>
              <w:rPr>
                <w:sz w:val="14"/>
                <w:szCs w:val="1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314,522</w:t>
            </w:r>
          </w:p>
        </w:tc>
        <w:tc>
          <w:tcPr>
            <w:tcW w:w="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296,601</w:t>
            </w: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840" w:type="dxa"/>
            <w:vAlign w:val="bottom"/>
          </w:tcPr>
          <w:p>
            <w:pPr>
              <w:spacing w:after="0"/>
              <w:rPr>
                <w:sz w:val="14"/>
                <w:szCs w:val="14"/>
                <w:color w:val="auto"/>
              </w:rPr>
            </w:pP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687,768</w:t>
            </w:r>
          </w:p>
        </w:tc>
        <w:tc>
          <w:tcPr>
            <w:tcW w:w="720" w:type="dxa"/>
            <w:vAlign w:val="bottom"/>
          </w:tcPr>
          <w:p>
            <w:pPr>
              <w:spacing w:after="0"/>
              <w:rPr>
                <w:sz w:val="14"/>
                <w:szCs w:val="1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549,448</w:t>
            </w:r>
          </w:p>
        </w:tc>
        <w:tc>
          <w:tcPr>
            <w:tcW w:w="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310,006</w:t>
            </w:r>
          </w:p>
        </w:tc>
      </w:tr>
      <w:tr>
        <w:trPr>
          <w:trHeight w:val="169"/>
        </w:trPr>
        <w:tc>
          <w:tcPr>
            <w:tcW w:w="3200" w:type="dxa"/>
            <w:vAlign w:val="bottom"/>
          </w:tcPr>
          <w:p>
            <w:pPr>
              <w:spacing w:after="0"/>
              <w:rPr>
                <w:sz w:val="14"/>
                <w:szCs w:val="14"/>
                <w:color w:val="auto"/>
              </w:rPr>
            </w:pP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9,656,700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7,522,521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6,418,312</w:t>
            </w:r>
          </w:p>
        </w:tc>
      </w:tr>
      <w:tr>
        <w:trPr>
          <w:trHeight w:val="169"/>
        </w:trPr>
        <w:tc>
          <w:tcPr>
            <w:tcW w:w="3200" w:type="dxa"/>
            <w:vAlign w:val="bottom"/>
          </w:tcPr>
          <w:p>
            <w:pPr>
              <w:spacing w:after="0"/>
              <w:rPr>
                <w:sz w:val="14"/>
                <w:szCs w:val="14"/>
                <w:color w:val="auto"/>
              </w:rPr>
            </w:pP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Automotive Products</w:t>
            </w: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$ 19,279,715</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$ 19,595,844</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$ 15,419,468</w:t>
            </w: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Fire Protection Products</w:t>
            </w:r>
          </w:p>
        </w:tc>
        <w:tc>
          <w:tcPr>
            <w:tcW w:w="840" w:type="dxa"/>
            <w:vAlign w:val="bottom"/>
          </w:tcPr>
          <w:p>
            <w:pPr>
              <w:spacing w:after="0"/>
              <w:rPr>
                <w:sz w:val="14"/>
                <w:szCs w:val="14"/>
                <w:color w:val="auto"/>
              </w:rPr>
            </w:pP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322,962</w:t>
            </w:r>
          </w:p>
        </w:tc>
        <w:tc>
          <w:tcPr>
            <w:tcW w:w="720" w:type="dxa"/>
            <w:vAlign w:val="bottom"/>
          </w:tcPr>
          <w:p>
            <w:pPr>
              <w:spacing w:after="0"/>
              <w:rPr>
                <w:sz w:val="14"/>
                <w:szCs w:val="1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209,867</w:t>
            </w:r>
          </w:p>
        </w:tc>
        <w:tc>
          <w:tcPr>
            <w:tcW w:w="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443,354</w:t>
            </w: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840" w:type="dxa"/>
            <w:vAlign w:val="bottom"/>
          </w:tcPr>
          <w:p>
            <w:pPr>
              <w:spacing w:after="0"/>
              <w:rPr>
                <w:sz w:val="14"/>
                <w:szCs w:val="14"/>
                <w:color w:val="auto"/>
              </w:rPr>
            </w:pP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2,365,770</w:t>
            </w:r>
          </w:p>
        </w:tc>
        <w:tc>
          <w:tcPr>
            <w:tcW w:w="720" w:type="dxa"/>
            <w:vAlign w:val="bottom"/>
          </w:tcPr>
          <w:p>
            <w:pPr>
              <w:spacing w:after="0"/>
              <w:rPr>
                <w:sz w:val="14"/>
                <w:szCs w:val="1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4,790,513</w:t>
            </w:r>
          </w:p>
        </w:tc>
        <w:tc>
          <w:tcPr>
            <w:tcW w:w="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520,267</w:t>
            </w:r>
          </w:p>
        </w:tc>
      </w:tr>
      <w:tr>
        <w:trPr>
          <w:trHeight w:val="169"/>
        </w:trPr>
        <w:tc>
          <w:tcPr>
            <w:tcW w:w="3200" w:type="dxa"/>
            <w:vAlign w:val="bottom"/>
          </w:tcPr>
          <w:p>
            <w:pPr>
              <w:spacing w:after="0"/>
              <w:rPr>
                <w:sz w:val="14"/>
                <w:szCs w:val="14"/>
                <w:color w:val="auto"/>
              </w:rPr>
            </w:pP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9"/>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$ 21,968,447</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$ 24,596,224</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$ 16,383,089</w:t>
            </w:r>
          </w:p>
        </w:tc>
      </w:tr>
      <w:tr>
        <w:trPr>
          <w:trHeight w:val="169"/>
        </w:trPr>
        <w:tc>
          <w:tcPr>
            <w:tcW w:w="3200" w:type="dxa"/>
            <w:vAlign w:val="bottom"/>
          </w:tcPr>
          <w:p>
            <w:pPr>
              <w:spacing w:after="0"/>
              <w:rPr>
                <w:sz w:val="14"/>
                <w:szCs w:val="14"/>
                <w:color w:val="auto"/>
              </w:rPr>
            </w:pPr>
          </w:p>
        </w:tc>
        <w:tc>
          <w:tcPr>
            <w:tcW w:w="24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199" w:firstLine="440"/>
        <w:spacing w:after="0" w:line="235" w:lineRule="auto"/>
        <w:rPr>
          <w:sz w:val="20"/>
          <w:szCs w:val="20"/>
          <w:color w:val="auto"/>
        </w:rPr>
      </w:pPr>
      <w:r>
        <w:rPr>
          <w:rFonts w:ascii="Courier New" w:cs="Courier New" w:eastAsia="Courier New" w:hAnsi="Courier New"/>
          <w:sz w:val="15"/>
          <w:szCs w:val="15"/>
          <w:color w:val="auto"/>
        </w:rPr>
        <w:t>Other assets are principally cash, investments, deferred income taxes, and corporate fixed assets.</w:t>
      </w:r>
    </w:p>
    <w:p>
      <w:pPr>
        <w:spacing w:after="0" w:line="175" w:lineRule="exact"/>
        <w:rPr>
          <w:sz w:val="20"/>
          <w:szCs w:val="20"/>
          <w:color w:val="auto"/>
        </w:rPr>
      </w:pPr>
    </w:p>
    <w:p>
      <w:pPr>
        <w:ind w:left="700" w:right="3199" w:hanging="263"/>
        <w:spacing w:after="0" w:line="237" w:lineRule="auto"/>
        <w:rPr>
          <w:sz w:val="20"/>
          <w:szCs w:val="20"/>
          <w:color w:val="auto"/>
        </w:rPr>
      </w:pPr>
      <w:r>
        <w:rPr>
          <w:rFonts w:ascii="Courier New" w:cs="Courier New" w:eastAsia="Courier New" w:hAnsi="Courier New"/>
          <w:sz w:val="15"/>
          <w:szCs w:val="15"/>
          <w:color w:val="auto"/>
        </w:rPr>
        <w:t>Automotive Products revenues in the "Other" category are sales to U.S. automotive manufacturing plants in Canada, Mexico and other foreign automotive customers. All non-U.S. sales are invoiced and paid in U.S. dollars.</w:t>
      </w:r>
    </w:p>
    <w:p>
      <w:pPr>
        <w:spacing w:after="0" w:line="176" w:lineRule="exact"/>
        <w:rPr>
          <w:sz w:val="20"/>
          <w:szCs w:val="20"/>
          <w:color w:val="auto"/>
        </w:rPr>
      </w:pPr>
    </w:p>
    <w:p>
      <w:pPr>
        <w:ind w:left="700" w:right="3359" w:hanging="263"/>
        <w:spacing w:after="0" w:line="264" w:lineRule="auto"/>
        <w:rPr>
          <w:sz w:val="20"/>
          <w:szCs w:val="20"/>
          <w:color w:val="auto"/>
        </w:rPr>
      </w:pPr>
      <w:r>
        <w:rPr>
          <w:rFonts w:ascii="Courier New" w:cs="Courier New" w:eastAsia="Courier New" w:hAnsi="Courier New"/>
          <w:sz w:val="14"/>
          <w:szCs w:val="14"/>
          <w:color w:val="auto"/>
        </w:rPr>
        <w:t>During the years presented, the Company had three automotive customers which individually accounted for 10% or more of net sales as follows: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0" w:type="dxa"/>
            <w:vAlign w:val="bottom"/>
          </w:tcPr>
          <w:p>
            <w:pPr>
              <w:ind w:left="440"/>
              <w:spacing w:after="0"/>
              <w:rPr>
                <w:sz w:val="20"/>
                <w:szCs w:val="20"/>
                <w:color w:val="auto"/>
              </w:rPr>
            </w:pPr>
            <w:r>
              <w:rPr>
                <w:rFonts w:ascii="Courier New" w:cs="Courier New" w:eastAsia="Courier New" w:hAnsi="Courier New"/>
                <w:sz w:val="15"/>
                <w:szCs w:val="15"/>
                <w:color w:val="auto"/>
              </w:rPr>
              <w:t>Customer</w:t>
            </w:r>
          </w:p>
        </w:tc>
        <w:tc>
          <w:tcPr>
            <w:tcW w:w="1020" w:type="dxa"/>
            <w:vAlign w:val="bottom"/>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4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spacing w:after="0"/>
              <w:rPr>
                <w:sz w:val="24"/>
                <w:szCs w:val="24"/>
                <w:color w:val="auto"/>
              </w:rPr>
            </w:pP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#1</w:t>
            </w:r>
          </w:p>
        </w:tc>
        <w:tc>
          <w:tcPr>
            <w:tcW w:w="1800" w:type="dxa"/>
            <w:vAlign w:val="bottom"/>
          </w:tcPr>
          <w:p>
            <w:pPr>
              <w:ind w:left="880"/>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r>
      <w:tr>
        <w:trPr>
          <w:trHeight w:val="169"/>
        </w:trPr>
        <w:tc>
          <w:tcPr>
            <w:tcW w:w="820" w:type="dxa"/>
            <w:vAlign w:val="bottom"/>
          </w:tcPr>
          <w:p>
            <w:pPr>
              <w:spacing w:after="0"/>
              <w:rPr>
                <w:sz w:val="14"/>
                <w:szCs w:val="14"/>
                <w:color w:val="auto"/>
              </w:rPr>
            </w:pP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1999</w:t>
            </w: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44%</w:t>
            </w:r>
          </w:p>
        </w:tc>
        <w:tc>
          <w:tcPr>
            <w:tcW w:w="1800" w:type="dxa"/>
            <w:vAlign w:val="bottom"/>
          </w:tcPr>
          <w:p>
            <w:pPr>
              <w:ind w:left="880"/>
              <w:spacing w:after="0"/>
              <w:rPr>
                <w:sz w:val="20"/>
                <w:szCs w:val="20"/>
                <w:color w:val="auto"/>
              </w:rPr>
            </w:pPr>
            <w:r>
              <w:rPr>
                <w:rFonts w:ascii="Courier New" w:cs="Courier New" w:eastAsia="Courier New" w:hAnsi="Courier New"/>
                <w:sz w:val="15"/>
                <w:szCs w:val="15"/>
                <w:color w:val="auto"/>
              </w:rPr>
              <w:t>22%</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r>
      <w:tr>
        <w:trPr>
          <w:trHeight w:val="169"/>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1998</w:t>
            </w: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43%</w:t>
            </w:r>
          </w:p>
        </w:tc>
        <w:tc>
          <w:tcPr>
            <w:tcW w:w="1800" w:type="dxa"/>
            <w:vAlign w:val="bottom"/>
          </w:tcPr>
          <w:p>
            <w:pPr>
              <w:ind w:left="880"/>
              <w:spacing w:after="0"/>
              <w:rPr>
                <w:sz w:val="20"/>
                <w:szCs w:val="20"/>
                <w:color w:val="auto"/>
              </w:rPr>
            </w:pPr>
            <w:r>
              <w:rPr>
                <w:rFonts w:ascii="Courier New" w:cs="Courier New" w:eastAsia="Courier New" w:hAnsi="Courier New"/>
                <w:sz w:val="15"/>
                <w:szCs w:val="15"/>
                <w:color w:val="auto"/>
              </w:rPr>
              <w:t>25%</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r>
      <w:tr>
        <w:trPr>
          <w:trHeight w:val="169"/>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1997</w:t>
            </w: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43%</w:t>
            </w:r>
          </w:p>
        </w:tc>
        <w:tc>
          <w:tcPr>
            <w:tcW w:w="1800" w:type="dxa"/>
            <w:vAlign w:val="bottom"/>
          </w:tcPr>
          <w:p>
            <w:pPr>
              <w:ind w:left="880"/>
              <w:spacing w:after="0"/>
              <w:rPr>
                <w:sz w:val="20"/>
                <w:szCs w:val="20"/>
                <w:color w:val="auto"/>
              </w:rPr>
            </w:pPr>
            <w:r>
              <w:rPr>
                <w:rFonts w:ascii="Courier New" w:cs="Courier New" w:eastAsia="Courier New" w:hAnsi="Courier New"/>
                <w:sz w:val="15"/>
                <w:szCs w:val="15"/>
                <w:color w:val="auto"/>
              </w:rPr>
              <w:t>25%</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*Less than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39"/>
          </w:cols>
          <w:pgMar w:left="320" w:top="283" w:right="1440" w:bottom="58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0"/>
        </w:trPr>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508"/>
        </w:trPr>
        <w:tc>
          <w:tcPr>
            <w:tcW w:w="1260" w:type="dxa"/>
            <w:vAlign w:val="bottom"/>
          </w:tcPr>
          <w:p>
            <w:pPr>
              <w:spacing w:after="0"/>
              <w:rPr>
                <w:sz w:val="24"/>
                <w:szCs w:val="24"/>
                <w:color w:val="auto"/>
              </w:rPr>
            </w:pPr>
          </w:p>
        </w:tc>
        <w:tc>
          <w:tcPr>
            <w:tcW w:w="5340" w:type="dxa"/>
            <w:vAlign w:val="bottom"/>
          </w:tcPr>
          <w:p>
            <w:pPr>
              <w:ind w:left="1720"/>
              <w:spacing w:after="0"/>
              <w:rPr>
                <w:sz w:val="20"/>
                <w:szCs w:val="20"/>
                <w:color w:val="auto"/>
              </w:rPr>
            </w:pPr>
            <w:r>
              <w:rPr>
                <w:rFonts w:ascii="Courier New" w:cs="Courier New" w:eastAsia="Courier New" w:hAnsi="Courier New"/>
                <w:sz w:val="15"/>
                <w:szCs w:val="15"/>
                <w:color w:val="auto"/>
              </w:rPr>
              <w:t>EXHIBIT INDEX</w:t>
            </w:r>
          </w:p>
        </w:tc>
        <w:tc>
          <w:tcPr>
            <w:tcW w:w="520" w:type="dxa"/>
            <w:vAlign w:val="bottom"/>
          </w:tcPr>
          <w:p>
            <w:pPr>
              <w:spacing w:after="0"/>
              <w:rPr>
                <w:sz w:val="24"/>
                <w:szCs w:val="24"/>
                <w:color w:val="auto"/>
              </w:rPr>
            </w:pPr>
          </w:p>
        </w:tc>
      </w:tr>
      <w:tr>
        <w:trPr>
          <w:trHeight w:val="169"/>
        </w:trPr>
        <w:tc>
          <w:tcPr>
            <w:tcW w:w="1260" w:type="dxa"/>
            <w:vAlign w:val="bottom"/>
          </w:tcPr>
          <w:p>
            <w:pPr>
              <w:spacing w:after="0"/>
              <w:rPr>
                <w:sz w:val="14"/>
                <w:szCs w:val="14"/>
                <w:color w:val="auto"/>
              </w:rPr>
            </w:pPr>
          </w:p>
        </w:tc>
        <w:tc>
          <w:tcPr>
            <w:tcW w:w="5340" w:type="dxa"/>
            <w:vAlign w:val="bottom"/>
          </w:tcPr>
          <w:p>
            <w:pPr>
              <w:ind w:left="172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508"/>
        </w:trPr>
        <w:tc>
          <w:tcPr>
            <w:tcW w:w="126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340" w:type="dxa"/>
            <w:vAlign w:val="bottom"/>
          </w:tcPr>
          <w:p>
            <w:pPr>
              <w:ind w:left="1380"/>
              <w:spacing w:after="0"/>
              <w:rPr>
                <w:sz w:val="20"/>
                <w:szCs w:val="20"/>
                <w:color w:val="auto"/>
              </w:rPr>
            </w:pPr>
            <w:r>
              <w:rPr>
                <w:rFonts w:ascii="Courier New" w:cs="Courier New" w:eastAsia="Courier New" w:hAnsi="Courier New"/>
                <w:sz w:val="15"/>
                <w:szCs w:val="15"/>
                <w:color w:val="auto"/>
              </w:rPr>
              <w:t>DESCRIPTION</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PAGE</w:t>
            </w:r>
          </w:p>
        </w:tc>
      </w:tr>
      <w:tr>
        <w:trPr>
          <w:trHeight w:val="169"/>
        </w:trPr>
        <w:tc>
          <w:tcPr>
            <w:tcW w:w="1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3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8"/>
        </w:trPr>
        <w:tc>
          <w:tcPr>
            <w:tcW w:w="1260" w:type="dxa"/>
            <w:vAlign w:val="bottom"/>
          </w:tcPr>
          <w:p>
            <w:pPr>
              <w:spacing w:after="0"/>
              <w:rPr>
                <w:sz w:val="20"/>
                <w:szCs w:val="20"/>
                <w:color w:val="auto"/>
              </w:rPr>
            </w:pPr>
            <w:r>
              <w:rPr>
                <w:rFonts w:ascii="Courier New" w:cs="Courier New" w:eastAsia="Courier New" w:hAnsi="Courier New"/>
                <w:sz w:val="15"/>
                <w:szCs w:val="15"/>
                <w:color w:val="auto"/>
              </w:rPr>
              <w:t>3(a)(1)</w:t>
            </w: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Registrant's Articles of Incorporation were filed in</w:t>
            </w:r>
          </w:p>
        </w:tc>
        <w:tc>
          <w:tcPr>
            <w:tcW w:w="520" w:type="dxa"/>
            <w:vAlign w:val="bottom"/>
          </w:tcPr>
          <w:p>
            <w:pPr>
              <w:spacing w:after="0"/>
              <w:rPr>
                <w:sz w:val="24"/>
                <w:szCs w:val="24"/>
                <w:color w:val="auto"/>
              </w:rPr>
            </w:pP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1981 as Exhibit 2(a) to a Registration Statement on Form S-18</w:t>
            </w: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(Registration No. 2-74226C), an Amendment to those Articles was</w:t>
            </w: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filed as Exhibit 3 to Registrant's Report on Form 10-Q in August</w:t>
            </w: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 1985, an additional Amendment to those Articles was filed as</w:t>
            </w: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Exhibit 3(a)(1) to Registrant's Report on Form 10-Q in August of</w:t>
            </w: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1987, and an additional Amendment to those Articles was filed as</w:t>
            </w: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Exhibit 3(a)(2) to Registrant's Report on Form 10-K dated March</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w w:val="97"/>
              </w:rPr>
              <w:t>10, 1992, and an additional Amendment to those Articles was</w:t>
            </w:r>
          </w:p>
        </w:tc>
        <w:tc>
          <w:tcPr>
            <w:tcW w:w="520" w:type="dxa"/>
            <w:vAlign w:val="bottom"/>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filed as Exhibit 3(a)(2) to Registrant's Report on Form 10-Q</w:t>
            </w: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dated July 31, 1996, all of which are hereby incorporated herein</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by reference.</w:t>
            </w:r>
          </w:p>
        </w:tc>
        <w:tc>
          <w:tcPr>
            <w:tcW w:w="520" w:type="dxa"/>
            <w:vAlign w:val="bottom"/>
          </w:tcPr>
          <w:p>
            <w:pPr>
              <w:spacing w:after="0"/>
              <w:rPr>
                <w:sz w:val="14"/>
                <w:szCs w:val="14"/>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3(a)(2)</w:t>
            </w: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Amendment to Articles of Incorporation, adopted on May 21, 1998,</w:t>
            </w: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was filed as Exhibit 3(a)(2) to Registrant's Report on Form 10-Q</w:t>
            </w: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dated July 30, 1998, and the same is hereby incorporated herein</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by reference.</w:t>
            </w:r>
          </w:p>
        </w:tc>
        <w:tc>
          <w:tcPr>
            <w:tcW w:w="520" w:type="dxa"/>
            <w:vAlign w:val="bottom"/>
          </w:tcPr>
          <w:p>
            <w:pPr>
              <w:spacing w:after="0"/>
              <w:rPr>
                <w:sz w:val="14"/>
                <w:szCs w:val="14"/>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3(b)(1)</w:t>
            </w: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Registrant's Bylaws as amended and restated August 18, 1995,</w:t>
            </w: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were filed as Exhibit 3(b) to Registrant's Report on Form 10-Q</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w w:val="97"/>
              </w:rPr>
              <w:t>dated November 1, 1995, and the same is hereby incorporated</w:t>
            </w:r>
          </w:p>
        </w:tc>
        <w:tc>
          <w:tcPr>
            <w:tcW w:w="520" w:type="dxa"/>
            <w:vAlign w:val="bottom"/>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herein by reference.</w:t>
            </w:r>
          </w:p>
        </w:tc>
        <w:tc>
          <w:tcPr>
            <w:tcW w:w="520" w:type="dxa"/>
            <w:vAlign w:val="bottom"/>
          </w:tcPr>
          <w:p>
            <w:pPr>
              <w:spacing w:after="0"/>
              <w:rPr>
                <w:sz w:val="14"/>
                <w:szCs w:val="14"/>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3(b)(2)</w:t>
            </w: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First Amendment to Bylaws, adopted on August 25, 1997, was filed</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as Exhibit 3(c) to Registrant's Report on Form 10-Q dated</w:t>
            </w:r>
          </w:p>
        </w:tc>
        <w:tc>
          <w:tcPr>
            <w:tcW w:w="520" w:type="dxa"/>
            <w:vAlign w:val="bottom"/>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October 31, 1997, and the same is hereby incorporated herein by</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c>
          <w:tcPr>
            <w:tcW w:w="520" w:type="dxa"/>
            <w:vAlign w:val="bottom"/>
          </w:tcPr>
          <w:p>
            <w:pPr>
              <w:spacing w:after="0"/>
              <w:rPr>
                <w:sz w:val="14"/>
                <w:szCs w:val="14"/>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4(a)</w:t>
            </w: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w w:val="99"/>
              </w:rPr>
              <w:t>A specimen form of certificate for the Registrant's common</w:t>
            </w:r>
          </w:p>
        </w:tc>
        <w:tc>
          <w:tcPr>
            <w:tcW w:w="520" w:type="dxa"/>
            <w:vAlign w:val="bottom"/>
          </w:tcPr>
          <w:p>
            <w:pPr>
              <w:spacing w:after="0"/>
              <w:rPr>
                <w:sz w:val="24"/>
                <w:szCs w:val="24"/>
                <w:color w:val="auto"/>
              </w:rPr>
            </w:pP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stock, par value $.06 per share, was filed as part of a</w:t>
            </w:r>
          </w:p>
        </w:tc>
        <w:tc>
          <w:tcPr>
            <w:tcW w:w="520" w:type="dxa"/>
            <w:vAlign w:val="bottom"/>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Registration Statement (Registration Number 2-74226C) as Exhibit</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3(a), as amended by Amendment No. 3 to such Registration</w:t>
            </w:r>
          </w:p>
        </w:tc>
        <w:tc>
          <w:tcPr>
            <w:tcW w:w="520" w:type="dxa"/>
            <w:vAlign w:val="bottom"/>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Statement, and the same is hereby incorporated herein by</w:t>
            </w:r>
          </w:p>
        </w:tc>
        <w:tc>
          <w:tcPr>
            <w:tcW w:w="520" w:type="dxa"/>
            <w:vAlign w:val="bottom"/>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c>
          <w:tcPr>
            <w:tcW w:w="520" w:type="dxa"/>
            <w:vAlign w:val="bottom"/>
          </w:tcPr>
          <w:p>
            <w:pPr>
              <w:spacing w:after="0"/>
              <w:rPr>
                <w:sz w:val="14"/>
                <w:szCs w:val="14"/>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Shareholder Protection Rights Agreement, dated as of August 26,</w:t>
            </w: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1991, including as Exhibit A the form of Certificate of Adoption</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of Resolution Establishing Series of Shares of Junior</w:t>
            </w:r>
          </w:p>
        </w:tc>
        <w:tc>
          <w:tcPr>
            <w:tcW w:w="520" w:type="dxa"/>
            <w:vAlign w:val="bottom"/>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Participating Preferred Stock of the Company, and as Exhibit B</w:t>
            </w: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the form of Rights Certificate and of Election to Exercise, was</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w w:val="97"/>
              </w:rPr>
              <w:t>filed as Exhibit 4(b) to Registrant's Report on Form 8-K on</w:t>
            </w:r>
          </w:p>
        </w:tc>
        <w:tc>
          <w:tcPr>
            <w:tcW w:w="520" w:type="dxa"/>
            <w:vAlign w:val="bottom"/>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w w:val="99"/>
              </w:rPr>
              <w:t>August 1991, and the same is hereby incorporated herein by</w:t>
            </w:r>
          </w:p>
        </w:tc>
        <w:tc>
          <w:tcPr>
            <w:tcW w:w="520" w:type="dxa"/>
            <w:vAlign w:val="bottom"/>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c>
          <w:tcPr>
            <w:tcW w:w="520" w:type="dxa"/>
            <w:vAlign w:val="bottom"/>
          </w:tcPr>
          <w:p>
            <w:pPr>
              <w:spacing w:after="0"/>
              <w:rPr>
                <w:sz w:val="14"/>
                <w:szCs w:val="14"/>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4(b)(1)</w:t>
            </w: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w w:val="97"/>
              </w:rPr>
              <w:t>First Amendment to Shareholder Protection Rights Agreement,</w:t>
            </w:r>
          </w:p>
        </w:tc>
        <w:tc>
          <w:tcPr>
            <w:tcW w:w="520" w:type="dxa"/>
            <w:vAlign w:val="bottom"/>
          </w:tcPr>
          <w:p>
            <w:pPr>
              <w:spacing w:after="0"/>
              <w:rPr>
                <w:sz w:val="24"/>
                <w:szCs w:val="24"/>
                <w:color w:val="auto"/>
              </w:rPr>
            </w:pP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effective April 1, 1994, was filed as Exhibit 4(b)(1) to</w:t>
            </w:r>
          </w:p>
        </w:tc>
        <w:tc>
          <w:tcPr>
            <w:tcW w:w="520" w:type="dxa"/>
            <w:vAlign w:val="bottom"/>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Registrant's Report on Form 10-Q dated April 29, 1994, and the</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same is hereby incorporated herein by reference.</w:t>
            </w:r>
          </w:p>
        </w:tc>
        <w:tc>
          <w:tcPr>
            <w:tcW w:w="520" w:type="dxa"/>
            <w:vAlign w:val="bottom"/>
          </w:tcPr>
          <w:p>
            <w:pPr>
              <w:spacing w:after="0"/>
              <w:rPr>
                <w:sz w:val="14"/>
                <w:szCs w:val="14"/>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4(b)(2)</w:t>
            </w: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Second Amendment to Shareholder Protection Rights Agreement,</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w w:val="97"/>
              </w:rPr>
              <w:t>effective November 8, 1996, was filed as Exhibit 4(b)(2) to</w:t>
            </w:r>
          </w:p>
        </w:tc>
        <w:tc>
          <w:tcPr>
            <w:tcW w:w="520" w:type="dxa"/>
            <w:vAlign w:val="bottom"/>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Registrant's Report on Form 10-K dated March 7, 1997, and the</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same is hereby incorporated herein by reference.</w:t>
            </w:r>
          </w:p>
        </w:tc>
        <w:tc>
          <w:tcPr>
            <w:tcW w:w="520" w:type="dxa"/>
            <w:vAlign w:val="bottom"/>
          </w:tcPr>
          <w:p>
            <w:pPr>
              <w:spacing w:after="0"/>
              <w:rPr>
                <w:sz w:val="14"/>
                <w:szCs w:val="14"/>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4(b)(3)</w:t>
            </w: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w w:val="97"/>
              </w:rPr>
              <w:t>Third Amendment to Shareholder Protection Rights Agreement,</w:t>
            </w:r>
          </w:p>
        </w:tc>
        <w:tc>
          <w:tcPr>
            <w:tcW w:w="520" w:type="dxa"/>
            <w:vAlign w:val="bottom"/>
          </w:tcPr>
          <w:p>
            <w:pPr>
              <w:spacing w:after="0"/>
              <w:rPr>
                <w:sz w:val="24"/>
                <w:szCs w:val="24"/>
                <w:color w:val="auto"/>
              </w:rPr>
            </w:pP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effective March 12, 1999, was filed as Exhibit 4(b)(3) to</w:t>
            </w:r>
          </w:p>
        </w:tc>
        <w:tc>
          <w:tcPr>
            <w:tcW w:w="520" w:type="dxa"/>
            <w:vAlign w:val="bottom"/>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Registrant's Report on Form 10-Q, dated April 30, 1999, and the</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same is hereby incorporated herein by reference.</w:t>
            </w:r>
          </w:p>
        </w:tc>
        <w:tc>
          <w:tcPr>
            <w:tcW w:w="520" w:type="dxa"/>
            <w:vAlign w:val="bottom"/>
          </w:tcPr>
          <w:p>
            <w:pPr>
              <w:spacing w:after="0"/>
              <w:rPr>
                <w:sz w:val="14"/>
                <w:szCs w:val="14"/>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10(a)(1)</w:t>
            </w: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A Lease, dated August 15, 1981, was filed as part of a</w:t>
            </w:r>
          </w:p>
        </w:tc>
        <w:tc>
          <w:tcPr>
            <w:tcW w:w="520" w:type="dxa"/>
            <w:vAlign w:val="bottom"/>
          </w:tcPr>
          <w:p>
            <w:pPr>
              <w:spacing w:after="0"/>
              <w:rPr>
                <w:sz w:val="24"/>
                <w:szCs w:val="24"/>
                <w:color w:val="auto"/>
              </w:rPr>
            </w:pP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Registration Statement (Registration Number 2-74226C) as Exhibit</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9(a)(1), and the same is hereby incorporated herein by</w:t>
            </w:r>
          </w:p>
        </w:tc>
        <w:tc>
          <w:tcPr>
            <w:tcW w:w="520" w:type="dxa"/>
            <w:vAlign w:val="bottom"/>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c>
          <w:tcPr>
            <w:tcW w:w="520" w:type="dxa"/>
            <w:vAlign w:val="bottom"/>
          </w:tcPr>
          <w:p>
            <w:pPr>
              <w:spacing w:after="0"/>
              <w:rPr>
                <w:sz w:val="14"/>
                <w:szCs w:val="14"/>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10(a)(2)</w:t>
            </w: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 First Amendment to Lease, dated June 28, 1985, was filed as</w:t>
            </w: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Exhibit 10(m) to Registrant's Report on Form 10-K dated March</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18, 1986, and the same is hereby incorporated herein by</w:t>
            </w:r>
          </w:p>
        </w:tc>
        <w:tc>
          <w:tcPr>
            <w:tcW w:w="520" w:type="dxa"/>
            <w:vAlign w:val="bottom"/>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c>
          <w:tcPr>
            <w:tcW w:w="520" w:type="dxa"/>
            <w:vAlign w:val="bottom"/>
          </w:tcPr>
          <w:p>
            <w:pPr>
              <w:spacing w:after="0"/>
              <w:rPr>
                <w:sz w:val="14"/>
                <w:szCs w:val="14"/>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*10(b)(1)</w:t>
            </w: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Gentex Corporation Qualified Stock Option Plan (as amended and</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restated, effective August 25, 1997) was filed as Exhibit</w:t>
            </w:r>
          </w:p>
        </w:tc>
        <w:tc>
          <w:tcPr>
            <w:tcW w:w="520" w:type="dxa"/>
            <w:vAlign w:val="bottom"/>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w w:val="97"/>
              </w:rPr>
              <w:t>10(b)(1) to Registrant's Report on Form 10-Q dated July 30,</w:t>
            </w:r>
          </w:p>
        </w:tc>
        <w:tc>
          <w:tcPr>
            <w:tcW w:w="520" w:type="dxa"/>
            <w:vAlign w:val="bottom"/>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1998, and the same is hereby incorporated herein by reference.</w:t>
            </w: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*10(b)(2)</w:t>
            </w: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Gentex Corporation 1987 Incentive Stock Option Plan (as amended</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through May 24, 1989), was filed as Exhibit 10(g)(3) to</w:t>
            </w:r>
          </w:p>
        </w:tc>
        <w:tc>
          <w:tcPr>
            <w:tcW w:w="520" w:type="dxa"/>
            <w:vAlign w:val="bottom"/>
          </w:tcPr>
          <w:p>
            <w:pPr>
              <w:spacing w:after="0"/>
              <w:rPr>
                <w:sz w:val="14"/>
                <w:szCs w:val="14"/>
                <w:color w:val="auto"/>
              </w:rPr>
            </w:pPr>
          </w:p>
        </w:tc>
      </w:tr>
      <w:tr>
        <w:trPr>
          <w:trHeight w:val="169"/>
        </w:trPr>
        <w:tc>
          <w:tcPr>
            <w:tcW w:w="1260" w:type="dxa"/>
            <w:vAlign w:val="bottom"/>
          </w:tcPr>
          <w:p>
            <w:pPr>
              <w:spacing w:after="0"/>
              <w:rPr>
                <w:sz w:val="14"/>
                <w:szCs w:val="14"/>
                <w:color w:val="auto"/>
              </w:rPr>
            </w:pPr>
          </w:p>
        </w:tc>
        <w:tc>
          <w:tcPr>
            <w:tcW w:w="5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Registrant's Report on Form 10-K dated March 1, 1990, and the</w:t>
            </w:r>
          </w:p>
        </w:tc>
      </w:tr>
      <w:tr>
        <w:trPr>
          <w:trHeight w:val="169"/>
        </w:trPr>
        <w:tc>
          <w:tcPr>
            <w:tcW w:w="1260" w:type="dxa"/>
            <w:vAlign w:val="bottom"/>
          </w:tcPr>
          <w:p>
            <w:pPr>
              <w:spacing w:after="0"/>
              <w:rPr>
                <w:sz w:val="14"/>
                <w:szCs w:val="14"/>
                <w:color w:val="auto"/>
              </w:rPr>
            </w:pPr>
          </w:p>
        </w:tc>
        <w:tc>
          <w:tcPr>
            <w:tcW w:w="5340" w:type="dxa"/>
            <w:vAlign w:val="bottom"/>
          </w:tcPr>
          <w:p>
            <w:pPr>
              <w:ind w:left="140"/>
              <w:spacing w:after="0"/>
              <w:rPr>
                <w:sz w:val="20"/>
                <w:szCs w:val="20"/>
                <w:color w:val="auto"/>
              </w:rPr>
            </w:pPr>
            <w:r>
              <w:rPr>
                <w:rFonts w:ascii="Courier New" w:cs="Courier New" w:eastAsia="Courier New" w:hAnsi="Courier New"/>
                <w:sz w:val="15"/>
                <w:szCs w:val="15"/>
                <w:color w:val="auto"/>
              </w:rPr>
              <w:t>same is hereby incorporated herein by reference.</w:t>
            </w:r>
          </w:p>
        </w:tc>
        <w:tc>
          <w:tcPr>
            <w:tcW w:w="520" w:type="dxa"/>
            <w:vAlign w:val="bottom"/>
          </w:tcPr>
          <w:p>
            <w:pPr>
              <w:spacing w:after="0"/>
              <w:rPr>
                <w:sz w:val="14"/>
                <w:szCs w:val="14"/>
                <w:color w:val="auto"/>
              </w:rPr>
            </w:pPr>
          </w:p>
        </w:tc>
      </w:tr>
      <w:tr>
        <w:trPr>
          <w:trHeight w:val="508"/>
        </w:trPr>
        <w:tc>
          <w:tcPr>
            <w:tcW w:w="1260" w:type="dxa"/>
            <w:vAlign w:val="bottom"/>
          </w:tcPr>
          <w:p>
            <w:pPr>
              <w:spacing w:after="0"/>
              <w:rPr>
                <w:sz w:val="24"/>
                <w:szCs w:val="24"/>
                <w:color w:val="auto"/>
              </w:rPr>
            </w:pPr>
          </w:p>
        </w:tc>
        <w:tc>
          <w:tcPr>
            <w:tcW w:w="5340" w:type="dxa"/>
            <w:vAlign w:val="bottom"/>
          </w:tcPr>
          <w:p>
            <w:pPr>
              <w:ind w:left="2080"/>
              <w:spacing w:after="0"/>
              <w:rPr>
                <w:sz w:val="20"/>
                <w:szCs w:val="20"/>
                <w:color w:val="auto"/>
              </w:rPr>
            </w:pPr>
            <w:r>
              <w:rPr>
                <w:rFonts w:ascii="Courier New" w:cs="Courier New" w:eastAsia="Courier New" w:hAnsi="Courier New"/>
                <w:sz w:val="15"/>
                <w:szCs w:val="15"/>
                <w:color w:val="auto"/>
              </w:rPr>
              <w:t>-31-</w:t>
            </w:r>
          </w:p>
        </w:tc>
        <w:tc>
          <w:tcPr>
            <w:tcW w:w="520" w:type="dxa"/>
            <w:vAlign w:val="bottom"/>
          </w:tcPr>
          <w:p>
            <w:pPr>
              <w:spacing w:after="0"/>
              <w:rPr>
                <w:sz w:val="24"/>
                <w:szCs w:val="24"/>
                <w:color w:val="auto"/>
              </w:rPr>
            </w:pPr>
          </w:p>
        </w:tc>
      </w:tr>
    </w:tbl>
    <w:p>
      <w:pPr>
        <w:sectPr>
          <w:pgSz w:w="11900" w:h="16838" w:orient="portrait"/>
          <w:cols w:equalWidth="0" w:num="1">
            <w:col w:w="10139"/>
          </w:cols>
          <w:pgMar w:left="320" w:top="283" w:right="1440" w:bottom="41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39"/>
          </w:cols>
          <w:pgMar w:left="32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000" w:space="720"/>
            <w:col w:w="3240" w:space="720"/>
            <w:col w:w="3459"/>
          </w:cols>
          <w:pgMar w:left="320" w:top="283" w:right="1440" w:bottom="1440" w:gutter="0" w:footer="0" w:header="0"/>
          <w:type w:val="continuous"/>
        </w:sectPr>
      </w:pPr>
    </w:p>
    <w:p>
      <w:pPr>
        <w:spacing w:after="0" w:line="319" w:lineRule="exact"/>
        <w:rPr>
          <w:sz w:val="20"/>
          <w:szCs w:val="20"/>
          <w:color w:val="auto"/>
        </w:rPr>
      </w:pPr>
    </w:p>
    <w:p>
      <w:pPr>
        <w:ind w:left="880" w:right="3799" w:hanging="879"/>
        <w:spacing w:after="0" w:line="260" w:lineRule="auto"/>
        <w:tabs>
          <w:tab w:leader="none" w:pos="860" w:val="left"/>
        </w:tabs>
        <w:rPr>
          <w:sz w:val="20"/>
          <w:szCs w:val="20"/>
          <w:color w:val="auto"/>
        </w:rPr>
      </w:pPr>
      <w:r>
        <w:rPr>
          <w:rFonts w:ascii="Courier New" w:cs="Courier New" w:eastAsia="Courier New" w:hAnsi="Courier New"/>
          <w:sz w:val="14"/>
          <w:szCs w:val="14"/>
          <w:color w:val="auto"/>
        </w:rPr>
        <w:t>*10(b)(3)</w:t>
        <w:tab/>
        <w:t>Gentex Corporation Restricted Stock Plan was filed as Exhibit 10(b)(3) to Registrant's Report on Form 10-K dated March 10, 1992, and the same is hereby incorporated herein by reference.</w:t>
      </w:r>
    </w:p>
    <w:p>
      <w:pPr>
        <w:spacing w:after="0" w:line="162" w:lineRule="exact"/>
        <w:rPr>
          <w:sz w:val="20"/>
          <w:szCs w:val="20"/>
          <w:color w:val="auto"/>
        </w:rPr>
      </w:pPr>
    </w:p>
    <w:p>
      <w:pPr>
        <w:ind w:left="880" w:right="363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*10(b)(4)</w:t>
        <w:tab/>
        <w:t>Gentex Corporation Non-Employee Director Stock Option Plan (as amended and restated, effective March 7, 1997) was filed as Exhibit 10(b)(4) to Registrant's Report on Form 10-K dated March 7, 1997, and the same is hereby incorporated herein by reference.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36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The form of Indemnity Agreement between</w:t>
            </w:r>
          </w:p>
        </w:tc>
        <w:tc>
          <w:tcPr>
            <w:tcW w:w="26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Registrant and each of</w:t>
            </w:r>
          </w:p>
        </w:tc>
      </w:tr>
      <w:tr>
        <w:trPr>
          <w:trHeight w:val="169"/>
        </w:trPr>
        <w:tc>
          <w:tcPr>
            <w:tcW w:w="660" w:type="dxa"/>
            <w:vAlign w:val="bottom"/>
          </w:tcPr>
          <w:p>
            <w:pPr>
              <w:spacing w:after="0"/>
              <w:rPr>
                <w:sz w:val="14"/>
                <w:szCs w:val="14"/>
                <w:color w:val="auto"/>
              </w:rPr>
            </w:pPr>
          </w:p>
        </w:tc>
        <w:tc>
          <w:tcPr>
            <w:tcW w:w="36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the Registrant's directors was filed as</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part of a Registration</w:t>
            </w:r>
          </w:p>
        </w:tc>
      </w:tr>
      <w:tr>
        <w:trPr>
          <w:trHeight w:val="169"/>
        </w:trPr>
        <w:tc>
          <w:tcPr>
            <w:tcW w:w="660" w:type="dxa"/>
            <w:vAlign w:val="bottom"/>
          </w:tcPr>
          <w:p>
            <w:pPr>
              <w:spacing w:after="0"/>
              <w:rPr>
                <w:sz w:val="14"/>
                <w:szCs w:val="1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w w:val="98"/>
              </w:rPr>
              <w:t>Statement</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w w:val="98"/>
              </w:rPr>
              <w:t>on Form S-2 (Registration No.</w:t>
            </w:r>
          </w:p>
        </w:tc>
        <w:tc>
          <w:tcPr>
            <w:tcW w:w="26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33-30353) as Exhibit</w:t>
            </w:r>
          </w:p>
        </w:tc>
      </w:tr>
      <w:tr>
        <w:trPr>
          <w:trHeight w:val="169"/>
        </w:trPr>
        <w:tc>
          <w:tcPr>
            <w:tcW w:w="660" w:type="dxa"/>
            <w:vAlign w:val="bottom"/>
          </w:tcPr>
          <w:p>
            <w:pPr>
              <w:spacing w:after="0"/>
              <w:rPr>
                <w:sz w:val="14"/>
                <w:szCs w:val="1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w w:val="98"/>
              </w:rPr>
              <w:t>10(k) and</w:t>
            </w:r>
          </w:p>
        </w:tc>
        <w:tc>
          <w:tcPr>
            <w:tcW w:w="28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the same is hereby incorporated</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herein by reference.</w:t>
            </w:r>
          </w:p>
        </w:tc>
      </w:tr>
      <w:tr>
        <w:trPr>
          <w:trHeight w:val="339"/>
        </w:trPr>
        <w:tc>
          <w:tcPr>
            <w:tcW w:w="66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36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List of Company Subsidiaries</w:t>
            </w:r>
          </w:p>
        </w:tc>
        <w:tc>
          <w:tcPr>
            <w:tcW w:w="18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339"/>
        </w:trPr>
        <w:tc>
          <w:tcPr>
            <w:tcW w:w="660" w:type="dxa"/>
            <w:vAlign w:val="bottom"/>
          </w:tcPr>
          <w:p>
            <w:pPr>
              <w:spacing w:after="0"/>
              <w:rPr>
                <w:sz w:val="20"/>
                <w:szCs w:val="20"/>
                <w:color w:val="auto"/>
              </w:rPr>
            </w:pPr>
            <w:r>
              <w:rPr>
                <w:rFonts w:ascii="Courier New" w:cs="Courier New" w:eastAsia="Courier New" w:hAnsi="Courier New"/>
                <w:sz w:val="15"/>
                <w:szCs w:val="15"/>
                <w:color w:val="auto"/>
              </w:rPr>
              <w:t>23(a)</w:t>
            </w:r>
          </w:p>
        </w:tc>
        <w:tc>
          <w:tcPr>
            <w:tcW w:w="36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Consent of Independent Auditors</w:t>
            </w:r>
          </w:p>
        </w:tc>
        <w:tc>
          <w:tcPr>
            <w:tcW w:w="18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339"/>
        </w:trPr>
        <w:tc>
          <w:tcPr>
            <w:tcW w:w="660" w:type="dxa"/>
            <w:vAlign w:val="bottom"/>
          </w:tcPr>
          <w:p>
            <w:pPr>
              <w:spacing w:after="0"/>
              <w:rPr>
                <w:sz w:val="20"/>
                <w:szCs w:val="20"/>
                <w:color w:val="auto"/>
              </w:rPr>
            </w:pPr>
            <w:r>
              <w:rPr>
                <w:rFonts w:ascii="Courier New" w:cs="Courier New" w:eastAsia="Courier New" w:hAnsi="Courier New"/>
                <w:sz w:val="15"/>
                <w:szCs w:val="15"/>
                <w:color w:val="auto"/>
              </w:rPr>
              <w:t>23(b)</w:t>
            </w:r>
          </w:p>
        </w:tc>
        <w:tc>
          <w:tcPr>
            <w:tcW w:w="386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8"/>
              </w:rPr>
              <w:t>Consent of Independent Public Accountants</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339"/>
        </w:trPr>
        <w:tc>
          <w:tcPr>
            <w:tcW w:w="66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w w:val="98"/>
              </w:rPr>
              <w:t>Financial</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Data Schedule</w:t>
            </w: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*Indicates a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39"/>
          </w:cols>
          <w:pgMar w:left="320" w:top="283" w:right="1440" w:bottom="1440" w:gutter="0" w:footer="0" w:header="0"/>
          <w:type w:val="continuous"/>
        </w:sectPr>
      </w:pPr>
    </w:p>
    <w:bookmarkStart w:id="37" w:name="page38"/>
    <w:bookmarkEnd w:id="37"/>
    <w:p>
      <w:pPr>
        <w:ind w:left="270"/>
        <w:spacing w:after="0"/>
        <w:rPr>
          <w:sz w:val="20"/>
          <w:szCs w:val="20"/>
          <w:color w:val="auto"/>
        </w:rPr>
      </w:pPr>
      <w:r>
        <w:rPr>
          <w:rFonts w:ascii="Courier New" w:cs="Courier New" w:eastAsia="Courier New" w:hAnsi="Courier New"/>
          <w:sz w:val="15"/>
          <w:szCs w:val="15"/>
          <w:color w:val="auto"/>
        </w:rPr>
        <w:t>1</w:t>
      </w:r>
    </w:p>
    <w:p>
      <w:pPr>
        <w:jc w:val="right"/>
        <w:ind w:right="3099"/>
        <w:spacing w:after="0"/>
        <w:rPr>
          <w:sz w:val="20"/>
          <w:szCs w:val="20"/>
          <w:color w:val="auto"/>
        </w:rPr>
      </w:pPr>
      <w:r>
        <w:rPr>
          <w:rFonts w:ascii="Courier New" w:cs="Courier New" w:eastAsia="Courier New" w:hAnsi="Courier New"/>
          <w:sz w:val="15"/>
          <w:szCs w:val="15"/>
          <w:color w:val="auto"/>
        </w:rPr>
        <w:t>EXHIBIT 21</w:t>
      </w:r>
    </w:p>
    <w:p>
      <w:pPr>
        <w:spacing w:after="0" w:line="338"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LIST OF GENTEX CORPORATION SUBSIDIARIES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90" w:right="3099" w:hanging="790"/>
        <w:spacing w:after="0" w:line="235" w:lineRule="auto"/>
        <w:tabs>
          <w:tab w:leader="none" w:pos="79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 Aviation Services, Inc., a Michigan corporation, is a wholly-owned subsidiary of Gentex Corporation.</w:t>
      </w:r>
    </w:p>
    <w:p>
      <w:pPr>
        <w:spacing w:after="0" w:line="175" w:lineRule="exact"/>
        <w:rPr>
          <w:rFonts w:ascii="Courier New" w:cs="Courier New" w:eastAsia="Courier New" w:hAnsi="Courier New"/>
          <w:sz w:val="15"/>
          <w:szCs w:val="15"/>
          <w:color w:val="auto"/>
        </w:rPr>
      </w:pPr>
    </w:p>
    <w:p>
      <w:pPr>
        <w:ind w:left="790" w:right="3719" w:hanging="790"/>
        <w:spacing w:after="0" w:line="236" w:lineRule="auto"/>
        <w:tabs>
          <w:tab w:leader="none" w:pos="79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International Corporation, a Foreign Sales Corporation incorporated in Barbados, is a wholly-owned subsidiary of Gentex Corporation.</w:t>
      </w:r>
    </w:p>
    <w:p>
      <w:pPr>
        <w:spacing w:after="0" w:line="176" w:lineRule="exact"/>
        <w:rPr>
          <w:rFonts w:ascii="Courier New" w:cs="Courier New" w:eastAsia="Courier New" w:hAnsi="Courier New"/>
          <w:sz w:val="15"/>
          <w:szCs w:val="15"/>
          <w:color w:val="auto"/>
        </w:rPr>
      </w:pPr>
    </w:p>
    <w:p>
      <w:pPr>
        <w:ind w:left="790" w:right="3719" w:hanging="790"/>
        <w:spacing w:after="0" w:line="235" w:lineRule="auto"/>
        <w:tabs>
          <w:tab w:leader="none" w:pos="79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Holdings, Inc., a Michigan corporation, is a wholly-owned subsidiary of Gentex Corporation.</w:t>
      </w:r>
    </w:p>
    <w:p>
      <w:pPr>
        <w:spacing w:after="0" w:line="175" w:lineRule="exact"/>
        <w:rPr>
          <w:rFonts w:ascii="Courier New" w:cs="Courier New" w:eastAsia="Courier New" w:hAnsi="Courier New"/>
          <w:sz w:val="15"/>
          <w:szCs w:val="15"/>
          <w:color w:val="auto"/>
        </w:rPr>
      </w:pPr>
    </w:p>
    <w:p>
      <w:pPr>
        <w:ind w:left="790" w:right="3359" w:hanging="790"/>
        <w:spacing w:after="0" w:line="264" w:lineRule="auto"/>
        <w:tabs>
          <w:tab w:leader="none" w:pos="79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GmbH, a German limited liability company, is a subsidiary 50% owned by Gentex Corporation and 50% owned by Gentex Holdings, Inc.</w:t>
      </w:r>
    </w:p>
    <w:p>
      <w:pPr>
        <w:spacing w:after="0" w:line="159" w:lineRule="exact"/>
        <w:rPr>
          <w:rFonts w:ascii="Courier New" w:cs="Courier New" w:eastAsia="Courier New" w:hAnsi="Courier New"/>
          <w:sz w:val="14"/>
          <w:szCs w:val="14"/>
          <w:color w:val="auto"/>
        </w:rPr>
      </w:pPr>
    </w:p>
    <w:p>
      <w:pPr>
        <w:ind w:left="790" w:right="3979" w:hanging="790"/>
        <w:spacing w:after="0" w:line="235" w:lineRule="auto"/>
        <w:tabs>
          <w:tab w:leader="none" w:pos="79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Japan, Inc., a Japanese corporation, is a wholly-owned subsidiary of Gentex Corporation.</w:t>
      </w:r>
    </w:p>
    <w:p>
      <w:pPr>
        <w:spacing w:after="0" w:line="175" w:lineRule="exact"/>
        <w:rPr>
          <w:rFonts w:ascii="Courier New" w:cs="Courier New" w:eastAsia="Courier New" w:hAnsi="Courier New"/>
          <w:sz w:val="15"/>
          <w:szCs w:val="15"/>
          <w:color w:val="auto"/>
        </w:rPr>
      </w:pPr>
    </w:p>
    <w:p>
      <w:pPr>
        <w:ind w:left="790" w:right="3279" w:hanging="790"/>
        <w:spacing w:after="0" w:line="235" w:lineRule="auto"/>
        <w:tabs>
          <w:tab w:leader="none" w:pos="79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Mirrors Ltd., a United Kingdom limited liability company, is a wholly-owned subsidiary of Gentex Corporation.</w:t>
      </w:r>
    </w:p>
    <w:p>
      <w:pPr>
        <w:sectPr>
          <w:pgSz w:w="11900" w:h="16838" w:orient="portrait"/>
          <w:cols w:equalWidth="0" w:num="1">
            <w:col w:w="10149"/>
          </w:cols>
          <w:pgMar w:left="310" w:top="136"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1</w:t>
      </w:r>
    </w:p>
    <w:p>
      <w:pPr>
        <w:jc w:val="right"/>
        <w:ind w:right="3099"/>
        <w:spacing w:after="0"/>
        <w:rPr>
          <w:sz w:val="20"/>
          <w:szCs w:val="20"/>
          <w:color w:val="auto"/>
        </w:rPr>
      </w:pPr>
      <w:r>
        <w:rPr>
          <w:rFonts w:ascii="Courier New" w:cs="Courier New" w:eastAsia="Courier New" w:hAnsi="Courier New"/>
          <w:sz w:val="15"/>
          <w:szCs w:val="15"/>
          <w:color w:val="auto"/>
        </w:rPr>
        <w:t>EXHIBIT 23(a)</w:t>
      </w:r>
    </w:p>
    <w:p>
      <w:pPr>
        <w:spacing w:after="0" w:line="16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199"/>
        <w:spacing w:after="0" w:line="237"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(Form S-8 Nos. 33-31408, 33-50396, 33-64504 and 33-65321) pertaining to various stock option and incentive plans of Gentex Corporation of our report dated January 21, 2000, with respect to the consolidated financial statements of Gentex Corporation and subsidiaries included in the Annual Report on Form 10-K for the fiscal year ended December 31, 1999.</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/s/ Ernst &amp; Young LLP</w:t>
      </w:r>
    </w:p>
    <w:p>
      <w:pPr>
        <w:spacing w:after="0" w:line="338" w:lineRule="exact"/>
        <w:rPr>
          <w:sz w:val="20"/>
          <w:szCs w:val="20"/>
          <w:color w:val="auto"/>
        </w:rPr>
      </w:pPr>
    </w:p>
    <w:p>
      <w:pPr>
        <w:ind w:left="4560"/>
        <w:spacing w:after="0"/>
        <w:tabs>
          <w:tab w:leader="none" w:pos="5880" w:val="left"/>
        </w:tabs>
        <w:rPr>
          <w:sz w:val="20"/>
          <w:szCs w:val="20"/>
          <w:color w:val="auto"/>
        </w:rPr>
      </w:pPr>
      <w:r>
        <w:rPr>
          <w:rFonts w:ascii="Courier New" w:cs="Courier New" w:eastAsia="Courier New" w:hAnsi="Courier New"/>
          <w:sz w:val="15"/>
          <w:szCs w:val="15"/>
          <w:color w:val="auto"/>
        </w:rPr>
        <w:t>ERNST &amp; YOUNG</w:t>
      </w:r>
      <w:r>
        <w:rPr>
          <w:sz w:val="20"/>
          <w:szCs w:val="20"/>
          <w:color w:val="auto"/>
        </w:rPr>
        <w:tab/>
      </w:r>
      <w:r>
        <w:rPr>
          <w:rFonts w:ascii="Courier New" w:cs="Courier New" w:eastAsia="Courier New" w:hAnsi="Courier New"/>
          <w:sz w:val="14"/>
          <w:szCs w:val="14"/>
          <w:color w:val="auto"/>
        </w:rPr>
        <w:t>LLP</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rPr>
          <w:sz w:val="20"/>
          <w:szCs w:val="20"/>
          <w:color w:val="auto"/>
        </w:rPr>
      </w:pPr>
      <w:r>
        <w:rPr>
          <w:rFonts w:ascii="Courier New" w:cs="Courier New" w:eastAsia="Courier New" w:hAnsi="Courier New"/>
          <w:sz w:val="15"/>
          <w:szCs w:val="15"/>
          <w:color w:val="auto"/>
        </w:rPr>
        <w:t>March 13, 2000</w:t>
      </w:r>
    </w:p>
    <w:p>
      <w:pPr>
        <w:sectPr>
          <w:pgSz w:w="11900" w:h="16838" w:orient="portrait"/>
          <w:cols w:equalWidth="0" w:num="1">
            <w:col w:w="10139"/>
          </w:cols>
          <w:pgMar w:left="320" w:top="136"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EXHIBIT 23(b)</w:t>
      </w:r>
    </w:p>
    <w:p>
      <w:pPr>
        <w:spacing w:after="0" w:line="338"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 included in this Form 10-K, into the Company's previously filed Registration Statement File Nos. 33-31408, 33-50396, 33-64504 and 33-65321.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 Arthur Andersen LLP</w:t>
      </w:r>
    </w:p>
    <w:p>
      <w:pPr>
        <w:spacing w:after="0" w:line="338"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ARTHUR ANDERSEN LLP</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rPr>
          <w:sz w:val="20"/>
          <w:szCs w:val="20"/>
          <w:color w:val="auto"/>
        </w:rPr>
      </w:pPr>
      <w:r>
        <w:rPr>
          <w:rFonts w:ascii="Courier New" w:cs="Courier New" w:eastAsia="Courier New" w:hAnsi="Courier New"/>
          <w:sz w:val="15"/>
          <w:szCs w:val="15"/>
          <w:color w:val="auto"/>
        </w:rPr>
        <w:t>March 13, 2000</w:t>
      </w:r>
    </w:p>
    <w:p>
      <w:pPr>
        <w:sectPr>
          <w:pgSz w:w="11900" w:h="16838" w:orient="portrait"/>
          <w:cols w:equalWidth="0" w:num="1">
            <w:col w:w="10139"/>
          </w:cols>
          <w:pgMar w:left="320" w:top="136"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5</w:t>
      </w:r>
    </w:p>
    <w:p>
      <w:pPr>
        <w:spacing w:after="0"/>
        <w:rPr>
          <w:sz w:val="20"/>
          <w:szCs w:val="20"/>
          <w:color w:val="auto"/>
        </w:rPr>
      </w:pPr>
      <w:r>
        <w:rPr>
          <w:rFonts w:ascii="Courier New" w:cs="Courier New" w:eastAsia="Courier New" w:hAnsi="Courier New"/>
          <w:sz w:val="15"/>
          <w:szCs w:val="15"/>
          <w:color w:val="auto"/>
        </w:rPr>
        <w:t>1</w:t>
      </w:r>
    </w:p>
    <w:p>
      <w:pPr>
        <w:spacing w:after="0" w:line="33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12-MOS</w:t>
      </w:r>
    </w:p>
    <w:p>
      <w:pPr>
        <w:ind w:left="2200"/>
        <w:spacing w:after="0"/>
        <w:rPr>
          <w:sz w:val="20"/>
          <w:szCs w:val="20"/>
          <w:color w:val="auto"/>
        </w:rPr>
      </w:pPr>
      <w:r>
        <w:rPr>
          <w:rFonts w:ascii="Courier New" w:cs="Courier New" w:eastAsia="Courier New" w:hAnsi="Courier New"/>
          <w:sz w:val="15"/>
          <w:szCs w:val="15"/>
          <w:color w:val="auto"/>
        </w:rPr>
        <w:t>DEC-31-1999</w:t>
      </w:r>
    </w:p>
    <w:p>
      <w:pPr>
        <w:ind w:left="2640"/>
        <w:spacing w:after="0" w:line="238" w:lineRule="auto"/>
        <w:rPr>
          <w:sz w:val="20"/>
          <w:szCs w:val="20"/>
          <w:color w:val="auto"/>
        </w:rPr>
      </w:pPr>
      <w:r>
        <w:rPr>
          <w:rFonts w:ascii="Courier New" w:cs="Courier New" w:eastAsia="Courier New" w:hAnsi="Courier New"/>
          <w:sz w:val="15"/>
          <w:szCs w:val="15"/>
          <w:color w:val="auto"/>
        </w:rPr>
        <w:t>DEC-31-1999</w:t>
      </w:r>
    </w:p>
    <w:p>
      <w:pPr>
        <w:ind w:left="3260"/>
        <w:spacing w:after="0"/>
        <w:rPr>
          <w:sz w:val="20"/>
          <w:szCs w:val="20"/>
          <w:color w:val="auto"/>
        </w:rPr>
      </w:pPr>
      <w:r>
        <w:rPr>
          <w:rFonts w:ascii="Courier New" w:cs="Courier New" w:eastAsia="Courier New" w:hAnsi="Courier New"/>
          <w:sz w:val="15"/>
          <w:szCs w:val="15"/>
          <w:color w:val="auto"/>
        </w:rPr>
        <w:t>69,227,972</w:t>
      </w:r>
    </w:p>
    <w:p>
      <w:pPr>
        <w:ind w:left="2720"/>
        <w:spacing w:after="0"/>
        <w:rPr>
          <w:sz w:val="20"/>
          <w:szCs w:val="20"/>
          <w:color w:val="auto"/>
        </w:rPr>
      </w:pPr>
      <w:r>
        <w:rPr>
          <w:rFonts w:ascii="Courier New" w:cs="Courier New" w:eastAsia="Courier New" w:hAnsi="Courier New"/>
          <w:sz w:val="15"/>
          <w:szCs w:val="15"/>
          <w:color w:val="auto"/>
        </w:rPr>
        <w:t>25,505,657</w:t>
      </w:r>
    </w:p>
    <w:p>
      <w:pPr>
        <w:ind w:left="2640"/>
        <w:spacing w:after="0" w:line="237" w:lineRule="auto"/>
        <w:rPr>
          <w:sz w:val="20"/>
          <w:szCs w:val="20"/>
          <w:color w:val="auto"/>
        </w:rPr>
      </w:pPr>
      <w:r>
        <w:rPr>
          <w:rFonts w:ascii="Courier New" w:cs="Courier New" w:eastAsia="Courier New" w:hAnsi="Courier New"/>
          <w:sz w:val="15"/>
          <w:szCs w:val="15"/>
          <w:color w:val="auto"/>
        </w:rPr>
        <w:t>30,633,501</w:t>
      </w:r>
    </w:p>
    <w:p>
      <w:pPr>
        <w:ind w:left="3520"/>
        <w:spacing w:after="0"/>
        <w:rPr>
          <w:sz w:val="20"/>
          <w:szCs w:val="20"/>
          <w:color w:val="auto"/>
        </w:rPr>
      </w:pPr>
      <w:r>
        <w:rPr>
          <w:rFonts w:ascii="Courier New" w:cs="Courier New" w:eastAsia="Courier New" w:hAnsi="Courier New"/>
          <w:sz w:val="15"/>
          <w:szCs w:val="15"/>
          <w:color w:val="auto"/>
        </w:rPr>
        <w:t>0</w:t>
      </w:r>
    </w:p>
    <w:p>
      <w:pPr>
        <w:ind w:left="2900"/>
        <w:spacing w:after="0"/>
        <w:rPr>
          <w:sz w:val="20"/>
          <w:szCs w:val="20"/>
          <w:color w:val="auto"/>
        </w:rPr>
      </w:pPr>
      <w:r>
        <w:rPr>
          <w:rFonts w:ascii="Courier New" w:cs="Courier New" w:eastAsia="Courier New" w:hAnsi="Courier New"/>
          <w:sz w:val="15"/>
          <w:szCs w:val="15"/>
          <w:color w:val="auto"/>
        </w:rPr>
        <w:t>9,975,178</w:t>
      </w:r>
    </w:p>
    <w:p>
      <w:pPr>
        <w:ind w:left="2280"/>
        <w:spacing w:after="0" w:line="238" w:lineRule="auto"/>
        <w:rPr>
          <w:sz w:val="20"/>
          <w:szCs w:val="20"/>
          <w:color w:val="auto"/>
        </w:rPr>
      </w:pPr>
      <w:r>
        <w:rPr>
          <w:rFonts w:ascii="Courier New" w:cs="Courier New" w:eastAsia="Courier New" w:hAnsi="Courier New"/>
          <w:sz w:val="15"/>
          <w:szCs w:val="15"/>
          <w:color w:val="auto"/>
        </w:rPr>
        <w:t>138,215,584</w:t>
      </w:r>
    </w:p>
    <w:p>
      <w:pPr>
        <w:ind w:left="3160"/>
        <w:spacing w:after="0"/>
        <w:rPr>
          <w:sz w:val="20"/>
          <w:szCs w:val="20"/>
          <w:color w:val="auto"/>
        </w:rPr>
      </w:pPr>
      <w:r>
        <w:rPr>
          <w:rFonts w:ascii="Courier New" w:cs="Courier New" w:eastAsia="Courier New" w:hAnsi="Courier New"/>
          <w:sz w:val="15"/>
          <w:szCs w:val="15"/>
          <w:color w:val="auto"/>
        </w:rPr>
        <w:t>108,225,292</w:t>
      </w:r>
    </w:p>
    <w:p>
      <w:pPr>
        <w:ind w:left="2380"/>
        <w:spacing w:after="0"/>
        <w:rPr>
          <w:sz w:val="20"/>
          <w:szCs w:val="20"/>
          <w:color w:val="auto"/>
        </w:rPr>
      </w:pPr>
      <w:r>
        <w:rPr>
          <w:rFonts w:ascii="Courier New" w:cs="Courier New" w:eastAsia="Courier New" w:hAnsi="Courier New"/>
          <w:sz w:val="15"/>
          <w:szCs w:val="15"/>
          <w:color w:val="auto"/>
        </w:rPr>
        <w:t>(36,887,239)</w:t>
      </w:r>
    </w:p>
    <w:p>
      <w:pPr>
        <w:ind w:left="2460"/>
        <w:spacing w:after="0" w:line="237" w:lineRule="auto"/>
        <w:rPr>
          <w:sz w:val="20"/>
          <w:szCs w:val="20"/>
          <w:color w:val="auto"/>
        </w:rPr>
      </w:pPr>
      <w:r>
        <w:rPr>
          <w:rFonts w:ascii="Courier New" w:cs="Courier New" w:eastAsia="Courier New" w:hAnsi="Courier New"/>
          <w:sz w:val="15"/>
          <w:szCs w:val="15"/>
          <w:color w:val="auto"/>
        </w:rPr>
        <w:t>337,672,770</w:t>
      </w:r>
    </w:p>
    <w:p>
      <w:pPr>
        <w:ind w:left="1940"/>
        <w:spacing w:after="0"/>
        <w:rPr>
          <w:sz w:val="20"/>
          <w:szCs w:val="20"/>
          <w:color w:val="auto"/>
        </w:rPr>
      </w:pPr>
      <w:r>
        <w:rPr>
          <w:rFonts w:ascii="Courier New" w:cs="Courier New" w:eastAsia="Courier New" w:hAnsi="Courier New"/>
          <w:sz w:val="15"/>
          <w:szCs w:val="15"/>
          <w:color w:val="auto"/>
        </w:rPr>
        <w:t>16,470,211</w:t>
      </w:r>
    </w:p>
    <w:p>
      <w:pPr>
        <w:ind w:left="3960"/>
        <w:spacing w:after="0"/>
        <w:rPr>
          <w:sz w:val="20"/>
          <w:szCs w:val="20"/>
          <w:color w:val="auto"/>
        </w:rPr>
      </w:pPr>
      <w:r>
        <w:rPr>
          <w:rFonts w:ascii="Courier New" w:cs="Courier New" w:eastAsia="Courier New" w:hAnsi="Courier New"/>
          <w:sz w:val="15"/>
          <w:szCs w:val="15"/>
          <w:color w:val="auto"/>
        </w:rPr>
        <w:t>0</w:t>
      </w:r>
    </w:p>
    <w:p>
      <w:pPr>
        <w:ind w:left="2720"/>
        <w:spacing w:after="0" w:line="238" w:lineRule="auto"/>
        <w:rPr>
          <w:sz w:val="20"/>
          <w:szCs w:val="20"/>
          <w:color w:val="auto"/>
        </w:rPr>
      </w:pPr>
      <w:r>
        <w:rPr>
          <w:rFonts w:ascii="Courier New" w:cs="Courier New" w:eastAsia="Courier New" w:hAnsi="Courier New"/>
          <w:sz w:val="15"/>
          <w:szCs w:val="15"/>
          <w:color w:val="auto"/>
        </w:rPr>
        <w:t>0</w:t>
      </w:r>
    </w:p>
    <w:p>
      <w:pPr>
        <w:ind w:left="3600"/>
        <w:spacing w:after="0"/>
        <w:rPr>
          <w:sz w:val="20"/>
          <w:szCs w:val="20"/>
          <w:color w:val="auto"/>
        </w:rPr>
      </w:pPr>
      <w:r>
        <w:rPr>
          <w:rFonts w:ascii="Courier New" w:cs="Courier New" w:eastAsia="Courier New" w:hAnsi="Courier New"/>
          <w:sz w:val="15"/>
          <w:szCs w:val="15"/>
          <w:color w:val="auto"/>
        </w:rPr>
        <w:t>0</w:t>
      </w:r>
    </w:p>
    <w:p>
      <w:pPr>
        <w:ind w:left="3160"/>
        <w:spacing w:after="0"/>
        <w:rPr>
          <w:sz w:val="20"/>
          <w:szCs w:val="20"/>
          <w:color w:val="auto"/>
        </w:rPr>
      </w:pPr>
      <w:r>
        <w:rPr>
          <w:rFonts w:ascii="Courier New" w:cs="Courier New" w:eastAsia="Courier New" w:hAnsi="Courier New"/>
          <w:sz w:val="15"/>
          <w:szCs w:val="15"/>
          <w:color w:val="auto"/>
        </w:rPr>
        <w:t>4,404,739</w:t>
      </w:r>
    </w:p>
    <w:p>
      <w:pPr>
        <w:ind w:left="2820"/>
        <w:spacing w:after="0" w:line="237" w:lineRule="auto"/>
        <w:rPr>
          <w:sz w:val="20"/>
          <w:szCs w:val="20"/>
          <w:color w:val="auto"/>
        </w:rPr>
      </w:pPr>
      <w:r>
        <w:rPr>
          <w:rFonts w:ascii="Courier New" w:cs="Courier New" w:eastAsia="Courier New" w:hAnsi="Courier New"/>
          <w:sz w:val="15"/>
          <w:szCs w:val="15"/>
          <w:color w:val="auto"/>
        </w:rPr>
        <w:t>312,646,677</w:t>
      </w:r>
    </w:p>
    <w:p>
      <w:pPr>
        <w:ind w:left="1240"/>
        <w:spacing w:after="0"/>
        <w:rPr>
          <w:sz w:val="20"/>
          <w:szCs w:val="20"/>
          <w:color w:val="auto"/>
        </w:rPr>
      </w:pPr>
      <w:r>
        <w:rPr>
          <w:rFonts w:ascii="Courier New" w:cs="Courier New" w:eastAsia="Courier New" w:hAnsi="Courier New"/>
          <w:sz w:val="15"/>
          <w:szCs w:val="15"/>
          <w:color w:val="auto"/>
        </w:rPr>
        <w:t>337,672,770</w:t>
      </w:r>
    </w:p>
    <w:p>
      <w:pPr>
        <w:ind w:left="3080"/>
        <w:spacing w:after="0"/>
        <w:rPr>
          <w:sz w:val="20"/>
          <w:szCs w:val="20"/>
          <w:color w:val="auto"/>
        </w:rPr>
      </w:pPr>
      <w:r>
        <w:rPr>
          <w:rFonts w:ascii="Courier New" w:cs="Courier New" w:eastAsia="Courier New" w:hAnsi="Courier New"/>
          <w:sz w:val="15"/>
          <w:szCs w:val="15"/>
          <w:color w:val="auto"/>
        </w:rPr>
        <w:t>262,155,498</w:t>
      </w:r>
    </w:p>
    <w:p>
      <w:pPr>
        <w:ind w:left="2280"/>
        <w:spacing w:after="0" w:line="238" w:lineRule="auto"/>
        <w:rPr>
          <w:sz w:val="20"/>
          <w:szCs w:val="20"/>
          <w:color w:val="auto"/>
        </w:rPr>
      </w:pPr>
      <w:r>
        <w:rPr>
          <w:rFonts w:ascii="Courier New" w:cs="Courier New" w:eastAsia="Courier New" w:hAnsi="Courier New"/>
          <w:sz w:val="15"/>
          <w:szCs w:val="15"/>
          <w:color w:val="auto"/>
        </w:rPr>
        <w:t>262,155,498</w:t>
      </w:r>
    </w:p>
    <w:p>
      <w:pPr>
        <w:jc w:val="right"/>
        <w:ind w:right="5839"/>
        <w:spacing w:after="0"/>
        <w:rPr>
          <w:sz w:val="20"/>
          <w:szCs w:val="20"/>
          <w:color w:val="auto"/>
        </w:rPr>
      </w:pPr>
      <w:r>
        <w:rPr>
          <w:rFonts w:ascii="Courier New" w:cs="Courier New" w:eastAsia="Courier New" w:hAnsi="Courier New"/>
          <w:sz w:val="15"/>
          <w:szCs w:val="15"/>
          <w:color w:val="auto"/>
        </w:rPr>
        <w:t>148,820,129</w:t>
      </w:r>
    </w:p>
    <w:p>
      <w:pPr>
        <w:ind w:left="2560"/>
        <w:spacing w:after="0"/>
        <w:rPr>
          <w:sz w:val="20"/>
          <w:szCs w:val="20"/>
          <w:color w:val="auto"/>
        </w:rPr>
      </w:pPr>
      <w:r>
        <w:rPr>
          <w:rFonts w:ascii="Courier New" w:cs="Courier New" w:eastAsia="Courier New" w:hAnsi="Courier New"/>
          <w:sz w:val="15"/>
          <w:szCs w:val="15"/>
          <w:color w:val="auto"/>
        </w:rPr>
        <w:t>148,820,129</w:t>
      </w:r>
    </w:p>
    <w:p>
      <w:pPr>
        <w:ind w:left="2200"/>
        <w:spacing w:after="0" w:line="237" w:lineRule="auto"/>
        <w:rPr>
          <w:sz w:val="20"/>
          <w:szCs w:val="20"/>
          <w:color w:val="auto"/>
        </w:rPr>
      </w:pPr>
      <w:r>
        <w:rPr>
          <w:rFonts w:ascii="Courier New" w:cs="Courier New" w:eastAsia="Courier New" w:hAnsi="Courier New"/>
          <w:sz w:val="15"/>
          <w:szCs w:val="15"/>
          <w:color w:val="auto"/>
        </w:rPr>
        <w:t>(10,693,265)</w:t>
      </w:r>
    </w:p>
    <w:p>
      <w:pPr>
        <w:ind w:left="3160"/>
        <w:spacing w:after="0"/>
        <w:rPr>
          <w:sz w:val="20"/>
          <w:szCs w:val="20"/>
          <w:color w:val="auto"/>
        </w:rPr>
      </w:pPr>
      <w:r>
        <w:rPr>
          <w:rFonts w:ascii="Courier New" w:cs="Courier New" w:eastAsia="Courier New" w:hAnsi="Courier New"/>
          <w:sz w:val="15"/>
          <w:szCs w:val="15"/>
          <w:color w:val="auto"/>
        </w:rPr>
        <w:t>0</w:t>
      </w:r>
    </w:p>
    <w:p>
      <w:pPr>
        <w:ind w:left="3000"/>
        <w:spacing w:after="0"/>
        <w:rPr>
          <w:sz w:val="20"/>
          <w:szCs w:val="20"/>
          <w:color w:val="auto"/>
        </w:rPr>
      </w:pPr>
      <w:r>
        <w:rPr>
          <w:rFonts w:ascii="Courier New" w:cs="Courier New" w:eastAsia="Courier New" w:hAnsi="Courier New"/>
          <w:sz w:val="15"/>
          <w:szCs w:val="15"/>
          <w:color w:val="auto"/>
        </w:rPr>
        <w:t>0</w:t>
      </w:r>
    </w:p>
    <w:p>
      <w:pPr>
        <w:ind w:left="2460"/>
        <w:spacing w:after="0" w:line="238" w:lineRule="auto"/>
        <w:rPr>
          <w:sz w:val="20"/>
          <w:szCs w:val="20"/>
          <w:color w:val="auto"/>
        </w:rPr>
      </w:pPr>
      <w:r>
        <w:rPr>
          <w:rFonts w:ascii="Courier New" w:cs="Courier New" w:eastAsia="Courier New" w:hAnsi="Courier New"/>
          <w:sz w:val="15"/>
          <w:szCs w:val="15"/>
          <w:color w:val="auto"/>
        </w:rPr>
        <w:t>96,215,756</w:t>
      </w:r>
    </w:p>
    <w:p>
      <w:pPr>
        <w:ind w:left="2720"/>
        <w:spacing w:after="0"/>
        <w:rPr>
          <w:sz w:val="20"/>
          <w:szCs w:val="20"/>
          <w:color w:val="auto"/>
        </w:rPr>
      </w:pPr>
      <w:r>
        <w:rPr>
          <w:rFonts w:ascii="Courier New" w:cs="Courier New" w:eastAsia="Courier New" w:hAnsi="Courier New"/>
          <w:sz w:val="15"/>
          <w:szCs w:val="15"/>
          <w:color w:val="auto"/>
        </w:rPr>
        <w:t>31,352,000</w:t>
      </w:r>
    </w:p>
    <w:p>
      <w:pPr>
        <w:ind w:left="2120"/>
        <w:spacing w:after="0"/>
        <w:rPr>
          <w:sz w:val="20"/>
          <w:szCs w:val="20"/>
          <w:color w:val="auto"/>
        </w:rPr>
      </w:pPr>
      <w:r>
        <w:rPr>
          <w:rFonts w:ascii="Courier New" w:cs="Courier New" w:eastAsia="Courier New" w:hAnsi="Courier New"/>
          <w:sz w:val="15"/>
          <w:szCs w:val="15"/>
          <w:color w:val="auto"/>
        </w:rPr>
        <w:t>64,863,756</w:t>
      </w:r>
    </w:p>
    <w:p>
      <w:pPr>
        <w:ind w:left="3340"/>
        <w:spacing w:after="0" w:line="237" w:lineRule="auto"/>
        <w:rPr>
          <w:sz w:val="20"/>
          <w:szCs w:val="20"/>
          <w:color w:val="auto"/>
        </w:rPr>
      </w:pPr>
      <w:r>
        <w:rPr>
          <w:rFonts w:ascii="Courier New" w:cs="Courier New" w:eastAsia="Courier New" w:hAnsi="Courier New"/>
          <w:sz w:val="15"/>
          <w:szCs w:val="15"/>
          <w:color w:val="auto"/>
        </w:rPr>
        <w:t>0</w:t>
      </w:r>
    </w:p>
    <w:p>
      <w:pPr>
        <w:ind w:left="3260"/>
        <w:spacing w:after="0"/>
        <w:rPr>
          <w:sz w:val="20"/>
          <w:szCs w:val="20"/>
          <w:color w:val="auto"/>
        </w:rPr>
      </w:pPr>
      <w:r>
        <w:rPr>
          <w:rFonts w:ascii="Courier New" w:cs="Courier New" w:eastAsia="Courier New" w:hAnsi="Courier New"/>
          <w:sz w:val="15"/>
          <w:szCs w:val="15"/>
          <w:color w:val="auto"/>
        </w:rPr>
        <w:t>0</w:t>
      </w:r>
    </w:p>
    <w:p>
      <w:pPr>
        <w:ind w:left="3780"/>
        <w:spacing w:after="0"/>
        <w:rPr>
          <w:sz w:val="20"/>
          <w:szCs w:val="20"/>
          <w:color w:val="auto"/>
        </w:rPr>
      </w:pPr>
      <w:r>
        <w:rPr>
          <w:rFonts w:ascii="Courier New" w:cs="Courier New" w:eastAsia="Courier New" w:hAnsi="Courier New"/>
          <w:sz w:val="15"/>
          <w:szCs w:val="15"/>
          <w:color w:val="auto"/>
        </w:rPr>
        <w:t>0</w:t>
      </w:r>
    </w:p>
    <w:p>
      <w:pPr>
        <w:ind w:left="2720"/>
        <w:spacing w:after="0" w:line="238" w:lineRule="auto"/>
        <w:rPr>
          <w:sz w:val="20"/>
          <w:szCs w:val="20"/>
          <w:color w:val="auto"/>
        </w:rPr>
      </w:pPr>
      <w:r>
        <w:rPr>
          <w:rFonts w:ascii="Courier New" w:cs="Courier New" w:eastAsia="Courier New" w:hAnsi="Courier New"/>
          <w:sz w:val="15"/>
          <w:szCs w:val="15"/>
          <w:color w:val="auto"/>
        </w:rPr>
        <w:t>64,863,756</w:t>
      </w:r>
    </w:p>
    <w:p>
      <w:pPr>
        <w:ind w:left="3340"/>
        <w:spacing w:after="0"/>
        <w:rPr>
          <w:sz w:val="20"/>
          <w:szCs w:val="20"/>
          <w:color w:val="auto"/>
        </w:rPr>
      </w:pPr>
      <w:r>
        <w:rPr>
          <w:rFonts w:ascii="Courier New" w:cs="Courier New" w:eastAsia="Courier New" w:hAnsi="Courier New"/>
          <w:sz w:val="15"/>
          <w:szCs w:val="15"/>
          <w:color w:val="auto"/>
        </w:rPr>
        <w:t>0.89</w:t>
      </w:r>
    </w:p>
    <w:p>
      <w:pPr>
        <w:ind w:left="3160"/>
        <w:spacing w:after="0"/>
        <w:rPr>
          <w:sz w:val="20"/>
          <w:szCs w:val="20"/>
          <w:color w:val="auto"/>
        </w:rPr>
      </w:pPr>
      <w:r>
        <w:rPr>
          <w:rFonts w:ascii="Courier New" w:cs="Courier New" w:eastAsia="Courier New" w:hAnsi="Courier New"/>
          <w:sz w:val="15"/>
          <w:szCs w:val="15"/>
          <w:color w:val="auto"/>
        </w:rPr>
        <w:t>0.86</w:t>
      </w:r>
    </w:p>
    <w:sectPr>
      <w:pgSz w:w="11900" w:h="16838" w:orient="portrait"/>
      <w:cols w:equalWidth="0" w:num="1">
        <w:col w:w="10059"/>
      </w:cols>
      <w:pgMar w:left="400" w:top="4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1)"/>
      <w:numFmt w:val="upperLetter"/>
      <w:start w:val="1"/>
    </w:lvl>
  </w:abstractNum>
  <w:abstractNum w:abstractNumId="2">
    <w:nsid w:val="3352255A"/>
    <w:multiLevelType w:val="hybridMultilevel"/>
    <w:lvl w:ilvl="0">
      <w:lvlJc w:val="left"/>
      <w:lvlText w:val="(%1)"/>
      <w:numFmt w:val="upperLetter"/>
      <w:start w:val="2"/>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lowerLetter"/>
      <w:start w:val="1"/>
    </w:lvl>
    <w:lvl w:ilvl="1">
      <w:lvlJc w:val="left"/>
      <w:lvlText w:val="%2."/>
      <w:numFmt w:val="decimal"/>
      <w:start w:val="2"/>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2"/>
    </w:lvl>
  </w:abstractNum>
  <w:abstractNum w:abstractNumId="11">
    <w:nsid w:val="519B500D"/>
    <w:multiLevelType w:val="hybridMultilevel"/>
    <w:lvl w:ilvl="0">
      <w:lvlJc w:val="left"/>
      <w:lvlText w:val="(%1)"/>
      <w:numFmt w:val="decimal"/>
      <w:start w:val="3"/>
    </w:lvl>
  </w:abstractNum>
  <w:abstractNum w:abstractNumId="12">
    <w:nsid w:val="431BD7B7"/>
    <w:multiLevelType w:val="hybridMultilevel"/>
    <w:lvl w:ilvl="0">
      <w:lvlJc w:val="left"/>
      <w:lvlText w:val="(%1)"/>
      <w:numFmt w:val="decimal"/>
      <w:start w:val="4"/>
    </w:lvl>
  </w:abstractNum>
  <w:abstractNum w:abstractNumId="13">
    <w:nsid w:val="3F2DBA31"/>
    <w:multiLevelType w:val="hybridMultilevel"/>
    <w:lvl w:ilvl="0">
      <w:lvlJc w:val="left"/>
      <w:lvlText w:val="(%1)"/>
      <w:numFmt w:val="decimal"/>
      <w:start w:val="5"/>
    </w:lvl>
  </w:abstractNum>
  <w:abstractNum w:abstractNumId="14">
    <w:nsid w:val="7C83E458"/>
    <w:multiLevelType w:val="hybridMultilevel"/>
    <w:lvl w:ilvl="0">
      <w:lvlJc w:val="left"/>
      <w:lvlText w:val="A"/>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lvl>
  </w:abstractNum>
  <w:abstractNum w:abstractNumId="17">
    <w:nsid w:val="436C6125"/>
    <w:multiLevelType w:val="hybridMultilevel"/>
    <w:lvl w:ilvl="0">
      <w:lvlJc w:val="left"/>
      <w:lvlText w:val="%1"/>
      <w:numFmt w:val="decimal"/>
      <w:start w:val="982"/>
    </w:lvl>
  </w:abstractNum>
  <w:abstractNum w:abstractNumId="18">
    <w:nsid w:val="628C895D"/>
    <w:multiLevelType w:val="hybridMultilevel"/>
    <w:lvl w:ilvl="0">
      <w:lvlJc w:val="left"/>
      <w:lvlText w:val="(%1)"/>
      <w:numFmt w:val="decimal"/>
      <w:start w:val="148"/>
    </w:lvl>
  </w:abstractNum>
  <w:abstractNum w:abstractNumId="19">
    <w:nsid w:val="333AB105"/>
    <w:multiLevelType w:val="hybridMultilevel"/>
    <w:lvl w:ilvl="0">
      <w:lvlJc w:val="left"/>
      <w:lvlText w:val="(%1)"/>
      <w:numFmt w:val="decimal"/>
      <w:start w:val="6"/>
    </w:lvl>
  </w:abstractNum>
  <w:abstractNum w:abstractNumId="20">
    <w:nsid w:val="721DA317"/>
    <w:multiLevelType w:val="hybridMultilevel"/>
    <w:lvl w:ilvl="0">
      <w:lvlJc w:val="left"/>
      <w:lvlText w:val="A"/>
      <w:numFmt w:val="bullet"/>
      <w:start w:val="1"/>
    </w:lvl>
  </w:abstractNum>
  <w:abstractNum w:abstractNumId="21">
    <w:nsid w:val="2443A858"/>
    <w:multiLevelType w:val="hybridMultilevel"/>
    <w:lvl w:ilvl="0">
      <w:lvlJc w:val="left"/>
      <w:lvlText w:val="(%1)"/>
      <w:numFmt w:val="decimal"/>
      <w:start w:val="6"/>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2020-10-07T03:46:15Z</dcterms:created>
  <dcterms:modified xsi:type="dcterms:W3CDTF">2020-10-07T03:46:15Z</dcterms:modified>
</cp:coreProperties>
</file>